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388A6" w14:textId="77777777" w:rsidR="00826B3E" w:rsidRPr="004806C7" w:rsidRDefault="00826B3E" w:rsidP="00826B3E">
      <w:pPr>
        <w:spacing w:line="360" w:lineRule="auto"/>
        <w:rPr>
          <w:b/>
          <w:bCs/>
          <w:sz w:val="28"/>
          <w:szCs w:val="28"/>
        </w:rPr>
      </w:pPr>
      <w:r w:rsidRPr="004806C7">
        <w:rPr>
          <w:b/>
          <w:bCs/>
          <w:sz w:val="28"/>
          <w:szCs w:val="28"/>
        </w:rPr>
        <w:t>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26B3E" w14:paraId="6C78FF74" w14:textId="77777777" w:rsidTr="00F04418">
        <w:tc>
          <w:tcPr>
            <w:tcW w:w="2689" w:type="dxa"/>
          </w:tcPr>
          <w:p w14:paraId="1CFE3D32" w14:textId="77777777" w:rsidR="00826B3E" w:rsidRDefault="00826B3E" w:rsidP="00F04418">
            <w:pPr>
              <w:pStyle w:val="Heading2"/>
              <w:jc w:val="center"/>
              <w:outlineLvl w:val="1"/>
            </w:pPr>
            <w:r>
              <w:t xml:space="preserve">Professional Experience </w:t>
            </w:r>
            <w:r w:rsidRPr="00CD1E5D">
              <w:t>Template</w:t>
            </w:r>
            <w:r>
              <w:t xml:space="preserve"> 1</w:t>
            </w:r>
          </w:p>
        </w:tc>
        <w:tc>
          <w:tcPr>
            <w:tcW w:w="6327" w:type="dxa"/>
          </w:tcPr>
          <w:p w14:paraId="607E686D" w14:textId="77777777" w:rsidR="00826B3E" w:rsidRDefault="00826B3E" w:rsidP="00F04418"/>
        </w:tc>
      </w:tr>
      <w:tr w:rsidR="00826B3E" w14:paraId="0811F66F" w14:textId="77777777" w:rsidTr="00F04418">
        <w:tc>
          <w:tcPr>
            <w:tcW w:w="2689" w:type="dxa"/>
          </w:tcPr>
          <w:p w14:paraId="78ECE785" w14:textId="77777777" w:rsidR="00826B3E" w:rsidRDefault="00826B3E" w:rsidP="00F04418">
            <w:pPr>
              <w:pStyle w:val="Heading2"/>
              <w:jc w:val="center"/>
              <w:outlineLvl w:val="1"/>
            </w:pPr>
            <w:r>
              <w:t>Pedagogy Standard</w:t>
            </w:r>
          </w:p>
        </w:tc>
        <w:tc>
          <w:tcPr>
            <w:tcW w:w="6327" w:type="dxa"/>
          </w:tcPr>
          <w:p w14:paraId="337AC630" w14:textId="77777777" w:rsidR="00826B3E" w:rsidRPr="00860793" w:rsidRDefault="00826B3E" w:rsidP="00F04418">
            <w:pPr>
              <w:rPr>
                <w:sz w:val="28"/>
                <w:szCs w:val="28"/>
              </w:rPr>
            </w:pPr>
            <w:r w:rsidRPr="00860793">
              <w:rPr>
                <w:rFonts w:cstheme="minorHAnsi"/>
                <w:color w:val="2F5496" w:themeColor="accent1" w:themeShade="BF"/>
                <w:sz w:val="28"/>
                <w:szCs w:val="28"/>
              </w:rPr>
              <w:t>Assessment for learning</w:t>
            </w:r>
          </w:p>
        </w:tc>
      </w:tr>
      <w:tr w:rsidR="00826B3E" w14:paraId="3F29B108" w14:textId="77777777" w:rsidTr="00F04418">
        <w:tc>
          <w:tcPr>
            <w:tcW w:w="2689" w:type="dxa"/>
          </w:tcPr>
          <w:p w14:paraId="3427AF61" w14:textId="77777777" w:rsidR="00826B3E" w:rsidRDefault="00826B3E" w:rsidP="00F04418">
            <w:pPr>
              <w:pStyle w:val="Heading3"/>
              <w:jc w:val="center"/>
              <w:outlineLvl w:val="2"/>
            </w:pPr>
            <w:r>
              <w:t>What did you do and why?</w:t>
            </w:r>
          </w:p>
          <w:p w14:paraId="717FF8C6" w14:textId="77777777" w:rsidR="00826B3E" w:rsidRDefault="00826B3E" w:rsidP="00F04418">
            <w:pPr>
              <w:jc w:val="center"/>
            </w:pPr>
          </w:p>
        </w:tc>
        <w:tc>
          <w:tcPr>
            <w:tcW w:w="6327" w:type="dxa"/>
          </w:tcPr>
          <w:p w14:paraId="5577AA48" w14:textId="77777777" w:rsidR="00826B3E" w:rsidRDefault="00826B3E" w:rsidP="00F04418">
            <w:pPr>
              <w:rPr>
                <w:sz w:val="24"/>
                <w:szCs w:val="24"/>
              </w:rPr>
            </w:pPr>
            <w:r>
              <w:rPr>
                <w:sz w:val="24"/>
                <w:szCs w:val="24"/>
              </w:rPr>
              <w:t xml:space="preserve">No hands up is a strategy that gives all children an opportunity to have a go at the answer. At times where the children didn’t quite know the answer or got the answer incorrect, I would help them by working out the answer with them. For example, if the child did not know the answer to a maths question, I would get them to count my fingers. Furthermore, another way to help the children would be to ‘phone a friend’. I mostly used this strategy when taking the drillio lessons, where the children will learn their days, colours, number, I would read Tedi Twt books to them and more. This strategy particularly worked well when I would go onto the question-and-answer phase of drillio. For example, I would ask ‘pwy wyt ti?’ and then I would choose someone to answer me, without them putting their hands up. I did this because the children knew that I would be choosing someone to answer, therefore they were all much more engaged and their listening skills greatly improved. I noticed the development of their engagement over the course of the placement as at the start where I first started teaching the drillio, I would often get children that were disengaged. I will be taking this AFL strategy into my next placement, bearing in mind that it is important to make sure that the child is not disheartened or told off if they are unsure or get the question wrong because they will start to lose confidence. </w:t>
            </w:r>
          </w:p>
          <w:p w14:paraId="6ACC6ACA" w14:textId="77777777" w:rsidR="00826B3E" w:rsidRDefault="00826B3E" w:rsidP="00F04418"/>
        </w:tc>
      </w:tr>
      <w:tr w:rsidR="00826B3E" w14:paraId="3097C6A5" w14:textId="77777777" w:rsidTr="00F04418">
        <w:tc>
          <w:tcPr>
            <w:tcW w:w="2689" w:type="dxa"/>
          </w:tcPr>
          <w:p w14:paraId="3D795E3E" w14:textId="77777777" w:rsidR="00826B3E" w:rsidRDefault="00826B3E" w:rsidP="00F04418">
            <w:pPr>
              <w:pStyle w:val="Heading3"/>
              <w:jc w:val="center"/>
              <w:outlineLvl w:val="2"/>
            </w:pPr>
            <w:r>
              <w:t>What have you learned?</w:t>
            </w:r>
          </w:p>
          <w:p w14:paraId="74213E4C" w14:textId="77777777" w:rsidR="00826B3E" w:rsidRDefault="00826B3E" w:rsidP="00F04418">
            <w:pPr>
              <w:jc w:val="center"/>
            </w:pPr>
          </w:p>
        </w:tc>
        <w:tc>
          <w:tcPr>
            <w:tcW w:w="6327" w:type="dxa"/>
          </w:tcPr>
          <w:p w14:paraId="3A5FD847" w14:textId="77777777" w:rsidR="00826B3E" w:rsidRDefault="00826B3E" w:rsidP="00F04418">
            <w:pPr>
              <w:rPr>
                <w:sz w:val="24"/>
                <w:szCs w:val="24"/>
              </w:rPr>
            </w:pPr>
            <w:r>
              <w:rPr>
                <w:sz w:val="24"/>
                <w:szCs w:val="24"/>
              </w:rPr>
              <w:t xml:space="preserve">Not all children will engage with your lessons, however, including strategies likes no hands up children became much more involved. This is because they knew it could be them that I choose. Although a lot of children do not like to be chosen to speak in front of their class, I thought it was very important to get the children to do this more often. I have learned that all a child needs to be able to answer in front of their friends and classmates is confidence. Using no hands up and ‘phone a friend’, I noticed an increase in confidence within the classroom. Looking at the four purposes, the aim of the New Curriculum for Wales is to develop healthy, confident individuals who are building their mental and emotional well-being by developing their confidence, resilience and empathy and form positive relationships based upon trust and mutual respect. Building positives relationships is </w:t>
            </w:r>
            <w:r>
              <w:rPr>
                <w:sz w:val="24"/>
                <w:szCs w:val="24"/>
              </w:rPr>
              <w:lastRenderedPageBreak/>
              <w:t>one of the most important aspects of gaining confidence in the classroom as they will feel more comfortable and confident to answer. Supporting this, Alkhaldi et al. (2021) discuss the importance of confidence within the classroom environment, where they also discuss that self-confidence increased students’ willingness to solve problems, it increased their mental well-being and increases achievement levels.</w:t>
            </w:r>
          </w:p>
          <w:p w14:paraId="09F90093" w14:textId="77777777" w:rsidR="00826B3E" w:rsidRDefault="00826B3E" w:rsidP="00F04418"/>
        </w:tc>
      </w:tr>
      <w:tr w:rsidR="00826B3E" w14:paraId="53B91B90" w14:textId="77777777" w:rsidTr="00F04418">
        <w:tc>
          <w:tcPr>
            <w:tcW w:w="2689" w:type="dxa"/>
          </w:tcPr>
          <w:p w14:paraId="49AC671B" w14:textId="77777777" w:rsidR="00826B3E" w:rsidRPr="007C32AA" w:rsidRDefault="00826B3E" w:rsidP="00F04418">
            <w:pPr>
              <w:pStyle w:val="Heading3"/>
              <w:jc w:val="center"/>
              <w:outlineLvl w:val="2"/>
            </w:pPr>
            <w:r>
              <w:lastRenderedPageBreak/>
              <w:t>What next?</w:t>
            </w:r>
          </w:p>
          <w:p w14:paraId="75FC555D" w14:textId="77777777" w:rsidR="00826B3E" w:rsidRDefault="00826B3E" w:rsidP="00F04418">
            <w:pPr>
              <w:jc w:val="center"/>
            </w:pPr>
          </w:p>
        </w:tc>
        <w:tc>
          <w:tcPr>
            <w:tcW w:w="6327" w:type="dxa"/>
          </w:tcPr>
          <w:p w14:paraId="6C63D9D4" w14:textId="77777777" w:rsidR="00826B3E" w:rsidRDefault="00826B3E" w:rsidP="00F04418">
            <w:pPr>
              <w:rPr>
                <w:sz w:val="24"/>
                <w:szCs w:val="24"/>
              </w:rPr>
            </w:pPr>
            <w:r>
              <w:rPr>
                <w:sz w:val="24"/>
                <w:szCs w:val="24"/>
              </w:rPr>
              <w:t xml:space="preserve">To develop this further I could introduce lollipop sticks. I would like to include this into my teaching practices to see what benefits it has on learning and student engagement. To include this within my practices I will be writing each child’s name on a stick and choosing one from a pot. I will be carrying out this AFL strategy within my PTE2, and I will be assessing student engagement by seeing how their confidents grows and their willingness to help others when or if they ask to ‘phone a friend’. Moreover, I will continue to use the no hands up strategy within the drillio lessons as it seemed to have worked well in PTE1. </w:t>
            </w:r>
          </w:p>
          <w:p w14:paraId="4DA87C65" w14:textId="77777777" w:rsidR="00826B3E" w:rsidRDefault="00826B3E" w:rsidP="00F04418"/>
        </w:tc>
      </w:tr>
    </w:tbl>
    <w:p w14:paraId="7F633A3A" w14:textId="77777777" w:rsidR="00826B3E" w:rsidRDefault="00826B3E" w:rsidP="00826B3E">
      <w:pPr>
        <w:spacing w:line="360" w:lineRule="auto"/>
        <w:rPr>
          <w:b/>
          <w:bCs/>
          <w:sz w:val="28"/>
          <w:szCs w:val="28"/>
        </w:rPr>
      </w:pPr>
    </w:p>
    <w:tbl>
      <w:tblPr>
        <w:tblStyle w:val="TableGrid"/>
        <w:tblW w:w="0" w:type="auto"/>
        <w:tblLook w:val="04A0" w:firstRow="1" w:lastRow="0" w:firstColumn="1" w:lastColumn="0" w:noHBand="0" w:noVBand="1"/>
      </w:tblPr>
      <w:tblGrid>
        <w:gridCol w:w="2689"/>
        <w:gridCol w:w="6327"/>
      </w:tblGrid>
      <w:tr w:rsidR="00826B3E" w14:paraId="156B8D54" w14:textId="77777777" w:rsidTr="00F04418">
        <w:tc>
          <w:tcPr>
            <w:tcW w:w="2689" w:type="dxa"/>
          </w:tcPr>
          <w:p w14:paraId="1CBDB7E3" w14:textId="77777777" w:rsidR="00826B3E" w:rsidRDefault="00826B3E" w:rsidP="00F04418">
            <w:pPr>
              <w:pStyle w:val="Heading2"/>
              <w:jc w:val="center"/>
              <w:outlineLvl w:val="1"/>
            </w:pPr>
            <w:r>
              <w:t xml:space="preserve">Professional Experience </w:t>
            </w:r>
            <w:r w:rsidRPr="00CD1E5D">
              <w:t>Template</w:t>
            </w:r>
            <w:r>
              <w:t xml:space="preserve"> 2</w:t>
            </w:r>
          </w:p>
        </w:tc>
        <w:tc>
          <w:tcPr>
            <w:tcW w:w="6327" w:type="dxa"/>
          </w:tcPr>
          <w:p w14:paraId="354439D6" w14:textId="77777777" w:rsidR="00826B3E" w:rsidRDefault="00826B3E" w:rsidP="00F04418"/>
        </w:tc>
      </w:tr>
      <w:tr w:rsidR="00826B3E" w14:paraId="18762583" w14:textId="77777777" w:rsidTr="00F04418">
        <w:tc>
          <w:tcPr>
            <w:tcW w:w="2689" w:type="dxa"/>
          </w:tcPr>
          <w:p w14:paraId="5A198709" w14:textId="77777777" w:rsidR="00826B3E" w:rsidRDefault="00826B3E" w:rsidP="00F04418">
            <w:pPr>
              <w:pStyle w:val="Heading2"/>
              <w:jc w:val="center"/>
              <w:outlineLvl w:val="1"/>
            </w:pPr>
            <w:r>
              <w:t>Pedagogy Standard</w:t>
            </w:r>
          </w:p>
        </w:tc>
        <w:tc>
          <w:tcPr>
            <w:tcW w:w="6327" w:type="dxa"/>
          </w:tcPr>
          <w:p w14:paraId="205E54F7" w14:textId="77777777" w:rsidR="00826B3E" w:rsidRPr="00D57F44" w:rsidRDefault="00826B3E" w:rsidP="00F04418">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5DEE4266" w14:textId="77777777" w:rsidR="00826B3E" w:rsidRPr="00BD56CC" w:rsidRDefault="00826B3E" w:rsidP="00F04418">
            <w:pPr>
              <w:rPr>
                <w:rFonts w:asciiTheme="majorHAnsi" w:hAnsiTheme="majorHAnsi" w:cstheme="majorHAnsi"/>
                <w:color w:val="2F5496" w:themeColor="accent1" w:themeShade="BF"/>
                <w:sz w:val="28"/>
                <w:szCs w:val="28"/>
              </w:rPr>
            </w:pPr>
          </w:p>
        </w:tc>
      </w:tr>
      <w:tr w:rsidR="00826B3E" w14:paraId="0E82EF41" w14:textId="77777777" w:rsidTr="00F04418">
        <w:tc>
          <w:tcPr>
            <w:tcW w:w="2689" w:type="dxa"/>
          </w:tcPr>
          <w:p w14:paraId="0789DFFF" w14:textId="77777777" w:rsidR="00826B3E" w:rsidRDefault="00826B3E" w:rsidP="00F04418">
            <w:pPr>
              <w:pStyle w:val="Heading3"/>
              <w:jc w:val="center"/>
              <w:outlineLvl w:val="2"/>
            </w:pPr>
            <w:r>
              <w:t>What did you do and why?</w:t>
            </w:r>
          </w:p>
          <w:p w14:paraId="4F62DF1A" w14:textId="77777777" w:rsidR="00826B3E" w:rsidRDefault="00826B3E" w:rsidP="00F04418">
            <w:pPr>
              <w:jc w:val="center"/>
            </w:pPr>
          </w:p>
        </w:tc>
        <w:tc>
          <w:tcPr>
            <w:tcW w:w="6327" w:type="dxa"/>
          </w:tcPr>
          <w:p w14:paraId="1F15BB65" w14:textId="77777777" w:rsidR="00826B3E" w:rsidRDefault="00826B3E" w:rsidP="00F04418">
            <w:r>
              <w:t xml:space="preserve">A notable bending experience that occurred throughout my time in PTE1 was a science investigation that I delivered. This lesson was taught over a few days as there were four different ability groups which I took separately. The first blended learning took place during carpet time and the introduction of the science lesson, where I created a PowerPoint to deliver the introduction and then I demonstrated sentences on the white board. Whilst doing this, I asked the children how I would spell the words, where I needed capital letters and full stops, which brought an element of literacy into the lesson. The next part of this experience was the investigation where the children, predicted which materials would float or sink. The blended aspect of this was that I used technology, and a previous forest school lesson to structure their science investigation. I linked all of these strategies and lessons to form their science investigation as they would be building on prior knowledge. For example, during the forest school lesson we took the children out into the woodland area and discussed which materials where hard or soft and if they were smooth or rough. We used some of these materials during the investigation therefore this assisted the prediction phase. Using prior knowledge to assist their new learning is known as a constructivist approach. This lesson was conducted as a constructivist approach as it required prior knowledge or schemas that the children learned during their forest school lesson. Furthermore, guided discovery was one of the fundamental reaching strategies of the investigation as the children were given the tools and materials, as well as using prior schemas to explore and discover the results of the investigation. In a study conducted by Suratno et al. (2019) results showed that students who were taught using guided discovery showed significant behaviour changes which resulted in increased learning, compared to those who were taught without using guided discovery. </w:t>
            </w:r>
          </w:p>
          <w:p w14:paraId="1FC2C817" w14:textId="77777777" w:rsidR="00826B3E" w:rsidRDefault="00826B3E" w:rsidP="00F04418"/>
        </w:tc>
      </w:tr>
      <w:tr w:rsidR="00826B3E" w14:paraId="798B7F77" w14:textId="77777777" w:rsidTr="00F04418">
        <w:tc>
          <w:tcPr>
            <w:tcW w:w="2689" w:type="dxa"/>
          </w:tcPr>
          <w:p w14:paraId="50213C5F" w14:textId="77777777" w:rsidR="00826B3E" w:rsidRDefault="00826B3E" w:rsidP="00F04418">
            <w:pPr>
              <w:pStyle w:val="Heading3"/>
              <w:jc w:val="center"/>
              <w:outlineLvl w:val="2"/>
            </w:pPr>
            <w:r>
              <w:t>What have you learned?</w:t>
            </w:r>
          </w:p>
          <w:p w14:paraId="2615E55A" w14:textId="77777777" w:rsidR="00826B3E" w:rsidRDefault="00826B3E" w:rsidP="00F04418">
            <w:pPr>
              <w:jc w:val="center"/>
            </w:pPr>
          </w:p>
        </w:tc>
        <w:tc>
          <w:tcPr>
            <w:tcW w:w="6327" w:type="dxa"/>
          </w:tcPr>
          <w:p w14:paraId="310C6332" w14:textId="77777777" w:rsidR="00826B3E" w:rsidRDefault="00826B3E" w:rsidP="00F04418">
            <w:r>
              <w:t>From this experience I have learned that combining different teaching styles will maximise student learning. Through the use of technology I was able to introduce the science lesson in a simple way that the children would be able to understand, using visual aids and links to prior lessons. Furthermore, using the children’s prior knowledge to construct a lesson was beneficial to them as they already has the schemas to carry out the investigation successfully. I recognised that the children had been making links between the investigation and the forest school lesson as they were using the Higher Order Thinking Skills which they had been using whilst describing the materials they found in the woodland area.</w:t>
            </w:r>
          </w:p>
          <w:p w14:paraId="4346432A" w14:textId="77777777" w:rsidR="00826B3E" w:rsidRDefault="00826B3E" w:rsidP="00F04418"/>
        </w:tc>
      </w:tr>
      <w:tr w:rsidR="00826B3E" w14:paraId="302AB109" w14:textId="77777777" w:rsidTr="00F04418">
        <w:tc>
          <w:tcPr>
            <w:tcW w:w="2689" w:type="dxa"/>
          </w:tcPr>
          <w:p w14:paraId="77A5F6EE" w14:textId="77777777" w:rsidR="00826B3E" w:rsidRPr="007C32AA" w:rsidRDefault="00826B3E" w:rsidP="00F04418">
            <w:pPr>
              <w:pStyle w:val="Heading3"/>
              <w:jc w:val="center"/>
              <w:outlineLvl w:val="2"/>
            </w:pPr>
            <w:r>
              <w:t>What next?</w:t>
            </w:r>
          </w:p>
          <w:p w14:paraId="34FF0EA9" w14:textId="77777777" w:rsidR="00826B3E" w:rsidRDefault="00826B3E" w:rsidP="00F04418">
            <w:pPr>
              <w:jc w:val="center"/>
            </w:pPr>
          </w:p>
        </w:tc>
        <w:tc>
          <w:tcPr>
            <w:tcW w:w="6327" w:type="dxa"/>
          </w:tcPr>
          <w:p w14:paraId="37E22929" w14:textId="77777777" w:rsidR="00826B3E" w:rsidRDefault="00826B3E" w:rsidP="00F04418">
            <w:r>
              <w:t>To develop my teaching practices further, I will be ensuring that I incorporate blending learning and guided discovery into my next PTE. This has shown to work well in my teaching practices therefore I would like to take this forward to my next class. It will be interesting to see how this works with a different age group and what adaptations I will have to make. To do this, I will be planning my weekly lessons, making sure I include blended learning. For this I will be using PowerPoints and the prior knowledge of the children to structure the lessons.</w:t>
            </w:r>
          </w:p>
          <w:p w14:paraId="7A51D379" w14:textId="77777777" w:rsidR="00826B3E" w:rsidRPr="00D14E2B" w:rsidRDefault="00826B3E" w:rsidP="00F04418"/>
        </w:tc>
      </w:tr>
    </w:tbl>
    <w:p w14:paraId="70D66548" w14:textId="77777777" w:rsidR="00826B3E" w:rsidRDefault="00826B3E" w:rsidP="00826B3E">
      <w:pPr>
        <w:spacing w:line="360" w:lineRule="auto"/>
        <w:rPr>
          <w:b/>
          <w:bCs/>
          <w:sz w:val="28"/>
          <w:szCs w:val="28"/>
        </w:rPr>
      </w:pPr>
    </w:p>
    <w:tbl>
      <w:tblPr>
        <w:tblStyle w:val="TableGrid"/>
        <w:tblW w:w="0" w:type="auto"/>
        <w:tblLook w:val="04A0" w:firstRow="1" w:lastRow="0" w:firstColumn="1" w:lastColumn="0" w:noHBand="0" w:noVBand="1"/>
      </w:tblPr>
      <w:tblGrid>
        <w:gridCol w:w="2689"/>
        <w:gridCol w:w="6327"/>
      </w:tblGrid>
      <w:tr w:rsidR="00826B3E" w14:paraId="68CF73A1" w14:textId="77777777" w:rsidTr="00F04418">
        <w:tc>
          <w:tcPr>
            <w:tcW w:w="2689" w:type="dxa"/>
          </w:tcPr>
          <w:p w14:paraId="6BF87224" w14:textId="77777777" w:rsidR="00826B3E" w:rsidRDefault="00826B3E" w:rsidP="00F04418">
            <w:pPr>
              <w:pStyle w:val="Heading2"/>
              <w:jc w:val="center"/>
              <w:outlineLvl w:val="1"/>
            </w:pPr>
            <w:r>
              <w:t xml:space="preserve">Professional Experience </w:t>
            </w:r>
            <w:r w:rsidRPr="00CD1E5D">
              <w:t>Template</w:t>
            </w:r>
            <w:r>
              <w:t xml:space="preserve"> 3</w:t>
            </w:r>
          </w:p>
        </w:tc>
        <w:tc>
          <w:tcPr>
            <w:tcW w:w="6327" w:type="dxa"/>
          </w:tcPr>
          <w:p w14:paraId="353FBA00" w14:textId="77777777" w:rsidR="00826B3E" w:rsidRDefault="00826B3E" w:rsidP="00F04418"/>
        </w:tc>
      </w:tr>
      <w:tr w:rsidR="00826B3E" w14:paraId="65C93878" w14:textId="77777777" w:rsidTr="00F04418">
        <w:tc>
          <w:tcPr>
            <w:tcW w:w="2689" w:type="dxa"/>
          </w:tcPr>
          <w:p w14:paraId="7993DB53" w14:textId="77777777" w:rsidR="00826B3E" w:rsidRDefault="00826B3E" w:rsidP="00F04418">
            <w:pPr>
              <w:pStyle w:val="Heading2"/>
              <w:jc w:val="center"/>
              <w:outlineLvl w:val="1"/>
            </w:pPr>
            <w:r>
              <w:t>Pedagogy Standard</w:t>
            </w:r>
          </w:p>
        </w:tc>
        <w:tc>
          <w:tcPr>
            <w:tcW w:w="6327" w:type="dxa"/>
          </w:tcPr>
          <w:p w14:paraId="3851F850" w14:textId="77777777" w:rsidR="00826B3E" w:rsidRPr="00D57F44" w:rsidRDefault="00826B3E" w:rsidP="00F04418">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3BAFE3F6" w14:textId="77777777" w:rsidR="00826B3E" w:rsidRDefault="00826B3E" w:rsidP="00F04418"/>
        </w:tc>
      </w:tr>
      <w:tr w:rsidR="00826B3E" w14:paraId="6C9A49FE" w14:textId="77777777" w:rsidTr="00F04418">
        <w:tc>
          <w:tcPr>
            <w:tcW w:w="2689" w:type="dxa"/>
          </w:tcPr>
          <w:p w14:paraId="73884735" w14:textId="77777777" w:rsidR="00826B3E" w:rsidRDefault="00826B3E" w:rsidP="00F04418">
            <w:pPr>
              <w:pStyle w:val="Heading3"/>
              <w:jc w:val="center"/>
              <w:outlineLvl w:val="2"/>
            </w:pPr>
            <w:r>
              <w:t>What did you do and why?</w:t>
            </w:r>
          </w:p>
          <w:p w14:paraId="4E20A082" w14:textId="77777777" w:rsidR="00826B3E" w:rsidRDefault="00826B3E" w:rsidP="00F04418">
            <w:pPr>
              <w:jc w:val="center"/>
            </w:pPr>
          </w:p>
        </w:tc>
        <w:tc>
          <w:tcPr>
            <w:tcW w:w="6327" w:type="dxa"/>
          </w:tcPr>
          <w:p w14:paraId="54BA7690" w14:textId="77777777" w:rsidR="00826B3E" w:rsidRDefault="00826B3E" w:rsidP="00F04418">
            <w:r>
              <w:rPr>
                <w:noProof/>
              </w:rPr>
              <w:drawing>
                <wp:anchor distT="0" distB="0" distL="114300" distR="114300" simplePos="0" relativeHeight="251659264" behindDoc="0" locked="0" layoutInCell="1" allowOverlap="1" wp14:anchorId="181A815F" wp14:editId="4BE1C6B1">
                  <wp:simplePos x="0" y="0"/>
                  <wp:positionH relativeFrom="column">
                    <wp:posOffset>204735</wp:posOffset>
                  </wp:positionH>
                  <wp:positionV relativeFrom="paragraph">
                    <wp:posOffset>1059316</wp:posOffset>
                  </wp:positionV>
                  <wp:extent cx="3333115" cy="839470"/>
                  <wp:effectExtent l="0" t="0" r="635" b="0"/>
                  <wp:wrapSquare wrapText="bothSides"/>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5" cstate="print">
                            <a:extLst>
                              <a:ext uri="{28A0092B-C50C-407E-A947-70E740481C1C}">
                                <a14:useLocalDpi xmlns:a14="http://schemas.microsoft.com/office/drawing/2010/main" val="0"/>
                              </a:ext>
                            </a:extLst>
                          </a:blip>
                          <a:srcRect l="25015" t="47641" r="27045" b="30882"/>
                          <a:stretch/>
                        </pic:blipFill>
                        <pic:spPr bwMode="auto">
                          <a:xfrm>
                            <a:off x="0" y="0"/>
                            <a:ext cx="3333115" cy="839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To incorporate real like authentic context within the lessons, I used their topic for the term to plan a maths lesson. Their topic was ‘Fire, fire’ and they did a lot of work around The Great Fire of London. From this, I linked the topic to a Mathematics lessons by using images of fire engines to create a bonds lessons. For example, in their topic books I printed out a resource sheet:</w:t>
            </w:r>
          </w:p>
          <w:p w14:paraId="10635C44" w14:textId="77777777" w:rsidR="00826B3E" w:rsidRDefault="00826B3E" w:rsidP="00F04418"/>
          <w:p w14:paraId="4ED74A09" w14:textId="77777777" w:rsidR="00826B3E" w:rsidRDefault="00826B3E" w:rsidP="00F04418"/>
          <w:p w14:paraId="344010FD" w14:textId="77777777" w:rsidR="00826B3E" w:rsidRDefault="00826B3E" w:rsidP="00F04418">
            <w:r>
              <w:t xml:space="preserve">This example was one of the lower ability groups and I had created 6 of these sheets to suit the ability of the four groups within the classroom and then two extra sheets for the more abled children. This demonstrated real life context as I got the children to think about how many fire engines could go down to each street. This lesson linked nicely to the previous maths lessons where I taught the children bonds. It got the children to use their prior knowledge of what we had been learning. It is important to build on previous knowledge so the children can add to the schemas that they have already started to build. </w:t>
            </w:r>
          </w:p>
          <w:p w14:paraId="18D88BF6" w14:textId="77777777" w:rsidR="00826B3E" w:rsidRDefault="00826B3E" w:rsidP="00F04418">
            <w:r>
              <w:t xml:space="preserve">Going back to real life context, from their topic I also planned a science lesson. The children discussed that the people of London escaped The Great Fire of London by boat, therefore, the purpose of the lesson was to investigate which materials would be best to build a boat to escape the fire. The children loved this lesson as it was practical, and they loved telling me about the fire and how the people escaped. </w:t>
            </w:r>
          </w:p>
          <w:p w14:paraId="467E0BDF" w14:textId="77777777" w:rsidR="00826B3E" w:rsidRDefault="00826B3E" w:rsidP="00F04418"/>
        </w:tc>
      </w:tr>
      <w:tr w:rsidR="00826B3E" w14:paraId="4934B60B" w14:textId="77777777" w:rsidTr="00F04418">
        <w:tc>
          <w:tcPr>
            <w:tcW w:w="2689" w:type="dxa"/>
          </w:tcPr>
          <w:p w14:paraId="76158942" w14:textId="77777777" w:rsidR="00826B3E" w:rsidRDefault="00826B3E" w:rsidP="00F04418">
            <w:pPr>
              <w:pStyle w:val="Heading3"/>
              <w:jc w:val="center"/>
              <w:outlineLvl w:val="2"/>
            </w:pPr>
            <w:r>
              <w:t>What have you learned?</w:t>
            </w:r>
          </w:p>
          <w:p w14:paraId="333FB013" w14:textId="77777777" w:rsidR="00826B3E" w:rsidRDefault="00826B3E" w:rsidP="00F04418">
            <w:pPr>
              <w:jc w:val="center"/>
            </w:pPr>
          </w:p>
        </w:tc>
        <w:tc>
          <w:tcPr>
            <w:tcW w:w="6327" w:type="dxa"/>
          </w:tcPr>
          <w:p w14:paraId="2D528F90" w14:textId="77777777" w:rsidR="00826B3E" w:rsidRDefault="00826B3E" w:rsidP="00F04418">
            <w:r>
              <w:t>From this experience, I have learned that planning lessons on real life contexts interests the children and allows for discussions about the ‘real world’. During the maths lesson a lot of the children mentioned that there was a fire station within the area that they live in, so they were making these connections between the work and their environment. As well as this, during the science lesson, a handful of children would point out that the foil is metal and would discus types of things that were made from metal and that the pencil was wood which some boats are made out of. Again, the children used their prior knowledge to develop these schemas, which I found extremely important as it structured the lesson and allowed for a lot of discussions. At such a young age it is important to allow the children.</w:t>
            </w:r>
          </w:p>
          <w:p w14:paraId="535A45CD" w14:textId="77777777" w:rsidR="00826B3E" w:rsidRDefault="00826B3E" w:rsidP="00F04418"/>
        </w:tc>
      </w:tr>
      <w:tr w:rsidR="00826B3E" w14:paraId="4F433CC0" w14:textId="77777777" w:rsidTr="00F04418">
        <w:tc>
          <w:tcPr>
            <w:tcW w:w="2689" w:type="dxa"/>
          </w:tcPr>
          <w:p w14:paraId="0638A568" w14:textId="77777777" w:rsidR="00826B3E" w:rsidRPr="007C32AA" w:rsidRDefault="00826B3E" w:rsidP="00F04418">
            <w:pPr>
              <w:pStyle w:val="Heading3"/>
              <w:jc w:val="center"/>
              <w:outlineLvl w:val="2"/>
            </w:pPr>
            <w:r>
              <w:t>What next?</w:t>
            </w:r>
          </w:p>
          <w:p w14:paraId="462E3F5A" w14:textId="77777777" w:rsidR="00826B3E" w:rsidRDefault="00826B3E" w:rsidP="00F04418">
            <w:pPr>
              <w:jc w:val="center"/>
            </w:pPr>
          </w:p>
        </w:tc>
        <w:tc>
          <w:tcPr>
            <w:tcW w:w="6327" w:type="dxa"/>
          </w:tcPr>
          <w:p w14:paraId="77413EDA" w14:textId="77777777" w:rsidR="00826B3E" w:rsidRDefault="00826B3E" w:rsidP="00F04418">
            <w:r>
              <w:t>Experiencing how the children’s prior knowledge can benefit their intake of new knowledge, I will be creating more lesson that link to real life authentic contexts This is a great pedagogical strategy to engage the children using real life situations that they can relate to. To do this I will be ensuring that I use the school’s topic to structure the lessons, so the children always have some schema of what they have learned from their topic. My next PTE class is a year 4 class and their topic for the term is going to be frozen. I have already been thinking about what lessons I would like to discuss with the teacher during PPA, one being Art where they can create animals that live in the Artic and doing a fact board about the animal they chose. This could also be cross curriculum with Digital Competence as they could use iPads to research the animals.</w:t>
            </w:r>
          </w:p>
          <w:p w14:paraId="1D152543" w14:textId="77777777" w:rsidR="00826B3E" w:rsidRDefault="00826B3E" w:rsidP="00F04418"/>
        </w:tc>
      </w:tr>
    </w:tbl>
    <w:p w14:paraId="617E818B" w14:textId="77777777" w:rsidR="00826B3E" w:rsidRDefault="00826B3E" w:rsidP="00826B3E">
      <w:pPr>
        <w:spacing w:line="360" w:lineRule="auto"/>
        <w:rPr>
          <w:b/>
          <w:bCs/>
          <w:sz w:val="28"/>
          <w:szCs w:val="28"/>
        </w:rPr>
      </w:pPr>
    </w:p>
    <w:p w14:paraId="4D3C8BA2" w14:textId="77777777" w:rsidR="00826B3E" w:rsidRDefault="00826B3E" w:rsidP="00826B3E">
      <w:pPr>
        <w:spacing w:line="360" w:lineRule="auto"/>
        <w:rPr>
          <w:b/>
          <w:bCs/>
          <w:sz w:val="28"/>
          <w:szCs w:val="28"/>
        </w:rPr>
      </w:pPr>
    </w:p>
    <w:tbl>
      <w:tblPr>
        <w:tblStyle w:val="TableGrid"/>
        <w:tblW w:w="0" w:type="auto"/>
        <w:tblLook w:val="04A0" w:firstRow="1" w:lastRow="0" w:firstColumn="1" w:lastColumn="0" w:noHBand="0" w:noVBand="1"/>
      </w:tblPr>
      <w:tblGrid>
        <w:gridCol w:w="2689"/>
        <w:gridCol w:w="6327"/>
      </w:tblGrid>
      <w:tr w:rsidR="00826B3E" w14:paraId="124A6518" w14:textId="77777777" w:rsidTr="00F04418">
        <w:tc>
          <w:tcPr>
            <w:tcW w:w="2689" w:type="dxa"/>
          </w:tcPr>
          <w:p w14:paraId="26C5B366" w14:textId="77777777" w:rsidR="00826B3E" w:rsidRDefault="00826B3E" w:rsidP="00F04418">
            <w:pPr>
              <w:pStyle w:val="Heading2"/>
              <w:jc w:val="center"/>
              <w:outlineLvl w:val="1"/>
            </w:pPr>
            <w:r>
              <w:t xml:space="preserve">Professional Experience </w:t>
            </w:r>
            <w:r w:rsidRPr="00CD1E5D">
              <w:t>Template</w:t>
            </w:r>
            <w:r>
              <w:t xml:space="preserve"> 4</w:t>
            </w:r>
          </w:p>
        </w:tc>
        <w:tc>
          <w:tcPr>
            <w:tcW w:w="6327" w:type="dxa"/>
          </w:tcPr>
          <w:p w14:paraId="098018F7" w14:textId="77777777" w:rsidR="00826B3E" w:rsidRDefault="00826B3E" w:rsidP="00F04418"/>
        </w:tc>
      </w:tr>
      <w:tr w:rsidR="00826B3E" w14:paraId="7C25D927" w14:textId="77777777" w:rsidTr="00F04418">
        <w:tc>
          <w:tcPr>
            <w:tcW w:w="2689" w:type="dxa"/>
          </w:tcPr>
          <w:p w14:paraId="4B150762" w14:textId="77777777" w:rsidR="00826B3E" w:rsidRDefault="00826B3E" w:rsidP="00F04418">
            <w:pPr>
              <w:pStyle w:val="Heading2"/>
              <w:jc w:val="center"/>
              <w:outlineLvl w:val="1"/>
            </w:pPr>
            <w:r>
              <w:t>Pedagogy Standard</w:t>
            </w:r>
          </w:p>
        </w:tc>
        <w:tc>
          <w:tcPr>
            <w:tcW w:w="6327" w:type="dxa"/>
          </w:tcPr>
          <w:p w14:paraId="00C92740" w14:textId="77777777" w:rsidR="00826B3E" w:rsidRPr="00D57F44" w:rsidRDefault="00826B3E" w:rsidP="00F04418">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3FF38443" w14:textId="77777777" w:rsidR="00826B3E" w:rsidRDefault="00826B3E" w:rsidP="00F04418"/>
        </w:tc>
      </w:tr>
      <w:tr w:rsidR="00826B3E" w14:paraId="57BCFCD4" w14:textId="77777777" w:rsidTr="00F04418">
        <w:tc>
          <w:tcPr>
            <w:tcW w:w="2689" w:type="dxa"/>
          </w:tcPr>
          <w:p w14:paraId="5308982A" w14:textId="77777777" w:rsidR="00826B3E" w:rsidRDefault="00826B3E" w:rsidP="00F04418">
            <w:pPr>
              <w:pStyle w:val="Heading3"/>
              <w:jc w:val="center"/>
              <w:outlineLvl w:val="2"/>
            </w:pPr>
            <w:r>
              <w:t>What did you do and why?</w:t>
            </w:r>
          </w:p>
          <w:p w14:paraId="0BC26BC9" w14:textId="77777777" w:rsidR="00826B3E" w:rsidRDefault="00826B3E" w:rsidP="00F04418">
            <w:pPr>
              <w:jc w:val="center"/>
            </w:pPr>
          </w:p>
        </w:tc>
        <w:tc>
          <w:tcPr>
            <w:tcW w:w="6327" w:type="dxa"/>
          </w:tcPr>
          <w:p w14:paraId="3CADC068" w14:textId="77777777" w:rsidR="00826B3E" w:rsidRDefault="00826B3E" w:rsidP="00F04418">
            <w:pPr>
              <w:rPr>
                <w:sz w:val="24"/>
                <w:szCs w:val="24"/>
              </w:rPr>
            </w:pPr>
            <w:r>
              <w:rPr>
                <w:sz w:val="24"/>
                <w:szCs w:val="24"/>
              </w:rPr>
              <w:t xml:space="preserve">The main cross curricular theme that I experienced during my PTE 1 was using their topic of the term to plan lessons. For example, as previously stated in real life authentic context, I used the topic to structure a maths lesson. In addition to this, I planned a science investigation based on the topic where the children had to predict which material would float or sink in order to build a boat. Before this lesson was conducted, I planned the lesson using a forest school lesson that the children had been taught in the previous week. During the forest school lesson that I taught, the children had to find objects and use their Higher Order Thinking Skills to describe the object they chose. These objects were leaves and sticks which were all different shapes and sizes. I linked the Science lessons to the forest school lesson because the children were familiar with describing the materials and discussing the differences and similarities. Whilst teaching the Science lesson I noticed that the children were using what they learned from the forest school lesson to analyse the materials used for the investigation. For example, a lot of the children said the pencil was wood, which was like the sticks and twigs they found in the forest. Furthermore, I wanted to use these as a cross-curricular theme as both lessons were practical so they could use the same skills in the investigation as they did in the forest school. One of the main skills was the ability to describe the object using their sensory functions, which I think is important because it gives the children an opportunity to express themselves differently to how they would if it was just pen and paper. </w:t>
            </w:r>
          </w:p>
          <w:p w14:paraId="70BB2D12" w14:textId="77777777" w:rsidR="00826B3E" w:rsidRDefault="00826B3E" w:rsidP="00F04418"/>
        </w:tc>
      </w:tr>
      <w:tr w:rsidR="00826B3E" w14:paraId="5DA55985" w14:textId="77777777" w:rsidTr="00F04418">
        <w:tc>
          <w:tcPr>
            <w:tcW w:w="2689" w:type="dxa"/>
          </w:tcPr>
          <w:p w14:paraId="083C436F" w14:textId="77777777" w:rsidR="00826B3E" w:rsidRDefault="00826B3E" w:rsidP="00F04418">
            <w:pPr>
              <w:pStyle w:val="Heading3"/>
              <w:jc w:val="center"/>
              <w:outlineLvl w:val="2"/>
            </w:pPr>
            <w:r>
              <w:t>What have you learned?</w:t>
            </w:r>
          </w:p>
          <w:p w14:paraId="0AF3BAD1" w14:textId="77777777" w:rsidR="00826B3E" w:rsidRDefault="00826B3E" w:rsidP="00F04418">
            <w:pPr>
              <w:jc w:val="center"/>
            </w:pPr>
          </w:p>
        </w:tc>
        <w:tc>
          <w:tcPr>
            <w:tcW w:w="6327" w:type="dxa"/>
          </w:tcPr>
          <w:p w14:paraId="43528DF6" w14:textId="77777777" w:rsidR="00826B3E" w:rsidRDefault="00826B3E" w:rsidP="00F04418">
            <w:r>
              <w:t>From this experience I have learned that children thrive off being taught through the use of different strategies. As we know, no child is the same and they all have different abilities, hence the use of grouping and adapting our teaching strategies to suit the children. I have learned that children will make links to other subject areas and experiences that they have encountered to assist their learning.</w:t>
            </w:r>
          </w:p>
          <w:p w14:paraId="511CEC62" w14:textId="77777777" w:rsidR="00826B3E" w:rsidRPr="00D14E2B" w:rsidRDefault="00826B3E" w:rsidP="00F04418"/>
        </w:tc>
      </w:tr>
      <w:tr w:rsidR="00826B3E" w14:paraId="0233EDD9" w14:textId="77777777" w:rsidTr="00F04418">
        <w:tc>
          <w:tcPr>
            <w:tcW w:w="2689" w:type="dxa"/>
          </w:tcPr>
          <w:p w14:paraId="2B682F11" w14:textId="77777777" w:rsidR="00826B3E" w:rsidRPr="007C32AA" w:rsidRDefault="00826B3E" w:rsidP="00F04418">
            <w:pPr>
              <w:pStyle w:val="Heading3"/>
              <w:jc w:val="center"/>
              <w:outlineLvl w:val="2"/>
            </w:pPr>
            <w:r>
              <w:t>What next?</w:t>
            </w:r>
          </w:p>
          <w:p w14:paraId="56E25A4B" w14:textId="77777777" w:rsidR="00826B3E" w:rsidRDefault="00826B3E" w:rsidP="00F04418">
            <w:pPr>
              <w:jc w:val="center"/>
            </w:pPr>
          </w:p>
        </w:tc>
        <w:tc>
          <w:tcPr>
            <w:tcW w:w="6327" w:type="dxa"/>
          </w:tcPr>
          <w:p w14:paraId="44AED526" w14:textId="77777777" w:rsidR="00826B3E" w:rsidRDefault="00826B3E" w:rsidP="00F04418">
            <w:r>
              <w:t>I will continue to plan lessons which are cross curricular as not only do they make links that children can relate to which assists their learning, but it also gives the progression of learning some direction. For example, what they learned in their forest school lesson helped them during their investigation. The one progression I will make from this experience is including more cross curricular themes such as using more Welsh in their lessons. Although I recognised that I need to do this, I think that I included Mathematics and numeracy into their lessons well because once they had completed the investigation, I got the children to count how many materials floated and how many sank. As well as this, I included an aspect of literacy into the Science lesson as they did a write up what they researched and what they found out.</w:t>
            </w:r>
          </w:p>
        </w:tc>
      </w:tr>
    </w:tbl>
    <w:p w14:paraId="1D38458C" w14:textId="77777777" w:rsidR="00826B3E" w:rsidRDefault="00826B3E" w:rsidP="00826B3E">
      <w:pPr>
        <w:spacing w:line="360" w:lineRule="auto"/>
        <w:rPr>
          <w:b/>
          <w:bCs/>
          <w:sz w:val="28"/>
          <w:szCs w:val="28"/>
        </w:rPr>
      </w:pPr>
    </w:p>
    <w:p w14:paraId="12D0C9AE" w14:textId="77777777" w:rsidR="00826B3E" w:rsidRDefault="00826B3E" w:rsidP="00826B3E">
      <w:pPr>
        <w:spacing w:line="360" w:lineRule="auto"/>
        <w:rPr>
          <w:b/>
          <w:bCs/>
          <w:sz w:val="28"/>
          <w:szCs w:val="28"/>
        </w:rPr>
      </w:pPr>
    </w:p>
    <w:p w14:paraId="6ED5DD11" w14:textId="77777777" w:rsidR="00826B3E" w:rsidRDefault="00826B3E" w:rsidP="00826B3E">
      <w:pPr>
        <w:spacing w:line="360" w:lineRule="auto"/>
        <w:rPr>
          <w:b/>
          <w:bCs/>
          <w:sz w:val="28"/>
          <w:szCs w:val="28"/>
        </w:rPr>
      </w:pPr>
    </w:p>
    <w:p w14:paraId="1D8ED29C" w14:textId="77777777" w:rsidR="00826B3E" w:rsidRDefault="00826B3E" w:rsidP="00826B3E">
      <w:pPr>
        <w:spacing w:line="360" w:lineRule="auto"/>
        <w:rPr>
          <w:b/>
          <w:bCs/>
          <w:sz w:val="28"/>
          <w:szCs w:val="28"/>
        </w:rPr>
      </w:pPr>
    </w:p>
    <w:p w14:paraId="0B3260D9" w14:textId="77777777" w:rsidR="00826B3E" w:rsidRDefault="00826B3E" w:rsidP="00826B3E">
      <w:pPr>
        <w:spacing w:line="360" w:lineRule="auto"/>
        <w:rPr>
          <w:b/>
          <w:bCs/>
          <w:sz w:val="28"/>
          <w:szCs w:val="28"/>
        </w:rPr>
      </w:pPr>
    </w:p>
    <w:p w14:paraId="26BA24D3" w14:textId="77777777" w:rsidR="00826B3E" w:rsidRDefault="00826B3E" w:rsidP="00826B3E">
      <w:pPr>
        <w:spacing w:line="360" w:lineRule="auto"/>
        <w:rPr>
          <w:b/>
          <w:bCs/>
          <w:sz w:val="28"/>
          <w:szCs w:val="28"/>
        </w:rPr>
      </w:pPr>
    </w:p>
    <w:p w14:paraId="4E236AC6" w14:textId="77777777" w:rsidR="00826B3E" w:rsidRDefault="00826B3E" w:rsidP="00826B3E">
      <w:pPr>
        <w:spacing w:line="360" w:lineRule="auto"/>
        <w:rPr>
          <w:b/>
          <w:bCs/>
          <w:sz w:val="28"/>
          <w:szCs w:val="28"/>
        </w:rPr>
      </w:pPr>
    </w:p>
    <w:p w14:paraId="3FC409A4" w14:textId="77777777" w:rsidR="00826B3E" w:rsidRDefault="00826B3E" w:rsidP="00826B3E">
      <w:pPr>
        <w:spacing w:line="360" w:lineRule="auto"/>
        <w:rPr>
          <w:b/>
          <w:bCs/>
          <w:sz w:val="28"/>
          <w:szCs w:val="28"/>
        </w:rPr>
      </w:pPr>
    </w:p>
    <w:p w14:paraId="5EB2BF01" w14:textId="77777777" w:rsidR="00826B3E" w:rsidRDefault="00826B3E" w:rsidP="00826B3E">
      <w:pPr>
        <w:spacing w:line="360" w:lineRule="auto"/>
        <w:rPr>
          <w:b/>
          <w:bCs/>
          <w:sz w:val="28"/>
          <w:szCs w:val="28"/>
        </w:rPr>
      </w:pPr>
    </w:p>
    <w:p w14:paraId="0A566ED2" w14:textId="77777777" w:rsidR="00826B3E" w:rsidRDefault="00826B3E" w:rsidP="00826B3E">
      <w:pPr>
        <w:spacing w:line="360" w:lineRule="auto"/>
        <w:rPr>
          <w:b/>
          <w:bCs/>
          <w:sz w:val="28"/>
          <w:szCs w:val="28"/>
        </w:rPr>
      </w:pPr>
    </w:p>
    <w:p w14:paraId="30E61F85" w14:textId="77777777" w:rsidR="00826B3E" w:rsidRDefault="00826B3E" w:rsidP="00826B3E">
      <w:pPr>
        <w:spacing w:line="360" w:lineRule="auto"/>
        <w:rPr>
          <w:b/>
          <w:bCs/>
          <w:sz w:val="28"/>
          <w:szCs w:val="28"/>
        </w:rPr>
      </w:pPr>
    </w:p>
    <w:p w14:paraId="0753F1C2" w14:textId="77777777" w:rsidR="00826B3E" w:rsidRDefault="00826B3E" w:rsidP="00826B3E">
      <w:pPr>
        <w:spacing w:line="360" w:lineRule="auto"/>
        <w:rPr>
          <w:b/>
          <w:bCs/>
          <w:sz w:val="28"/>
          <w:szCs w:val="28"/>
        </w:rPr>
      </w:pPr>
    </w:p>
    <w:p w14:paraId="3A6E5B0C" w14:textId="77777777" w:rsidR="00826B3E" w:rsidRDefault="00826B3E" w:rsidP="00826B3E">
      <w:pPr>
        <w:spacing w:line="360" w:lineRule="auto"/>
        <w:rPr>
          <w:b/>
          <w:bCs/>
          <w:sz w:val="28"/>
          <w:szCs w:val="28"/>
        </w:rPr>
      </w:pPr>
    </w:p>
    <w:p w14:paraId="36A79E59" w14:textId="77777777" w:rsidR="00826B3E" w:rsidRDefault="00826B3E" w:rsidP="00826B3E">
      <w:pPr>
        <w:spacing w:line="360" w:lineRule="auto"/>
        <w:rPr>
          <w:b/>
          <w:bCs/>
          <w:sz w:val="28"/>
          <w:szCs w:val="28"/>
        </w:rPr>
      </w:pPr>
    </w:p>
    <w:p w14:paraId="57727EA4" w14:textId="77777777" w:rsidR="00826B3E" w:rsidRDefault="00826B3E" w:rsidP="00826B3E">
      <w:pPr>
        <w:spacing w:line="360" w:lineRule="auto"/>
        <w:rPr>
          <w:b/>
          <w:bCs/>
          <w:sz w:val="28"/>
          <w:szCs w:val="28"/>
        </w:rPr>
      </w:pPr>
    </w:p>
    <w:p w14:paraId="5E715043" w14:textId="77777777" w:rsidR="00826B3E" w:rsidRDefault="00826B3E" w:rsidP="00826B3E">
      <w:pPr>
        <w:spacing w:line="360" w:lineRule="auto"/>
        <w:rPr>
          <w:b/>
          <w:bCs/>
          <w:sz w:val="28"/>
          <w:szCs w:val="28"/>
        </w:rPr>
      </w:pPr>
    </w:p>
    <w:p w14:paraId="3C210FC1" w14:textId="77777777" w:rsidR="00826B3E" w:rsidRDefault="00826B3E" w:rsidP="00826B3E">
      <w:pPr>
        <w:spacing w:line="360" w:lineRule="auto"/>
        <w:rPr>
          <w:b/>
          <w:bCs/>
          <w:sz w:val="28"/>
          <w:szCs w:val="28"/>
        </w:rPr>
      </w:pPr>
    </w:p>
    <w:p w14:paraId="5B662ACA" w14:textId="77777777" w:rsidR="00826B3E" w:rsidRDefault="00826B3E" w:rsidP="00826B3E">
      <w:pPr>
        <w:spacing w:line="360" w:lineRule="auto"/>
        <w:rPr>
          <w:b/>
          <w:bCs/>
          <w:sz w:val="28"/>
          <w:szCs w:val="28"/>
        </w:rPr>
      </w:pPr>
    </w:p>
    <w:p w14:paraId="798472C0" w14:textId="77777777" w:rsidR="00826B3E" w:rsidRDefault="00826B3E" w:rsidP="00826B3E">
      <w:pPr>
        <w:spacing w:line="360" w:lineRule="auto"/>
        <w:rPr>
          <w:b/>
          <w:bCs/>
          <w:sz w:val="28"/>
          <w:szCs w:val="28"/>
        </w:rPr>
      </w:pPr>
    </w:p>
    <w:p w14:paraId="69333B1D" w14:textId="77777777" w:rsidR="00826B3E" w:rsidRDefault="00826B3E" w:rsidP="00826B3E">
      <w:pPr>
        <w:spacing w:line="360" w:lineRule="auto"/>
        <w:rPr>
          <w:b/>
          <w:bCs/>
          <w:sz w:val="28"/>
          <w:szCs w:val="28"/>
        </w:rPr>
      </w:pPr>
    </w:p>
    <w:p w14:paraId="6D6FC20A" w14:textId="77777777" w:rsidR="00826B3E" w:rsidRDefault="00826B3E" w:rsidP="00826B3E">
      <w:pPr>
        <w:spacing w:line="360" w:lineRule="auto"/>
        <w:rPr>
          <w:b/>
          <w:bCs/>
          <w:sz w:val="28"/>
          <w:szCs w:val="28"/>
        </w:rPr>
      </w:pPr>
    </w:p>
    <w:p w14:paraId="7373F928" w14:textId="77777777" w:rsidR="00826B3E" w:rsidRDefault="00826B3E" w:rsidP="00826B3E">
      <w:pPr>
        <w:spacing w:line="360" w:lineRule="auto"/>
        <w:rPr>
          <w:b/>
          <w:bCs/>
          <w:sz w:val="28"/>
          <w:szCs w:val="28"/>
        </w:rPr>
      </w:pPr>
      <w:r>
        <w:rPr>
          <w:b/>
          <w:bCs/>
          <w:sz w:val="28"/>
          <w:szCs w:val="28"/>
        </w:rPr>
        <w:t>Part 2</w:t>
      </w:r>
    </w:p>
    <w:p w14:paraId="432A79BA" w14:textId="77777777" w:rsidR="00826B3E" w:rsidRDefault="00826B3E" w:rsidP="00826B3E">
      <w:pPr>
        <w:spacing w:line="360" w:lineRule="auto"/>
        <w:rPr>
          <w:b/>
          <w:bCs/>
          <w:sz w:val="28"/>
          <w:szCs w:val="28"/>
        </w:rPr>
      </w:pPr>
    </w:p>
    <w:p w14:paraId="4F8CBAB2" w14:textId="77777777" w:rsidR="00826B3E" w:rsidRPr="00D51C96" w:rsidRDefault="00826B3E" w:rsidP="00826B3E">
      <w:pPr>
        <w:spacing w:line="360" w:lineRule="auto"/>
        <w:rPr>
          <w:b/>
          <w:bCs/>
          <w:sz w:val="28"/>
          <w:szCs w:val="28"/>
        </w:rPr>
      </w:pPr>
      <w:r w:rsidRPr="00D51C96">
        <w:rPr>
          <w:b/>
          <w:bCs/>
          <w:sz w:val="28"/>
          <w:szCs w:val="28"/>
        </w:rPr>
        <w:t xml:space="preserve">Introduction </w:t>
      </w:r>
    </w:p>
    <w:p w14:paraId="64E32E9B" w14:textId="77777777" w:rsidR="00826B3E" w:rsidRPr="00E814DA" w:rsidRDefault="00826B3E" w:rsidP="00826B3E">
      <w:pPr>
        <w:spacing w:line="360" w:lineRule="auto"/>
        <w:rPr>
          <w:b/>
          <w:bCs/>
        </w:rPr>
      </w:pPr>
      <w:r w:rsidRPr="00E814DA">
        <w:t>Within this assignment the researcher will be discussing the chosen experience, which is Assessment for Learning (AfL). The researcher of this piece of work aims to unpick AfL and how it can be used to improve their own teaching practices. Firstly, the researcher will provide a review of literature about AfL, why teachers use it and the possible benefits and limitations. The researcher will then synthesize this information and use their previous experiences to develop their future teaching practices. AfL is a pedagogical approach which involves teachers using a form of assessment to gain an understanding of the students’ knowledge and progression of learning (Black &amp; Wiliam, 2018). The researcher chose AfL as the focus point of this essay because it demonstrates many of the Qualified Teacher Status standards (QTS). For instance, AfL is a form of assessment, it can be linked to the four purposes, creating confident individuals for example, and managing the learning environment. These are a small number of examples of the standards that the AfL strategies follow, each of which are demonstrated through the use of no hands up, which is the AfL strategy that the researcher discussed within part 1 of the assignment. Moreover, the researcher identified that AfL was an aspect of their teaching practices that could be developed further to benefit student learning. This was identified throughout PTE1 and part 1 of this assignment. It was evident that the researcher used no hands up as an AfL strategy during their teaching practices, however, to ensure there was no unconscious bias when ‘cold calling’ which is where the teacher will choose someone to answer, the researcher decided that the use of lollipop sticks would be advantageous to this form of AfL.</w:t>
      </w:r>
    </w:p>
    <w:p w14:paraId="7A7FD861" w14:textId="77777777" w:rsidR="00826B3E" w:rsidRPr="00D51C96" w:rsidRDefault="00826B3E" w:rsidP="00826B3E">
      <w:pPr>
        <w:spacing w:line="360" w:lineRule="auto"/>
        <w:rPr>
          <w:b/>
          <w:bCs/>
          <w:sz w:val="28"/>
          <w:szCs w:val="28"/>
        </w:rPr>
      </w:pPr>
    </w:p>
    <w:p w14:paraId="159D0CE8" w14:textId="77777777" w:rsidR="00826B3E" w:rsidRPr="00D51C96" w:rsidRDefault="00826B3E" w:rsidP="00826B3E">
      <w:pPr>
        <w:spacing w:line="360" w:lineRule="auto"/>
        <w:rPr>
          <w:b/>
          <w:bCs/>
          <w:sz w:val="28"/>
          <w:szCs w:val="28"/>
        </w:rPr>
      </w:pPr>
      <w:r w:rsidRPr="00D51C96">
        <w:rPr>
          <w:b/>
          <w:bCs/>
          <w:sz w:val="28"/>
          <w:szCs w:val="28"/>
        </w:rPr>
        <w:t xml:space="preserve">Literature review </w:t>
      </w:r>
    </w:p>
    <w:p w14:paraId="4504E9F0" w14:textId="77777777" w:rsidR="00826B3E" w:rsidRPr="00E814DA" w:rsidRDefault="00826B3E" w:rsidP="00826B3E">
      <w:pPr>
        <w:spacing w:line="360" w:lineRule="auto"/>
      </w:pPr>
      <w:r w:rsidRPr="00E814DA">
        <w:t>Using the four experiences from part 1, the researcher decided to focus on AfL an as area for development. During the period of researching literature, the researcher identified AfL as being one of the main areas of exploration in order to develop their teaching practices. According to Deneed et al. (2019, pp. 40.) AfL is described as the</w:t>
      </w:r>
      <w:r>
        <w:t xml:space="preserve"> </w:t>
      </w:r>
      <w:r w:rsidRPr="007B7616">
        <w:t>“information that teachers and their students can use as feedback in assessing themselves and one another in modifying the teaching and learning activities in which they are engaged”.</w:t>
      </w:r>
      <w:r>
        <w:t xml:space="preserve"> </w:t>
      </w:r>
      <w:r w:rsidRPr="00E814DA">
        <w:t>This suggests that AfL strategies are designed to monitor the engagement of the children during the activities set by the teacher. Supporting this, AfL also encompasses the ability of improving goal attainment and promoting the pupils’ learning (</w:t>
      </w:r>
      <w:bookmarkStart w:id="0" w:name="_Hlk91670777"/>
      <w:r w:rsidRPr="00E814DA">
        <w:t>Tolgfors, 2018</w:t>
      </w:r>
      <w:bookmarkEnd w:id="0"/>
      <w:r w:rsidRPr="00E814DA">
        <w:t xml:space="preserve">), which is important because it allows children the opportunity to achieve their targets. One intervention that focuses on goal attainment within education is Self-Determined Learning Model of Instruction (SDLMI), leading to more engagement and achieved outcomes (Shogren et al. 2019). There is growing recognition that this model has increased student learning by engaging them through setting targets for the children to achieve (Shogren et al. 2020). Moreover, target setting is perceived to be one of the most critical components of student achievement (Huei-Ju, 2018), and therefore works well alongside AfL strategies because these strategies are designed to maximise student learning and achievement (Chng &amp; Lund, 2018). </w:t>
      </w:r>
    </w:p>
    <w:p w14:paraId="688F64DE" w14:textId="77777777" w:rsidR="00826B3E" w:rsidRPr="00E814DA" w:rsidRDefault="00826B3E" w:rsidP="00826B3E">
      <w:pPr>
        <w:spacing w:line="360" w:lineRule="auto"/>
      </w:pPr>
    </w:p>
    <w:p w14:paraId="601D79D4" w14:textId="77777777" w:rsidR="00826B3E" w:rsidRPr="00E814DA" w:rsidRDefault="00826B3E" w:rsidP="00826B3E">
      <w:pPr>
        <w:spacing w:line="360" w:lineRule="auto"/>
      </w:pPr>
      <w:r w:rsidRPr="00E814DA">
        <w:t xml:space="preserve">Within education there are two common types of assessment: formative assessment and summative assessment (Dolin, 2018; Earke, 2018). Although forms of summative assessments are used in primary schools, the focus for this essay is formative assessments. Formative assessment is recognised to improve student learning by providing feedback during the learning process (Guo &amp; Yan, 2019). In today’s educational system, many teachers use AfL strategies, everyday within their teaching practices. Supporting this, Newton (2007) and Archer (2017) agree that AfL within schools are used for improvements, motivation, student monitoring, encourages self-direct learning, and to also support the learning of the children. These AfL strategies include examples like the researcher discusses in part 1. No hands up is a formative assessment that can be used across the school year to develop the children’s learning. </w:t>
      </w:r>
    </w:p>
    <w:p w14:paraId="65D7AA68" w14:textId="77777777" w:rsidR="00826B3E" w:rsidRPr="00E814DA" w:rsidRDefault="00826B3E" w:rsidP="00826B3E">
      <w:pPr>
        <w:spacing w:line="360" w:lineRule="auto"/>
      </w:pPr>
      <w:r w:rsidRPr="00E814DA">
        <w:t xml:space="preserve">However, according to Macken et al. (2020) Newly Qualified Teachers (NQTs) often find it challenging to transfer the skills </w:t>
      </w:r>
      <w:r w:rsidRPr="007B7616">
        <w:t>they learn</w:t>
      </w:r>
      <w:r>
        <w:t>ed</w:t>
      </w:r>
      <w:r w:rsidRPr="007B7616">
        <w:t xml:space="preserve"> during</w:t>
      </w:r>
      <w:r w:rsidRPr="00E814DA">
        <w:t xml:space="preserve"> their Initial Teacher Education (ITE), therefore, these strategies of AfL may not be carried out in the most effective form. On the contrary, Larssen et al. (2018) discuss that ITE provides student teachers and NQTs with the knowledge, skills and in-school experience to be able to move forward and develop their learners through their educational journey. Furthermore, Baird et al. (2017) state that theories of learning and assessment benefit from generating off one other, meaning that teaching strategies such as differentiation, which is one of the Professional Teaching Standards, and AfL, work together to progress the learning of children. As well as this, Pillay and Pillay (2019) supports Baird et al. (2017) by stating that</w:t>
      </w:r>
      <w:r>
        <w:t xml:space="preserve"> </w:t>
      </w:r>
      <w:r w:rsidRPr="007B7616">
        <w:t>“an invisible link exists between learning and assessment”</w:t>
      </w:r>
      <w:r>
        <w:t xml:space="preserve"> </w:t>
      </w:r>
      <w:r w:rsidRPr="00E814DA">
        <w:t xml:space="preserve">(pp. 13654), and thus stating that the theories used to achieve the learning outcomes and objectives will be a form of assessment as to whether or not the children have attained the required information. </w:t>
      </w:r>
    </w:p>
    <w:p w14:paraId="1DB1434E" w14:textId="77777777" w:rsidR="00826B3E" w:rsidRPr="00E814DA" w:rsidRDefault="00826B3E" w:rsidP="00826B3E">
      <w:pPr>
        <w:spacing w:line="360" w:lineRule="auto"/>
        <w:rPr>
          <w:b/>
          <w:bCs/>
        </w:rPr>
      </w:pPr>
    </w:p>
    <w:p w14:paraId="346FD3EA" w14:textId="77777777" w:rsidR="00826B3E" w:rsidRPr="00E814DA" w:rsidRDefault="00826B3E" w:rsidP="00826B3E">
      <w:pPr>
        <w:spacing w:line="360" w:lineRule="auto"/>
      </w:pPr>
      <w:r w:rsidRPr="00E814DA">
        <w:t xml:space="preserve">Furthermore, many researchers have discussed the possible benefits of AfL and how it is beneficial to student learning (Bhardwaj, 2016; Leirhaug &amp; Annerstedt, 2016; Andrews et al. 2018; Larssen et al. 2018). 6 Brown (2019) critically evaluates AfL, identifying many benefits but also casts doubts on the effectiveness it has on student learning. After analysing this journal article, the researcher can clearly point out that there are many benefits of AfL discussed, one of which being that AfL can co-construct new knowledge. Additionally, the authors of this journal article also include that AfL strategies can also form interactions between the teacher and the learners which forms positive relationships. Creating positive relationships is one of the four purposes of the New Curriculum for Wales. Within a journal article written by Power et al (2020), it appears that the Welsh government took recommendations from Graham Donaldson and his book ‘Successful Features’ to create the reformed curriculum which is driven by four core purposes that will create: </w:t>
      </w:r>
    </w:p>
    <w:p w14:paraId="412183E9" w14:textId="77777777" w:rsidR="00826B3E" w:rsidRPr="00E814DA" w:rsidRDefault="00826B3E" w:rsidP="00826B3E">
      <w:pPr>
        <w:pStyle w:val="ListParagraph"/>
        <w:numPr>
          <w:ilvl w:val="0"/>
          <w:numId w:val="1"/>
        </w:numPr>
        <w:spacing w:line="360" w:lineRule="auto"/>
      </w:pPr>
      <w:r w:rsidRPr="00E814DA">
        <w:t>ambitious, capable learners</w:t>
      </w:r>
    </w:p>
    <w:p w14:paraId="3DCE5B8F" w14:textId="77777777" w:rsidR="00826B3E" w:rsidRPr="00E814DA" w:rsidRDefault="00826B3E" w:rsidP="00826B3E">
      <w:pPr>
        <w:pStyle w:val="ListParagraph"/>
        <w:numPr>
          <w:ilvl w:val="0"/>
          <w:numId w:val="1"/>
        </w:numPr>
        <w:spacing w:line="360" w:lineRule="auto"/>
      </w:pPr>
      <w:r w:rsidRPr="00E814DA">
        <w:t xml:space="preserve">enterprising, creative contributors </w:t>
      </w:r>
    </w:p>
    <w:p w14:paraId="309B5597" w14:textId="77777777" w:rsidR="00826B3E" w:rsidRPr="00E814DA" w:rsidRDefault="00826B3E" w:rsidP="00826B3E">
      <w:pPr>
        <w:pStyle w:val="ListParagraph"/>
        <w:numPr>
          <w:ilvl w:val="0"/>
          <w:numId w:val="1"/>
        </w:numPr>
        <w:spacing w:line="360" w:lineRule="auto"/>
      </w:pPr>
      <w:r w:rsidRPr="00E814DA">
        <w:t>ethical, informed citizens</w:t>
      </w:r>
    </w:p>
    <w:p w14:paraId="522F5720" w14:textId="77777777" w:rsidR="00826B3E" w:rsidRPr="00E814DA" w:rsidRDefault="00826B3E" w:rsidP="00826B3E">
      <w:pPr>
        <w:pStyle w:val="ListParagraph"/>
        <w:numPr>
          <w:ilvl w:val="0"/>
          <w:numId w:val="1"/>
        </w:numPr>
        <w:spacing w:line="360" w:lineRule="auto"/>
      </w:pPr>
      <w:r w:rsidRPr="00E814DA">
        <w:t xml:space="preserve">health, confident individuals </w:t>
      </w:r>
    </w:p>
    <w:p w14:paraId="7D2E3539" w14:textId="77777777" w:rsidR="00826B3E" w:rsidRPr="00E814DA" w:rsidRDefault="00826B3E" w:rsidP="00826B3E">
      <w:pPr>
        <w:spacing w:line="360" w:lineRule="auto"/>
      </w:pPr>
      <w:r w:rsidRPr="00E814DA">
        <w:t xml:space="preserve">It is important to recognise that the AfL incorporates the four purposes when using these strategies because this demonstrates that the Professional Teaching Standards, as well as the main purpose of the curriculum is being fulfilled.  </w:t>
      </w:r>
    </w:p>
    <w:p w14:paraId="70BCBA4C" w14:textId="77777777" w:rsidR="00826B3E" w:rsidRPr="00E814DA" w:rsidRDefault="00826B3E" w:rsidP="00826B3E">
      <w:pPr>
        <w:spacing w:line="360" w:lineRule="auto"/>
      </w:pPr>
      <w:r w:rsidRPr="00E814DA">
        <w:t xml:space="preserve">Moving on, Leirhaug &amp; Annerstedt (2016) state that AfL can have a negative affect unless it is carried out in a way that supports children and provides feedback. Supporting this, </w:t>
      </w:r>
      <w:bookmarkStart w:id="1" w:name="_Hlk91671075"/>
      <w:r w:rsidRPr="00E814DA">
        <w:t>Shaddel et al. (2018</w:t>
      </w:r>
      <w:bookmarkEnd w:id="1"/>
      <w:r w:rsidRPr="00E814DA">
        <w:t xml:space="preserve">) state that providing feedback which focuses on positive aspects, is more likely to benefit the learners and their progression. According to </w:t>
      </w:r>
      <w:bookmarkStart w:id="2" w:name="_Hlk91671089"/>
      <w:r w:rsidRPr="00E814DA">
        <w:t>Andrews et al. (2018</w:t>
      </w:r>
      <w:bookmarkEnd w:id="2"/>
      <w:r w:rsidRPr="00E814DA">
        <w:t xml:space="preserve">), feedback and AfL work in collaboration for the development of the children, as using an AfL strategy and then providing feedback allows children to focus their attention on improvements and what they did well. AfL benefits the progression of children’s learning because using feedback and AfL strategies gives the teacher an insight of the children’s knowledge, therefore they are able to provide suitable feedback for development (Zhang &amp; Zheng (2018). </w:t>
      </w:r>
    </w:p>
    <w:p w14:paraId="1343F9B6" w14:textId="77777777" w:rsidR="00826B3E" w:rsidRPr="007B7616" w:rsidRDefault="00826B3E" w:rsidP="00826B3E">
      <w:pPr>
        <w:spacing w:line="360" w:lineRule="auto"/>
      </w:pPr>
      <w:r w:rsidRPr="00E814DA">
        <w:t xml:space="preserve">As previously mentioned, this assignment focuses on formative assessment as opposed to summative. Formative assessment plays a fundamental role in understanding the holistic development of children (Green, 2019). This is something that a teacher encounters daily as they are with the children every day in school. Furthermore, it is important to understand the development of the child to determine which is the best form of AfL for their age group and ability, </w:t>
      </w:r>
      <w:r w:rsidRPr="007B7616">
        <w:t xml:space="preserve">which will consequently improve their learning (Suratno et al. 2019). </w:t>
      </w:r>
    </w:p>
    <w:p w14:paraId="31CF7796" w14:textId="77777777" w:rsidR="00826B3E" w:rsidRPr="00E814DA" w:rsidRDefault="00826B3E" w:rsidP="00826B3E">
      <w:pPr>
        <w:spacing w:line="360" w:lineRule="auto"/>
      </w:pPr>
      <w:r w:rsidRPr="007B7616">
        <w:t>Additionally, “education not only gives us a platform to succeed, but also the knowledge of social conduct, strength, character and respect” (</w:t>
      </w:r>
      <w:bookmarkStart w:id="3" w:name="_Hlk91671106"/>
      <w:r w:rsidRPr="007B7616">
        <w:t>Bhardwaj, 2016</w:t>
      </w:r>
      <w:bookmarkEnd w:id="3"/>
      <w:r w:rsidRPr="007B7616">
        <w:t>, pp. 24). This correlates with the four purposes of the New Curriculum for Wales as</w:t>
      </w:r>
      <w:r w:rsidRPr="00E814DA">
        <w:t xml:space="preserve"> it implies that education is not just within the school environment, it is beyond the school grounds, in real life contexts. This relates to the assignment because without AfL, teachers wouldn’t recognise where children need development. No hands up is a formative assessment used for the teacher to gain an understanding of the children’s’ knowledge, which regularly gauges the level of understanding of the children rather than a traditional test-style assessment (Eastman, 2019). What’s more, one of the most beneficial aspects of formative assessment is that consistently assessing the children will allow the teacher to identify what is working, where they need to improve, and are able to do this across the school year (Black </w:t>
      </w:r>
      <w:r>
        <w:t>&amp;</w:t>
      </w:r>
      <w:r w:rsidRPr="00E814DA">
        <w:t xml:space="preserve"> Wiliam, 2018). </w:t>
      </w:r>
    </w:p>
    <w:p w14:paraId="7F2B7F5E" w14:textId="77777777" w:rsidR="00826B3E" w:rsidRPr="00E814DA" w:rsidRDefault="00826B3E" w:rsidP="00826B3E">
      <w:pPr>
        <w:spacing w:line="360" w:lineRule="auto"/>
      </w:pPr>
      <w:r w:rsidRPr="00E814DA">
        <w:t xml:space="preserve">In addition to this, with the current climate, many researchers discuss the impact that Covid-19 has had on education (Lake &amp; Olson, 2020; Pietro et al. 2020; Purti et al. 2020; Engzell et al. 2021). Synthesising the information the researcher gathered from these pieces of literature, it is evident that Covid-19 has had detrimental effects to the education of children during the course of the pandemic. One piece of literature in particular discusses how we as practitioners can assess children’s learning and development now that Covid-19 has had this effect on education. Lake and Olson (2020), discuss that teachers have faced many unprepared challenges over the last couple of years, one being assessment and another being meeting the needs of individuals. Looking into this with more depth, in order to meet individual needs the teacher needs to understand how to gather information on the child. AfL is a beneficial form of gathering information on the child’s development, teachers need to use formative assessment to consistently measure the children, now more than ever, to keep a measurement of their development in their learning (Grewenig et al. 2021). </w:t>
      </w:r>
    </w:p>
    <w:p w14:paraId="42C23D19" w14:textId="77777777" w:rsidR="00826B3E" w:rsidRPr="00E814DA" w:rsidRDefault="00826B3E" w:rsidP="00826B3E">
      <w:pPr>
        <w:spacing w:line="360" w:lineRule="auto"/>
        <w:rPr>
          <w:b/>
          <w:bCs/>
        </w:rPr>
      </w:pPr>
    </w:p>
    <w:p w14:paraId="30AEBCFA" w14:textId="77777777" w:rsidR="00826B3E" w:rsidRPr="00E814DA" w:rsidRDefault="00826B3E" w:rsidP="00826B3E">
      <w:pPr>
        <w:spacing w:line="360" w:lineRule="auto"/>
      </w:pPr>
      <w:r w:rsidRPr="00E814DA">
        <w:t>On the contrary, as beneficial as AfL is deemed to be, there are also some limitations. In a study conducted by DeLuca et al. (2018), research shows that the implementation of AfL requires support in order to gain the most value from these strategies. Furthermore, the study was based on 12 students in which most had a positive response to the AfL strategies that the teachers use during their lessons. However, this is a small sample size for a study, therefore the research must question the reliability and validity of the study. Moreover, in another study conducted by Masek and Masduki (2017), the authors measured the shyness of children and their progression in learning. The results found that the level of shyness within primary schools is high and that this has great effects on their learning. According to Sayadi (2007) children’s’ skills are majorly improved during active participation within learning, thus signifying the importance of children not being shy and engaging within their learning. With this in mind, not all children have the confidence to speak in front of the teacher and their peers, hence the need for teachers to understand the complexity of child development in order to make the required pedagogical decisions based on the interpretation of the child’s behaviour (Deng et al. 2017). Supporting this, Mjelve et al. (2019) states that as a teacher, they have a role to adapt their teaching approaches to suit every child, suggesting that not one AfL strategy will work for all. Furthermore, children may feel under pressure when the teacher uses AfL strategies such as no hands up, and it has been recognised that children who are shy in social situations like within the classroom, often speak less, get anxious and it negatively affects their well-being (Zhang et al. (2017). Looking at this in more depth, Luttenberger et al. (2018) states that anxiety has a detrimental effect on learners, which is often caused by assessments. As well as this, the authors mention that students experience tension, nervousness, and worry during assessments which consequently affects their learning. Relating this to the four purposes of the New Curriculum for Wales, the Gov website (Hwb, 2020) gives a summary of what the new curriculum will look like and what is expected of schools and teachers, and it states that schools are required to enable learners to develop in a way that adheres to the four purposes.</w:t>
      </w:r>
    </w:p>
    <w:p w14:paraId="3A9494F1" w14:textId="77777777" w:rsidR="00826B3E" w:rsidRPr="00E814DA" w:rsidRDefault="00826B3E" w:rsidP="00826B3E">
      <w:pPr>
        <w:spacing w:line="360" w:lineRule="auto"/>
      </w:pPr>
      <w:r w:rsidRPr="00E814DA">
        <w:t>As previously mentioned, the researcher stated that there could be unconscious bias when ‘cold calling’ the children during the no hands up AfL strategy. According to Dee and Gershenson (2017) teachers can have an unconscious bias towards a student or a group of students, which could lead to the children feeling anxious, changes in their attitudes towards learning, and leads to long-term affects such as decreased progression in their learning. A supporting article written by Fiarman (2016) agrees with Dee and Gershenson (2017), stating that there are gaps within behaviour between the children that are prioritized, and potentially favoured during the selection of the students during the no hands up strategy and those who are rarely chosen.</w:t>
      </w:r>
    </w:p>
    <w:p w14:paraId="7122BE62" w14:textId="77777777" w:rsidR="00826B3E" w:rsidRPr="00E814DA" w:rsidRDefault="00826B3E" w:rsidP="00826B3E">
      <w:pPr>
        <w:spacing w:line="360" w:lineRule="auto"/>
      </w:pPr>
      <w:r w:rsidRPr="00E814DA">
        <w:t xml:space="preserve">However, to overcome the disadvantages of unconscious bias, the researcher stated within part 1 that they would introduce lollipop sticks into their teaching practice, where the teacher would choose a stick at random, giving children equal opportunities. With this in mind, and what has previously been discussed about children not being confident enough to speak in front of their class, the researcher will continue to give the children the opportunity to ‘phone a friend’ if they are stuck or are too shy to answer in front of their peers. </w:t>
      </w:r>
    </w:p>
    <w:p w14:paraId="5CEEB7D3" w14:textId="77777777" w:rsidR="00826B3E" w:rsidRPr="00E814DA" w:rsidRDefault="00826B3E" w:rsidP="00826B3E">
      <w:pPr>
        <w:spacing w:line="360" w:lineRule="auto"/>
      </w:pPr>
      <w:r w:rsidRPr="00E814DA">
        <w:t>Looking at these limitations, it is evident that there are always advantages and disadvantages to a strategy. In the teaching practices it is important to find what is right for your class and work with them as they progress in their learning.</w:t>
      </w:r>
    </w:p>
    <w:p w14:paraId="4D0F0E2A" w14:textId="77777777" w:rsidR="00826B3E" w:rsidRPr="00E814DA" w:rsidRDefault="00826B3E" w:rsidP="00826B3E">
      <w:pPr>
        <w:spacing w:line="360" w:lineRule="auto"/>
      </w:pPr>
    </w:p>
    <w:p w14:paraId="559F4C67" w14:textId="77777777" w:rsidR="00826B3E" w:rsidRPr="00E814DA" w:rsidRDefault="00826B3E" w:rsidP="00826B3E">
      <w:pPr>
        <w:spacing w:line="360" w:lineRule="auto"/>
      </w:pPr>
      <w:r w:rsidRPr="00E814DA">
        <w:t xml:space="preserve">Reflecting on the researcher’s experiences during their PTE 1, it was identified that AfL was an area for development. As practitioners it is important to reflect on our experiences in order to recognise our strengths and weaknesses (Tami, 2020). With this in mind, reflecting allows us to develop new knowledge, strategies, and informs future actions (Nagro and deBettencourt, 2017). The importance of reflection is signified by Lake and Olson (2020) where the authors state that we as teachers must meet all the needs of the students, therefore as previously stated, we must develop our teaching strategies, including AfL to develop the children’s learning. </w:t>
      </w:r>
    </w:p>
    <w:p w14:paraId="5B4301E1" w14:textId="77777777" w:rsidR="00826B3E" w:rsidRPr="00D51C96" w:rsidRDefault="00826B3E" w:rsidP="00826B3E">
      <w:pPr>
        <w:spacing w:line="360" w:lineRule="auto"/>
        <w:rPr>
          <w:b/>
          <w:bCs/>
          <w:sz w:val="24"/>
          <w:szCs w:val="24"/>
          <w:u w:val="single"/>
        </w:rPr>
      </w:pPr>
      <w:bookmarkStart w:id="4" w:name="_Hlk91670680"/>
    </w:p>
    <w:p w14:paraId="34ABF53F" w14:textId="77777777" w:rsidR="00826B3E" w:rsidRPr="00E814DA" w:rsidRDefault="00826B3E" w:rsidP="00826B3E">
      <w:pPr>
        <w:spacing w:line="360" w:lineRule="auto"/>
        <w:rPr>
          <w:b/>
          <w:bCs/>
          <w:sz w:val="28"/>
          <w:szCs w:val="28"/>
        </w:rPr>
      </w:pPr>
      <w:r w:rsidRPr="00E814DA">
        <w:rPr>
          <w:b/>
          <w:bCs/>
          <w:sz w:val="28"/>
          <w:szCs w:val="28"/>
        </w:rPr>
        <w:t xml:space="preserve">Conclusion </w:t>
      </w:r>
    </w:p>
    <w:bookmarkEnd w:id="4"/>
    <w:p w14:paraId="43EC49ED" w14:textId="77777777" w:rsidR="00826B3E" w:rsidRPr="00E814DA" w:rsidRDefault="00826B3E" w:rsidP="00826B3E">
      <w:pPr>
        <w:spacing w:line="360" w:lineRule="auto"/>
      </w:pPr>
      <w:r w:rsidRPr="00E814DA">
        <w:t xml:space="preserve">Assessment for Learning is a strategy which is widely used by teachers across the education system. AfL is described as being a form of gathering information to gain understand of how children grasp their learning to develop their engagement and knowledge (Tolgfors, 2018; Deneed et al. 2019). Furthermore, the researcher delved into the literature based on AfL and discovered many benefits and limitations of using this within their practices. After critically evaluating these pieces of literature, the researcher will continue to use AfL within their teaching practices as there are many supporting researchers that agree that AfL within schools is beneficial to student learning (Bhardwaj, 2016;Shaddel et al. 2018; Andrews et al. 2018). On the other hand, there was one limitation that stood out to the researcher, this being the unconscious bias that could occur during the no hands up AfL strategy. After some research and from personal experiences, the researcher decided that their next steps would be to include lollipop sticks within their lessons. </w:t>
      </w:r>
    </w:p>
    <w:p w14:paraId="5ADCF358" w14:textId="77777777" w:rsidR="00826B3E" w:rsidRPr="00E814DA" w:rsidRDefault="00826B3E" w:rsidP="00826B3E">
      <w:pPr>
        <w:spacing w:line="360" w:lineRule="auto"/>
      </w:pPr>
      <w:r w:rsidRPr="00E814DA">
        <w:t xml:space="preserve">Demonstrating that the researcher used AfL within their teaching practices, as shown in appendix A, from the lesson plan it is identified that the researcher used talk partner during Drillio lessons, and then no hands up when they wanted a pair to share what they had discussed. Although this strategy worked well, the teacher may have had an unconscious bias opinion when choosing who to answer. Looking back at the review of literature, Fiarman (2016) and Dee and Gershenson (2017) state that having an unconscious bias will affect the children’s learning and their behaviours. It is evident that the researcher has identified their next steps by including lollipop sticks into their practices, which illustrates the researcher’s initiative to change what is not working well. Linking this to the professional Teaching Standards, it covers blended learning experiences as it is an attempt of meeting pedagogical challenges to benefits the learners, manages the learning environment as it promotes positive learning habits by allowing the children time for discussion, assessment, and involving partner learning by including ‘phone a friend’. It is apparent that the researcher has researched AfL in depth to gain an insight of the benefits and drawbacks, and consequently created a contingency plan of how they will improve their use of AfL in order to improve their teaching practices.  </w:t>
      </w:r>
    </w:p>
    <w:p w14:paraId="69706689" w14:textId="77777777" w:rsidR="00826B3E" w:rsidRDefault="00826B3E" w:rsidP="00826B3E">
      <w:pPr>
        <w:spacing w:line="360" w:lineRule="auto"/>
        <w:rPr>
          <w:b/>
          <w:bCs/>
          <w:sz w:val="24"/>
          <w:szCs w:val="24"/>
        </w:rPr>
      </w:pPr>
    </w:p>
    <w:p w14:paraId="6A634BA3" w14:textId="77777777" w:rsidR="00534A4F" w:rsidRDefault="00826B3E"/>
    <w:sectPr w:rsidR="00534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5468F4"/>
    <w:multiLevelType w:val="hybridMultilevel"/>
    <w:tmpl w:val="4E962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B3E"/>
    <w:rsid w:val="00573352"/>
    <w:rsid w:val="00826B3E"/>
    <w:rsid w:val="00D536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16821"/>
  <w15:chartTrackingRefBased/>
  <w15:docId w15:val="{A73F02A5-DEA1-4230-ADAC-067D16175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826B3E"/>
    <w:pPr>
      <w:widowControl w:val="0"/>
      <w:autoSpaceDE w:val="0"/>
      <w:autoSpaceDN w:val="0"/>
      <w:spacing w:after="0" w:line="240" w:lineRule="auto"/>
    </w:pPr>
    <w:rPr>
      <w:rFonts w:ascii="Arial" w:eastAsia="Arial" w:hAnsi="Arial" w:cs="Arial"/>
      <w:lang w:eastAsia="en-GB" w:bidi="en-GB"/>
    </w:rPr>
  </w:style>
  <w:style w:type="paragraph" w:styleId="Heading2">
    <w:name w:val="heading 2"/>
    <w:basedOn w:val="Normal"/>
    <w:next w:val="Normal"/>
    <w:link w:val="Heading2Char"/>
    <w:uiPriority w:val="9"/>
    <w:semiHidden/>
    <w:unhideWhenUsed/>
    <w:qFormat/>
    <w:rsid w:val="00826B3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26B3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826B3E"/>
    <w:rPr>
      <w:rFonts w:asciiTheme="majorHAnsi" w:eastAsiaTheme="majorEastAsia" w:hAnsiTheme="majorHAnsi" w:cstheme="majorBidi"/>
      <w:color w:val="2F5496" w:themeColor="accent1" w:themeShade="BF"/>
      <w:sz w:val="26"/>
      <w:szCs w:val="26"/>
      <w:lang w:eastAsia="en-GB" w:bidi="en-GB"/>
    </w:rPr>
  </w:style>
  <w:style w:type="character" w:customStyle="1" w:styleId="Heading3Char">
    <w:name w:val="Heading 3 Char"/>
    <w:basedOn w:val="DefaultParagraphFont"/>
    <w:link w:val="Heading3"/>
    <w:uiPriority w:val="9"/>
    <w:semiHidden/>
    <w:rsid w:val="00826B3E"/>
    <w:rPr>
      <w:rFonts w:asciiTheme="majorHAnsi" w:eastAsiaTheme="majorEastAsia" w:hAnsiTheme="majorHAnsi" w:cstheme="majorBidi"/>
      <w:color w:val="1F3763" w:themeColor="accent1" w:themeShade="7F"/>
      <w:sz w:val="24"/>
      <w:szCs w:val="24"/>
      <w:lang w:eastAsia="en-GB" w:bidi="en-GB"/>
    </w:rPr>
  </w:style>
  <w:style w:type="paragraph" w:styleId="ListParagraph">
    <w:name w:val="List Paragraph"/>
    <w:basedOn w:val="Normal"/>
    <w:uiPriority w:val="34"/>
    <w:qFormat/>
    <w:rsid w:val="00826B3E"/>
    <w:pPr>
      <w:ind w:left="720"/>
      <w:contextualSpacing/>
    </w:pPr>
  </w:style>
  <w:style w:type="table" w:styleId="TableGrid">
    <w:name w:val="Table Grid"/>
    <w:basedOn w:val="TableNormal"/>
    <w:uiPriority w:val="39"/>
    <w:rsid w:val="00826B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4585</Words>
  <Characters>26140</Characters>
  <Application>Microsoft Office Word</Application>
  <DocSecurity>0</DocSecurity>
  <Lines>217</Lines>
  <Paragraphs>61</Paragraphs>
  <ScaleCrop>false</ScaleCrop>
  <Company/>
  <LinksUpToDate>false</LinksUpToDate>
  <CharactersWithSpaces>30664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Britani Thomas (2100094)</dc:creator>
  <cp:keywords/>
  <dc:description/>
  <cp:lastModifiedBy>Britani Thomas (2100094)</cp:lastModifiedBy>
  <cp:revision>1</cp:revision>
  <dcterms:created xsi:type="dcterms:W3CDTF">2022-01-02T10:15:00Z</dcterms:created>
  <dcterms:modified xsi:type="dcterms:W3CDTF">2022-01-02T10:16:00Z</dcterms:modified>
</cp:coreProperties>
</file>