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14:ligatures w14:val="standardContextual"/>
        </w:rPr>
        <w:id w:val="1386062654"/>
        <w:docPartObj>
          <w:docPartGallery w:val="Cover Pages"/>
          <w:docPartUnique/>
        </w:docPartObj>
      </w:sdtPr>
      <w:sdtEndPr>
        <w:rPr>
          <w:color w:val="auto"/>
        </w:rPr>
      </w:sdtEndPr>
      <w:sdtContent>
        <w:p w14:paraId="51353F41" w14:textId="33FA6DB1" w:rsidR="00EB1AC4" w:rsidRDefault="00EB1AC4">
          <w:pPr>
            <w:pStyle w:val="NoSpacing"/>
            <w:spacing w:before="1540" w:after="240"/>
            <w:jc w:val="center"/>
            <w:rPr>
              <w:color w:val="156082" w:themeColor="accent1"/>
            </w:rPr>
          </w:pPr>
          <w:r>
            <w:rPr>
              <w:noProof/>
              <w:color w:val="156082" w:themeColor="accent1"/>
            </w:rPr>
            <w:drawing>
              <wp:inline distT="0" distB="0" distL="0" distR="0" wp14:anchorId="294D036C" wp14:editId="0A891E6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4D171CFA3409483FB0B34B2FB9134E2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2C8792F" w14:textId="6A75563B" w:rsidR="00EB1AC4" w:rsidRDefault="00E13058">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Data security and compliance</w:t>
              </w:r>
            </w:p>
          </w:sdtContent>
        </w:sdt>
        <w:sdt>
          <w:sdtPr>
            <w:rPr>
              <w:color w:val="156082" w:themeColor="accent1"/>
              <w:sz w:val="28"/>
              <w:szCs w:val="28"/>
            </w:rPr>
            <w:alias w:val="Subtitle"/>
            <w:tag w:val=""/>
            <w:id w:val="328029620"/>
            <w:placeholder>
              <w:docPart w:val="1E17CB8C238845F6B46B9131EE65A8FF"/>
            </w:placeholder>
            <w:dataBinding w:prefixMappings="xmlns:ns0='http://purl.org/dc/elements/1.1/' xmlns:ns1='http://schemas.openxmlformats.org/package/2006/metadata/core-properties' " w:xpath="/ns1:coreProperties[1]/ns0:subject[1]" w:storeItemID="{6C3C8BC8-F283-45AE-878A-BAB7291924A1}"/>
            <w:text/>
          </w:sdtPr>
          <w:sdtContent>
            <w:p w14:paraId="5FDDA802" w14:textId="59EE2348" w:rsidR="00EB1AC4" w:rsidRDefault="0080211C">
              <w:pPr>
                <w:pStyle w:val="NoSpacing"/>
                <w:jc w:val="center"/>
                <w:rPr>
                  <w:color w:val="156082" w:themeColor="accent1"/>
                  <w:sz w:val="28"/>
                  <w:szCs w:val="28"/>
                </w:rPr>
              </w:pPr>
              <w:r>
                <w:rPr>
                  <w:color w:val="156082" w:themeColor="accent1"/>
                  <w:sz w:val="28"/>
                  <w:szCs w:val="28"/>
                </w:rPr>
                <w:t>ACCA5034</w:t>
              </w:r>
            </w:p>
          </w:sdtContent>
        </w:sdt>
        <w:p w14:paraId="55834DD0" w14:textId="77777777" w:rsidR="00EB1AC4" w:rsidRDefault="00EB1AC4">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8240" behindDoc="0" locked="0" layoutInCell="1" allowOverlap="1" wp14:anchorId="49610D6B" wp14:editId="2B4CA933">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31T00:00:00Z">
                                    <w:dateFormat w:val="MMMM d, yyyy"/>
                                    <w:lid w:val="en-US"/>
                                    <w:storeMappedDataAs w:val="dateTime"/>
                                    <w:calendar w:val="gregorian"/>
                                  </w:date>
                                </w:sdtPr>
                                <w:sdtContent>
                                  <w:p w14:paraId="1B2A0FD3" w14:textId="57F63B79" w:rsidR="00EB1AC4" w:rsidRDefault="0080211C">
                                    <w:pPr>
                                      <w:pStyle w:val="NoSpacing"/>
                                      <w:spacing w:after="40"/>
                                      <w:jc w:val="center"/>
                                      <w:rPr>
                                        <w:caps/>
                                        <w:color w:val="156082" w:themeColor="accent1"/>
                                        <w:sz w:val="28"/>
                                        <w:szCs w:val="28"/>
                                      </w:rPr>
                                    </w:pPr>
                                    <w:r>
                                      <w:rPr>
                                        <w:caps/>
                                        <w:color w:val="156082" w:themeColor="accent1"/>
                                        <w:sz w:val="28"/>
                                        <w:szCs w:val="28"/>
                                      </w:rPr>
                                      <w:t>March 31, 2026</w:t>
                                    </w:r>
                                  </w:p>
                                </w:sdtContent>
                              </w:sdt>
                              <w:p w14:paraId="37ADBFF5" w14:textId="579DFA79" w:rsidR="00EB1AC4"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0211C">
                                      <w:rPr>
                                        <w:caps/>
                                        <w:color w:val="156082" w:themeColor="accent1"/>
                                      </w:rPr>
                                      <w:t>DANU IAZMEDOV - 23</w:t>
                                    </w:r>
                                    <w:r w:rsidR="00EF659E">
                                      <w:rPr>
                                        <w:caps/>
                                        <w:color w:val="156082" w:themeColor="accent1"/>
                                      </w:rPr>
                                      <w:t>19509</w:t>
                                    </w:r>
                                  </w:sdtContent>
                                </w:sdt>
                              </w:p>
                              <w:p w14:paraId="1FA9FD96" w14:textId="3E8323FD" w:rsidR="00EB1AC4"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EF659E">
                                      <w:rPr>
                                        <w:color w:val="156082" w:themeColor="accent1"/>
                                      </w:rPr>
                                      <w:t>UNIVERSITY OF WALES TRINITY SAINT DAVID – QUAY PLACE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9610D6B"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31T00:00:00Z">
                              <w:dateFormat w:val="MMMM d, yyyy"/>
                              <w:lid w:val="en-US"/>
                              <w:storeMappedDataAs w:val="dateTime"/>
                              <w:calendar w:val="gregorian"/>
                            </w:date>
                          </w:sdtPr>
                          <w:sdtContent>
                            <w:p w14:paraId="1B2A0FD3" w14:textId="57F63B79" w:rsidR="00EB1AC4" w:rsidRDefault="0080211C">
                              <w:pPr>
                                <w:pStyle w:val="NoSpacing"/>
                                <w:spacing w:after="40"/>
                                <w:jc w:val="center"/>
                                <w:rPr>
                                  <w:caps/>
                                  <w:color w:val="156082" w:themeColor="accent1"/>
                                  <w:sz w:val="28"/>
                                  <w:szCs w:val="28"/>
                                </w:rPr>
                              </w:pPr>
                              <w:r>
                                <w:rPr>
                                  <w:caps/>
                                  <w:color w:val="156082" w:themeColor="accent1"/>
                                  <w:sz w:val="28"/>
                                  <w:szCs w:val="28"/>
                                </w:rPr>
                                <w:t>March 31, 2026</w:t>
                              </w:r>
                            </w:p>
                          </w:sdtContent>
                        </w:sdt>
                        <w:p w14:paraId="37ADBFF5" w14:textId="579DFA79" w:rsidR="00EB1AC4"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0211C">
                                <w:rPr>
                                  <w:caps/>
                                  <w:color w:val="156082" w:themeColor="accent1"/>
                                </w:rPr>
                                <w:t>DANU IAZMEDOV - 23</w:t>
                              </w:r>
                              <w:r w:rsidR="00EF659E">
                                <w:rPr>
                                  <w:caps/>
                                  <w:color w:val="156082" w:themeColor="accent1"/>
                                </w:rPr>
                                <w:t>19509</w:t>
                              </w:r>
                            </w:sdtContent>
                          </w:sdt>
                        </w:p>
                        <w:p w14:paraId="1FA9FD96" w14:textId="3E8323FD" w:rsidR="00EB1AC4"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EF659E">
                                <w:rPr>
                                  <w:color w:val="156082" w:themeColor="accent1"/>
                                </w:rPr>
                                <w:t>UNIVERSITY OF WALES TRINITY SAINT DAVID – QUAY PLACE CAMPUS</w:t>
                              </w:r>
                            </w:sdtContent>
                          </w:sdt>
                        </w:p>
                      </w:txbxContent>
                    </v:textbox>
                    <w10:wrap anchorx="margin" anchory="page"/>
                  </v:shape>
                </w:pict>
              </mc:Fallback>
            </mc:AlternateContent>
          </w:r>
          <w:r>
            <w:rPr>
              <w:noProof/>
              <w:color w:val="156082" w:themeColor="accent1"/>
            </w:rPr>
            <w:drawing>
              <wp:inline distT="0" distB="0" distL="0" distR="0" wp14:anchorId="3703CF83" wp14:editId="283CA11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3745861" w14:textId="5FB568C4" w:rsidR="008F453A" w:rsidRDefault="00000000" w:rsidP="00461A7A"/>
      </w:sdtContent>
    </w:sdt>
    <w:p w14:paraId="2AFCBDCC" w14:textId="77777777" w:rsidR="008F453A" w:rsidRDefault="008F453A" w:rsidP="008F453A"/>
    <w:p w14:paraId="44B06406" w14:textId="77777777" w:rsidR="008F453A" w:rsidRDefault="008F453A" w:rsidP="008F453A"/>
    <w:p w14:paraId="3C9A041A" w14:textId="77777777" w:rsidR="008F453A" w:rsidRDefault="008F453A" w:rsidP="008F453A"/>
    <w:p w14:paraId="332320C9" w14:textId="77777777" w:rsidR="008F453A" w:rsidRDefault="008F453A" w:rsidP="008F453A"/>
    <w:p w14:paraId="4FD98113" w14:textId="77777777" w:rsidR="008F453A" w:rsidRDefault="008F453A" w:rsidP="008F453A"/>
    <w:p w14:paraId="4C8258B5" w14:textId="77777777" w:rsidR="008F453A" w:rsidRDefault="008F453A" w:rsidP="008F453A"/>
    <w:p w14:paraId="5E75144D" w14:textId="77777777" w:rsidR="008F453A" w:rsidRDefault="008F453A" w:rsidP="008F453A"/>
    <w:p w14:paraId="19984F26" w14:textId="77777777" w:rsidR="008F453A" w:rsidRDefault="008F453A" w:rsidP="008F453A"/>
    <w:p w14:paraId="2887CA00" w14:textId="77777777" w:rsidR="008F453A" w:rsidRDefault="008F453A" w:rsidP="008F453A"/>
    <w:p w14:paraId="0A864F1B" w14:textId="2FDE8E7E" w:rsidR="0087554F" w:rsidRDefault="0087554F"/>
    <w:p w14:paraId="678F6041" w14:textId="09BD4797" w:rsidR="008F453A" w:rsidRPr="006B68B7" w:rsidRDefault="00EE26A3" w:rsidP="006B68B7">
      <w:pPr>
        <w:pStyle w:val="Heading2"/>
        <w:rPr>
          <w:b/>
          <w:u w:val="single"/>
        </w:rPr>
      </w:pPr>
      <w:r w:rsidRPr="006B68B7">
        <w:rPr>
          <w:b/>
          <w:u w:val="single"/>
        </w:rPr>
        <w:lastRenderedPageBreak/>
        <w:t>Task 1</w:t>
      </w:r>
    </w:p>
    <w:p w14:paraId="712C607E" w14:textId="36CEC851" w:rsidR="00720023" w:rsidRPr="00E312D3" w:rsidRDefault="004F6269" w:rsidP="00EF7160">
      <w:pPr>
        <w:jc w:val="center"/>
        <w:rPr>
          <w:b/>
          <w:bCs/>
          <w:u w:val="single"/>
        </w:rPr>
      </w:pPr>
      <w:r w:rsidRPr="00E312D3">
        <w:rPr>
          <w:b/>
          <w:bCs/>
          <w:u w:val="single"/>
        </w:rPr>
        <w:t>Governing Artificial Intelligence</w:t>
      </w:r>
      <w:r w:rsidR="00E312D3" w:rsidRPr="00E312D3">
        <w:rPr>
          <w:b/>
          <w:bCs/>
          <w:u w:val="single"/>
        </w:rPr>
        <w:t xml:space="preserve"> and Machine Learning Systems</w:t>
      </w:r>
    </w:p>
    <w:p w14:paraId="4F11AF80" w14:textId="1F1D081C" w:rsidR="0035405D" w:rsidRPr="0035405D" w:rsidRDefault="00291F14" w:rsidP="00EF7160">
      <w:pPr>
        <w:jc w:val="center"/>
        <w:rPr>
          <w:rFonts w:ascii="Times New Roman" w:hAnsi="Times New Roman" w:cs="Times New Roman"/>
          <w:sz w:val="18"/>
          <w:szCs w:val="18"/>
        </w:rPr>
      </w:pPr>
      <w:r>
        <w:rPr>
          <w:rFonts w:ascii="Times New Roman" w:hAnsi="Times New Roman" w:cs="Times New Roman"/>
          <w:sz w:val="18"/>
          <w:szCs w:val="18"/>
        </w:rPr>
        <w:t xml:space="preserve">Danu Iazmedov </w:t>
      </w:r>
      <w:r w:rsidR="0035405D" w:rsidRPr="0035405D">
        <w:rPr>
          <w:rFonts w:ascii="Times New Roman" w:hAnsi="Times New Roman" w:cs="Times New Roman"/>
          <w:sz w:val="18"/>
          <w:szCs w:val="18"/>
        </w:rPr>
        <w:br/>
      </w:r>
      <w:r w:rsidR="004072FF">
        <w:rPr>
          <w:rFonts w:ascii="Times New Roman" w:hAnsi="Times New Roman" w:cs="Times New Roman"/>
          <w:sz w:val="18"/>
          <w:szCs w:val="18"/>
        </w:rPr>
        <w:t>University of Wales Trinity Saint David Quay Place Campus</w:t>
      </w:r>
      <w:r w:rsidR="0035405D" w:rsidRPr="0035405D">
        <w:rPr>
          <w:rFonts w:ascii="Times New Roman" w:hAnsi="Times New Roman" w:cs="Times New Roman"/>
          <w:sz w:val="18"/>
          <w:szCs w:val="18"/>
        </w:rPr>
        <w:br/>
      </w:r>
      <w:r w:rsidR="0007426C">
        <w:rPr>
          <w:rFonts w:ascii="Times New Roman" w:hAnsi="Times New Roman" w:cs="Times New Roman"/>
          <w:i/>
          <w:iCs/>
          <w:sz w:val="18"/>
          <w:szCs w:val="18"/>
        </w:rPr>
        <w:t>Email</w:t>
      </w:r>
      <w:r w:rsidR="0035405D" w:rsidRPr="0035405D">
        <w:rPr>
          <w:rFonts w:ascii="Times New Roman" w:hAnsi="Times New Roman" w:cs="Times New Roman"/>
          <w:i/>
          <w:iCs/>
          <w:sz w:val="18"/>
          <w:szCs w:val="18"/>
        </w:rPr>
        <w:t xml:space="preserve">: </w:t>
      </w:r>
      <w:r w:rsidR="003C57C2">
        <w:rPr>
          <w:rFonts w:ascii="Times New Roman" w:hAnsi="Times New Roman" w:cs="Times New Roman"/>
          <w:i/>
          <w:iCs/>
          <w:sz w:val="18"/>
          <w:szCs w:val="18"/>
        </w:rPr>
        <w:t>2319509@student.uwtsd.ac.uk</w:t>
      </w:r>
    </w:p>
    <w:p w14:paraId="4F949813" w14:textId="77777777" w:rsidR="00EF7160" w:rsidRDefault="00EF7160" w:rsidP="0035405D">
      <w:pPr>
        <w:rPr>
          <w:rFonts w:ascii="Times New Roman" w:hAnsi="Times New Roman" w:cs="Times New Roman"/>
          <w:sz w:val="18"/>
          <w:szCs w:val="18"/>
        </w:rPr>
        <w:sectPr w:rsidR="00EF7160" w:rsidSect="00EB1AC4">
          <w:pgSz w:w="12240" w:h="15840"/>
          <w:pgMar w:top="1440" w:right="1440" w:bottom="1440" w:left="1440" w:header="720" w:footer="720" w:gutter="0"/>
          <w:pgNumType w:start="0"/>
          <w:cols w:space="720"/>
          <w:titlePg/>
          <w:docGrid w:linePitch="360"/>
        </w:sectPr>
      </w:pPr>
    </w:p>
    <w:p w14:paraId="7486AEE4" w14:textId="77777777" w:rsidR="0035405D" w:rsidRPr="0035405D" w:rsidRDefault="00000000" w:rsidP="0035405D">
      <w:pPr>
        <w:rPr>
          <w:rFonts w:ascii="Times New Roman" w:hAnsi="Times New Roman" w:cs="Times New Roman"/>
          <w:sz w:val="18"/>
          <w:szCs w:val="18"/>
        </w:rPr>
      </w:pPr>
      <w:r>
        <w:rPr>
          <w:rFonts w:ascii="Times New Roman" w:hAnsi="Times New Roman" w:cs="Times New Roman"/>
          <w:sz w:val="18"/>
          <w:szCs w:val="18"/>
        </w:rPr>
        <w:pict w14:anchorId="552947F6">
          <v:rect id="_x0000_i1025" style="width:0;height:1.5pt" o:hralign="center" o:hrstd="t" o:hr="t" fillcolor="#a0a0a0" stroked="f"/>
        </w:pict>
      </w:r>
    </w:p>
    <w:p w14:paraId="6DF06885"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28"/>
          <w:szCs w:val="28"/>
        </w:rPr>
        <w:t>Abstract</w:t>
      </w:r>
      <w:r w:rsidRPr="0035405D">
        <w:rPr>
          <w:rFonts w:ascii="Times New Roman" w:hAnsi="Times New Roman" w:cs="Times New Roman"/>
          <w:b/>
          <w:bCs/>
          <w:sz w:val="18"/>
          <w:szCs w:val="18"/>
        </w:rPr>
        <w:t>—The rapid integration of artificial intelligence and machine learning into critical business operations has created an urgent need for governance frameworks tailored to the unique characteristics of these systems. Unlike traditional software, AI systems exhibit probabilistic behavior, opacity in decision-making, and continuous evolution through learning, rendering conventional governance approaches inadequate. This paper presents a comprehensive governance framework developed through analysis of enterprise implementations and regulatory requirements across multiple jurisdictions. We propose a four-dimensional model encompassing structural governance, technical controls, data governance, and continuous monitoring. The framework emphasizes embedding governance throughout the AI lifecycle rather than applying retrospective compliance checks. Our research demonstrates that effective AI governance requires integration of organizational accountability, technical safeguards, and regulatory alignment while maintaining innovation capacity. We provide practical implementation guidance for enterprises seeking to operationalize responsible AI governance.</w:t>
      </w:r>
    </w:p>
    <w:p w14:paraId="3AE6B4B9" w14:textId="77777777" w:rsidR="0035405D" w:rsidRDefault="0035405D" w:rsidP="0035405D">
      <w:pPr>
        <w:rPr>
          <w:rFonts w:ascii="Times New Roman" w:hAnsi="Times New Roman" w:cs="Times New Roman"/>
          <w:b/>
          <w:bCs/>
          <w:sz w:val="14"/>
          <w:szCs w:val="14"/>
        </w:rPr>
      </w:pPr>
      <w:r w:rsidRPr="0066778E">
        <w:rPr>
          <w:rFonts w:ascii="Times New Roman" w:hAnsi="Times New Roman" w:cs="Times New Roman"/>
          <w:b/>
          <w:bCs/>
          <w:sz w:val="14"/>
          <w:szCs w:val="14"/>
          <w:u w:val="single"/>
        </w:rPr>
        <w:t>Keywords</w:t>
      </w:r>
      <w:r w:rsidRPr="0035405D">
        <w:rPr>
          <w:rFonts w:ascii="Times New Roman" w:hAnsi="Times New Roman" w:cs="Times New Roman"/>
          <w:b/>
          <w:bCs/>
          <w:sz w:val="14"/>
          <w:szCs w:val="14"/>
        </w:rPr>
        <w:t>—AI governance, machine learning systems, risk management, algorithmic ethics, regulatory compliance, model monitoring</w:t>
      </w:r>
    </w:p>
    <w:p w14:paraId="2AB7A795" w14:textId="77777777" w:rsidR="00C26B3B" w:rsidRDefault="00C26B3B" w:rsidP="0035405D">
      <w:pPr>
        <w:rPr>
          <w:rFonts w:ascii="Times New Roman" w:hAnsi="Times New Roman" w:cs="Times New Roman"/>
          <w:b/>
          <w:bCs/>
          <w:sz w:val="14"/>
          <w:szCs w:val="14"/>
        </w:rPr>
      </w:pPr>
    </w:p>
    <w:tbl>
      <w:tblPr>
        <w:tblStyle w:val="TableGrid"/>
        <w:tblW w:w="0" w:type="auto"/>
        <w:tblLook w:val="04A0" w:firstRow="1" w:lastRow="0" w:firstColumn="1" w:lastColumn="0" w:noHBand="0" w:noVBand="1"/>
      </w:tblPr>
      <w:tblGrid>
        <w:gridCol w:w="2155"/>
        <w:gridCol w:w="2155"/>
      </w:tblGrid>
      <w:tr w:rsidR="00EB7109" w14:paraId="287E6A46" w14:textId="77777777" w:rsidTr="00EB7109">
        <w:tc>
          <w:tcPr>
            <w:tcW w:w="2155" w:type="dxa"/>
            <w:tcBorders>
              <w:right w:val="nil"/>
            </w:tcBorders>
          </w:tcPr>
          <w:p w14:paraId="1B23560C" w14:textId="1BC74DA7" w:rsidR="00EB7109" w:rsidRPr="0066778E" w:rsidRDefault="002A2D2A" w:rsidP="0035405D">
            <w:pPr>
              <w:rPr>
                <w:rFonts w:ascii="Times New Roman" w:hAnsi="Times New Roman" w:cs="Times New Roman"/>
                <w:b/>
                <w:bCs/>
                <w:i/>
                <w:iCs/>
                <w:sz w:val="14"/>
                <w:szCs w:val="14"/>
              </w:rPr>
            </w:pPr>
            <w:r>
              <w:rPr>
                <w:rFonts w:ascii="Times New Roman" w:hAnsi="Times New Roman" w:cs="Times New Roman"/>
                <w:b/>
                <w:bCs/>
                <w:i/>
                <w:iCs/>
                <w:sz w:val="14"/>
                <w:szCs w:val="14"/>
              </w:rPr>
              <w:t xml:space="preserve">Keywords Definition </w:t>
            </w:r>
          </w:p>
        </w:tc>
        <w:tc>
          <w:tcPr>
            <w:tcW w:w="2155" w:type="dxa"/>
            <w:tcBorders>
              <w:left w:val="nil"/>
            </w:tcBorders>
          </w:tcPr>
          <w:p w14:paraId="35A8D19E" w14:textId="1352D341" w:rsidR="00EB7109" w:rsidRPr="00CB20E7" w:rsidRDefault="00EB7109" w:rsidP="00CB20E7">
            <w:pPr>
              <w:rPr>
                <w:rFonts w:ascii="Times New Roman" w:hAnsi="Times New Roman" w:cs="Times New Roman"/>
                <w:sz w:val="14"/>
                <w:szCs w:val="14"/>
              </w:rPr>
            </w:pPr>
          </w:p>
        </w:tc>
      </w:tr>
      <w:tr w:rsidR="00D01403" w14:paraId="75A9723A" w14:textId="77777777" w:rsidTr="00EC660C">
        <w:tc>
          <w:tcPr>
            <w:tcW w:w="2155" w:type="dxa"/>
          </w:tcPr>
          <w:p w14:paraId="4CB142EC" w14:textId="410234CF" w:rsidR="00D01403" w:rsidRPr="0066778E" w:rsidRDefault="00EC660C" w:rsidP="0035405D">
            <w:pPr>
              <w:rPr>
                <w:rFonts w:ascii="Times New Roman" w:hAnsi="Times New Roman" w:cs="Times New Roman"/>
                <w:b/>
                <w:bCs/>
                <w:i/>
                <w:iCs/>
                <w:sz w:val="14"/>
                <w:szCs w:val="14"/>
              </w:rPr>
            </w:pPr>
            <w:r w:rsidRPr="0066778E">
              <w:rPr>
                <w:rFonts w:ascii="Times New Roman" w:hAnsi="Times New Roman" w:cs="Times New Roman"/>
                <w:b/>
                <w:bCs/>
                <w:i/>
                <w:iCs/>
                <w:sz w:val="14"/>
                <w:szCs w:val="14"/>
              </w:rPr>
              <w:t>AI Governance</w:t>
            </w:r>
          </w:p>
        </w:tc>
        <w:tc>
          <w:tcPr>
            <w:tcW w:w="2155" w:type="dxa"/>
          </w:tcPr>
          <w:p w14:paraId="6C5EE0F3" w14:textId="2B10BFC2" w:rsidR="00CB20E7" w:rsidRPr="00CB20E7" w:rsidRDefault="00CB20E7" w:rsidP="00CB20E7">
            <w:pPr>
              <w:rPr>
                <w:rFonts w:ascii="Times New Roman" w:hAnsi="Times New Roman" w:cs="Times New Roman"/>
                <w:sz w:val="14"/>
                <w:szCs w:val="14"/>
              </w:rPr>
            </w:pPr>
            <w:r w:rsidRPr="00CB20E7">
              <w:rPr>
                <w:rFonts w:ascii="Times New Roman" w:hAnsi="Times New Roman" w:cs="Times New Roman"/>
                <w:sz w:val="14"/>
                <w:szCs w:val="14"/>
              </w:rPr>
              <w:t>AI governance is the system of policies, processes, and controls that ensures artificial intelligence systems are developed and used responsibly, ethically, and in compliance with applicable laws and regulations</w:t>
            </w:r>
            <w:r w:rsidR="005D7B10">
              <w:rPr>
                <w:rFonts w:ascii="Times New Roman" w:hAnsi="Times New Roman" w:cs="Times New Roman"/>
                <w:sz w:val="14"/>
                <w:szCs w:val="14"/>
              </w:rPr>
              <w:t xml:space="preserve"> [11]</w:t>
            </w:r>
            <w:r w:rsidRPr="00CB20E7">
              <w:rPr>
                <w:rFonts w:ascii="Times New Roman" w:hAnsi="Times New Roman" w:cs="Times New Roman"/>
                <w:sz w:val="14"/>
                <w:szCs w:val="14"/>
              </w:rPr>
              <w:t>.</w:t>
            </w:r>
          </w:p>
          <w:p w14:paraId="47612A88" w14:textId="77777777" w:rsidR="00D01403" w:rsidRDefault="00D01403" w:rsidP="0035405D">
            <w:pPr>
              <w:rPr>
                <w:rFonts w:ascii="Times New Roman" w:hAnsi="Times New Roman" w:cs="Times New Roman"/>
                <w:sz w:val="14"/>
                <w:szCs w:val="14"/>
              </w:rPr>
            </w:pPr>
          </w:p>
        </w:tc>
      </w:tr>
      <w:tr w:rsidR="00D01403" w14:paraId="5673B7E5" w14:textId="77777777" w:rsidTr="00EC660C">
        <w:tc>
          <w:tcPr>
            <w:tcW w:w="2155" w:type="dxa"/>
          </w:tcPr>
          <w:p w14:paraId="00901E93" w14:textId="1AEB1DF8" w:rsidR="00D01403" w:rsidRPr="0066778E" w:rsidRDefault="00EC660C" w:rsidP="0035405D">
            <w:pPr>
              <w:rPr>
                <w:rFonts w:ascii="Times New Roman" w:hAnsi="Times New Roman" w:cs="Times New Roman"/>
                <w:b/>
                <w:bCs/>
                <w:i/>
                <w:iCs/>
                <w:sz w:val="14"/>
                <w:szCs w:val="14"/>
              </w:rPr>
            </w:pPr>
            <w:r w:rsidRPr="0066778E">
              <w:rPr>
                <w:rFonts w:ascii="Times New Roman" w:hAnsi="Times New Roman" w:cs="Times New Roman"/>
                <w:b/>
                <w:bCs/>
                <w:i/>
                <w:iCs/>
                <w:sz w:val="14"/>
                <w:szCs w:val="14"/>
              </w:rPr>
              <w:t>Machine Learning Systems</w:t>
            </w:r>
          </w:p>
        </w:tc>
        <w:tc>
          <w:tcPr>
            <w:tcW w:w="2155" w:type="dxa"/>
          </w:tcPr>
          <w:p w14:paraId="777507AB" w14:textId="229BF799" w:rsidR="00351253" w:rsidRPr="00351253" w:rsidRDefault="00351253" w:rsidP="00351253">
            <w:pPr>
              <w:rPr>
                <w:rFonts w:ascii="Times New Roman" w:hAnsi="Times New Roman" w:cs="Times New Roman"/>
                <w:sz w:val="14"/>
                <w:szCs w:val="14"/>
              </w:rPr>
            </w:pPr>
            <w:r w:rsidRPr="00351253">
              <w:rPr>
                <w:rFonts w:ascii="Times New Roman" w:hAnsi="Times New Roman" w:cs="Times New Roman"/>
                <w:sz w:val="14"/>
                <w:szCs w:val="14"/>
              </w:rPr>
              <w:t>Machine learning systems are AI systems that learn patterns from data to make predictions or decisions without being explicitly programmed for every possible scenario</w:t>
            </w:r>
            <w:r w:rsidR="005D7B10">
              <w:rPr>
                <w:rFonts w:ascii="Times New Roman" w:hAnsi="Times New Roman" w:cs="Times New Roman"/>
                <w:sz w:val="14"/>
                <w:szCs w:val="14"/>
              </w:rPr>
              <w:t xml:space="preserve"> [12]</w:t>
            </w:r>
            <w:r w:rsidRPr="00351253">
              <w:rPr>
                <w:rFonts w:ascii="Times New Roman" w:hAnsi="Times New Roman" w:cs="Times New Roman"/>
                <w:sz w:val="14"/>
                <w:szCs w:val="14"/>
              </w:rPr>
              <w:t>.</w:t>
            </w:r>
          </w:p>
          <w:p w14:paraId="33F1987D" w14:textId="77777777" w:rsidR="00D01403" w:rsidRDefault="00D01403" w:rsidP="0035405D">
            <w:pPr>
              <w:rPr>
                <w:rFonts w:ascii="Times New Roman" w:hAnsi="Times New Roman" w:cs="Times New Roman"/>
                <w:sz w:val="14"/>
                <w:szCs w:val="14"/>
              </w:rPr>
            </w:pPr>
          </w:p>
        </w:tc>
      </w:tr>
      <w:tr w:rsidR="00D01403" w14:paraId="1DCEE237" w14:textId="77777777" w:rsidTr="00EC660C">
        <w:tc>
          <w:tcPr>
            <w:tcW w:w="2155" w:type="dxa"/>
          </w:tcPr>
          <w:p w14:paraId="3062B248" w14:textId="567061AF" w:rsidR="00D01403" w:rsidRPr="0066778E" w:rsidRDefault="00EC660C" w:rsidP="0035405D">
            <w:pPr>
              <w:rPr>
                <w:rFonts w:ascii="Times New Roman" w:hAnsi="Times New Roman" w:cs="Times New Roman"/>
                <w:b/>
                <w:bCs/>
                <w:i/>
                <w:iCs/>
                <w:sz w:val="14"/>
                <w:szCs w:val="14"/>
              </w:rPr>
            </w:pPr>
            <w:r w:rsidRPr="0066778E">
              <w:rPr>
                <w:rFonts w:ascii="Times New Roman" w:hAnsi="Times New Roman" w:cs="Times New Roman"/>
                <w:b/>
                <w:bCs/>
                <w:i/>
                <w:iCs/>
                <w:sz w:val="14"/>
                <w:szCs w:val="14"/>
              </w:rPr>
              <w:t>Risk Management</w:t>
            </w:r>
          </w:p>
        </w:tc>
        <w:tc>
          <w:tcPr>
            <w:tcW w:w="2155" w:type="dxa"/>
          </w:tcPr>
          <w:p w14:paraId="5B07338B" w14:textId="4C66EA60" w:rsidR="006D6E82" w:rsidRPr="006D6E82" w:rsidRDefault="006D6E82" w:rsidP="006D6E82">
            <w:pPr>
              <w:rPr>
                <w:rFonts w:ascii="Times New Roman" w:hAnsi="Times New Roman" w:cs="Times New Roman"/>
                <w:sz w:val="14"/>
                <w:szCs w:val="14"/>
              </w:rPr>
            </w:pPr>
            <w:r w:rsidRPr="006D6E82">
              <w:rPr>
                <w:rFonts w:ascii="Times New Roman" w:hAnsi="Times New Roman" w:cs="Times New Roman"/>
                <w:sz w:val="14"/>
                <w:szCs w:val="14"/>
              </w:rPr>
              <w:t>Risk management is the process of identifying, assessing, and controlling threats to an organization's capital, earnings, and operations</w:t>
            </w:r>
            <w:r w:rsidR="005D7B10">
              <w:rPr>
                <w:rFonts w:ascii="Times New Roman" w:hAnsi="Times New Roman" w:cs="Times New Roman"/>
                <w:sz w:val="14"/>
                <w:szCs w:val="14"/>
              </w:rPr>
              <w:t xml:space="preserve"> [13]</w:t>
            </w:r>
            <w:r w:rsidRPr="006D6E82">
              <w:rPr>
                <w:rFonts w:ascii="Times New Roman" w:hAnsi="Times New Roman" w:cs="Times New Roman"/>
                <w:sz w:val="14"/>
                <w:szCs w:val="14"/>
              </w:rPr>
              <w:t>.</w:t>
            </w:r>
          </w:p>
          <w:p w14:paraId="555E4D78" w14:textId="77777777" w:rsidR="00D01403" w:rsidRDefault="00D01403" w:rsidP="0035405D">
            <w:pPr>
              <w:rPr>
                <w:rFonts w:ascii="Times New Roman" w:hAnsi="Times New Roman" w:cs="Times New Roman"/>
                <w:sz w:val="14"/>
                <w:szCs w:val="14"/>
              </w:rPr>
            </w:pPr>
          </w:p>
        </w:tc>
      </w:tr>
      <w:tr w:rsidR="00D01403" w14:paraId="3CADB14D" w14:textId="77777777" w:rsidTr="00EC660C">
        <w:tc>
          <w:tcPr>
            <w:tcW w:w="2155" w:type="dxa"/>
          </w:tcPr>
          <w:p w14:paraId="24C927DB" w14:textId="1F5A1F9B" w:rsidR="00D01403" w:rsidRPr="0066778E" w:rsidRDefault="00EC660C" w:rsidP="0035405D">
            <w:pPr>
              <w:rPr>
                <w:rFonts w:ascii="Times New Roman" w:hAnsi="Times New Roman" w:cs="Times New Roman"/>
                <w:b/>
                <w:bCs/>
                <w:i/>
                <w:iCs/>
                <w:sz w:val="14"/>
                <w:szCs w:val="14"/>
              </w:rPr>
            </w:pPr>
            <w:r w:rsidRPr="0066778E">
              <w:rPr>
                <w:rFonts w:ascii="Times New Roman" w:hAnsi="Times New Roman" w:cs="Times New Roman"/>
                <w:b/>
                <w:bCs/>
                <w:i/>
                <w:iCs/>
                <w:sz w:val="14"/>
                <w:szCs w:val="14"/>
              </w:rPr>
              <w:t>Algorithmic Ethics</w:t>
            </w:r>
          </w:p>
        </w:tc>
        <w:tc>
          <w:tcPr>
            <w:tcW w:w="2155" w:type="dxa"/>
          </w:tcPr>
          <w:p w14:paraId="4CD241CA" w14:textId="6953229B" w:rsidR="00E64B89" w:rsidRPr="00E64B89" w:rsidRDefault="00E64B89" w:rsidP="00E64B89">
            <w:pPr>
              <w:rPr>
                <w:rFonts w:ascii="Times New Roman" w:hAnsi="Times New Roman" w:cs="Times New Roman"/>
                <w:sz w:val="14"/>
                <w:szCs w:val="14"/>
              </w:rPr>
            </w:pPr>
            <w:r w:rsidRPr="00E64B89">
              <w:rPr>
                <w:rFonts w:ascii="Times New Roman" w:hAnsi="Times New Roman" w:cs="Times New Roman"/>
                <w:sz w:val="14"/>
                <w:szCs w:val="14"/>
              </w:rPr>
              <w:t>Algorithmic ethics is the study and practice of ensuring that algorithms and automated decision-making systems operate fairly, transparently, and without harmful bias or discrimination</w:t>
            </w:r>
            <w:r w:rsidR="005D7B10">
              <w:rPr>
                <w:rFonts w:ascii="Times New Roman" w:hAnsi="Times New Roman" w:cs="Times New Roman"/>
                <w:sz w:val="14"/>
                <w:szCs w:val="14"/>
              </w:rPr>
              <w:t xml:space="preserve"> [14]</w:t>
            </w:r>
            <w:r w:rsidRPr="00E64B89">
              <w:rPr>
                <w:rFonts w:ascii="Times New Roman" w:hAnsi="Times New Roman" w:cs="Times New Roman"/>
                <w:sz w:val="14"/>
                <w:szCs w:val="14"/>
              </w:rPr>
              <w:t>.</w:t>
            </w:r>
          </w:p>
          <w:p w14:paraId="540AC829" w14:textId="77777777" w:rsidR="00D01403" w:rsidRDefault="00D01403" w:rsidP="0035405D">
            <w:pPr>
              <w:rPr>
                <w:rFonts w:ascii="Times New Roman" w:hAnsi="Times New Roman" w:cs="Times New Roman"/>
                <w:sz w:val="14"/>
                <w:szCs w:val="14"/>
              </w:rPr>
            </w:pPr>
          </w:p>
        </w:tc>
      </w:tr>
      <w:tr w:rsidR="00D01403" w14:paraId="3DD08A03" w14:textId="77777777" w:rsidTr="00EC660C">
        <w:tc>
          <w:tcPr>
            <w:tcW w:w="2155" w:type="dxa"/>
          </w:tcPr>
          <w:p w14:paraId="6E7799BB" w14:textId="5598A41E" w:rsidR="00D01403" w:rsidRPr="0066778E" w:rsidRDefault="00EC660C" w:rsidP="0035405D">
            <w:pPr>
              <w:rPr>
                <w:rFonts w:ascii="Times New Roman" w:hAnsi="Times New Roman" w:cs="Times New Roman"/>
                <w:b/>
                <w:bCs/>
                <w:i/>
                <w:iCs/>
                <w:sz w:val="14"/>
                <w:szCs w:val="14"/>
              </w:rPr>
            </w:pPr>
            <w:r w:rsidRPr="0066778E">
              <w:rPr>
                <w:rFonts w:ascii="Times New Roman" w:hAnsi="Times New Roman" w:cs="Times New Roman"/>
                <w:b/>
                <w:bCs/>
                <w:i/>
                <w:iCs/>
                <w:sz w:val="14"/>
                <w:szCs w:val="14"/>
              </w:rPr>
              <w:t>Regulatory Compliance</w:t>
            </w:r>
          </w:p>
        </w:tc>
        <w:tc>
          <w:tcPr>
            <w:tcW w:w="2155" w:type="dxa"/>
          </w:tcPr>
          <w:p w14:paraId="552CFBBF" w14:textId="4AB9F834" w:rsidR="00F20EAE" w:rsidRPr="00F20EAE" w:rsidRDefault="00F20EAE" w:rsidP="00F20EAE">
            <w:pPr>
              <w:rPr>
                <w:rFonts w:ascii="Times New Roman" w:hAnsi="Times New Roman" w:cs="Times New Roman"/>
                <w:sz w:val="14"/>
                <w:szCs w:val="14"/>
              </w:rPr>
            </w:pPr>
            <w:r w:rsidRPr="00F20EAE">
              <w:rPr>
                <w:rFonts w:ascii="Times New Roman" w:hAnsi="Times New Roman" w:cs="Times New Roman"/>
                <w:sz w:val="14"/>
                <w:szCs w:val="14"/>
              </w:rPr>
              <w:t>Regulatory compliance is the process of ensuring that an organization follows the laws, regulations, standards, and rules applicable to its business operations</w:t>
            </w:r>
            <w:r w:rsidR="005D7B10">
              <w:rPr>
                <w:rFonts w:ascii="Times New Roman" w:hAnsi="Times New Roman" w:cs="Times New Roman"/>
                <w:sz w:val="14"/>
                <w:szCs w:val="14"/>
              </w:rPr>
              <w:t xml:space="preserve"> [15]</w:t>
            </w:r>
            <w:r w:rsidRPr="00F20EAE">
              <w:rPr>
                <w:rFonts w:ascii="Times New Roman" w:hAnsi="Times New Roman" w:cs="Times New Roman"/>
                <w:sz w:val="14"/>
                <w:szCs w:val="14"/>
              </w:rPr>
              <w:t>.</w:t>
            </w:r>
          </w:p>
          <w:p w14:paraId="7D519510" w14:textId="77777777" w:rsidR="00D01403" w:rsidRDefault="00D01403" w:rsidP="0035405D">
            <w:pPr>
              <w:rPr>
                <w:rFonts w:ascii="Times New Roman" w:hAnsi="Times New Roman" w:cs="Times New Roman"/>
                <w:sz w:val="14"/>
                <w:szCs w:val="14"/>
              </w:rPr>
            </w:pPr>
          </w:p>
        </w:tc>
      </w:tr>
      <w:tr w:rsidR="00D01403" w14:paraId="5F39F0AE" w14:textId="77777777" w:rsidTr="00EC660C">
        <w:tc>
          <w:tcPr>
            <w:tcW w:w="2155" w:type="dxa"/>
          </w:tcPr>
          <w:p w14:paraId="044B7108" w14:textId="311B4D1F" w:rsidR="00D01403" w:rsidRPr="0066778E" w:rsidRDefault="00EC660C" w:rsidP="0035405D">
            <w:pPr>
              <w:rPr>
                <w:rFonts w:ascii="Times New Roman" w:hAnsi="Times New Roman" w:cs="Times New Roman"/>
                <w:b/>
                <w:bCs/>
                <w:i/>
                <w:iCs/>
                <w:sz w:val="14"/>
                <w:szCs w:val="14"/>
              </w:rPr>
            </w:pPr>
            <w:r w:rsidRPr="0066778E">
              <w:rPr>
                <w:rFonts w:ascii="Times New Roman" w:hAnsi="Times New Roman" w:cs="Times New Roman"/>
                <w:b/>
                <w:bCs/>
                <w:i/>
                <w:iCs/>
                <w:sz w:val="14"/>
                <w:szCs w:val="14"/>
              </w:rPr>
              <w:t>Model Monitoring</w:t>
            </w:r>
          </w:p>
        </w:tc>
        <w:tc>
          <w:tcPr>
            <w:tcW w:w="2155" w:type="dxa"/>
          </w:tcPr>
          <w:p w14:paraId="09C2EE53" w14:textId="6CD588AD" w:rsidR="0066778E" w:rsidRPr="0066778E" w:rsidRDefault="0066778E" w:rsidP="0066778E">
            <w:pPr>
              <w:rPr>
                <w:rFonts w:ascii="Times New Roman" w:hAnsi="Times New Roman" w:cs="Times New Roman"/>
                <w:sz w:val="14"/>
                <w:szCs w:val="14"/>
              </w:rPr>
            </w:pPr>
            <w:r w:rsidRPr="0066778E">
              <w:rPr>
                <w:rFonts w:ascii="Times New Roman" w:hAnsi="Times New Roman" w:cs="Times New Roman"/>
                <w:sz w:val="14"/>
                <w:szCs w:val="14"/>
              </w:rPr>
              <w:t>Model monitoring is the ongoing observation of machine learning models in production to detect performance issues or degradation</w:t>
            </w:r>
            <w:r w:rsidR="005D7B10">
              <w:rPr>
                <w:rFonts w:ascii="Times New Roman" w:hAnsi="Times New Roman" w:cs="Times New Roman"/>
                <w:sz w:val="14"/>
                <w:szCs w:val="14"/>
              </w:rPr>
              <w:t xml:space="preserve"> [16]</w:t>
            </w:r>
            <w:r w:rsidRPr="0066778E">
              <w:rPr>
                <w:rFonts w:ascii="Times New Roman" w:hAnsi="Times New Roman" w:cs="Times New Roman"/>
                <w:sz w:val="14"/>
                <w:szCs w:val="14"/>
              </w:rPr>
              <w:t>.</w:t>
            </w:r>
          </w:p>
          <w:p w14:paraId="5D3BEE83" w14:textId="77777777" w:rsidR="00D01403" w:rsidRDefault="00D01403" w:rsidP="0035405D">
            <w:pPr>
              <w:rPr>
                <w:rFonts w:ascii="Times New Roman" w:hAnsi="Times New Roman" w:cs="Times New Roman"/>
                <w:sz w:val="14"/>
                <w:szCs w:val="14"/>
              </w:rPr>
            </w:pPr>
          </w:p>
        </w:tc>
      </w:tr>
    </w:tbl>
    <w:p w14:paraId="671F0B0B" w14:textId="77777777" w:rsidR="00C26B3B" w:rsidRPr="0035405D" w:rsidRDefault="00C26B3B" w:rsidP="0035405D">
      <w:pPr>
        <w:rPr>
          <w:rFonts w:ascii="Times New Roman" w:hAnsi="Times New Roman" w:cs="Times New Roman"/>
          <w:sz w:val="14"/>
          <w:szCs w:val="14"/>
        </w:rPr>
      </w:pPr>
    </w:p>
    <w:p w14:paraId="3FAFE12B" w14:textId="77777777" w:rsidR="0035405D" w:rsidRPr="0035405D" w:rsidRDefault="00000000" w:rsidP="0035405D">
      <w:pPr>
        <w:rPr>
          <w:rFonts w:ascii="Times New Roman" w:hAnsi="Times New Roman" w:cs="Times New Roman"/>
          <w:sz w:val="18"/>
          <w:szCs w:val="18"/>
        </w:rPr>
      </w:pPr>
      <w:r>
        <w:rPr>
          <w:rFonts w:ascii="Times New Roman" w:hAnsi="Times New Roman" w:cs="Times New Roman"/>
          <w:sz w:val="18"/>
          <w:szCs w:val="18"/>
        </w:rPr>
        <w:pict w14:anchorId="2BBA9444">
          <v:rect id="_x0000_i1026" style="width:0;height:1.5pt" o:hralign="center" o:hrstd="t" o:hr="t" fillcolor="#a0a0a0" stroked="f"/>
        </w:pict>
      </w:r>
    </w:p>
    <w:p w14:paraId="595DFECB" w14:textId="7B3E094C" w:rsidR="0035405D" w:rsidRPr="001C4259" w:rsidRDefault="0035405D" w:rsidP="001C4259">
      <w:pPr>
        <w:pStyle w:val="Heading3"/>
        <w:rPr>
          <w:sz w:val="20"/>
          <w:szCs w:val="20"/>
        </w:rPr>
      </w:pPr>
      <w:r w:rsidRPr="001C4259">
        <w:rPr>
          <w:sz w:val="20"/>
          <w:szCs w:val="20"/>
        </w:rPr>
        <w:t>INTRODUCTION</w:t>
      </w:r>
    </w:p>
    <w:p w14:paraId="0604993A" w14:textId="1996C862"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ARTIFICIAL INTELLIGENCE has transitioned from experimental technology to core business infrastructure. Financial institutions now rely on machine learning models for credit scoring, fraud detection, and algorithmic trading. Healthcare providers deploy AI systems for diagnostic assistance, treatment planning, and patient monitoring. Manufacturers implement predictive maintenance, quality control, and supply chain optimization through AI. Retailers personalize customer experiences, manage inventory, and forecast demand using machine learning algorithms</w:t>
      </w:r>
      <w:r w:rsidR="00B87709">
        <w:rPr>
          <w:rFonts w:ascii="Times New Roman" w:hAnsi="Times New Roman" w:cs="Times New Roman"/>
          <w:sz w:val="18"/>
          <w:szCs w:val="18"/>
        </w:rPr>
        <w:t xml:space="preserve"> </w:t>
      </w:r>
      <w:r w:rsidR="00AC624E">
        <w:rPr>
          <w:rFonts w:ascii="Times New Roman" w:hAnsi="Times New Roman" w:cs="Times New Roman"/>
          <w:sz w:val="18"/>
          <w:szCs w:val="18"/>
        </w:rPr>
        <w:t>[</w:t>
      </w:r>
      <w:r w:rsidR="00AE437C">
        <w:rPr>
          <w:rFonts w:ascii="Times New Roman" w:hAnsi="Times New Roman" w:cs="Times New Roman"/>
          <w:sz w:val="18"/>
          <w:szCs w:val="18"/>
        </w:rPr>
        <w:t>1</w:t>
      </w:r>
      <w:r w:rsidR="00AC624E">
        <w:rPr>
          <w:rFonts w:ascii="Times New Roman" w:hAnsi="Times New Roman" w:cs="Times New Roman"/>
          <w:sz w:val="18"/>
          <w:szCs w:val="18"/>
        </w:rPr>
        <w:t>]</w:t>
      </w:r>
      <w:r w:rsidRPr="0035405D">
        <w:rPr>
          <w:rFonts w:ascii="Times New Roman" w:hAnsi="Times New Roman" w:cs="Times New Roman"/>
          <w:sz w:val="18"/>
          <w:szCs w:val="18"/>
        </w:rPr>
        <w:t>.</w:t>
      </w:r>
    </w:p>
    <w:p w14:paraId="7976F3A0" w14:textId="2E7E5AD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This widespread adoption creates substantial value but introduces risks fundamentally different from those associated with conventional software systems. When a traditional application fails, investigators can trace the cause to specific code, configuration errors, or input validation failures. When an AI system fails, the cause may lie in training data biases, model architecture limitations, deployment context mismatches, or gradual performance degradation that escapes immediate detection</w:t>
      </w:r>
      <w:r w:rsidR="00B87709">
        <w:rPr>
          <w:rFonts w:ascii="Times New Roman" w:hAnsi="Times New Roman" w:cs="Times New Roman"/>
          <w:sz w:val="18"/>
          <w:szCs w:val="18"/>
        </w:rPr>
        <w:t xml:space="preserve"> [</w:t>
      </w:r>
      <w:r w:rsidR="00BE2C58">
        <w:rPr>
          <w:rFonts w:ascii="Times New Roman" w:hAnsi="Times New Roman" w:cs="Times New Roman"/>
          <w:sz w:val="18"/>
          <w:szCs w:val="18"/>
        </w:rPr>
        <w:t>2</w:t>
      </w:r>
      <w:r w:rsidR="00B87709">
        <w:rPr>
          <w:rFonts w:ascii="Times New Roman" w:hAnsi="Times New Roman" w:cs="Times New Roman"/>
          <w:sz w:val="18"/>
          <w:szCs w:val="18"/>
        </w:rPr>
        <w:t>]</w:t>
      </w:r>
      <w:r w:rsidRPr="0035405D">
        <w:rPr>
          <w:rFonts w:ascii="Times New Roman" w:hAnsi="Times New Roman" w:cs="Times New Roman"/>
          <w:sz w:val="18"/>
          <w:szCs w:val="18"/>
        </w:rPr>
        <w:t>.</w:t>
      </w:r>
    </w:p>
    <w:p w14:paraId="636D2BBF" w14:textId="5E80B9FF"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 xml:space="preserve">Consider a practical example. A regional bank deploys a machine learning model to automate small business loan approvals. During validation, the model achieves 92% accuracy on historical data. Six months after deployment, the bank notices declining loan performance and discovers </w:t>
      </w:r>
      <w:r w:rsidRPr="0035405D">
        <w:rPr>
          <w:rFonts w:ascii="Times New Roman" w:hAnsi="Times New Roman" w:cs="Times New Roman"/>
          <w:sz w:val="18"/>
          <w:szCs w:val="18"/>
        </w:rPr>
        <w:lastRenderedPageBreak/>
        <w:t>that the model has been systematically denying applications from women-owned businesses. Investigation reveals that the training data reflected historical lending patterns where women-owned businesses received fewer loans due to branch manager biases, and the model learned to perpetuate these patterns</w:t>
      </w:r>
      <w:r w:rsidR="00BE2C58">
        <w:rPr>
          <w:rFonts w:ascii="Times New Roman" w:hAnsi="Times New Roman" w:cs="Times New Roman"/>
          <w:sz w:val="18"/>
          <w:szCs w:val="18"/>
        </w:rPr>
        <w:t xml:space="preserve"> [3]</w:t>
      </w:r>
      <w:r w:rsidRPr="0035405D">
        <w:rPr>
          <w:rFonts w:ascii="Times New Roman" w:hAnsi="Times New Roman" w:cs="Times New Roman"/>
          <w:sz w:val="18"/>
          <w:szCs w:val="18"/>
        </w:rPr>
        <w:t>. The bank faces regulatory sanctions, reputational damage, and potential litigation.</w:t>
      </w:r>
    </w:p>
    <w:p w14:paraId="6E342A81" w14:textId="13BD8A93"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This scenario illustrates why AI governance cannot simply extend existing IT governance frameworks. The model performed exactly as designed based on its training data. No traditional control would have detected the problem because no explicit rule discriminated against women. The failure lay not in the code but in the data and the learning process</w:t>
      </w:r>
      <w:r w:rsidR="00047A57">
        <w:rPr>
          <w:rFonts w:ascii="Times New Roman" w:hAnsi="Times New Roman" w:cs="Times New Roman"/>
          <w:sz w:val="18"/>
          <w:szCs w:val="18"/>
        </w:rPr>
        <w:t xml:space="preserve"> [2]</w:t>
      </w:r>
      <w:r w:rsidRPr="0035405D">
        <w:rPr>
          <w:rFonts w:ascii="Times New Roman" w:hAnsi="Times New Roman" w:cs="Times New Roman"/>
          <w:sz w:val="18"/>
          <w:szCs w:val="18"/>
        </w:rPr>
        <w:t>.</w:t>
      </w:r>
    </w:p>
    <w:p w14:paraId="624F9B2F" w14:textId="681FB7FB"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Regulatory responses have accelerated globally. The European Union's AI Act establishes binding requirements including risk classification, conformity assessments, transparency obligations, and human oversight</w:t>
      </w:r>
      <w:r w:rsidR="001A4A82">
        <w:rPr>
          <w:rFonts w:ascii="Times New Roman" w:hAnsi="Times New Roman" w:cs="Times New Roman"/>
          <w:sz w:val="18"/>
          <w:szCs w:val="18"/>
        </w:rPr>
        <w:t xml:space="preserve"> [4]</w:t>
      </w:r>
      <w:r w:rsidRPr="0035405D">
        <w:rPr>
          <w:rFonts w:ascii="Times New Roman" w:hAnsi="Times New Roman" w:cs="Times New Roman"/>
          <w:sz w:val="18"/>
          <w:szCs w:val="18"/>
        </w:rPr>
        <w:t>. China's algorithmic recommendation regulations require explainability and user control. The United States NIST AI Risk Management Framework provides comprehensive guidance for identifying and mitigating AI risks</w:t>
      </w:r>
      <w:r w:rsidR="001A4A82">
        <w:rPr>
          <w:rFonts w:ascii="Times New Roman" w:hAnsi="Times New Roman" w:cs="Times New Roman"/>
          <w:sz w:val="18"/>
          <w:szCs w:val="18"/>
        </w:rPr>
        <w:t xml:space="preserve"> [5]</w:t>
      </w:r>
      <w:r w:rsidRPr="0035405D">
        <w:rPr>
          <w:rFonts w:ascii="Times New Roman" w:hAnsi="Times New Roman" w:cs="Times New Roman"/>
          <w:sz w:val="18"/>
          <w:szCs w:val="18"/>
        </w:rPr>
        <w:t>. Even without specific AI legislation, existing consumer protection, privacy, and anti-discrimination laws apply to algorithmic systems</w:t>
      </w:r>
      <w:r w:rsidR="001A4A82">
        <w:rPr>
          <w:rFonts w:ascii="Times New Roman" w:hAnsi="Times New Roman" w:cs="Times New Roman"/>
          <w:sz w:val="18"/>
          <w:szCs w:val="18"/>
        </w:rPr>
        <w:t xml:space="preserve"> [6]</w:t>
      </w:r>
      <w:r w:rsidRPr="0035405D">
        <w:rPr>
          <w:rFonts w:ascii="Times New Roman" w:hAnsi="Times New Roman" w:cs="Times New Roman"/>
          <w:sz w:val="18"/>
          <w:szCs w:val="18"/>
        </w:rPr>
        <w:t>.</w:t>
      </w:r>
    </w:p>
    <w:p w14:paraId="230151E3" w14:textId="0FEDBFC5"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Despite this regulatory momentum, most organizations lack systematic AI governance. Industry surveys indicate that fewer than one in three organizations have implemented comprehensive governance programs, despite widespread recognition of AI risks</w:t>
      </w:r>
      <w:r w:rsidR="005A2BB3">
        <w:rPr>
          <w:rFonts w:ascii="Times New Roman" w:hAnsi="Times New Roman" w:cs="Times New Roman"/>
          <w:sz w:val="18"/>
          <w:szCs w:val="18"/>
        </w:rPr>
        <w:t xml:space="preserve"> [1]</w:t>
      </w:r>
      <w:r w:rsidRPr="0035405D">
        <w:rPr>
          <w:rFonts w:ascii="Times New Roman" w:hAnsi="Times New Roman" w:cs="Times New Roman"/>
          <w:sz w:val="18"/>
          <w:szCs w:val="18"/>
        </w:rPr>
        <w:t>. This governance gap exposes organizations to regulatory penalties, reputational damage, operational failures, and loss of stakeholder trust.</w:t>
      </w:r>
    </w:p>
    <w:p w14:paraId="04AF35F4"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This paper addresses how organizations can establish effective AI governance that manages risks while preserving innovation capacity. We synthesize industry practices, regulatory requirements, and technical research to propose an integrated framework applicable across organizational contexts.</w:t>
      </w:r>
    </w:p>
    <w:p w14:paraId="50B585DD" w14:textId="61271D52" w:rsidR="0035405D" w:rsidRPr="00740FD4" w:rsidRDefault="0035405D" w:rsidP="00740FD4">
      <w:pPr>
        <w:pStyle w:val="Heading3"/>
        <w:rPr>
          <w:sz w:val="20"/>
          <w:szCs w:val="20"/>
        </w:rPr>
      </w:pPr>
      <w:r w:rsidRPr="00740FD4">
        <w:rPr>
          <w:sz w:val="20"/>
          <w:szCs w:val="20"/>
        </w:rPr>
        <w:t>UNDERSTANDING AI-SPECIFIC RISKS</w:t>
      </w:r>
    </w:p>
    <w:p w14:paraId="5EDD6047"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Effective governance requires understanding the unique risks that AI systems present. These risks stem from fundamental characteristics that distinguish AI from conventional software.</w:t>
      </w:r>
    </w:p>
    <w:p w14:paraId="6DC35A55"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A. Opacity and Explainability Challenges</w:t>
      </w:r>
    </w:p>
    <w:p w14:paraId="7A6D6736" w14:textId="063FCC5A"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Many powerful AI techniques operate as black boxes. Deep neural networks with millions of parameters make decisions through complex interactions that even their developers cannot fully explain</w:t>
      </w:r>
      <w:r w:rsidR="008B78D0">
        <w:rPr>
          <w:rFonts w:ascii="Times New Roman" w:hAnsi="Times New Roman" w:cs="Times New Roman"/>
          <w:sz w:val="18"/>
          <w:szCs w:val="18"/>
        </w:rPr>
        <w:t xml:space="preserve"> [7]</w:t>
      </w:r>
      <w:r w:rsidRPr="0035405D">
        <w:rPr>
          <w:rFonts w:ascii="Times New Roman" w:hAnsi="Times New Roman" w:cs="Times New Roman"/>
          <w:sz w:val="18"/>
          <w:szCs w:val="18"/>
        </w:rPr>
        <w:t xml:space="preserve">. Ensemble methods combine multiple models in ways that obscure individual </w:t>
      </w:r>
      <w:r w:rsidRPr="0035405D">
        <w:rPr>
          <w:rFonts w:ascii="Times New Roman" w:hAnsi="Times New Roman" w:cs="Times New Roman"/>
          <w:sz w:val="18"/>
          <w:szCs w:val="18"/>
        </w:rPr>
        <w:t>contributions. Reinforcement learning agents develop strategies that emerge from trial and error rather than explicit design</w:t>
      </w:r>
      <w:r w:rsidR="00D25DDD">
        <w:rPr>
          <w:rFonts w:ascii="Times New Roman" w:hAnsi="Times New Roman" w:cs="Times New Roman"/>
          <w:sz w:val="18"/>
          <w:szCs w:val="18"/>
        </w:rPr>
        <w:t xml:space="preserve"> [8]</w:t>
      </w:r>
      <w:r w:rsidRPr="0035405D">
        <w:rPr>
          <w:rFonts w:ascii="Times New Roman" w:hAnsi="Times New Roman" w:cs="Times New Roman"/>
          <w:sz w:val="18"/>
          <w:szCs w:val="18"/>
        </w:rPr>
        <w:t>.</w:t>
      </w:r>
    </w:p>
    <w:p w14:paraId="521D7807" w14:textId="5B546FFB"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This opacity creates governance challenges across multiple dimensions. Regulatory compliance becomes difficult when regulations require meaningful explanations for automated decisions. The EU General Data Protection Regulation grants individuals the right not to be subject to decisions based solely on automated processing without meaningful explanation</w:t>
      </w:r>
      <w:r w:rsidR="00D25DDD">
        <w:rPr>
          <w:rFonts w:ascii="Times New Roman" w:hAnsi="Times New Roman" w:cs="Times New Roman"/>
          <w:sz w:val="18"/>
          <w:szCs w:val="18"/>
        </w:rPr>
        <w:t xml:space="preserve"> [6]</w:t>
      </w:r>
      <w:r w:rsidRPr="0035405D">
        <w:rPr>
          <w:rFonts w:ascii="Times New Roman" w:hAnsi="Times New Roman" w:cs="Times New Roman"/>
          <w:sz w:val="18"/>
          <w:szCs w:val="18"/>
        </w:rPr>
        <w:t>. Without explainable models, organizations cannot satisfy this requirement.</w:t>
      </w:r>
    </w:p>
    <w:p w14:paraId="4F9296A8" w14:textId="7B4D5C18"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Incident investigation becomes problematic when failures occur. If a diagnostic model misclassifies a medical image, understanding why requires tracing the decision path through the model's internal representations</w:t>
      </w:r>
      <w:r w:rsidR="00D25DDD">
        <w:rPr>
          <w:rFonts w:ascii="Times New Roman" w:hAnsi="Times New Roman" w:cs="Times New Roman"/>
          <w:sz w:val="18"/>
          <w:szCs w:val="18"/>
        </w:rPr>
        <w:t xml:space="preserve"> [7]</w:t>
      </w:r>
      <w:r w:rsidRPr="0035405D">
        <w:rPr>
          <w:rFonts w:ascii="Times New Roman" w:hAnsi="Times New Roman" w:cs="Times New Roman"/>
          <w:sz w:val="18"/>
          <w:szCs w:val="18"/>
        </w:rPr>
        <w:t>. Opacity impedes root cause analysis and prevents organizations from learning from failures.</w:t>
      </w:r>
    </w:p>
    <w:p w14:paraId="45AA9D5F" w14:textId="36E1F7B6" w:rsid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Stakeholder trust suffers when decisions cannot be explained. Customers denied loans, patients given diagnoses, and job applicants rejected all deserve explanations. Organizations that cannot provide them struggle to maintain trust</w:t>
      </w:r>
      <w:r w:rsidR="00387D67">
        <w:rPr>
          <w:rFonts w:ascii="Times New Roman" w:hAnsi="Times New Roman" w:cs="Times New Roman"/>
          <w:sz w:val="18"/>
          <w:szCs w:val="18"/>
        </w:rPr>
        <w:t xml:space="preserve"> [3]</w:t>
      </w:r>
      <w:r w:rsidRPr="0035405D">
        <w:rPr>
          <w:rFonts w:ascii="Times New Roman" w:hAnsi="Times New Roman" w:cs="Times New Roman"/>
          <w:sz w:val="18"/>
          <w:szCs w:val="18"/>
        </w:rPr>
        <w:t>.</w:t>
      </w:r>
    </w:p>
    <w:p w14:paraId="314A1F57" w14:textId="09910F10" w:rsidR="00F847D8" w:rsidRDefault="00EF3F42" w:rsidP="0035405D">
      <w:pPr>
        <w:rPr>
          <w:rFonts w:ascii="Times New Roman" w:hAnsi="Times New Roman" w:cs="Times New Roman"/>
          <w:sz w:val="18"/>
          <w:szCs w:val="18"/>
        </w:rPr>
      </w:pPr>
      <w:r>
        <w:rPr>
          <w:rFonts w:ascii="Times New Roman" w:hAnsi="Times New Roman" w:cs="Times New Roman"/>
          <w:noProof/>
          <w:sz w:val="18"/>
          <w:szCs w:val="18"/>
        </w:rPr>
        <w:drawing>
          <wp:inline distT="0" distB="0" distL="0" distR="0" wp14:anchorId="1CFB9CA0" wp14:editId="425DE36C">
            <wp:extent cx="2743200" cy="1555750"/>
            <wp:effectExtent l="0" t="0" r="0" b="6350"/>
            <wp:docPr id="1934367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36749" name="Picture 193436749"/>
                    <pic:cNvPicPr/>
                  </pic:nvPicPr>
                  <pic:blipFill>
                    <a:blip r:embed="rId10">
                      <a:extLst>
                        <a:ext uri="{28A0092B-C50C-407E-A947-70E740481C1C}">
                          <a14:useLocalDpi xmlns:a14="http://schemas.microsoft.com/office/drawing/2010/main" val="0"/>
                        </a:ext>
                      </a:extLst>
                    </a:blip>
                    <a:stretch>
                      <a:fillRect/>
                    </a:stretch>
                  </pic:blipFill>
                  <pic:spPr>
                    <a:xfrm>
                      <a:off x="0" y="0"/>
                      <a:ext cx="2743200" cy="1555750"/>
                    </a:xfrm>
                    <a:prstGeom prst="rect">
                      <a:avLst/>
                    </a:prstGeom>
                  </pic:spPr>
                </pic:pic>
              </a:graphicData>
            </a:graphic>
          </wp:inline>
        </w:drawing>
      </w:r>
    </w:p>
    <w:p w14:paraId="13EF858A" w14:textId="491D9076" w:rsidR="00E312D3" w:rsidRPr="00E312D3" w:rsidRDefault="00E312D3" w:rsidP="00E312D3">
      <w:pPr>
        <w:ind w:left="1440"/>
        <w:rPr>
          <w:rFonts w:ascii="Times New Roman" w:hAnsi="Times New Roman" w:cs="Times New Roman"/>
          <w:i/>
          <w:iCs/>
          <w:sz w:val="18"/>
          <w:szCs w:val="18"/>
        </w:rPr>
      </w:pPr>
      <w:r>
        <w:rPr>
          <w:rFonts w:ascii="Times New Roman" w:hAnsi="Times New Roman" w:cs="Times New Roman"/>
          <w:sz w:val="18"/>
          <w:szCs w:val="18"/>
        </w:rPr>
        <w:t xml:space="preserve">           </w:t>
      </w:r>
      <w:r w:rsidRPr="00E312D3">
        <w:rPr>
          <w:rFonts w:ascii="Times New Roman" w:hAnsi="Times New Roman" w:cs="Times New Roman"/>
          <w:i/>
          <w:iCs/>
          <w:color w:val="4C94D8" w:themeColor="text2" w:themeTint="80"/>
          <w:sz w:val="18"/>
          <w:szCs w:val="18"/>
        </w:rPr>
        <w:t>Figure 1</w:t>
      </w:r>
    </w:p>
    <w:p w14:paraId="3D642665"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B. Bias and Fairness Risks</w:t>
      </w:r>
    </w:p>
    <w:p w14:paraId="4621C536" w14:textId="4D574361"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AI systems learn from historical data, which often encodes societal biases and historical inequities. A hiring model trained on resume data from a company with historical gender disparities will learn patterns reflecting those disparities. A credit scoring model trained on biased lending data will perpetuate redlining practices</w:t>
      </w:r>
      <w:r w:rsidR="00387D67">
        <w:rPr>
          <w:rFonts w:ascii="Times New Roman" w:hAnsi="Times New Roman" w:cs="Times New Roman"/>
          <w:sz w:val="18"/>
          <w:szCs w:val="18"/>
        </w:rPr>
        <w:t xml:space="preserve"> [3]</w:t>
      </w:r>
      <w:r w:rsidRPr="0035405D">
        <w:rPr>
          <w:rFonts w:ascii="Times New Roman" w:hAnsi="Times New Roman" w:cs="Times New Roman"/>
          <w:sz w:val="18"/>
          <w:szCs w:val="18"/>
        </w:rPr>
        <w:t>. A predictive policing model trained on arrest data will amplify over-policing in marginalized communities</w:t>
      </w:r>
      <w:r w:rsidR="00FC2237">
        <w:rPr>
          <w:rFonts w:ascii="Times New Roman" w:hAnsi="Times New Roman" w:cs="Times New Roman"/>
          <w:sz w:val="18"/>
          <w:szCs w:val="18"/>
        </w:rPr>
        <w:t xml:space="preserve"> [2]</w:t>
      </w:r>
      <w:r w:rsidRPr="0035405D">
        <w:rPr>
          <w:rFonts w:ascii="Times New Roman" w:hAnsi="Times New Roman" w:cs="Times New Roman"/>
          <w:sz w:val="18"/>
          <w:szCs w:val="18"/>
        </w:rPr>
        <w:t>.</w:t>
      </w:r>
    </w:p>
    <w:p w14:paraId="18977E43" w14:textId="29B537EB" w:rsid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Bias manifests through multiple pathways. Data bias occurs when training data underrepresents certain groups, overrepresents others, or reflects historical discrimination</w:t>
      </w:r>
      <w:r w:rsidR="00FC2237">
        <w:rPr>
          <w:rFonts w:ascii="Times New Roman" w:hAnsi="Times New Roman" w:cs="Times New Roman"/>
          <w:sz w:val="18"/>
          <w:szCs w:val="18"/>
        </w:rPr>
        <w:t xml:space="preserve"> [3]</w:t>
      </w:r>
      <w:r w:rsidRPr="0035405D">
        <w:rPr>
          <w:rFonts w:ascii="Times New Roman" w:hAnsi="Times New Roman" w:cs="Times New Roman"/>
          <w:sz w:val="18"/>
          <w:szCs w:val="18"/>
        </w:rPr>
        <w:t xml:space="preserve">. Label bias occurs when human-generated training labels encode subjective judgments that reflect annotator biases. Algorithmic bias occurs when model architectures </w:t>
      </w:r>
      <w:r w:rsidRPr="0035405D">
        <w:rPr>
          <w:rFonts w:ascii="Times New Roman" w:hAnsi="Times New Roman" w:cs="Times New Roman"/>
          <w:sz w:val="18"/>
          <w:szCs w:val="18"/>
        </w:rPr>
        <w:lastRenderedPageBreak/>
        <w:t>and optimization objectives amplify disparities present in data</w:t>
      </w:r>
      <w:r w:rsidR="00E13FEA">
        <w:rPr>
          <w:rFonts w:ascii="Times New Roman" w:hAnsi="Times New Roman" w:cs="Times New Roman"/>
          <w:sz w:val="18"/>
          <w:szCs w:val="18"/>
        </w:rPr>
        <w:t xml:space="preserve"> [6]</w:t>
      </w:r>
      <w:r w:rsidRPr="0035405D">
        <w:rPr>
          <w:rFonts w:ascii="Times New Roman" w:hAnsi="Times New Roman" w:cs="Times New Roman"/>
          <w:sz w:val="18"/>
          <w:szCs w:val="18"/>
        </w:rPr>
        <w:t>. Deployment bias occurs when unbiased models produce biased outcomes due to differences between training and deployment contexts</w:t>
      </w:r>
      <w:r w:rsidR="00E13FEA">
        <w:rPr>
          <w:rFonts w:ascii="Times New Roman" w:hAnsi="Times New Roman" w:cs="Times New Roman"/>
          <w:sz w:val="18"/>
          <w:szCs w:val="18"/>
        </w:rPr>
        <w:t xml:space="preserve"> [2]</w:t>
      </w:r>
      <w:r w:rsidRPr="0035405D">
        <w:rPr>
          <w:rFonts w:ascii="Times New Roman" w:hAnsi="Times New Roman" w:cs="Times New Roman"/>
          <w:sz w:val="18"/>
          <w:szCs w:val="18"/>
        </w:rPr>
        <w:t>.</w:t>
      </w:r>
    </w:p>
    <w:p w14:paraId="27265417" w14:textId="0C420F6E" w:rsidR="00A95447" w:rsidRDefault="00A95447" w:rsidP="0035405D">
      <w:pPr>
        <w:rPr>
          <w:rFonts w:ascii="Times New Roman" w:hAnsi="Times New Roman" w:cs="Times New Roman"/>
          <w:sz w:val="18"/>
          <w:szCs w:val="18"/>
        </w:rPr>
      </w:pPr>
      <w:r>
        <w:rPr>
          <w:rFonts w:ascii="Times New Roman" w:hAnsi="Times New Roman" w:cs="Times New Roman"/>
          <w:noProof/>
          <w:sz w:val="18"/>
          <w:szCs w:val="18"/>
        </w:rPr>
        <w:drawing>
          <wp:inline distT="0" distB="0" distL="0" distR="0" wp14:anchorId="5D56B65E" wp14:editId="47D2668E">
            <wp:extent cx="2743200" cy="1371600"/>
            <wp:effectExtent l="0" t="0" r="0" b="0"/>
            <wp:docPr id="9754382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438247" name="Picture 97543824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43200" cy="1371600"/>
                    </a:xfrm>
                    <a:prstGeom prst="rect">
                      <a:avLst/>
                    </a:prstGeom>
                  </pic:spPr>
                </pic:pic>
              </a:graphicData>
            </a:graphic>
          </wp:inline>
        </w:drawing>
      </w:r>
    </w:p>
    <w:p w14:paraId="184DE65A" w14:textId="2789E479" w:rsidR="00E312D3" w:rsidRPr="00E312D3" w:rsidRDefault="00E312D3" w:rsidP="00E312D3">
      <w:pPr>
        <w:ind w:left="720" w:firstLine="720"/>
        <w:rPr>
          <w:rFonts w:ascii="Times New Roman" w:hAnsi="Times New Roman" w:cs="Times New Roman"/>
          <w:i/>
          <w:iCs/>
          <w:sz w:val="18"/>
          <w:szCs w:val="18"/>
        </w:rPr>
      </w:pPr>
      <w:r w:rsidRPr="00E312D3">
        <w:rPr>
          <w:rFonts w:ascii="Times New Roman" w:hAnsi="Times New Roman" w:cs="Times New Roman"/>
          <w:i/>
          <w:iCs/>
          <w:sz w:val="18"/>
          <w:szCs w:val="18"/>
        </w:rPr>
        <w:t xml:space="preserve">          </w:t>
      </w:r>
      <w:r w:rsidRPr="00E312D3">
        <w:rPr>
          <w:rFonts w:ascii="Times New Roman" w:hAnsi="Times New Roman" w:cs="Times New Roman"/>
          <w:i/>
          <w:iCs/>
          <w:color w:val="4C94D8" w:themeColor="text2" w:themeTint="80"/>
          <w:sz w:val="18"/>
          <w:szCs w:val="18"/>
        </w:rPr>
        <w:t>Figure 2</w:t>
      </w:r>
    </w:p>
    <w:p w14:paraId="06D39B6C"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C. Model Drift and Performance Degradation</w:t>
      </w:r>
    </w:p>
    <w:p w14:paraId="7EFE31DB" w14:textId="36A084C2"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Unlike static software, machine learning models degrade over time. Concept drift occurs when the statistical properties of the target variable change</w:t>
      </w:r>
      <w:r w:rsidR="00E13FEA">
        <w:rPr>
          <w:rFonts w:ascii="Times New Roman" w:hAnsi="Times New Roman" w:cs="Times New Roman"/>
          <w:sz w:val="18"/>
          <w:szCs w:val="18"/>
        </w:rPr>
        <w:t xml:space="preserve"> [9]</w:t>
      </w:r>
      <w:r w:rsidRPr="0035405D">
        <w:rPr>
          <w:rFonts w:ascii="Times New Roman" w:hAnsi="Times New Roman" w:cs="Times New Roman"/>
          <w:sz w:val="18"/>
          <w:szCs w:val="18"/>
        </w:rPr>
        <w:t>. Consumer spending patterns shift during economic disruption. Disease prevalence changes during epidemics. User preferences evolve with cultural trends</w:t>
      </w:r>
      <w:r w:rsidR="00E13FEA">
        <w:rPr>
          <w:rFonts w:ascii="Times New Roman" w:hAnsi="Times New Roman" w:cs="Times New Roman"/>
          <w:sz w:val="18"/>
          <w:szCs w:val="18"/>
        </w:rPr>
        <w:t xml:space="preserve"> [1]</w:t>
      </w:r>
      <w:r w:rsidRPr="0035405D">
        <w:rPr>
          <w:rFonts w:ascii="Times New Roman" w:hAnsi="Times New Roman" w:cs="Times New Roman"/>
          <w:sz w:val="18"/>
          <w:szCs w:val="18"/>
        </w:rPr>
        <w:t>.</w:t>
      </w:r>
    </w:p>
    <w:p w14:paraId="78CBA487" w14:textId="59C55D93"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Data drift occurs when the distribution of input features changes. New customer demographics differ from historical populations. Sensor characteristics change with equipment aging. Document formats evolve with new technologies</w:t>
      </w:r>
      <w:r w:rsidR="00E13FEA">
        <w:rPr>
          <w:rFonts w:ascii="Times New Roman" w:hAnsi="Times New Roman" w:cs="Times New Roman"/>
          <w:sz w:val="18"/>
          <w:szCs w:val="18"/>
        </w:rPr>
        <w:t xml:space="preserve"> [10]</w:t>
      </w:r>
      <w:r w:rsidRPr="0035405D">
        <w:rPr>
          <w:rFonts w:ascii="Times New Roman" w:hAnsi="Times New Roman" w:cs="Times New Roman"/>
          <w:sz w:val="18"/>
          <w:szCs w:val="18"/>
        </w:rPr>
        <w:t>.</w:t>
      </w:r>
    </w:p>
    <w:p w14:paraId="0CFA8393" w14:textId="77777777" w:rsidR="0025469B"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 xml:space="preserve">Drift causes models to produce increasingly inaccurate predictions, yet these failures often occur gradually. A fraud </w:t>
      </w:r>
    </w:p>
    <w:p w14:paraId="3773C68E" w14:textId="68EDFC72"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detection model may maintain high overall accuracy while missing new fraud patterns. A recommendation engine may become progressively less relevant without any single failure triggering investigation</w:t>
      </w:r>
      <w:r w:rsidR="00CB763C">
        <w:rPr>
          <w:rFonts w:ascii="Times New Roman" w:hAnsi="Times New Roman" w:cs="Times New Roman"/>
          <w:sz w:val="18"/>
          <w:szCs w:val="18"/>
        </w:rPr>
        <w:t xml:space="preserve"> [9]</w:t>
      </w:r>
      <w:r w:rsidRPr="0035405D">
        <w:rPr>
          <w:rFonts w:ascii="Times New Roman" w:hAnsi="Times New Roman" w:cs="Times New Roman"/>
          <w:sz w:val="18"/>
          <w:szCs w:val="18"/>
        </w:rPr>
        <w:t>.</w:t>
      </w:r>
    </w:p>
    <w:p w14:paraId="129AF862" w14:textId="77777777" w:rsidR="00EF7160" w:rsidRDefault="00EF7160" w:rsidP="0035405D">
      <w:pPr>
        <w:rPr>
          <w:rFonts w:ascii="Times New Roman" w:hAnsi="Times New Roman" w:cs="Times New Roman"/>
          <w:b/>
          <w:bCs/>
          <w:i/>
          <w:iCs/>
          <w:sz w:val="18"/>
          <w:szCs w:val="18"/>
        </w:rPr>
        <w:sectPr w:rsidR="00EF7160" w:rsidSect="00EF7160">
          <w:type w:val="continuous"/>
          <w:pgSz w:w="12240" w:h="15840"/>
          <w:pgMar w:top="1440" w:right="1440" w:bottom="1440" w:left="1440" w:header="720" w:footer="720" w:gutter="0"/>
          <w:pgNumType w:start="0"/>
          <w:cols w:num="2" w:space="720"/>
          <w:titlePg/>
          <w:docGrid w:linePitch="360"/>
        </w:sectPr>
      </w:pPr>
    </w:p>
    <w:p w14:paraId="6F9504A2"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D. Security Vulnerabilities</w:t>
      </w:r>
    </w:p>
    <w:p w14:paraId="35E01B4E" w14:textId="77777777" w:rsidR="008B1253" w:rsidRDefault="008B1253" w:rsidP="0035405D">
      <w:pPr>
        <w:rPr>
          <w:rFonts w:ascii="Times New Roman" w:hAnsi="Times New Roman" w:cs="Times New Roman"/>
          <w:sz w:val="18"/>
          <w:szCs w:val="18"/>
        </w:rPr>
        <w:sectPr w:rsidR="008B1253" w:rsidSect="00EF7160">
          <w:type w:val="continuous"/>
          <w:pgSz w:w="12240" w:h="15840"/>
          <w:pgMar w:top="1440" w:right="1440" w:bottom="1440" w:left="1440" w:header="720" w:footer="720" w:gutter="0"/>
          <w:pgNumType w:start="0"/>
          <w:cols w:space="720"/>
          <w:titlePg/>
          <w:docGrid w:linePitch="360"/>
        </w:sectPr>
      </w:pPr>
    </w:p>
    <w:p w14:paraId="42DFACE5" w14:textId="7B35FCE6"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 xml:space="preserve">AI systems face security threats </w:t>
      </w:r>
      <w:r w:rsidR="00CF0A41" w:rsidRPr="0035405D">
        <w:rPr>
          <w:rFonts w:ascii="Times New Roman" w:hAnsi="Times New Roman" w:cs="Times New Roman"/>
          <w:sz w:val="18"/>
          <w:szCs w:val="18"/>
        </w:rPr>
        <w:t>distinctly</w:t>
      </w:r>
      <w:r w:rsidRPr="0035405D">
        <w:rPr>
          <w:rFonts w:ascii="Times New Roman" w:hAnsi="Times New Roman" w:cs="Times New Roman"/>
          <w:sz w:val="18"/>
          <w:szCs w:val="18"/>
        </w:rPr>
        <w:t xml:space="preserve"> from conventional software. Data poisoning occurs when attackers corrupt training data to manipulate model behavior</w:t>
      </w:r>
      <w:r w:rsidR="0025469B">
        <w:rPr>
          <w:rFonts w:ascii="Times New Roman" w:hAnsi="Times New Roman" w:cs="Times New Roman"/>
          <w:sz w:val="18"/>
          <w:szCs w:val="18"/>
        </w:rPr>
        <w:t xml:space="preserve"> [8]</w:t>
      </w:r>
      <w:r w:rsidRPr="0035405D">
        <w:rPr>
          <w:rFonts w:ascii="Times New Roman" w:hAnsi="Times New Roman" w:cs="Times New Roman"/>
          <w:sz w:val="18"/>
          <w:szCs w:val="18"/>
        </w:rPr>
        <w:t>. A spam filter trained on poisoned data may learn to classify legitimate emails as spam while allowing malicious messages through.</w:t>
      </w:r>
    </w:p>
    <w:p w14:paraId="19F8925A" w14:textId="560E4D74"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Model inversion attacks allow adversaries to extract training data from models, potentially exposing sensitive information</w:t>
      </w:r>
      <w:r w:rsidR="00936E2A">
        <w:rPr>
          <w:rFonts w:ascii="Times New Roman" w:hAnsi="Times New Roman" w:cs="Times New Roman"/>
          <w:sz w:val="18"/>
          <w:szCs w:val="18"/>
        </w:rPr>
        <w:t xml:space="preserve"> [7]</w:t>
      </w:r>
      <w:r w:rsidRPr="0035405D">
        <w:rPr>
          <w:rFonts w:ascii="Times New Roman" w:hAnsi="Times New Roman" w:cs="Times New Roman"/>
          <w:sz w:val="18"/>
          <w:szCs w:val="18"/>
        </w:rPr>
        <w:t>. If a medical diagnosis model was trained on patient records, attackers might reconstruct individual patient data through repeated queries.</w:t>
      </w:r>
    </w:p>
    <w:p w14:paraId="71845FBA" w14:textId="77777777" w:rsidR="008B1253" w:rsidRDefault="008B1253" w:rsidP="0035405D">
      <w:pPr>
        <w:rPr>
          <w:rFonts w:ascii="Times New Roman" w:hAnsi="Times New Roman" w:cs="Times New Roman"/>
          <w:sz w:val="18"/>
          <w:szCs w:val="18"/>
        </w:rPr>
        <w:sectPr w:rsidR="008B1253" w:rsidSect="008B1253">
          <w:type w:val="continuous"/>
          <w:pgSz w:w="12240" w:h="15840"/>
          <w:pgMar w:top="1440" w:right="1440" w:bottom="1440" w:left="1440" w:header="720" w:footer="720" w:gutter="0"/>
          <w:pgNumType w:start="0"/>
          <w:cols w:num="2" w:space="720"/>
          <w:titlePg/>
          <w:docGrid w:linePitch="360"/>
        </w:sectPr>
      </w:pPr>
    </w:p>
    <w:p w14:paraId="70135345" w14:textId="762864AB" w:rsid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Adversarial examples involve inputs specifically crafted to cause misclassification</w:t>
      </w:r>
      <w:r w:rsidR="00936E2A">
        <w:rPr>
          <w:rFonts w:ascii="Times New Roman" w:hAnsi="Times New Roman" w:cs="Times New Roman"/>
          <w:sz w:val="18"/>
          <w:szCs w:val="18"/>
        </w:rPr>
        <w:t xml:space="preserve"> [2]</w:t>
      </w:r>
      <w:r w:rsidRPr="0035405D">
        <w:rPr>
          <w:rFonts w:ascii="Times New Roman" w:hAnsi="Times New Roman" w:cs="Times New Roman"/>
          <w:sz w:val="18"/>
          <w:szCs w:val="18"/>
        </w:rPr>
        <w:t>. Slight modifications imperceptible to humans can cause image classifiers to mistake stop signs for speed limit signs or fraud detectors to approve fraudulent transactions</w:t>
      </w:r>
      <w:r w:rsidR="00936E2A">
        <w:rPr>
          <w:rFonts w:ascii="Times New Roman" w:hAnsi="Times New Roman" w:cs="Times New Roman"/>
          <w:sz w:val="18"/>
          <w:szCs w:val="18"/>
        </w:rPr>
        <w:t xml:space="preserve"> [8]</w:t>
      </w:r>
      <w:r w:rsidRPr="0035405D">
        <w:rPr>
          <w:rFonts w:ascii="Times New Roman" w:hAnsi="Times New Roman" w:cs="Times New Roman"/>
          <w:sz w:val="18"/>
          <w:szCs w:val="18"/>
        </w:rPr>
        <w:t>.</w:t>
      </w:r>
      <w:r w:rsidR="002A19D8">
        <w:rPr>
          <w:rFonts w:ascii="Times New Roman" w:hAnsi="Times New Roman" w:cs="Times New Roman"/>
          <w:sz w:val="18"/>
          <w:szCs w:val="18"/>
        </w:rPr>
        <w:t xml:space="preserve"> </w:t>
      </w:r>
    </w:p>
    <w:p w14:paraId="0EB0BC10" w14:textId="77777777" w:rsidR="002A19D8" w:rsidRDefault="002A19D8" w:rsidP="0035405D">
      <w:pPr>
        <w:rPr>
          <w:rFonts w:ascii="Times New Roman" w:hAnsi="Times New Roman" w:cs="Times New Roman"/>
          <w:sz w:val="18"/>
          <w:szCs w:val="18"/>
        </w:rPr>
      </w:pPr>
    </w:p>
    <w:p w14:paraId="6B670B06" w14:textId="77777777" w:rsidR="002A19D8" w:rsidRPr="0035405D" w:rsidRDefault="002A19D8" w:rsidP="0035405D">
      <w:pPr>
        <w:rPr>
          <w:rFonts w:ascii="Times New Roman" w:hAnsi="Times New Roman" w:cs="Times New Roman"/>
          <w:sz w:val="18"/>
          <w:szCs w:val="18"/>
        </w:rPr>
      </w:pPr>
    </w:p>
    <w:p w14:paraId="2360A6CC" w14:textId="77777777" w:rsidR="00165E7D" w:rsidRDefault="00165E7D" w:rsidP="00740FD4">
      <w:pPr>
        <w:pStyle w:val="Heading3"/>
        <w:rPr>
          <w:sz w:val="20"/>
          <w:szCs w:val="20"/>
        </w:rPr>
        <w:sectPr w:rsidR="00165E7D" w:rsidSect="00165E7D">
          <w:type w:val="continuous"/>
          <w:pgSz w:w="12240" w:h="15840"/>
          <w:pgMar w:top="1440" w:right="1440" w:bottom="1440" w:left="1440" w:header="720" w:footer="720" w:gutter="0"/>
          <w:pgNumType w:start="0"/>
          <w:cols w:num="2" w:space="720"/>
          <w:titlePg/>
          <w:docGrid w:linePitch="360"/>
        </w:sectPr>
      </w:pPr>
    </w:p>
    <w:p w14:paraId="306E7055" w14:textId="4E20FB21" w:rsidR="0035405D" w:rsidRPr="00740FD4" w:rsidRDefault="0035405D" w:rsidP="00740FD4">
      <w:pPr>
        <w:pStyle w:val="Heading3"/>
        <w:rPr>
          <w:sz w:val="20"/>
          <w:szCs w:val="20"/>
        </w:rPr>
      </w:pPr>
      <w:r w:rsidRPr="00740FD4">
        <w:rPr>
          <w:sz w:val="20"/>
          <w:szCs w:val="20"/>
        </w:rPr>
        <w:lastRenderedPageBreak/>
        <w:t>A FOUR-DIMENSIONAL GOVERNANCE FRAMEWORK</w:t>
      </w:r>
    </w:p>
    <w:p w14:paraId="17D846DF" w14:textId="4AC90DDC" w:rsid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Effective AI governance requires systematic controls across multiple dimensions. We propose a framework encompassing structural governance, technical controls, data governance, and operational governance</w:t>
      </w:r>
      <w:r w:rsidR="00B3735C">
        <w:rPr>
          <w:rFonts w:ascii="Times New Roman" w:hAnsi="Times New Roman" w:cs="Times New Roman"/>
          <w:sz w:val="18"/>
          <w:szCs w:val="18"/>
        </w:rPr>
        <w:t xml:space="preserve"> [5]</w:t>
      </w:r>
      <w:r w:rsidRPr="0035405D">
        <w:rPr>
          <w:rFonts w:ascii="Times New Roman" w:hAnsi="Times New Roman" w:cs="Times New Roman"/>
          <w:sz w:val="18"/>
          <w:szCs w:val="18"/>
        </w:rPr>
        <w:t>.</w:t>
      </w:r>
    </w:p>
    <w:p w14:paraId="4FEE13D8" w14:textId="77777777" w:rsidR="000412CC" w:rsidRDefault="000412CC" w:rsidP="0035405D">
      <w:pPr>
        <w:rPr>
          <w:rFonts w:ascii="Times New Roman" w:hAnsi="Times New Roman" w:cs="Times New Roman"/>
          <w:b/>
          <w:bCs/>
          <w:i/>
          <w:iCs/>
          <w:sz w:val="18"/>
          <w:szCs w:val="18"/>
        </w:rPr>
      </w:pPr>
      <w:r w:rsidRPr="000412CC">
        <w:rPr>
          <w:rFonts w:ascii="Times New Roman" w:hAnsi="Times New Roman" w:cs="Times New Roman"/>
          <w:sz w:val="18"/>
          <w:szCs w:val="18"/>
        </w:rPr>
        <w:t>These four dimensions are not siloed but rather interconnected and mutually reinforcing. Structural governance establishes the accountability and decision-making authority that drives implementation of technical controls. Technical controls, in turn, generate the data and insights needed for effective data governance. Data governance ensures the integrity and quality of information flowing through both technical systems and operational processes. Operational governance provides continuous feedback loops that inform structural adjustments, technical improvements, and data policy refinements. Together, they form a closed-loop system where each dimension supports and strengthens the others, creating holistic governance coverage across the entire AI lifecycle.</w:t>
      </w:r>
      <w:r w:rsidRPr="000412CC">
        <w:rPr>
          <w:rFonts w:ascii="Times New Roman" w:hAnsi="Times New Roman" w:cs="Times New Roman"/>
          <w:b/>
          <w:bCs/>
          <w:i/>
          <w:iCs/>
          <w:sz w:val="18"/>
          <w:szCs w:val="18"/>
        </w:rPr>
        <w:t xml:space="preserve"> </w:t>
      </w:r>
    </w:p>
    <w:p w14:paraId="5F239241" w14:textId="4BD89C39"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A. Structural Governance</w:t>
      </w:r>
    </w:p>
    <w:p w14:paraId="72AEBF1F" w14:textId="7599058C" w:rsid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Structural governance establishes accountability hierarchies, decision rights, and oversight mechanisms. Without clear structures, governance becomes fragmented and ineffective</w:t>
      </w:r>
      <w:r w:rsidR="00B3735C">
        <w:rPr>
          <w:rFonts w:ascii="Times New Roman" w:hAnsi="Times New Roman" w:cs="Times New Roman"/>
          <w:sz w:val="18"/>
          <w:szCs w:val="18"/>
        </w:rPr>
        <w:t xml:space="preserve"> [6]</w:t>
      </w:r>
      <w:r w:rsidRPr="0035405D">
        <w:rPr>
          <w:rFonts w:ascii="Times New Roman" w:hAnsi="Times New Roman" w:cs="Times New Roman"/>
          <w:sz w:val="18"/>
          <w:szCs w:val="18"/>
        </w:rPr>
        <w:t>.</w:t>
      </w:r>
    </w:p>
    <w:p w14:paraId="29F9DC11" w14:textId="478EAA34" w:rsidR="002F0981" w:rsidRDefault="002F0981" w:rsidP="0035405D">
      <w:pPr>
        <w:rPr>
          <w:rFonts w:ascii="Times New Roman" w:hAnsi="Times New Roman" w:cs="Times New Roman"/>
          <w:sz w:val="18"/>
          <w:szCs w:val="18"/>
        </w:rPr>
      </w:pPr>
      <w:r>
        <w:rPr>
          <w:rFonts w:ascii="Times New Roman" w:hAnsi="Times New Roman" w:cs="Times New Roman"/>
          <w:noProof/>
          <w:sz w:val="18"/>
          <w:szCs w:val="18"/>
        </w:rPr>
        <w:drawing>
          <wp:inline distT="0" distB="0" distL="0" distR="0" wp14:anchorId="472479E9" wp14:editId="29DD4C2D">
            <wp:extent cx="2743200" cy="1534795"/>
            <wp:effectExtent l="0" t="0" r="0" b="8255"/>
            <wp:docPr id="18170009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000973" name="Picture 181700097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3200" cy="1534795"/>
                    </a:xfrm>
                    <a:prstGeom prst="rect">
                      <a:avLst/>
                    </a:prstGeom>
                  </pic:spPr>
                </pic:pic>
              </a:graphicData>
            </a:graphic>
          </wp:inline>
        </w:drawing>
      </w:r>
    </w:p>
    <w:p w14:paraId="7DBD7689" w14:textId="083C4D20" w:rsidR="00E312D3" w:rsidRPr="00E312D3" w:rsidRDefault="00E312D3" w:rsidP="00E312D3">
      <w:pPr>
        <w:ind w:left="1440"/>
        <w:rPr>
          <w:rFonts w:ascii="Times New Roman" w:hAnsi="Times New Roman" w:cs="Times New Roman"/>
          <w:i/>
          <w:iCs/>
          <w:sz w:val="18"/>
          <w:szCs w:val="18"/>
        </w:rPr>
      </w:pPr>
      <w:r>
        <w:rPr>
          <w:rFonts w:ascii="Times New Roman" w:hAnsi="Times New Roman" w:cs="Times New Roman"/>
          <w:sz w:val="18"/>
          <w:szCs w:val="18"/>
        </w:rPr>
        <w:t xml:space="preserve">           </w:t>
      </w:r>
      <w:r w:rsidRPr="00E312D3">
        <w:rPr>
          <w:rFonts w:ascii="Times New Roman" w:hAnsi="Times New Roman" w:cs="Times New Roman"/>
          <w:i/>
          <w:iCs/>
          <w:color w:val="4C94D8" w:themeColor="text2" w:themeTint="80"/>
          <w:sz w:val="18"/>
          <w:szCs w:val="18"/>
        </w:rPr>
        <w:t>Figure 3</w:t>
      </w:r>
    </w:p>
    <w:p w14:paraId="34E6FD9A" w14:textId="7B8E0E76"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Governance committees.</w:t>
      </w:r>
      <w:r w:rsidRPr="0035405D">
        <w:rPr>
          <w:rFonts w:ascii="Times New Roman" w:hAnsi="Times New Roman" w:cs="Times New Roman"/>
          <w:sz w:val="18"/>
          <w:szCs w:val="18"/>
        </w:rPr>
        <w:t xml:space="preserve"> Organizations should establish an AI governance steering committee with senior representation from business, technology, risk, legal, and compliance functions</w:t>
      </w:r>
      <w:r w:rsidR="00410D04">
        <w:rPr>
          <w:rFonts w:ascii="Times New Roman" w:hAnsi="Times New Roman" w:cs="Times New Roman"/>
          <w:sz w:val="18"/>
          <w:szCs w:val="18"/>
        </w:rPr>
        <w:t xml:space="preserve"> [4]</w:t>
      </w:r>
      <w:r w:rsidRPr="0035405D">
        <w:rPr>
          <w:rFonts w:ascii="Times New Roman" w:hAnsi="Times New Roman" w:cs="Times New Roman"/>
          <w:sz w:val="18"/>
          <w:szCs w:val="18"/>
        </w:rPr>
        <w:t xml:space="preserve">. This committee sets strategic </w:t>
      </w:r>
      <w:proofErr w:type="gramStart"/>
      <w:r w:rsidRPr="0035405D">
        <w:rPr>
          <w:rFonts w:ascii="Times New Roman" w:hAnsi="Times New Roman" w:cs="Times New Roman"/>
          <w:sz w:val="18"/>
          <w:szCs w:val="18"/>
        </w:rPr>
        <w:t>direction</w:t>
      </w:r>
      <w:proofErr w:type="gramEnd"/>
      <w:r w:rsidRPr="0035405D">
        <w:rPr>
          <w:rFonts w:ascii="Times New Roman" w:hAnsi="Times New Roman" w:cs="Times New Roman"/>
          <w:sz w:val="18"/>
          <w:szCs w:val="18"/>
        </w:rPr>
        <w:t>, approves governance policies, reviews significant incidents, and monitors overall program effectiveness.</w:t>
      </w:r>
    </w:p>
    <w:p w14:paraId="1C9BC1CF" w14:textId="4F4FDB65"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A model risk committee should oversee high-risk models specifically. This technical committee includes data scientists, risk analysts, and subject matter experts who review validation results, assess risk mitigation measures, and approve deployment decisions</w:t>
      </w:r>
      <w:r w:rsidR="00D57380">
        <w:rPr>
          <w:rFonts w:ascii="Times New Roman" w:hAnsi="Times New Roman" w:cs="Times New Roman"/>
          <w:sz w:val="18"/>
          <w:szCs w:val="18"/>
        </w:rPr>
        <w:t xml:space="preserve"> [7]</w:t>
      </w:r>
      <w:r w:rsidRPr="0035405D">
        <w:rPr>
          <w:rFonts w:ascii="Times New Roman" w:hAnsi="Times New Roman" w:cs="Times New Roman"/>
          <w:sz w:val="18"/>
          <w:szCs w:val="18"/>
        </w:rPr>
        <w:t>.</w:t>
      </w:r>
    </w:p>
    <w:p w14:paraId="1E66D2E8" w14:textId="18959DD5"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An ethics review board should evaluate AI applications raising ethical concerns. This independent body provides guidance on sensitive use cases, reviews impact assessments, and advises on ethical dilemmas</w:t>
      </w:r>
      <w:r w:rsidR="00D57380">
        <w:rPr>
          <w:rFonts w:ascii="Times New Roman" w:hAnsi="Times New Roman" w:cs="Times New Roman"/>
          <w:sz w:val="18"/>
          <w:szCs w:val="18"/>
        </w:rPr>
        <w:t xml:space="preserve"> [3]</w:t>
      </w:r>
      <w:r w:rsidRPr="0035405D">
        <w:rPr>
          <w:rFonts w:ascii="Times New Roman" w:hAnsi="Times New Roman" w:cs="Times New Roman"/>
          <w:sz w:val="18"/>
          <w:szCs w:val="18"/>
        </w:rPr>
        <w:t>.</w:t>
      </w:r>
    </w:p>
    <w:p w14:paraId="69B5C44D" w14:textId="10716DCE"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Roles and responsibilities.</w:t>
      </w:r>
      <w:r w:rsidRPr="0035405D">
        <w:rPr>
          <w:rFonts w:ascii="Times New Roman" w:hAnsi="Times New Roman" w:cs="Times New Roman"/>
          <w:sz w:val="18"/>
          <w:szCs w:val="18"/>
        </w:rPr>
        <w:t xml:space="preserve"> Clear role definition prevents governance gaps. An AI governance lead holds executive responsibility for the overall program</w:t>
      </w:r>
      <w:r w:rsidR="00D57380">
        <w:rPr>
          <w:rFonts w:ascii="Times New Roman" w:hAnsi="Times New Roman" w:cs="Times New Roman"/>
          <w:sz w:val="18"/>
          <w:szCs w:val="18"/>
        </w:rPr>
        <w:t xml:space="preserve"> [5]</w:t>
      </w:r>
      <w:r w:rsidRPr="0035405D">
        <w:rPr>
          <w:rFonts w:ascii="Times New Roman" w:hAnsi="Times New Roman" w:cs="Times New Roman"/>
          <w:sz w:val="18"/>
          <w:szCs w:val="18"/>
        </w:rPr>
        <w:t>. Model validators independently assess models before deployment and periodically thereafter. AI risk analysts monitor controls and support incident response. Data protection officers ensure privacy compliance. Ethics advisors provide guidance on ethical implications</w:t>
      </w:r>
      <w:r w:rsidR="00F03025">
        <w:rPr>
          <w:rFonts w:ascii="Times New Roman" w:hAnsi="Times New Roman" w:cs="Times New Roman"/>
          <w:sz w:val="18"/>
          <w:szCs w:val="18"/>
        </w:rPr>
        <w:t xml:space="preserve"> [3]</w:t>
      </w:r>
      <w:r w:rsidRPr="0035405D">
        <w:rPr>
          <w:rFonts w:ascii="Times New Roman" w:hAnsi="Times New Roman" w:cs="Times New Roman"/>
          <w:sz w:val="18"/>
          <w:szCs w:val="18"/>
        </w:rPr>
        <w:t>.</w:t>
      </w:r>
    </w:p>
    <w:p w14:paraId="7D38BCBF" w14:textId="06C1EF89"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Three lines of defense.</w:t>
      </w:r>
      <w:r w:rsidRPr="0035405D">
        <w:rPr>
          <w:rFonts w:ascii="Times New Roman" w:hAnsi="Times New Roman" w:cs="Times New Roman"/>
          <w:sz w:val="18"/>
          <w:szCs w:val="18"/>
        </w:rPr>
        <w:t xml:space="preserve"> Adapting the three lines of defense model provides organizing structure</w:t>
      </w:r>
      <w:r w:rsidR="00F03025">
        <w:rPr>
          <w:rFonts w:ascii="Times New Roman" w:hAnsi="Times New Roman" w:cs="Times New Roman"/>
          <w:sz w:val="18"/>
          <w:szCs w:val="18"/>
        </w:rPr>
        <w:t xml:space="preserve"> [8]</w:t>
      </w:r>
      <w:r w:rsidRPr="0035405D">
        <w:rPr>
          <w:rFonts w:ascii="Times New Roman" w:hAnsi="Times New Roman" w:cs="Times New Roman"/>
          <w:sz w:val="18"/>
          <w:szCs w:val="18"/>
        </w:rPr>
        <w:t>. First-line business and development teams implement governance in daily work through documentation, testing, and monitoring. Second-line risk and compliance functions establish policies, provide guidance, and monitor first-line activities. Third-line internal audit independently evaluates governance effectiveness</w:t>
      </w:r>
      <w:r w:rsidR="00DE26A2">
        <w:rPr>
          <w:rFonts w:ascii="Times New Roman" w:hAnsi="Times New Roman" w:cs="Times New Roman"/>
          <w:sz w:val="18"/>
          <w:szCs w:val="18"/>
        </w:rPr>
        <w:t xml:space="preserve"> [6]</w:t>
      </w:r>
      <w:r w:rsidRPr="0035405D">
        <w:rPr>
          <w:rFonts w:ascii="Times New Roman" w:hAnsi="Times New Roman" w:cs="Times New Roman"/>
          <w:sz w:val="18"/>
          <w:szCs w:val="18"/>
        </w:rPr>
        <w:t>.</w:t>
      </w:r>
    </w:p>
    <w:p w14:paraId="04ADF87B"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B. Technical Controls</w:t>
      </w:r>
    </w:p>
    <w:p w14:paraId="21223B5C" w14:textId="06B882F6"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Technical controls translate governance requirements into automated safeguards embedded in AI systems and infrastructure</w:t>
      </w:r>
      <w:r w:rsidR="008055F0">
        <w:rPr>
          <w:rFonts w:ascii="Times New Roman" w:hAnsi="Times New Roman" w:cs="Times New Roman"/>
          <w:sz w:val="18"/>
          <w:szCs w:val="18"/>
        </w:rPr>
        <w:t xml:space="preserve"> [7]</w:t>
      </w:r>
      <w:r w:rsidRPr="0035405D">
        <w:rPr>
          <w:rFonts w:ascii="Times New Roman" w:hAnsi="Times New Roman" w:cs="Times New Roman"/>
          <w:sz w:val="18"/>
          <w:szCs w:val="18"/>
        </w:rPr>
        <w:t>.</w:t>
      </w:r>
    </w:p>
    <w:p w14:paraId="394C067F" w14:textId="235B3A42"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Model documentation.</w:t>
      </w:r>
      <w:r w:rsidRPr="0035405D">
        <w:rPr>
          <w:rFonts w:ascii="Times New Roman" w:hAnsi="Times New Roman" w:cs="Times New Roman"/>
          <w:sz w:val="18"/>
          <w:szCs w:val="18"/>
        </w:rPr>
        <w:t xml:space="preserve"> Comprehensive documentation enables transparency and accountability. Model cards should describe model purpose, intended use cases, training data characteristics, performance metrics across subgroups, limitations, and ethical considerations</w:t>
      </w:r>
      <w:r w:rsidR="008055F0">
        <w:rPr>
          <w:rFonts w:ascii="Times New Roman" w:hAnsi="Times New Roman" w:cs="Times New Roman"/>
          <w:sz w:val="18"/>
          <w:szCs w:val="18"/>
        </w:rPr>
        <w:t xml:space="preserve"> [3]</w:t>
      </w:r>
      <w:r w:rsidRPr="0035405D">
        <w:rPr>
          <w:rFonts w:ascii="Times New Roman" w:hAnsi="Times New Roman" w:cs="Times New Roman"/>
          <w:sz w:val="18"/>
          <w:szCs w:val="18"/>
        </w:rPr>
        <w:t>. Datasheets for datasets should document data provenance, collection methods, demographic composition, and known biases</w:t>
      </w:r>
      <w:r w:rsidR="008055F0">
        <w:rPr>
          <w:rFonts w:ascii="Times New Roman" w:hAnsi="Times New Roman" w:cs="Times New Roman"/>
          <w:sz w:val="18"/>
          <w:szCs w:val="18"/>
        </w:rPr>
        <w:t xml:space="preserve"> [1]</w:t>
      </w:r>
      <w:r w:rsidRPr="0035405D">
        <w:rPr>
          <w:rFonts w:ascii="Times New Roman" w:hAnsi="Times New Roman" w:cs="Times New Roman"/>
          <w:sz w:val="18"/>
          <w:szCs w:val="18"/>
        </w:rPr>
        <w:t>.</w:t>
      </w:r>
    </w:p>
    <w:p w14:paraId="34A21A51" w14:textId="475E2A85"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Explainability tools.</w:t>
      </w:r>
      <w:r w:rsidRPr="0035405D">
        <w:rPr>
          <w:rFonts w:ascii="Times New Roman" w:hAnsi="Times New Roman" w:cs="Times New Roman"/>
          <w:sz w:val="18"/>
          <w:szCs w:val="18"/>
        </w:rPr>
        <w:t xml:space="preserve"> Technical tools that generate explanations support both governance and regulatory compliance. SHAP values reveal feature contributions to individual predictions</w:t>
      </w:r>
      <w:r w:rsidR="00F8351F">
        <w:rPr>
          <w:rFonts w:ascii="Times New Roman" w:hAnsi="Times New Roman" w:cs="Times New Roman"/>
          <w:sz w:val="18"/>
          <w:szCs w:val="18"/>
        </w:rPr>
        <w:t xml:space="preserve"> [7]</w:t>
      </w:r>
      <w:r w:rsidRPr="0035405D">
        <w:rPr>
          <w:rFonts w:ascii="Times New Roman" w:hAnsi="Times New Roman" w:cs="Times New Roman"/>
          <w:sz w:val="18"/>
          <w:szCs w:val="18"/>
        </w:rPr>
        <w:t>. LIME provides local interpretable explanations. Counterfactual explanations show how inputs would need to change to alter predictions</w:t>
      </w:r>
      <w:r w:rsidR="00CC126D">
        <w:rPr>
          <w:rFonts w:ascii="Times New Roman" w:hAnsi="Times New Roman" w:cs="Times New Roman"/>
          <w:sz w:val="18"/>
          <w:szCs w:val="18"/>
        </w:rPr>
        <w:t xml:space="preserve"> [8]</w:t>
      </w:r>
      <w:r w:rsidRPr="0035405D">
        <w:rPr>
          <w:rFonts w:ascii="Times New Roman" w:hAnsi="Times New Roman" w:cs="Times New Roman"/>
          <w:sz w:val="18"/>
          <w:szCs w:val="18"/>
        </w:rPr>
        <w:t>. Organizations should select explainability approaches appropriate for model types and use case requirements.</w:t>
      </w:r>
    </w:p>
    <w:p w14:paraId="49D869A5" w14:textId="44E48DF3"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Bias detection and mitigation.</w:t>
      </w:r>
      <w:r w:rsidRPr="0035405D">
        <w:rPr>
          <w:rFonts w:ascii="Times New Roman" w:hAnsi="Times New Roman" w:cs="Times New Roman"/>
          <w:sz w:val="18"/>
          <w:szCs w:val="18"/>
        </w:rPr>
        <w:t xml:space="preserve"> Specialized libraries provide algorithmic approaches to fairness. AI Fairness 360 offers comprehensive bias metrics including disparate impact, equal opportunity difference, and average odds difference</w:t>
      </w:r>
      <w:r w:rsidR="007D2293">
        <w:rPr>
          <w:rFonts w:ascii="Times New Roman" w:hAnsi="Times New Roman" w:cs="Times New Roman"/>
          <w:sz w:val="18"/>
          <w:szCs w:val="18"/>
        </w:rPr>
        <w:t xml:space="preserve"> [</w:t>
      </w:r>
      <w:r w:rsidR="00927926">
        <w:rPr>
          <w:rFonts w:ascii="Times New Roman" w:hAnsi="Times New Roman" w:cs="Times New Roman"/>
          <w:sz w:val="18"/>
          <w:szCs w:val="18"/>
        </w:rPr>
        <w:t>2</w:t>
      </w:r>
      <w:r w:rsidR="007D2293">
        <w:rPr>
          <w:rFonts w:ascii="Times New Roman" w:hAnsi="Times New Roman" w:cs="Times New Roman"/>
          <w:sz w:val="18"/>
          <w:szCs w:val="18"/>
        </w:rPr>
        <w:t>]</w:t>
      </w:r>
      <w:r w:rsidRPr="0035405D">
        <w:rPr>
          <w:rFonts w:ascii="Times New Roman" w:hAnsi="Times New Roman" w:cs="Times New Roman"/>
          <w:sz w:val="18"/>
          <w:szCs w:val="18"/>
        </w:rPr>
        <w:t>. Mitigation algorithms can pre-process training data, constrain model training, or post-process predictions to achieve fairness objectives</w:t>
      </w:r>
      <w:r w:rsidR="00927926">
        <w:rPr>
          <w:rFonts w:ascii="Times New Roman" w:hAnsi="Times New Roman" w:cs="Times New Roman"/>
          <w:sz w:val="18"/>
          <w:szCs w:val="18"/>
        </w:rPr>
        <w:t xml:space="preserve"> [3]</w:t>
      </w:r>
      <w:r w:rsidRPr="0035405D">
        <w:rPr>
          <w:rFonts w:ascii="Times New Roman" w:hAnsi="Times New Roman" w:cs="Times New Roman"/>
          <w:sz w:val="18"/>
          <w:szCs w:val="18"/>
        </w:rPr>
        <w:t>.</w:t>
      </w:r>
    </w:p>
    <w:p w14:paraId="0E59BF14" w14:textId="5C128DF1"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Model validation frameworks.</w:t>
      </w:r>
      <w:r w:rsidRPr="0035405D">
        <w:rPr>
          <w:rFonts w:ascii="Times New Roman" w:hAnsi="Times New Roman" w:cs="Times New Roman"/>
          <w:sz w:val="18"/>
          <w:szCs w:val="18"/>
        </w:rPr>
        <w:t xml:space="preserve"> Before deployment, models require rigorous validation addressing performance, </w:t>
      </w:r>
      <w:r w:rsidRPr="0035405D">
        <w:rPr>
          <w:rFonts w:ascii="Times New Roman" w:hAnsi="Times New Roman" w:cs="Times New Roman"/>
          <w:sz w:val="18"/>
          <w:szCs w:val="18"/>
        </w:rPr>
        <w:lastRenderedPageBreak/>
        <w:t>fairness, robustness, and explainability</w:t>
      </w:r>
      <w:r w:rsidR="00927926">
        <w:rPr>
          <w:rFonts w:ascii="Times New Roman" w:hAnsi="Times New Roman" w:cs="Times New Roman"/>
          <w:sz w:val="18"/>
          <w:szCs w:val="18"/>
        </w:rPr>
        <w:t xml:space="preserve"> [5]</w:t>
      </w:r>
      <w:r w:rsidRPr="0035405D">
        <w:rPr>
          <w:rFonts w:ascii="Times New Roman" w:hAnsi="Times New Roman" w:cs="Times New Roman"/>
          <w:sz w:val="18"/>
          <w:szCs w:val="18"/>
        </w:rPr>
        <w:t>. Validation should include holdout testing on representative data, subgroup performance analysis, robustness testing under distribution shifts, and adversarial testing</w:t>
      </w:r>
      <w:r w:rsidR="00927926">
        <w:rPr>
          <w:rFonts w:ascii="Times New Roman" w:hAnsi="Times New Roman" w:cs="Times New Roman"/>
          <w:sz w:val="18"/>
          <w:szCs w:val="18"/>
        </w:rPr>
        <w:t xml:space="preserve"> [8]</w:t>
      </w:r>
      <w:r w:rsidRPr="0035405D">
        <w:rPr>
          <w:rFonts w:ascii="Times New Roman" w:hAnsi="Times New Roman" w:cs="Times New Roman"/>
          <w:sz w:val="18"/>
          <w:szCs w:val="18"/>
        </w:rPr>
        <w:t>.</w:t>
      </w:r>
    </w:p>
    <w:p w14:paraId="24041777"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C. Data Governance</w:t>
      </w:r>
    </w:p>
    <w:p w14:paraId="4C0508B8" w14:textId="6F275E74"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Data governance for AI extends beyond traditional data management to address AI-specific requirements</w:t>
      </w:r>
      <w:r w:rsidR="00E2392A">
        <w:rPr>
          <w:rFonts w:ascii="Times New Roman" w:hAnsi="Times New Roman" w:cs="Times New Roman"/>
          <w:sz w:val="18"/>
          <w:szCs w:val="18"/>
        </w:rPr>
        <w:t xml:space="preserve"> [1]</w:t>
      </w:r>
      <w:r w:rsidRPr="0035405D">
        <w:rPr>
          <w:rFonts w:ascii="Times New Roman" w:hAnsi="Times New Roman" w:cs="Times New Roman"/>
          <w:sz w:val="18"/>
          <w:szCs w:val="18"/>
        </w:rPr>
        <w:t>.</w:t>
      </w:r>
    </w:p>
    <w:p w14:paraId="782C6889" w14:textId="04B0F8D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Data provenance and lineage.</w:t>
      </w:r>
      <w:r w:rsidRPr="0035405D">
        <w:rPr>
          <w:rFonts w:ascii="Times New Roman" w:hAnsi="Times New Roman" w:cs="Times New Roman"/>
          <w:sz w:val="18"/>
          <w:szCs w:val="18"/>
        </w:rPr>
        <w:t xml:space="preserve"> Organizations must maintain comprehensive records of data origins, collection methods, transformation histories, and intended uses</w:t>
      </w:r>
      <w:r w:rsidR="00E2392A">
        <w:rPr>
          <w:rFonts w:ascii="Times New Roman" w:hAnsi="Times New Roman" w:cs="Times New Roman"/>
          <w:sz w:val="18"/>
          <w:szCs w:val="18"/>
        </w:rPr>
        <w:t xml:space="preserve"> [3]</w:t>
      </w:r>
      <w:r w:rsidRPr="0035405D">
        <w:rPr>
          <w:rFonts w:ascii="Times New Roman" w:hAnsi="Times New Roman" w:cs="Times New Roman"/>
          <w:sz w:val="18"/>
          <w:szCs w:val="18"/>
        </w:rPr>
        <w:t>. This provenance enables assessment of data quality, identification of potential biases, and verification of lawful collection. Technical implementations include data versioning systems, metadata repositories, and automated lineage tracking</w:t>
      </w:r>
      <w:r w:rsidR="000051FF">
        <w:rPr>
          <w:rFonts w:ascii="Times New Roman" w:hAnsi="Times New Roman" w:cs="Times New Roman"/>
          <w:sz w:val="18"/>
          <w:szCs w:val="18"/>
        </w:rPr>
        <w:t xml:space="preserve"> [1]</w:t>
      </w:r>
      <w:r w:rsidRPr="0035405D">
        <w:rPr>
          <w:rFonts w:ascii="Times New Roman" w:hAnsi="Times New Roman" w:cs="Times New Roman"/>
          <w:sz w:val="18"/>
          <w:szCs w:val="18"/>
        </w:rPr>
        <w:t>.</w:t>
      </w:r>
    </w:p>
    <w:p w14:paraId="5AB34CF9" w14:textId="1BF0198F"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Data quality management.</w:t>
      </w:r>
      <w:r w:rsidRPr="0035405D">
        <w:rPr>
          <w:rFonts w:ascii="Times New Roman" w:hAnsi="Times New Roman" w:cs="Times New Roman"/>
          <w:sz w:val="18"/>
          <w:szCs w:val="18"/>
        </w:rPr>
        <w:t xml:space="preserve"> AI models require data quality dimensions beyond those relevant for business intelligence</w:t>
      </w:r>
      <w:r w:rsidR="00BE5D58">
        <w:rPr>
          <w:rFonts w:ascii="Times New Roman" w:hAnsi="Times New Roman" w:cs="Times New Roman"/>
          <w:sz w:val="18"/>
          <w:szCs w:val="18"/>
        </w:rPr>
        <w:t xml:space="preserve"> [6]</w:t>
      </w:r>
      <w:r w:rsidRPr="0035405D">
        <w:rPr>
          <w:rFonts w:ascii="Times New Roman" w:hAnsi="Times New Roman" w:cs="Times New Roman"/>
          <w:sz w:val="18"/>
          <w:szCs w:val="18"/>
        </w:rPr>
        <w:t>. Representativeness ensures data adequately reflects deployment populations. Temporal relevance confirms data reflects current conditions. Completeness requirements vary by application, with healthcare demanding higher standards than marketing analytics</w:t>
      </w:r>
      <w:r w:rsidR="00BE5D58">
        <w:rPr>
          <w:rFonts w:ascii="Times New Roman" w:hAnsi="Times New Roman" w:cs="Times New Roman"/>
          <w:sz w:val="18"/>
          <w:szCs w:val="18"/>
        </w:rPr>
        <w:t xml:space="preserve"> [2]</w:t>
      </w:r>
      <w:r w:rsidRPr="0035405D">
        <w:rPr>
          <w:rFonts w:ascii="Times New Roman" w:hAnsi="Times New Roman" w:cs="Times New Roman"/>
          <w:sz w:val="18"/>
          <w:szCs w:val="18"/>
        </w:rPr>
        <w:t>.</w:t>
      </w:r>
    </w:p>
    <w:p w14:paraId="2B9CDA61" w14:textId="51A86FC6"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Consent and rights management.</w:t>
      </w:r>
      <w:r w:rsidRPr="0035405D">
        <w:rPr>
          <w:rFonts w:ascii="Times New Roman" w:hAnsi="Times New Roman" w:cs="Times New Roman"/>
          <w:sz w:val="18"/>
          <w:szCs w:val="18"/>
        </w:rPr>
        <w:t xml:space="preserve"> Data used for AI must comply with privacy regulations and respect individual rights</w:t>
      </w:r>
      <w:r w:rsidR="009F47ED">
        <w:rPr>
          <w:rFonts w:ascii="Times New Roman" w:hAnsi="Times New Roman" w:cs="Times New Roman"/>
          <w:sz w:val="18"/>
          <w:szCs w:val="18"/>
        </w:rPr>
        <w:t xml:space="preserve"> [6]</w:t>
      </w:r>
      <w:r w:rsidRPr="0035405D">
        <w:rPr>
          <w:rFonts w:ascii="Times New Roman" w:hAnsi="Times New Roman" w:cs="Times New Roman"/>
          <w:sz w:val="18"/>
          <w:szCs w:val="18"/>
        </w:rPr>
        <w:t>. Organizations must track consent status, honor opt-outs, and ensure data subjects can exercise access, correction, and deletion rights. These requirements become particularly challenging when data participates in model training, where removal may require retraining</w:t>
      </w:r>
      <w:r w:rsidR="009F47ED">
        <w:rPr>
          <w:rFonts w:ascii="Times New Roman" w:hAnsi="Times New Roman" w:cs="Times New Roman"/>
          <w:sz w:val="18"/>
          <w:szCs w:val="18"/>
        </w:rPr>
        <w:t xml:space="preserve"> [3]</w:t>
      </w:r>
      <w:r w:rsidRPr="0035405D">
        <w:rPr>
          <w:rFonts w:ascii="Times New Roman" w:hAnsi="Times New Roman" w:cs="Times New Roman"/>
          <w:sz w:val="18"/>
          <w:szCs w:val="18"/>
        </w:rPr>
        <w:t>.</w:t>
      </w:r>
    </w:p>
    <w:p w14:paraId="3B72809F" w14:textId="08FD33DA"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Bias assessment in data.</w:t>
      </w:r>
      <w:r w:rsidRPr="0035405D">
        <w:rPr>
          <w:rFonts w:ascii="Times New Roman" w:hAnsi="Times New Roman" w:cs="Times New Roman"/>
          <w:sz w:val="18"/>
          <w:szCs w:val="18"/>
        </w:rPr>
        <w:t xml:space="preserve"> Systematic bias assessment involves analyzing representation across protected groups, examining label distributions for disparities, and testing for proxy variables that may enable indirect discrimination</w:t>
      </w:r>
      <w:r w:rsidR="009F47ED">
        <w:rPr>
          <w:rFonts w:ascii="Times New Roman" w:hAnsi="Times New Roman" w:cs="Times New Roman"/>
          <w:sz w:val="18"/>
          <w:szCs w:val="18"/>
        </w:rPr>
        <w:t xml:space="preserve"> [3]</w:t>
      </w:r>
      <w:r w:rsidRPr="0035405D">
        <w:rPr>
          <w:rFonts w:ascii="Times New Roman" w:hAnsi="Times New Roman" w:cs="Times New Roman"/>
          <w:sz w:val="18"/>
          <w:szCs w:val="18"/>
        </w:rPr>
        <w:t>. Statistical tests can identify underrepresentation, while correlation analysis can reveal proxy relationships</w:t>
      </w:r>
      <w:r w:rsidR="009F47ED">
        <w:rPr>
          <w:rFonts w:ascii="Times New Roman" w:hAnsi="Times New Roman" w:cs="Times New Roman"/>
          <w:sz w:val="18"/>
          <w:szCs w:val="18"/>
        </w:rPr>
        <w:t xml:space="preserve"> [2]</w:t>
      </w:r>
      <w:r w:rsidRPr="0035405D">
        <w:rPr>
          <w:rFonts w:ascii="Times New Roman" w:hAnsi="Times New Roman" w:cs="Times New Roman"/>
          <w:sz w:val="18"/>
          <w:szCs w:val="18"/>
        </w:rPr>
        <w:t>.</w:t>
      </w:r>
    </w:p>
    <w:p w14:paraId="32BD353F"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D. Operational Governance</w:t>
      </w:r>
    </w:p>
    <w:p w14:paraId="1FB0716E" w14:textId="2C2C4B46"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Operational governance addresses ongoing monitoring and management of deployed models throughout their lifetimes</w:t>
      </w:r>
      <w:r w:rsidR="006502AC">
        <w:rPr>
          <w:rFonts w:ascii="Times New Roman" w:hAnsi="Times New Roman" w:cs="Times New Roman"/>
          <w:sz w:val="18"/>
          <w:szCs w:val="18"/>
        </w:rPr>
        <w:t xml:space="preserve"> [10]</w:t>
      </w:r>
      <w:r w:rsidRPr="0035405D">
        <w:rPr>
          <w:rFonts w:ascii="Times New Roman" w:hAnsi="Times New Roman" w:cs="Times New Roman"/>
          <w:sz w:val="18"/>
          <w:szCs w:val="18"/>
        </w:rPr>
        <w:t>.</w:t>
      </w:r>
    </w:p>
    <w:p w14:paraId="4EFC3DA3" w14:textId="32AFC09E"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Performance monitoring.</w:t>
      </w:r>
      <w:r w:rsidRPr="0035405D">
        <w:rPr>
          <w:rFonts w:ascii="Times New Roman" w:hAnsi="Times New Roman" w:cs="Times New Roman"/>
          <w:sz w:val="18"/>
          <w:szCs w:val="18"/>
        </w:rPr>
        <w:t xml:space="preserve"> Deployed models require continuous monitoring for technical performance and business outcomes</w:t>
      </w:r>
      <w:r w:rsidR="006502AC">
        <w:rPr>
          <w:rFonts w:ascii="Times New Roman" w:hAnsi="Times New Roman" w:cs="Times New Roman"/>
          <w:sz w:val="18"/>
          <w:szCs w:val="18"/>
        </w:rPr>
        <w:t xml:space="preserve"> [9]</w:t>
      </w:r>
      <w:r w:rsidRPr="0035405D">
        <w:rPr>
          <w:rFonts w:ascii="Times New Roman" w:hAnsi="Times New Roman" w:cs="Times New Roman"/>
          <w:sz w:val="18"/>
          <w:szCs w:val="18"/>
        </w:rPr>
        <w:t>. Technical monitoring tracks accuracy metrics, prediction distributions, latency, and resource consumption. Business monitoring evaluates whether models achieve intended outcomes and whether unintended consequences emerge</w:t>
      </w:r>
      <w:r w:rsidR="006502AC">
        <w:rPr>
          <w:rFonts w:ascii="Times New Roman" w:hAnsi="Times New Roman" w:cs="Times New Roman"/>
          <w:sz w:val="18"/>
          <w:szCs w:val="18"/>
        </w:rPr>
        <w:t xml:space="preserve"> [1]</w:t>
      </w:r>
      <w:r w:rsidRPr="0035405D">
        <w:rPr>
          <w:rFonts w:ascii="Times New Roman" w:hAnsi="Times New Roman" w:cs="Times New Roman"/>
          <w:sz w:val="18"/>
          <w:szCs w:val="18"/>
        </w:rPr>
        <w:t>.</w:t>
      </w:r>
    </w:p>
    <w:p w14:paraId="3DD5644A" w14:textId="4833D9C8"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Drift detection.</w:t>
      </w:r>
      <w:r w:rsidRPr="0035405D">
        <w:rPr>
          <w:rFonts w:ascii="Times New Roman" w:hAnsi="Times New Roman" w:cs="Times New Roman"/>
          <w:sz w:val="18"/>
          <w:szCs w:val="18"/>
        </w:rPr>
        <w:t xml:space="preserve"> Automated drift detection systems monitor input features and model predictions for statistically significant changes</w:t>
      </w:r>
      <w:r w:rsidR="006502AC">
        <w:rPr>
          <w:rFonts w:ascii="Times New Roman" w:hAnsi="Times New Roman" w:cs="Times New Roman"/>
          <w:sz w:val="18"/>
          <w:szCs w:val="18"/>
        </w:rPr>
        <w:t xml:space="preserve"> [10]</w:t>
      </w:r>
      <w:r w:rsidRPr="0035405D">
        <w:rPr>
          <w:rFonts w:ascii="Times New Roman" w:hAnsi="Times New Roman" w:cs="Times New Roman"/>
          <w:sz w:val="18"/>
          <w:szCs w:val="18"/>
        </w:rPr>
        <w:t xml:space="preserve">. Population stability index measures distribution shifts in categorical variables. </w:t>
      </w:r>
      <w:proofErr w:type="spellStart"/>
      <w:r w:rsidRPr="0035405D">
        <w:rPr>
          <w:rFonts w:ascii="Times New Roman" w:hAnsi="Times New Roman" w:cs="Times New Roman"/>
          <w:sz w:val="18"/>
          <w:szCs w:val="18"/>
        </w:rPr>
        <w:t>Kullback</w:t>
      </w:r>
      <w:proofErr w:type="spellEnd"/>
      <w:r w:rsidRPr="0035405D">
        <w:rPr>
          <w:rFonts w:ascii="Times New Roman" w:hAnsi="Times New Roman" w:cs="Times New Roman"/>
          <w:sz w:val="18"/>
          <w:szCs w:val="18"/>
        </w:rPr>
        <w:t>-Leibler divergence quantifies differences between probability distributions. When drift exceeds thresholds, systems alert governance teams and may trigger investigation or retraining</w:t>
      </w:r>
      <w:r w:rsidR="00AB0123">
        <w:rPr>
          <w:rFonts w:ascii="Times New Roman" w:hAnsi="Times New Roman" w:cs="Times New Roman"/>
          <w:sz w:val="18"/>
          <w:szCs w:val="18"/>
        </w:rPr>
        <w:t xml:space="preserve"> [9]</w:t>
      </w:r>
      <w:r w:rsidRPr="0035405D">
        <w:rPr>
          <w:rFonts w:ascii="Times New Roman" w:hAnsi="Times New Roman" w:cs="Times New Roman"/>
          <w:sz w:val="18"/>
          <w:szCs w:val="18"/>
        </w:rPr>
        <w:t>.</w:t>
      </w:r>
    </w:p>
    <w:p w14:paraId="3E754F10" w14:textId="564870D2"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Incident response.</w:t>
      </w:r>
      <w:r w:rsidRPr="0035405D">
        <w:rPr>
          <w:rFonts w:ascii="Times New Roman" w:hAnsi="Times New Roman" w:cs="Times New Roman"/>
          <w:sz w:val="18"/>
          <w:szCs w:val="18"/>
        </w:rPr>
        <w:t xml:space="preserve"> Organizations need incident response procedures tailored to AI failures</w:t>
      </w:r>
      <w:r w:rsidR="00AB0123">
        <w:rPr>
          <w:rFonts w:ascii="Times New Roman" w:hAnsi="Times New Roman" w:cs="Times New Roman"/>
          <w:sz w:val="18"/>
          <w:szCs w:val="18"/>
        </w:rPr>
        <w:t xml:space="preserve"> [5]</w:t>
      </w:r>
      <w:r w:rsidRPr="0035405D">
        <w:rPr>
          <w:rFonts w:ascii="Times New Roman" w:hAnsi="Times New Roman" w:cs="Times New Roman"/>
          <w:sz w:val="18"/>
          <w:szCs w:val="18"/>
        </w:rPr>
        <w:t>. Procedures should define severity levels based on potential harm, establish escalation paths, specify investigation requirements, and document remediation steps. Communication protocols should address affected stakeholders and regulatory notifications</w:t>
      </w:r>
      <w:r w:rsidR="00AB0123">
        <w:rPr>
          <w:rFonts w:ascii="Times New Roman" w:hAnsi="Times New Roman" w:cs="Times New Roman"/>
          <w:sz w:val="18"/>
          <w:szCs w:val="18"/>
        </w:rPr>
        <w:t xml:space="preserve"> [4]</w:t>
      </w:r>
      <w:r w:rsidRPr="0035405D">
        <w:rPr>
          <w:rFonts w:ascii="Times New Roman" w:hAnsi="Times New Roman" w:cs="Times New Roman"/>
          <w:sz w:val="18"/>
          <w:szCs w:val="18"/>
        </w:rPr>
        <w:t>.</w:t>
      </w:r>
    </w:p>
    <w:p w14:paraId="3566ED08" w14:textId="5CB58D8F"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b/>
          <w:bCs/>
          <w:sz w:val="18"/>
          <w:szCs w:val="18"/>
        </w:rPr>
        <w:t>Periodic auditing.</w:t>
      </w:r>
      <w:r w:rsidRPr="0035405D">
        <w:rPr>
          <w:rFonts w:ascii="Times New Roman" w:hAnsi="Times New Roman" w:cs="Times New Roman"/>
          <w:sz w:val="18"/>
          <w:szCs w:val="18"/>
        </w:rPr>
        <w:t xml:space="preserve"> Beyond continuous monitoring, models require periodic comprehensive audits</w:t>
      </w:r>
      <w:r w:rsidR="006041D0">
        <w:rPr>
          <w:rFonts w:ascii="Times New Roman" w:hAnsi="Times New Roman" w:cs="Times New Roman"/>
          <w:sz w:val="18"/>
          <w:szCs w:val="18"/>
        </w:rPr>
        <w:t xml:space="preserve"> [6]</w:t>
      </w:r>
      <w:r w:rsidRPr="0035405D">
        <w:rPr>
          <w:rFonts w:ascii="Times New Roman" w:hAnsi="Times New Roman" w:cs="Times New Roman"/>
          <w:sz w:val="18"/>
          <w:szCs w:val="18"/>
        </w:rPr>
        <w:t>. Audits assess ongoing compliance with regulatory requirements, evaluate whether assumptions underlying original validation remain valid, and identify emerging risks not captured by monitoring systems. Audit frequency should reflect model risk level</w:t>
      </w:r>
      <w:r w:rsidR="006041D0">
        <w:rPr>
          <w:rFonts w:ascii="Times New Roman" w:hAnsi="Times New Roman" w:cs="Times New Roman"/>
          <w:sz w:val="18"/>
          <w:szCs w:val="18"/>
        </w:rPr>
        <w:t xml:space="preserve"> [7]</w:t>
      </w:r>
      <w:r w:rsidRPr="0035405D">
        <w:rPr>
          <w:rFonts w:ascii="Times New Roman" w:hAnsi="Times New Roman" w:cs="Times New Roman"/>
          <w:sz w:val="18"/>
          <w:szCs w:val="18"/>
        </w:rPr>
        <w:t>.</w:t>
      </w:r>
    </w:p>
    <w:p w14:paraId="48A02C0A" w14:textId="6CD7B743" w:rsidR="0035405D" w:rsidRPr="00740FD4" w:rsidRDefault="0035405D" w:rsidP="00740FD4">
      <w:pPr>
        <w:pStyle w:val="Heading3"/>
        <w:rPr>
          <w:sz w:val="20"/>
          <w:szCs w:val="20"/>
        </w:rPr>
      </w:pPr>
      <w:r w:rsidRPr="00740FD4">
        <w:rPr>
          <w:sz w:val="20"/>
          <w:szCs w:val="20"/>
        </w:rPr>
        <w:t>REGULATORY LANDSCAPE AND STANDARDS ALIGNMENT</w:t>
      </w:r>
    </w:p>
    <w:p w14:paraId="43C65732" w14:textId="20B4241D"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Organizations must align governance practices with evolving regulatory requirements and emerging standards</w:t>
      </w:r>
      <w:r w:rsidR="006041D0">
        <w:rPr>
          <w:rFonts w:ascii="Times New Roman" w:hAnsi="Times New Roman" w:cs="Times New Roman"/>
          <w:sz w:val="18"/>
          <w:szCs w:val="18"/>
        </w:rPr>
        <w:t xml:space="preserve"> [4]</w:t>
      </w:r>
      <w:r w:rsidRPr="0035405D">
        <w:rPr>
          <w:rFonts w:ascii="Times New Roman" w:hAnsi="Times New Roman" w:cs="Times New Roman"/>
          <w:sz w:val="18"/>
          <w:szCs w:val="18"/>
        </w:rPr>
        <w:t>.</w:t>
      </w:r>
    </w:p>
    <w:p w14:paraId="2B0BF1A8"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A. EU Artificial Intelligence Act</w:t>
      </w:r>
    </w:p>
    <w:p w14:paraId="0442815E" w14:textId="75FD1C31"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The EU AI Act represents the most comprehensive binding regulation to date</w:t>
      </w:r>
      <w:r w:rsidR="00FF5668">
        <w:rPr>
          <w:rFonts w:ascii="Times New Roman" w:hAnsi="Times New Roman" w:cs="Times New Roman"/>
          <w:sz w:val="18"/>
          <w:szCs w:val="18"/>
        </w:rPr>
        <w:t xml:space="preserve"> [4]</w:t>
      </w:r>
      <w:r w:rsidRPr="0035405D">
        <w:rPr>
          <w:rFonts w:ascii="Times New Roman" w:hAnsi="Times New Roman" w:cs="Times New Roman"/>
          <w:sz w:val="18"/>
          <w:szCs w:val="18"/>
        </w:rPr>
        <w:t>. It classifies AI systems by risk level with corresponding requirements. Unacceptable risk systems are prohibited entirely. High-risk systems face stringent requirements including risk management systems, conformity assessments, technical documentation, transparency obligations, human oversight, and post-market monitoring. Limited risk systems face transparency obligations. Minimal risk systems face no additional requirements.</w:t>
      </w:r>
    </w:p>
    <w:p w14:paraId="0669A3A2" w14:textId="31EAD5C1"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Organizations deploying AI in Europe must prepare for compliance through systematic risk classification, documentation practices, and governance processes that demonstrate adherence to regulatory requirements</w:t>
      </w:r>
      <w:r w:rsidR="00A63C12">
        <w:rPr>
          <w:rFonts w:ascii="Times New Roman" w:hAnsi="Times New Roman" w:cs="Times New Roman"/>
          <w:sz w:val="18"/>
          <w:szCs w:val="18"/>
        </w:rPr>
        <w:t xml:space="preserve"> [6]</w:t>
      </w:r>
      <w:r w:rsidRPr="0035405D">
        <w:rPr>
          <w:rFonts w:ascii="Times New Roman" w:hAnsi="Times New Roman" w:cs="Times New Roman"/>
          <w:sz w:val="18"/>
          <w:szCs w:val="18"/>
        </w:rPr>
        <w:t>.</w:t>
      </w:r>
    </w:p>
    <w:p w14:paraId="1DB71EF9"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sz w:val="18"/>
          <w:szCs w:val="18"/>
        </w:rPr>
        <w:t>*B. ISO/IEC 42001*</w:t>
      </w:r>
    </w:p>
    <w:p w14:paraId="152BF4E0" w14:textId="6C34A3E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ISO/IEC 42001 provides the first international standard for AI management systems</w:t>
      </w:r>
      <w:r w:rsidR="007E7137">
        <w:rPr>
          <w:rFonts w:ascii="Times New Roman" w:hAnsi="Times New Roman" w:cs="Times New Roman"/>
          <w:sz w:val="18"/>
          <w:szCs w:val="18"/>
        </w:rPr>
        <w:t xml:space="preserve"> [5]</w:t>
      </w:r>
      <w:r w:rsidRPr="0035405D">
        <w:rPr>
          <w:rFonts w:ascii="Times New Roman" w:hAnsi="Times New Roman" w:cs="Times New Roman"/>
          <w:sz w:val="18"/>
          <w:szCs w:val="18"/>
        </w:rPr>
        <w:t xml:space="preserve">. It specifies requirements for establishing, implementing, maintaining, and continually improving AI management systems. Key requirements include context analysis, leadership commitment, risk </w:t>
      </w:r>
      <w:r w:rsidRPr="0035405D">
        <w:rPr>
          <w:rFonts w:ascii="Times New Roman" w:hAnsi="Times New Roman" w:cs="Times New Roman"/>
          <w:sz w:val="18"/>
          <w:szCs w:val="18"/>
        </w:rPr>
        <w:lastRenderedPageBreak/>
        <w:t>assessment, risk treatment, performance evaluation, and continual improvement</w:t>
      </w:r>
      <w:r w:rsidR="007E7137">
        <w:rPr>
          <w:rFonts w:ascii="Times New Roman" w:hAnsi="Times New Roman" w:cs="Times New Roman"/>
          <w:sz w:val="18"/>
          <w:szCs w:val="18"/>
        </w:rPr>
        <w:t xml:space="preserve"> [5]</w:t>
      </w:r>
      <w:r w:rsidRPr="0035405D">
        <w:rPr>
          <w:rFonts w:ascii="Times New Roman" w:hAnsi="Times New Roman" w:cs="Times New Roman"/>
          <w:sz w:val="18"/>
          <w:szCs w:val="18"/>
        </w:rPr>
        <w:t>.</w:t>
      </w:r>
    </w:p>
    <w:p w14:paraId="525DF49D" w14:textId="59358EAF"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ISO 42001 certification provides external validation of governance practices and facilitates integration with existing ISO 27001 information security and ISO 9001 quality management systems</w:t>
      </w:r>
      <w:r w:rsidR="0081183D">
        <w:rPr>
          <w:rFonts w:ascii="Times New Roman" w:hAnsi="Times New Roman" w:cs="Times New Roman"/>
          <w:sz w:val="18"/>
          <w:szCs w:val="18"/>
        </w:rPr>
        <w:t xml:space="preserve"> [2]</w:t>
      </w:r>
      <w:r w:rsidRPr="0035405D">
        <w:rPr>
          <w:rFonts w:ascii="Times New Roman" w:hAnsi="Times New Roman" w:cs="Times New Roman"/>
          <w:sz w:val="18"/>
          <w:szCs w:val="18"/>
        </w:rPr>
        <w:t>.</w:t>
      </w:r>
    </w:p>
    <w:p w14:paraId="797E108F"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C. NIST AI Risk Management Framework</w:t>
      </w:r>
    </w:p>
    <w:p w14:paraId="744E42DF" w14:textId="5A132F92"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The NIST AI RMF offers flexible guidance organized around four functions: govern, map, measure, and manage</w:t>
      </w:r>
      <w:r w:rsidR="0081183D">
        <w:rPr>
          <w:rFonts w:ascii="Times New Roman" w:hAnsi="Times New Roman" w:cs="Times New Roman"/>
          <w:sz w:val="18"/>
          <w:szCs w:val="18"/>
        </w:rPr>
        <w:t xml:space="preserve"> [2]</w:t>
      </w:r>
      <w:r w:rsidRPr="0035405D">
        <w:rPr>
          <w:rFonts w:ascii="Times New Roman" w:hAnsi="Times New Roman" w:cs="Times New Roman"/>
          <w:sz w:val="18"/>
          <w:szCs w:val="18"/>
        </w:rPr>
        <w:t>. Govern cultivates culture of risk management through policies and practices. Map contextualizes AI systems to understand uses and risks. Measure employs methods to assess and track risks. Manage allocates resources to address ongoing risks</w:t>
      </w:r>
      <w:r w:rsidR="0081183D">
        <w:rPr>
          <w:rFonts w:ascii="Times New Roman" w:hAnsi="Times New Roman" w:cs="Times New Roman"/>
          <w:sz w:val="18"/>
          <w:szCs w:val="18"/>
        </w:rPr>
        <w:t xml:space="preserve"> [2]</w:t>
      </w:r>
      <w:r w:rsidRPr="0035405D">
        <w:rPr>
          <w:rFonts w:ascii="Times New Roman" w:hAnsi="Times New Roman" w:cs="Times New Roman"/>
          <w:sz w:val="18"/>
          <w:szCs w:val="18"/>
        </w:rPr>
        <w:t>.</w:t>
      </w:r>
    </w:p>
    <w:p w14:paraId="796847D7"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Organizations may use the NIST framework as guidance within ISO 42001 management system structures.</w:t>
      </w:r>
    </w:p>
    <w:p w14:paraId="3098F36D" w14:textId="7B29E367" w:rsidR="0035405D" w:rsidRPr="001C4259" w:rsidRDefault="0035405D" w:rsidP="001C4259">
      <w:pPr>
        <w:pStyle w:val="Heading3"/>
        <w:rPr>
          <w:sz w:val="20"/>
          <w:szCs w:val="20"/>
        </w:rPr>
      </w:pPr>
      <w:r w:rsidRPr="001C4259">
        <w:rPr>
          <w:sz w:val="20"/>
          <w:szCs w:val="20"/>
        </w:rPr>
        <w:t>IMPLEMENTATION ROADMAP</w:t>
      </w:r>
    </w:p>
    <w:p w14:paraId="76BF5ADC" w14:textId="700BBDDA"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Implementing comprehensive AI governance requires phased approaches balancing risk reduction with innovation capacity</w:t>
      </w:r>
      <w:r w:rsidR="008C550B">
        <w:rPr>
          <w:rFonts w:ascii="Times New Roman" w:hAnsi="Times New Roman" w:cs="Times New Roman"/>
          <w:sz w:val="18"/>
          <w:szCs w:val="18"/>
        </w:rPr>
        <w:t xml:space="preserve"> [7]</w:t>
      </w:r>
      <w:r w:rsidRPr="0035405D">
        <w:rPr>
          <w:rFonts w:ascii="Times New Roman" w:hAnsi="Times New Roman" w:cs="Times New Roman"/>
          <w:sz w:val="18"/>
          <w:szCs w:val="18"/>
        </w:rPr>
        <w:t>.</w:t>
      </w:r>
    </w:p>
    <w:p w14:paraId="260DA7F4"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A. Phase One: Foundation</w:t>
      </w:r>
    </w:p>
    <w:p w14:paraId="74F10332" w14:textId="7F9CADB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Establish basic governance capabilities. Inventory all AI systems, their purposes, data sources, and risk levels</w:t>
      </w:r>
      <w:r w:rsidR="00E85F22">
        <w:rPr>
          <w:rFonts w:ascii="Times New Roman" w:hAnsi="Times New Roman" w:cs="Times New Roman"/>
          <w:sz w:val="18"/>
          <w:szCs w:val="18"/>
        </w:rPr>
        <w:t xml:space="preserve"> [1]</w:t>
      </w:r>
      <w:r w:rsidRPr="0035405D">
        <w:rPr>
          <w:rFonts w:ascii="Times New Roman" w:hAnsi="Times New Roman" w:cs="Times New Roman"/>
          <w:sz w:val="18"/>
          <w:szCs w:val="18"/>
        </w:rPr>
        <w:t>. Appoint governance leads, define committee structures, and assign responsibilities. Develop initial policies addressing data, model development, and operations</w:t>
      </w:r>
      <w:r w:rsidR="00E85F22">
        <w:rPr>
          <w:rFonts w:ascii="Times New Roman" w:hAnsi="Times New Roman" w:cs="Times New Roman"/>
          <w:sz w:val="18"/>
          <w:szCs w:val="18"/>
        </w:rPr>
        <w:t xml:space="preserve"> [5]</w:t>
      </w:r>
      <w:r w:rsidRPr="0035405D">
        <w:rPr>
          <w:rFonts w:ascii="Times New Roman" w:hAnsi="Times New Roman" w:cs="Times New Roman"/>
          <w:sz w:val="18"/>
          <w:szCs w:val="18"/>
        </w:rPr>
        <w:t>. Implement basic documentation standards and model registry</w:t>
      </w:r>
      <w:r w:rsidR="00E85F22">
        <w:rPr>
          <w:rFonts w:ascii="Times New Roman" w:hAnsi="Times New Roman" w:cs="Times New Roman"/>
          <w:sz w:val="18"/>
          <w:szCs w:val="18"/>
        </w:rPr>
        <w:t xml:space="preserve"> [3]</w:t>
      </w:r>
      <w:r w:rsidRPr="0035405D">
        <w:rPr>
          <w:rFonts w:ascii="Times New Roman" w:hAnsi="Times New Roman" w:cs="Times New Roman"/>
          <w:sz w:val="18"/>
          <w:szCs w:val="18"/>
        </w:rPr>
        <w:t>.</w:t>
      </w:r>
    </w:p>
    <w:p w14:paraId="5D1480E9"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B. Phase Two: Risk-Based Controls</w:t>
      </w:r>
    </w:p>
    <w:p w14:paraId="76A24C46" w14:textId="41F4B9DF"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Focus controls on highest-risk applications. Classify all AI systems by risk level based on use case, data sensitivity, and potential harm</w:t>
      </w:r>
      <w:r w:rsidR="00E85F22">
        <w:rPr>
          <w:rFonts w:ascii="Times New Roman" w:hAnsi="Times New Roman" w:cs="Times New Roman"/>
          <w:sz w:val="18"/>
          <w:szCs w:val="18"/>
        </w:rPr>
        <w:t xml:space="preserve"> [</w:t>
      </w:r>
      <w:r w:rsidR="00D576C1">
        <w:rPr>
          <w:rFonts w:ascii="Times New Roman" w:hAnsi="Times New Roman" w:cs="Times New Roman"/>
          <w:sz w:val="18"/>
          <w:szCs w:val="18"/>
        </w:rPr>
        <w:t>4</w:t>
      </w:r>
      <w:r w:rsidR="00E85F22">
        <w:rPr>
          <w:rFonts w:ascii="Times New Roman" w:hAnsi="Times New Roman" w:cs="Times New Roman"/>
          <w:sz w:val="18"/>
          <w:szCs w:val="18"/>
        </w:rPr>
        <w:t>]</w:t>
      </w:r>
      <w:r w:rsidRPr="0035405D">
        <w:rPr>
          <w:rFonts w:ascii="Times New Roman" w:hAnsi="Times New Roman" w:cs="Times New Roman"/>
          <w:sz w:val="18"/>
          <w:szCs w:val="18"/>
        </w:rPr>
        <w:t>. Require independent validation for high-risk models. Conduct systematic bias assessment for high-risk applications</w:t>
      </w:r>
      <w:r w:rsidR="00D576C1">
        <w:rPr>
          <w:rFonts w:ascii="Times New Roman" w:hAnsi="Times New Roman" w:cs="Times New Roman"/>
          <w:sz w:val="18"/>
          <w:szCs w:val="18"/>
        </w:rPr>
        <w:t xml:space="preserve"> [3]</w:t>
      </w:r>
      <w:r w:rsidRPr="0035405D">
        <w:rPr>
          <w:rFonts w:ascii="Times New Roman" w:hAnsi="Times New Roman" w:cs="Times New Roman"/>
          <w:sz w:val="18"/>
          <w:szCs w:val="18"/>
        </w:rPr>
        <w:t>. Deploy monitoring for high-risk models</w:t>
      </w:r>
      <w:r w:rsidR="00D576C1">
        <w:rPr>
          <w:rFonts w:ascii="Times New Roman" w:hAnsi="Times New Roman" w:cs="Times New Roman"/>
          <w:sz w:val="18"/>
          <w:szCs w:val="18"/>
        </w:rPr>
        <w:t xml:space="preserve"> [9]</w:t>
      </w:r>
      <w:r w:rsidRPr="0035405D">
        <w:rPr>
          <w:rFonts w:ascii="Times New Roman" w:hAnsi="Times New Roman" w:cs="Times New Roman"/>
          <w:sz w:val="18"/>
          <w:szCs w:val="18"/>
        </w:rPr>
        <w:t>.</w:t>
      </w:r>
    </w:p>
    <w:p w14:paraId="4B550D45" w14:textId="77777777" w:rsidR="0035405D" w:rsidRPr="0035405D" w:rsidRDefault="0035405D" w:rsidP="0035405D">
      <w:pPr>
        <w:rPr>
          <w:rFonts w:ascii="Times New Roman" w:hAnsi="Times New Roman" w:cs="Times New Roman"/>
          <w:b/>
          <w:bCs/>
          <w:sz w:val="18"/>
          <w:szCs w:val="18"/>
        </w:rPr>
      </w:pPr>
      <w:r w:rsidRPr="0035405D">
        <w:rPr>
          <w:rFonts w:ascii="Times New Roman" w:hAnsi="Times New Roman" w:cs="Times New Roman"/>
          <w:b/>
          <w:bCs/>
          <w:i/>
          <w:iCs/>
          <w:sz w:val="18"/>
          <w:szCs w:val="18"/>
        </w:rPr>
        <w:t>C. Phase Three: Comprehensive Governance</w:t>
      </w:r>
    </w:p>
    <w:p w14:paraId="18EAE304" w14:textId="4570938C" w:rsid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Extend controls across all AI systems. Implement full monitoring for all production models</w:t>
      </w:r>
      <w:r w:rsidR="001D0D76">
        <w:rPr>
          <w:rFonts w:ascii="Times New Roman" w:hAnsi="Times New Roman" w:cs="Times New Roman"/>
          <w:sz w:val="18"/>
          <w:szCs w:val="18"/>
        </w:rPr>
        <w:t xml:space="preserve"> [10]</w:t>
      </w:r>
      <w:r w:rsidRPr="0035405D">
        <w:rPr>
          <w:rFonts w:ascii="Times New Roman" w:hAnsi="Times New Roman" w:cs="Times New Roman"/>
          <w:sz w:val="18"/>
          <w:szCs w:val="18"/>
        </w:rPr>
        <w:t>. Deploy automated governance controls and continuous compliance verification. Pursue ISO 42001 certification</w:t>
      </w:r>
      <w:r w:rsidR="001D0D76">
        <w:rPr>
          <w:rFonts w:ascii="Times New Roman" w:hAnsi="Times New Roman" w:cs="Times New Roman"/>
          <w:sz w:val="18"/>
          <w:szCs w:val="18"/>
        </w:rPr>
        <w:t xml:space="preserve"> [5]</w:t>
      </w:r>
      <w:r w:rsidRPr="0035405D">
        <w:rPr>
          <w:rFonts w:ascii="Times New Roman" w:hAnsi="Times New Roman" w:cs="Times New Roman"/>
          <w:sz w:val="18"/>
          <w:szCs w:val="18"/>
        </w:rPr>
        <w:t>. Establish processes for ongoing governance enhancement</w:t>
      </w:r>
      <w:r w:rsidR="001D0D76">
        <w:rPr>
          <w:rFonts w:ascii="Times New Roman" w:hAnsi="Times New Roman" w:cs="Times New Roman"/>
          <w:sz w:val="18"/>
          <w:szCs w:val="18"/>
        </w:rPr>
        <w:t xml:space="preserve"> [2]</w:t>
      </w:r>
      <w:r w:rsidRPr="0035405D">
        <w:rPr>
          <w:rFonts w:ascii="Times New Roman" w:hAnsi="Times New Roman" w:cs="Times New Roman"/>
          <w:sz w:val="18"/>
          <w:szCs w:val="18"/>
        </w:rPr>
        <w:t>.</w:t>
      </w:r>
    </w:p>
    <w:p w14:paraId="3792AE9C" w14:textId="20ABEA2A" w:rsidR="0063578D" w:rsidRPr="0063578D" w:rsidRDefault="002E6BA0" w:rsidP="0063578D">
      <w:pPr>
        <w:rPr>
          <w:rFonts w:ascii="Times New Roman" w:hAnsi="Times New Roman" w:cs="Times New Roman"/>
          <w:sz w:val="18"/>
          <w:szCs w:val="18"/>
        </w:rPr>
      </w:pPr>
      <w:r>
        <w:rPr>
          <w:rFonts w:ascii="Times New Roman" w:hAnsi="Times New Roman" w:cs="Times New Roman"/>
          <w:sz w:val="18"/>
          <w:szCs w:val="18"/>
        </w:rPr>
        <w:t xml:space="preserve">For example, a </w:t>
      </w:r>
      <w:proofErr w:type="spellStart"/>
      <w:r>
        <w:rPr>
          <w:rFonts w:ascii="Times New Roman" w:hAnsi="Times New Roman" w:cs="Times New Roman"/>
          <w:sz w:val="18"/>
          <w:szCs w:val="18"/>
        </w:rPr>
        <w:t>e</w:t>
      </w:r>
      <w:r w:rsidR="0063578D" w:rsidRPr="0063578D">
        <w:rPr>
          <w:rFonts w:ascii="Times New Roman" w:hAnsi="Times New Roman" w:cs="Times New Roman"/>
          <w:sz w:val="18"/>
          <w:szCs w:val="18"/>
        </w:rPr>
        <w:t>uropean</w:t>
      </w:r>
      <w:proofErr w:type="spellEnd"/>
      <w:r w:rsidR="0063578D" w:rsidRPr="0063578D">
        <w:rPr>
          <w:rFonts w:ascii="Times New Roman" w:hAnsi="Times New Roman" w:cs="Times New Roman"/>
          <w:sz w:val="18"/>
          <w:szCs w:val="18"/>
        </w:rPr>
        <w:t xml:space="preserve"> healthcare provider implements full monitoring across all its AI diagnostic tools. When its radiology AI model begins showing signs of data drift due to new MRI machine calibration, automated alerts trigger immediate investigation. Continuous compliance </w:t>
      </w:r>
      <w:r w:rsidR="0063578D" w:rsidRPr="0063578D">
        <w:rPr>
          <w:rFonts w:ascii="Times New Roman" w:hAnsi="Times New Roman" w:cs="Times New Roman"/>
          <w:sz w:val="18"/>
          <w:szCs w:val="18"/>
        </w:rPr>
        <w:t>verification detects that patient consent documentation for a subset of training data is missing, prompting automated remediation workflows. The organization achieves ISO 42001 certification, demonstrating to regulators and hospital partners that its AI governance meets international standards. Ongoing governance enhancement processes capture lessons learned, leading to improved model validation requirements and updated data provenance protocols for future AI deployments.</w:t>
      </w:r>
    </w:p>
    <w:p w14:paraId="567CFCA6" w14:textId="38E73D81" w:rsidR="00DC0744" w:rsidRDefault="00DC0744" w:rsidP="0035405D">
      <w:pPr>
        <w:rPr>
          <w:rFonts w:ascii="Times New Roman" w:hAnsi="Times New Roman" w:cs="Times New Roman"/>
          <w:sz w:val="18"/>
          <w:szCs w:val="18"/>
        </w:rPr>
      </w:pPr>
    </w:p>
    <w:p w14:paraId="5DBD60B2" w14:textId="77777777" w:rsidR="00146ADC" w:rsidRPr="001C4259" w:rsidRDefault="00146ADC" w:rsidP="00146ADC">
      <w:pPr>
        <w:pStyle w:val="Heading3"/>
        <w:rPr>
          <w:sz w:val="20"/>
          <w:szCs w:val="20"/>
        </w:rPr>
      </w:pPr>
      <w:r w:rsidRPr="001C4259">
        <w:rPr>
          <w:sz w:val="20"/>
          <w:szCs w:val="20"/>
        </w:rPr>
        <w:t>CONCLUSION</w:t>
      </w:r>
    </w:p>
    <w:p w14:paraId="4533867F" w14:textId="77777777" w:rsidR="00146ADC" w:rsidRPr="0035405D" w:rsidRDefault="00146ADC" w:rsidP="00146ADC">
      <w:pPr>
        <w:rPr>
          <w:rFonts w:ascii="Times New Roman" w:hAnsi="Times New Roman" w:cs="Times New Roman"/>
          <w:sz w:val="18"/>
          <w:szCs w:val="18"/>
        </w:rPr>
      </w:pPr>
      <w:r w:rsidRPr="0035405D">
        <w:rPr>
          <w:rFonts w:ascii="Times New Roman" w:hAnsi="Times New Roman" w:cs="Times New Roman"/>
          <w:sz w:val="18"/>
          <w:szCs w:val="18"/>
        </w:rPr>
        <w:t>The governance of artificial intelligence and machine learning systems requires frameworks tailored to their unique characteristics. Probabilistic behavior, opacity, bias risks, performance degradation, and security vulnerabilities demand controls beyond traditional IT governance.</w:t>
      </w:r>
    </w:p>
    <w:p w14:paraId="64BB9D50" w14:textId="77777777" w:rsidR="00146ADC" w:rsidRPr="0035405D" w:rsidRDefault="00146ADC" w:rsidP="00146ADC">
      <w:pPr>
        <w:rPr>
          <w:rFonts w:ascii="Times New Roman" w:hAnsi="Times New Roman" w:cs="Times New Roman"/>
          <w:sz w:val="18"/>
          <w:szCs w:val="18"/>
        </w:rPr>
      </w:pPr>
      <w:r w:rsidRPr="0035405D">
        <w:rPr>
          <w:rFonts w:ascii="Times New Roman" w:hAnsi="Times New Roman" w:cs="Times New Roman"/>
          <w:sz w:val="18"/>
          <w:szCs w:val="18"/>
        </w:rPr>
        <w:t>The four-dimensional framework presented in this paper provides comprehensive coverage across structural, technical, data, and operational dimensions. Structural governance establishes accountability. Technical controls embed safeguards. Data governance ensures foundation integrity. Operational governance enables continuous monitoring.</w:t>
      </w:r>
    </w:p>
    <w:p w14:paraId="0C8EE47A" w14:textId="77777777" w:rsidR="00146ADC" w:rsidRPr="0035405D" w:rsidRDefault="00146ADC" w:rsidP="00146ADC">
      <w:pPr>
        <w:rPr>
          <w:rFonts w:ascii="Times New Roman" w:hAnsi="Times New Roman" w:cs="Times New Roman"/>
          <w:sz w:val="18"/>
          <w:szCs w:val="18"/>
        </w:rPr>
      </w:pPr>
      <w:r w:rsidRPr="0035405D">
        <w:rPr>
          <w:rFonts w:ascii="Times New Roman" w:hAnsi="Times New Roman" w:cs="Times New Roman"/>
          <w:sz w:val="18"/>
          <w:szCs w:val="18"/>
        </w:rPr>
        <w:t>Implementation requires phased approaches that recognize organizational constraints and prioritize highest-risk applications first. Organizations that invest in robust AI governance position themselves to capture AI's benefits while managing its risks. Those that delay expose themselves to regulatory penalties, reputational damage, and operational failures that undermine trust in AI and its promise.</w:t>
      </w:r>
    </w:p>
    <w:p w14:paraId="60DFCAB3" w14:textId="77777777" w:rsidR="00146ADC" w:rsidRDefault="00146ADC" w:rsidP="00146ADC">
      <w:pPr>
        <w:rPr>
          <w:rFonts w:ascii="Times New Roman" w:hAnsi="Times New Roman" w:cs="Times New Roman"/>
          <w:sz w:val="18"/>
          <w:szCs w:val="18"/>
        </w:rPr>
      </w:pPr>
      <w:r w:rsidRPr="0035405D">
        <w:rPr>
          <w:rFonts w:ascii="Times New Roman" w:hAnsi="Times New Roman" w:cs="Times New Roman"/>
          <w:sz w:val="18"/>
          <w:szCs w:val="18"/>
        </w:rPr>
        <w:t>As AI capabilities continue advancing and regulatory requirements expand, governance must evolve accordingly. Organizations that establish strong foundations today will be best positioned to adapt to future developments while maintaining responsible innovation.</w:t>
      </w:r>
    </w:p>
    <w:p w14:paraId="43996ABA" w14:textId="77777777" w:rsidR="00DC0744" w:rsidRDefault="00DC0744" w:rsidP="0035405D">
      <w:pPr>
        <w:rPr>
          <w:rFonts w:ascii="Times New Roman" w:hAnsi="Times New Roman" w:cs="Times New Roman"/>
          <w:sz w:val="18"/>
          <w:szCs w:val="18"/>
        </w:rPr>
      </w:pPr>
    </w:p>
    <w:p w14:paraId="6F2872EE" w14:textId="77777777" w:rsidR="00DC0744" w:rsidRDefault="00DC0744" w:rsidP="0035405D">
      <w:pPr>
        <w:rPr>
          <w:rFonts w:ascii="Times New Roman" w:hAnsi="Times New Roman" w:cs="Times New Roman"/>
          <w:sz w:val="18"/>
          <w:szCs w:val="18"/>
        </w:rPr>
      </w:pPr>
    </w:p>
    <w:p w14:paraId="624CB9EC" w14:textId="77777777" w:rsidR="00DC0744" w:rsidRDefault="00DC0744" w:rsidP="0035405D">
      <w:pPr>
        <w:rPr>
          <w:rFonts w:ascii="Times New Roman" w:hAnsi="Times New Roman" w:cs="Times New Roman"/>
          <w:sz w:val="18"/>
          <w:szCs w:val="18"/>
        </w:rPr>
      </w:pPr>
    </w:p>
    <w:p w14:paraId="7FF8FA2C" w14:textId="77777777" w:rsidR="00DC0744" w:rsidRDefault="00DC0744" w:rsidP="0035405D">
      <w:pPr>
        <w:rPr>
          <w:rFonts w:ascii="Times New Roman" w:hAnsi="Times New Roman" w:cs="Times New Roman"/>
          <w:sz w:val="18"/>
          <w:szCs w:val="18"/>
        </w:rPr>
      </w:pPr>
    </w:p>
    <w:p w14:paraId="28C55CB9" w14:textId="77777777" w:rsidR="00DC0744" w:rsidRDefault="00DC0744" w:rsidP="0035405D">
      <w:pPr>
        <w:rPr>
          <w:rFonts w:ascii="Times New Roman" w:hAnsi="Times New Roman" w:cs="Times New Roman"/>
          <w:sz w:val="18"/>
          <w:szCs w:val="18"/>
        </w:rPr>
      </w:pPr>
    </w:p>
    <w:p w14:paraId="58E43386" w14:textId="77777777" w:rsidR="00DC0744" w:rsidRDefault="00DC0744" w:rsidP="0035405D">
      <w:pPr>
        <w:rPr>
          <w:rFonts w:ascii="Times New Roman" w:hAnsi="Times New Roman" w:cs="Times New Roman"/>
          <w:sz w:val="18"/>
          <w:szCs w:val="18"/>
        </w:rPr>
      </w:pPr>
    </w:p>
    <w:p w14:paraId="27D15237" w14:textId="77777777" w:rsidR="00392E31" w:rsidRDefault="00392E31" w:rsidP="0035405D">
      <w:pPr>
        <w:rPr>
          <w:rFonts w:ascii="Times New Roman" w:hAnsi="Times New Roman" w:cs="Times New Roman"/>
          <w:b/>
          <w:bCs/>
          <w:sz w:val="18"/>
          <w:szCs w:val="18"/>
        </w:rPr>
      </w:pPr>
    </w:p>
    <w:p w14:paraId="22E351B2" w14:textId="1C5148CE" w:rsidR="0035405D" w:rsidRPr="00B83D3E" w:rsidRDefault="0035405D" w:rsidP="00B83D3E">
      <w:pPr>
        <w:pStyle w:val="Heading3"/>
        <w:rPr>
          <w:sz w:val="20"/>
          <w:szCs w:val="20"/>
        </w:rPr>
      </w:pPr>
      <w:r w:rsidRPr="00B83D3E">
        <w:rPr>
          <w:sz w:val="20"/>
          <w:szCs w:val="20"/>
        </w:rPr>
        <w:lastRenderedPageBreak/>
        <w:t>REFERENCES</w:t>
      </w:r>
    </w:p>
    <w:p w14:paraId="05C1D084" w14:textId="0AABD4EA"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 xml:space="preserve">[1] European Commission, "Regulation laying down </w:t>
      </w:r>
      <w:r w:rsidR="005D7B10" w:rsidRPr="0035405D">
        <w:rPr>
          <w:rFonts w:ascii="Times New Roman" w:hAnsi="Times New Roman" w:cs="Times New Roman"/>
          <w:sz w:val="18"/>
          <w:szCs w:val="18"/>
        </w:rPr>
        <w:t>harmonized</w:t>
      </w:r>
      <w:r w:rsidRPr="0035405D">
        <w:rPr>
          <w:rFonts w:ascii="Times New Roman" w:hAnsi="Times New Roman" w:cs="Times New Roman"/>
          <w:sz w:val="18"/>
          <w:szCs w:val="18"/>
        </w:rPr>
        <w:t xml:space="preserve"> rules on artificial intelligence," Brussels, 2024.</w:t>
      </w:r>
    </w:p>
    <w:p w14:paraId="776909ED"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[2] International Organization for Standardization, "ISO/IEC 42001:2023 Information technology — Artificial intelligence — Management system," Geneva, 2023.</w:t>
      </w:r>
    </w:p>
    <w:p w14:paraId="13AECF39"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[3] National Institute of Standards and Technology, "Artificial Intelligence Risk Management Framework," NIST AI 100-1, Washington DC, 2023.</w:t>
      </w:r>
    </w:p>
    <w:p w14:paraId="34507694"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[4] S. Barocas, M. Hardt, and A. Narayanan, "Fairness and Machine Learning: Limitations and Opportunities," Cambridge: MIT Press, 2023.</w:t>
      </w:r>
    </w:p>
    <w:p w14:paraId="0DE1E070"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[5] M. Mitchell et al., "Model Cards for Model Reporting," in Proceedings of the Conference on Fairness, Accountability, and Transparency, 2019.</w:t>
      </w:r>
    </w:p>
    <w:p w14:paraId="2D6BE5E8"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[6] T. Gebru et al., "Datasheets for Datasets," Communications of the ACM, vol. 64, no. 12, 2021.</w:t>
      </w:r>
    </w:p>
    <w:p w14:paraId="1F5FB81F"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[7] S. Lundberg and S. Lee, "A Unified Approach to Interpreting Model Predictions," Advances in Neural Information Processing Systems, 2017.</w:t>
      </w:r>
    </w:p>
    <w:p w14:paraId="362731A3"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[8] R. Bellamy et al., "AI Fairness 360: An Extensible Toolkit for Detecting and Mitigating Algorithmic Bias," IBM Journal of Research and Development, 2019.</w:t>
      </w:r>
    </w:p>
    <w:p w14:paraId="18A812C8" w14:textId="77777777" w:rsidR="0035405D" w:rsidRPr="0035405D"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[9] Information Systems Audit and Control Association, "COBIT 2019 Framework," ISACA, 2019.</w:t>
      </w:r>
    </w:p>
    <w:p w14:paraId="738B5200" w14:textId="77777777" w:rsidR="002E094F" w:rsidRDefault="0035405D" w:rsidP="0035405D">
      <w:pPr>
        <w:rPr>
          <w:rFonts w:ascii="Times New Roman" w:hAnsi="Times New Roman" w:cs="Times New Roman"/>
          <w:sz w:val="18"/>
          <w:szCs w:val="18"/>
        </w:rPr>
      </w:pPr>
      <w:r w:rsidRPr="0035405D">
        <w:rPr>
          <w:rFonts w:ascii="Times New Roman" w:hAnsi="Times New Roman" w:cs="Times New Roman"/>
          <w:sz w:val="18"/>
          <w:szCs w:val="18"/>
        </w:rPr>
        <w:t>[10] D. Sculley et al., "Hidden Technical Debt in Machine Learning Systems," Advances in Neural Information Processing Systems, 20</w:t>
      </w:r>
      <w:r w:rsidR="00FE07D5">
        <w:rPr>
          <w:rFonts w:ascii="Times New Roman" w:hAnsi="Times New Roman" w:cs="Times New Roman"/>
          <w:sz w:val="18"/>
          <w:szCs w:val="18"/>
        </w:rPr>
        <w:t>.</w:t>
      </w:r>
    </w:p>
    <w:p w14:paraId="5472E1C9" w14:textId="77777777" w:rsidR="00A60E9D" w:rsidRDefault="00A60E9D" w:rsidP="0035405D">
      <w:pPr>
        <w:rPr>
          <w:rFonts w:ascii="Times New Roman" w:hAnsi="Times New Roman" w:cs="Times New Roman"/>
          <w:sz w:val="18"/>
          <w:szCs w:val="18"/>
        </w:rPr>
      </w:pPr>
      <w:r>
        <w:rPr>
          <w:rFonts w:ascii="Times New Roman" w:hAnsi="Times New Roman" w:cs="Times New Roman"/>
          <w:sz w:val="18"/>
          <w:szCs w:val="18"/>
        </w:rPr>
        <w:t xml:space="preserve">[11] </w:t>
      </w:r>
      <w:r w:rsidRPr="00A60E9D">
        <w:rPr>
          <w:rFonts w:ascii="Times New Roman" w:hAnsi="Times New Roman" w:cs="Times New Roman"/>
          <w:sz w:val="18"/>
          <w:szCs w:val="18"/>
        </w:rPr>
        <w:t>J. Béranger, </w:t>
      </w:r>
      <w:r w:rsidRPr="00A60E9D">
        <w:rPr>
          <w:rFonts w:ascii="Times New Roman" w:hAnsi="Times New Roman" w:cs="Times New Roman"/>
          <w:i/>
          <w:iCs/>
          <w:sz w:val="18"/>
          <w:szCs w:val="18"/>
        </w:rPr>
        <w:t>The Algorithmic Code of Ethics: Ethics at the Bedside of the Digital Revolution</w:t>
      </w:r>
      <w:r w:rsidRPr="00A60E9D">
        <w:rPr>
          <w:rFonts w:ascii="Times New Roman" w:hAnsi="Times New Roman" w:cs="Times New Roman"/>
          <w:sz w:val="18"/>
          <w:szCs w:val="18"/>
        </w:rPr>
        <w:t>. London: ISTE Ltd and Hoboken, NJ: John Wiley &amp; Sons, 2018.</w:t>
      </w:r>
      <w:r>
        <w:rPr>
          <w:rFonts w:ascii="Times New Roman" w:hAnsi="Times New Roman" w:cs="Times New Roman"/>
          <w:sz w:val="18"/>
          <w:szCs w:val="18"/>
        </w:rPr>
        <w:t xml:space="preserve"> </w:t>
      </w:r>
    </w:p>
    <w:p w14:paraId="74BFA6B7" w14:textId="77777777" w:rsidR="00A60E9D" w:rsidRDefault="00A60E9D" w:rsidP="0035405D">
      <w:pPr>
        <w:rPr>
          <w:rFonts w:ascii="Times New Roman" w:hAnsi="Times New Roman" w:cs="Times New Roman"/>
          <w:sz w:val="18"/>
          <w:szCs w:val="18"/>
        </w:rPr>
      </w:pPr>
      <w:r>
        <w:rPr>
          <w:rFonts w:ascii="Times New Roman" w:hAnsi="Times New Roman" w:cs="Times New Roman"/>
          <w:sz w:val="18"/>
          <w:szCs w:val="18"/>
        </w:rPr>
        <w:t>[12</w:t>
      </w:r>
      <w:r w:rsidR="0016387E">
        <w:rPr>
          <w:rFonts w:ascii="Times New Roman" w:hAnsi="Times New Roman" w:cs="Times New Roman"/>
          <w:sz w:val="18"/>
          <w:szCs w:val="18"/>
        </w:rPr>
        <w:t xml:space="preserve">] </w:t>
      </w:r>
      <w:r w:rsidR="0016387E" w:rsidRPr="0016387E">
        <w:rPr>
          <w:rFonts w:ascii="Times New Roman" w:hAnsi="Times New Roman" w:cs="Times New Roman"/>
          <w:sz w:val="18"/>
          <w:szCs w:val="18"/>
        </w:rPr>
        <w:t>M. Kearns and A. Roth, </w:t>
      </w:r>
      <w:r w:rsidR="0016387E" w:rsidRPr="0016387E">
        <w:rPr>
          <w:rFonts w:ascii="Times New Roman" w:hAnsi="Times New Roman" w:cs="Times New Roman"/>
          <w:i/>
          <w:iCs/>
          <w:sz w:val="18"/>
          <w:szCs w:val="18"/>
        </w:rPr>
        <w:t>The Ethical Algorithm: The Science of Socially Aware Algorithm Design</w:t>
      </w:r>
      <w:r w:rsidR="0016387E" w:rsidRPr="0016387E">
        <w:rPr>
          <w:rFonts w:ascii="Times New Roman" w:hAnsi="Times New Roman" w:cs="Times New Roman"/>
          <w:sz w:val="18"/>
          <w:szCs w:val="18"/>
        </w:rPr>
        <w:t>. New York: Oxford University Press, 2020.</w:t>
      </w:r>
      <w:r w:rsidR="0016387E">
        <w:rPr>
          <w:rFonts w:ascii="Times New Roman" w:hAnsi="Times New Roman" w:cs="Times New Roman"/>
          <w:sz w:val="18"/>
          <w:szCs w:val="18"/>
        </w:rPr>
        <w:t xml:space="preserve"> </w:t>
      </w:r>
    </w:p>
    <w:p w14:paraId="6752B561" w14:textId="77777777" w:rsidR="0016387E" w:rsidRDefault="0016387E" w:rsidP="0035405D">
      <w:pPr>
        <w:rPr>
          <w:rFonts w:ascii="Times New Roman" w:hAnsi="Times New Roman" w:cs="Times New Roman"/>
          <w:sz w:val="18"/>
          <w:szCs w:val="18"/>
        </w:rPr>
      </w:pPr>
      <w:r>
        <w:rPr>
          <w:rFonts w:ascii="Times New Roman" w:hAnsi="Times New Roman" w:cs="Times New Roman"/>
          <w:sz w:val="18"/>
          <w:szCs w:val="18"/>
        </w:rPr>
        <w:t>[13]</w:t>
      </w:r>
      <w:r w:rsidR="00FE64E4">
        <w:rPr>
          <w:rFonts w:ascii="Times New Roman" w:hAnsi="Times New Roman" w:cs="Times New Roman"/>
          <w:sz w:val="18"/>
          <w:szCs w:val="18"/>
        </w:rPr>
        <w:t xml:space="preserve"> </w:t>
      </w:r>
      <w:r w:rsidR="00FE64E4" w:rsidRPr="00FE64E4">
        <w:rPr>
          <w:rFonts w:ascii="Times New Roman" w:hAnsi="Times New Roman" w:cs="Times New Roman"/>
          <w:sz w:val="18"/>
          <w:szCs w:val="18"/>
        </w:rPr>
        <w:t xml:space="preserve">B. van </w:t>
      </w:r>
      <w:proofErr w:type="spellStart"/>
      <w:r w:rsidR="00FE64E4" w:rsidRPr="00FE64E4">
        <w:rPr>
          <w:rFonts w:ascii="Times New Roman" w:hAnsi="Times New Roman" w:cs="Times New Roman"/>
          <w:sz w:val="18"/>
          <w:szCs w:val="18"/>
        </w:rPr>
        <w:t>Rooij</w:t>
      </w:r>
      <w:proofErr w:type="spellEnd"/>
      <w:r w:rsidR="00FE64E4" w:rsidRPr="00FE64E4">
        <w:rPr>
          <w:rFonts w:ascii="Times New Roman" w:hAnsi="Times New Roman" w:cs="Times New Roman"/>
          <w:sz w:val="18"/>
          <w:szCs w:val="18"/>
        </w:rPr>
        <w:t xml:space="preserve"> and D. D. Sokol, Eds., </w:t>
      </w:r>
      <w:r w:rsidR="00FE64E4" w:rsidRPr="00FE64E4">
        <w:rPr>
          <w:rFonts w:ascii="Times New Roman" w:hAnsi="Times New Roman" w:cs="Times New Roman"/>
          <w:i/>
          <w:iCs/>
          <w:sz w:val="18"/>
          <w:szCs w:val="18"/>
        </w:rPr>
        <w:t>The Cambridge Handbook of Compliance</w:t>
      </w:r>
      <w:r w:rsidR="00FE64E4" w:rsidRPr="00FE64E4">
        <w:rPr>
          <w:rFonts w:ascii="Times New Roman" w:hAnsi="Times New Roman" w:cs="Times New Roman"/>
          <w:sz w:val="18"/>
          <w:szCs w:val="18"/>
        </w:rPr>
        <w:t>. Cambridge: Cambridge University Press, 2021.</w:t>
      </w:r>
    </w:p>
    <w:p w14:paraId="73CE701A" w14:textId="153C9FE6" w:rsidR="00FE64E4" w:rsidRDefault="00FE64E4" w:rsidP="0035405D">
      <w:pPr>
        <w:rPr>
          <w:rFonts w:ascii="Times New Roman" w:hAnsi="Times New Roman" w:cs="Times New Roman"/>
          <w:sz w:val="18"/>
          <w:szCs w:val="18"/>
        </w:rPr>
      </w:pPr>
      <w:r>
        <w:rPr>
          <w:rFonts w:ascii="Times New Roman" w:hAnsi="Times New Roman" w:cs="Times New Roman"/>
          <w:sz w:val="18"/>
          <w:szCs w:val="18"/>
        </w:rPr>
        <w:t xml:space="preserve">[14] </w:t>
      </w:r>
      <w:r w:rsidR="00E70AB9" w:rsidRPr="00E70AB9">
        <w:rPr>
          <w:rFonts w:ascii="Times New Roman" w:hAnsi="Times New Roman" w:cs="Times New Roman"/>
          <w:sz w:val="18"/>
          <w:szCs w:val="18"/>
        </w:rPr>
        <w:t xml:space="preserve">M. </w:t>
      </w:r>
      <w:proofErr w:type="spellStart"/>
      <w:r w:rsidR="00E70AB9" w:rsidRPr="00E70AB9">
        <w:rPr>
          <w:rFonts w:ascii="Times New Roman" w:hAnsi="Times New Roman" w:cs="Times New Roman"/>
          <w:sz w:val="18"/>
          <w:szCs w:val="18"/>
        </w:rPr>
        <w:t>Filimowicz</w:t>
      </w:r>
      <w:proofErr w:type="spellEnd"/>
      <w:r w:rsidR="00E70AB9" w:rsidRPr="00E70AB9">
        <w:rPr>
          <w:rFonts w:ascii="Times New Roman" w:hAnsi="Times New Roman" w:cs="Times New Roman"/>
          <w:sz w:val="18"/>
          <w:szCs w:val="18"/>
        </w:rPr>
        <w:t>, Ed., </w:t>
      </w:r>
      <w:r w:rsidR="00E70AB9" w:rsidRPr="00E70AB9">
        <w:rPr>
          <w:rFonts w:ascii="Times New Roman" w:hAnsi="Times New Roman" w:cs="Times New Roman"/>
          <w:i/>
          <w:iCs/>
          <w:sz w:val="18"/>
          <w:szCs w:val="18"/>
        </w:rPr>
        <w:t>Algorithmic Ethics: Algorithms and Society</w:t>
      </w:r>
      <w:r w:rsidR="00E70AB9" w:rsidRPr="00E70AB9">
        <w:rPr>
          <w:rFonts w:ascii="Times New Roman" w:hAnsi="Times New Roman" w:cs="Times New Roman"/>
          <w:sz w:val="18"/>
          <w:szCs w:val="18"/>
        </w:rPr>
        <w:t>. Abingdon, Oxon and New York, NY: Routledge, 2023</w:t>
      </w:r>
    </w:p>
    <w:p w14:paraId="22CC6EBA" w14:textId="56E84F17" w:rsidR="00AB6086" w:rsidRDefault="00AB6086" w:rsidP="0035405D">
      <w:pPr>
        <w:rPr>
          <w:rFonts w:ascii="Times New Roman" w:hAnsi="Times New Roman" w:cs="Times New Roman"/>
          <w:sz w:val="18"/>
          <w:szCs w:val="18"/>
        </w:rPr>
      </w:pPr>
      <w:r>
        <w:rPr>
          <w:rFonts w:ascii="Times New Roman" w:hAnsi="Times New Roman" w:cs="Times New Roman"/>
          <w:sz w:val="18"/>
          <w:szCs w:val="18"/>
        </w:rPr>
        <w:t>[15</w:t>
      </w:r>
      <w:r w:rsidR="00C82627">
        <w:rPr>
          <w:rFonts w:ascii="Times New Roman" w:hAnsi="Times New Roman" w:cs="Times New Roman"/>
          <w:sz w:val="18"/>
          <w:szCs w:val="18"/>
        </w:rPr>
        <w:t xml:space="preserve"> </w:t>
      </w:r>
      <w:r w:rsidR="00C82627" w:rsidRPr="00C82627">
        <w:rPr>
          <w:rFonts w:ascii="Times New Roman" w:hAnsi="Times New Roman" w:cs="Times New Roman"/>
          <w:sz w:val="18"/>
          <w:szCs w:val="18"/>
        </w:rPr>
        <w:t>B. Morgan and K. Yeung, "Regulatory enforcement and compliance," in </w:t>
      </w:r>
      <w:r w:rsidR="00C82627" w:rsidRPr="00C82627">
        <w:rPr>
          <w:rFonts w:ascii="Times New Roman" w:hAnsi="Times New Roman" w:cs="Times New Roman"/>
          <w:i/>
          <w:iCs/>
          <w:sz w:val="18"/>
          <w:szCs w:val="18"/>
        </w:rPr>
        <w:t>An Introduction to Law and Regulation: Text and Materials</w:t>
      </w:r>
      <w:r w:rsidR="00C82627" w:rsidRPr="00C82627">
        <w:rPr>
          <w:rFonts w:ascii="Times New Roman" w:hAnsi="Times New Roman" w:cs="Times New Roman"/>
          <w:sz w:val="18"/>
          <w:szCs w:val="18"/>
        </w:rPr>
        <w:t>. Cambridge: Cambridge University Press, 2007, pp. 151-220.</w:t>
      </w:r>
    </w:p>
    <w:p w14:paraId="07C4DD69" w14:textId="388AF023" w:rsidR="00F427AC" w:rsidRDefault="00F427AC" w:rsidP="0035405D">
      <w:pPr>
        <w:rPr>
          <w:rFonts w:ascii="Times New Roman" w:hAnsi="Times New Roman" w:cs="Times New Roman"/>
          <w:sz w:val="18"/>
          <w:szCs w:val="18"/>
        </w:rPr>
        <w:sectPr w:rsidR="00F427AC" w:rsidSect="005132A4">
          <w:pgSz w:w="12240" w:h="15840"/>
          <w:pgMar w:top="1440" w:right="1440" w:bottom="1440" w:left="1440" w:header="720" w:footer="720" w:gutter="0"/>
          <w:pgNumType w:start="0"/>
          <w:cols w:num="2" w:space="720"/>
          <w:titlePg/>
          <w:docGrid w:linePitch="360"/>
        </w:sectPr>
      </w:pPr>
      <w:r>
        <w:rPr>
          <w:rFonts w:ascii="Times New Roman" w:hAnsi="Times New Roman" w:cs="Times New Roman"/>
          <w:sz w:val="18"/>
          <w:szCs w:val="18"/>
        </w:rPr>
        <w:t>[16]</w:t>
      </w:r>
      <w:r w:rsidR="00DA5C01">
        <w:rPr>
          <w:rFonts w:ascii="Times New Roman" w:hAnsi="Times New Roman" w:cs="Times New Roman"/>
          <w:sz w:val="18"/>
          <w:szCs w:val="18"/>
        </w:rPr>
        <w:t xml:space="preserve"> </w:t>
      </w:r>
      <w:r w:rsidR="00DA5C01" w:rsidRPr="00DA5C01">
        <w:rPr>
          <w:rFonts w:ascii="Times New Roman" w:hAnsi="Times New Roman" w:cs="Times New Roman"/>
          <w:sz w:val="18"/>
          <w:szCs w:val="18"/>
        </w:rPr>
        <w:t xml:space="preserve">C. </w:t>
      </w:r>
      <w:proofErr w:type="spellStart"/>
      <w:r w:rsidR="00DA5C01" w:rsidRPr="00DA5C01">
        <w:rPr>
          <w:rFonts w:ascii="Times New Roman" w:hAnsi="Times New Roman" w:cs="Times New Roman"/>
          <w:sz w:val="18"/>
          <w:szCs w:val="18"/>
        </w:rPr>
        <w:t>Mougan</w:t>
      </w:r>
      <w:proofErr w:type="spellEnd"/>
      <w:r w:rsidR="00DA5C01" w:rsidRPr="00DA5C01">
        <w:rPr>
          <w:rFonts w:ascii="Times New Roman" w:hAnsi="Times New Roman" w:cs="Times New Roman"/>
          <w:sz w:val="18"/>
          <w:szCs w:val="18"/>
        </w:rPr>
        <w:t xml:space="preserve">, "Model Monitoring in the Absence of Labeled Data via Feature Attributions Distributions," </w:t>
      </w:r>
      <w:proofErr w:type="spellStart"/>
      <w:r w:rsidR="00DA5C01" w:rsidRPr="00DA5C01">
        <w:rPr>
          <w:rFonts w:ascii="Times New Roman" w:hAnsi="Times New Roman" w:cs="Times New Roman"/>
          <w:sz w:val="18"/>
          <w:szCs w:val="18"/>
        </w:rPr>
        <w:t>arXiv</w:t>
      </w:r>
      <w:proofErr w:type="spellEnd"/>
      <w:r w:rsidR="00DA5C01" w:rsidRPr="00DA5C01">
        <w:rPr>
          <w:rFonts w:ascii="Times New Roman" w:hAnsi="Times New Roman" w:cs="Times New Roman"/>
          <w:sz w:val="18"/>
          <w:szCs w:val="18"/>
        </w:rPr>
        <w:t xml:space="preserve"> preprint arXiv:2501.10774, 2025</w:t>
      </w:r>
    </w:p>
    <w:p w14:paraId="36A5DD6A" w14:textId="77777777" w:rsidR="009F2988" w:rsidRDefault="009F2988" w:rsidP="0035405D">
      <w:pPr>
        <w:rPr>
          <w:rFonts w:ascii="Times New Roman" w:hAnsi="Times New Roman" w:cs="Times New Roman"/>
          <w:sz w:val="18"/>
          <w:szCs w:val="18"/>
        </w:rPr>
      </w:pPr>
    </w:p>
    <w:p w14:paraId="58886CE8" w14:textId="49E01501" w:rsidR="00781C43" w:rsidRPr="000E417F" w:rsidRDefault="00781C43" w:rsidP="000E417F">
      <w:pPr>
        <w:pStyle w:val="Heading2"/>
        <w:rPr>
          <w:b/>
          <w:bCs/>
          <w:u w:val="single"/>
        </w:rPr>
      </w:pPr>
      <w:r w:rsidRPr="00781C43">
        <w:rPr>
          <w:b/>
          <w:bCs/>
          <w:u w:val="single"/>
        </w:rPr>
        <w:t>Task 2</w:t>
      </w:r>
    </w:p>
    <w:p w14:paraId="6752C966" w14:textId="77777777" w:rsidR="00054B27" w:rsidRPr="00054B27" w:rsidRDefault="00054B27" w:rsidP="00054B27">
      <w:pPr>
        <w:pStyle w:val="Heading3"/>
        <w:rPr>
          <w:b/>
          <w:bCs/>
          <w:u w:val="single"/>
        </w:rPr>
      </w:pPr>
      <w:r w:rsidRPr="00054B27">
        <w:rPr>
          <w:b/>
          <w:bCs/>
          <w:u w:val="single"/>
        </w:rPr>
        <w:t>Introduction</w:t>
      </w:r>
    </w:p>
    <w:p w14:paraId="6E053EBF" w14:textId="77777777" w:rsidR="00054B27" w:rsidRPr="00054B27" w:rsidRDefault="00054B27" w:rsidP="00054B27">
      <w:proofErr w:type="spellStart"/>
      <w:r w:rsidRPr="00054B27">
        <w:t>MediTrust</w:t>
      </w:r>
      <w:proofErr w:type="spellEnd"/>
      <w:r w:rsidRPr="00054B27">
        <w:t xml:space="preserve"> Analytics Ltd is at a pivotal moment in its growth journey. As a HealthTech company developing AI-powered clinical decision support systems for hospitals and private healthcare providers, they handle some of the most sensitive data imaginable. Medical records, diagnostic imaging, and real-time IoT data from patient monitoring devices flow through their systems daily. Now they are expanding into the European Union market, which means they must navigate one of the world's most stringent regulatory environments while maintaining the trust of their clinical partners and patients.</w:t>
      </w:r>
    </w:p>
    <w:p w14:paraId="25141967" w14:textId="5E9C763F" w:rsidR="00054B27" w:rsidRDefault="00054B27" w:rsidP="00054B27">
      <w:r w:rsidRPr="00054B27">
        <w:t xml:space="preserve">The challenge is significant. </w:t>
      </w:r>
      <w:proofErr w:type="spellStart"/>
      <w:r w:rsidRPr="00054B27">
        <w:t>MediTrust</w:t>
      </w:r>
      <w:proofErr w:type="spellEnd"/>
      <w:r w:rsidRPr="00054B27">
        <w:t xml:space="preserve"> operates with a fully hybrid workforce including remote developers, clinical data analysts, and third-party research partners. They rely on multi-cloud providers to deliver services internationally. Their AI models are only as good as the data they train on, and if that data is compromised through poisoned training sets, cloud misconfigurations, or supply chain vulnerabilities, the consequences for patient safety and regulatory compliance could be catastrophic. As Barocas and colleagues note in their work on fairness and machine learning, the integrity of training data fundamentally determines the safety and reliability of deployed AI systems [1].</w:t>
      </w:r>
    </w:p>
    <w:p w14:paraId="1B5BC965" w14:textId="77777777" w:rsidR="00054B27" w:rsidRDefault="00054B27" w:rsidP="00054B27"/>
    <w:p w14:paraId="624F822C" w14:textId="77777777" w:rsidR="00D474E7" w:rsidRDefault="00D474E7" w:rsidP="00054B27"/>
    <w:p w14:paraId="3A6E7584" w14:textId="77777777" w:rsidR="00D474E7" w:rsidRDefault="00D474E7" w:rsidP="00054B27"/>
    <w:p w14:paraId="05DB795D" w14:textId="77777777" w:rsidR="00D474E7" w:rsidRDefault="00D474E7" w:rsidP="00054B27"/>
    <w:p w14:paraId="4E4FCE86" w14:textId="77777777" w:rsidR="00D474E7" w:rsidRDefault="00D474E7" w:rsidP="00054B27"/>
    <w:p w14:paraId="73385357" w14:textId="77777777" w:rsidR="00D474E7" w:rsidRDefault="00D474E7" w:rsidP="00054B27"/>
    <w:p w14:paraId="474F8B5D" w14:textId="77777777" w:rsidR="00D474E7" w:rsidRDefault="00D474E7" w:rsidP="00054B27"/>
    <w:p w14:paraId="571FB272" w14:textId="77777777" w:rsidR="00D474E7" w:rsidRDefault="00D474E7" w:rsidP="00054B27"/>
    <w:p w14:paraId="054F66AC" w14:textId="77777777" w:rsidR="00D474E7" w:rsidRDefault="00D474E7" w:rsidP="00054B27"/>
    <w:p w14:paraId="1405A02D" w14:textId="77777777" w:rsidR="00D474E7" w:rsidRDefault="00D474E7" w:rsidP="00054B27"/>
    <w:p w14:paraId="1672BBF6" w14:textId="77777777" w:rsidR="00D474E7" w:rsidRPr="00054B27" w:rsidRDefault="00D474E7" w:rsidP="00054B27"/>
    <w:p w14:paraId="0F1F58CA" w14:textId="0063F302" w:rsidR="00054B27" w:rsidRPr="00054B27" w:rsidRDefault="00DB33C6" w:rsidP="00054B27">
      <w:pPr>
        <w:pStyle w:val="Heading3"/>
        <w:rPr>
          <w:b/>
          <w:bCs/>
          <w:u w:val="single"/>
        </w:rPr>
      </w:pPr>
      <w:r w:rsidRPr="00054B27">
        <w:rPr>
          <w:b/>
          <w:bCs/>
          <w:u w:val="single"/>
        </w:rPr>
        <w:lastRenderedPageBreak/>
        <w:t>Organizational</w:t>
      </w:r>
      <w:r w:rsidR="00054B27" w:rsidRPr="00054B27">
        <w:rPr>
          <w:b/>
          <w:bCs/>
          <w:u w:val="single"/>
        </w:rPr>
        <w:t xml:space="preserve"> Structure for the EU Security Unit</w:t>
      </w:r>
    </w:p>
    <w:p w14:paraId="409E0517" w14:textId="43E4D999" w:rsidR="00054B27" w:rsidRPr="00054B27" w:rsidRDefault="00054B27" w:rsidP="00054B27">
      <w:r w:rsidRPr="00054B27">
        <w:t xml:space="preserve">The first thing </w:t>
      </w:r>
      <w:proofErr w:type="spellStart"/>
      <w:r w:rsidRPr="00054B27">
        <w:t>MediTrust</w:t>
      </w:r>
      <w:proofErr w:type="spellEnd"/>
      <w:r w:rsidRPr="00054B27">
        <w:t xml:space="preserve"> needs to get right is who does what. Security cannot be an afterthought bolted onto existing processes. It needs dedicated ownership with clear reporting lines and the authority to make decisions. Based on the requirements, I have designed a structure that includes both a Cloud Security Architect and a </w:t>
      </w:r>
      <w:proofErr w:type="spellStart"/>
      <w:r w:rsidRPr="00054B27">
        <w:t>DevSecOps</w:t>
      </w:r>
      <w:proofErr w:type="spellEnd"/>
      <w:r w:rsidRPr="00054B27">
        <w:t xml:space="preserve"> Lead, </w:t>
      </w:r>
      <w:r w:rsidR="00DB33C6" w:rsidRPr="00054B27">
        <w:t>recognizing</w:t>
      </w:r>
      <w:r w:rsidRPr="00054B27">
        <w:t xml:space="preserve"> that cloud security and development security are distinct but interconnected disciplines.</w:t>
      </w:r>
    </w:p>
    <w:p w14:paraId="093616AE" w14:textId="77777777" w:rsidR="00054B27" w:rsidRPr="00054B27" w:rsidRDefault="00054B27" w:rsidP="00054B27">
      <w:r w:rsidRPr="00054B27">
        <w:t>At the top of the EU security structure sits the Head of Security for the EU Region, who reports directly to the Group Chief Information Security Officer. This ensures that EU-specific concerns receive appropriate attention while maintaining alignment with global security strategy. Reporting to the Head of Security are four key roles.</w:t>
      </w:r>
    </w:p>
    <w:p w14:paraId="7B10C415" w14:textId="77777777" w:rsidR="00054B27" w:rsidRPr="00054B27" w:rsidRDefault="00054B27" w:rsidP="00054B27">
      <w:r w:rsidRPr="00054B27">
        <w:t xml:space="preserve">The Cloud Security Architect holds responsibility for multi-cloud security architecture across </w:t>
      </w:r>
      <w:proofErr w:type="spellStart"/>
      <w:r w:rsidRPr="00054B27">
        <w:t>MediTrust's</w:t>
      </w:r>
      <w:proofErr w:type="spellEnd"/>
      <w:r w:rsidRPr="00054B27">
        <w:t xml:space="preserve"> AWS, Azure, and GCP environments. This role selects and configures Cloud Security Posture Management tools, designs cloud identity and access management frameworks, and develops data protection and encryption strategies that comply with EU regulations. Given </w:t>
      </w:r>
      <w:proofErr w:type="spellStart"/>
      <w:r w:rsidRPr="00054B27">
        <w:t>MediTrust's</w:t>
      </w:r>
      <w:proofErr w:type="spellEnd"/>
      <w:r w:rsidRPr="00054B27">
        <w:t xml:space="preserve"> reliance on cloud infrastructure to serve international clients, this role is critical to preventing the misconfigurations that so often lead to data breaches [2].</w:t>
      </w:r>
    </w:p>
    <w:p w14:paraId="4D3F66A5" w14:textId="77777777" w:rsidR="00054B27" w:rsidRPr="00054B27" w:rsidRDefault="00054B27" w:rsidP="00054B27">
      <w:r w:rsidRPr="00054B27">
        <w:t xml:space="preserve">The </w:t>
      </w:r>
      <w:proofErr w:type="spellStart"/>
      <w:r w:rsidRPr="00054B27">
        <w:t>DevSecOps</w:t>
      </w:r>
      <w:proofErr w:type="spellEnd"/>
      <w:r w:rsidRPr="00054B27">
        <w:t xml:space="preserve"> Lead focuses on integrating security into the software development lifecycle. This role embeds security controls into continuous integration and continuous deployment pipelines, selects and manages static and dynamic application security testing tools, establishes secure coding standards, and provides training to developers. Because </w:t>
      </w:r>
      <w:proofErr w:type="spellStart"/>
      <w:r w:rsidRPr="00054B27">
        <w:t>MediTrust's</w:t>
      </w:r>
      <w:proofErr w:type="spellEnd"/>
      <w:r w:rsidRPr="00054B27">
        <w:t xml:space="preserve"> AI models are continuously trained and updated, the </w:t>
      </w:r>
      <w:proofErr w:type="spellStart"/>
      <w:r w:rsidRPr="00054B27">
        <w:t>DevSecOps</w:t>
      </w:r>
      <w:proofErr w:type="spellEnd"/>
      <w:r w:rsidRPr="00054B27">
        <w:t xml:space="preserve"> Lead must ensure that security does not slow down innovation but rather enables it safely. The concept of "shifting left" in security means addressing vulnerabilities when they are cheapest and easiest to fix, during development rather than after deployment [3].</w:t>
      </w:r>
    </w:p>
    <w:p w14:paraId="14519C17" w14:textId="77777777" w:rsidR="00054B27" w:rsidRPr="00054B27" w:rsidRDefault="00054B27" w:rsidP="00054B27">
      <w:r w:rsidRPr="00054B27">
        <w:t>The Security Operations Manager leads the team responsible for twenty-four seven security monitoring and incident response. This role manages the Security Information and Event Management platform, coordinates threat hunting activities, and ensures that when incidents occur, they are detected and contained quickly. For a healthcare company operating in the EU, the ability to detect and report incidents within regulatory timeframes is essential for DORA and NIS2 compliance [4].</w:t>
      </w:r>
    </w:p>
    <w:p w14:paraId="19DDD129" w14:textId="6F2A44BC" w:rsidR="00054B27" w:rsidRPr="00054B27" w:rsidRDefault="00054B27" w:rsidP="00054B27">
      <w:r w:rsidRPr="00054B27">
        <w:t xml:space="preserve">The Compliance and Risk Officer focuses specifically on regulatory obligations. This role monitors compliance with DORA, NIS2, and GDPR requirements, conducts third-party risk assessments for suppliers and research partners, and prepares evidence for audits. Given </w:t>
      </w:r>
      <w:r w:rsidRPr="00054B27">
        <w:lastRenderedPageBreak/>
        <w:t xml:space="preserve">the complexity of EU regulations and the severe penalties for non-compliance, this dedicated focus is essential [5]. Research on regulatory compliance in healthcare technology demonstrates that </w:t>
      </w:r>
      <w:r w:rsidR="00DB33C6" w:rsidRPr="00054B27">
        <w:t>organizations</w:t>
      </w:r>
      <w:r w:rsidRPr="00054B27">
        <w:t xml:space="preserve"> with dedicated compliance roles respond more effectively to regulatory changes and audit findings [6].</w:t>
      </w:r>
    </w:p>
    <w:p w14:paraId="6DADCB36" w14:textId="77777777" w:rsidR="00054B27" w:rsidRPr="00054B27" w:rsidRDefault="00054B27" w:rsidP="00054B27">
      <w:r w:rsidRPr="00054B27">
        <w:t>This structure ensures that cloud security and development security have dedicated senior attention while maintaining coordination through the Head of Security. The separation of concerns prevents any single issue from being neglected while the regular reporting lines ensure that all activities align with overall security strategy [7].</w:t>
      </w:r>
    </w:p>
    <w:p w14:paraId="3F59D519" w14:textId="581C7D28" w:rsidR="00054B27" w:rsidRDefault="008726B7" w:rsidP="00054B27">
      <w:r>
        <w:rPr>
          <w:noProof/>
        </w:rPr>
        <w:drawing>
          <wp:inline distT="0" distB="0" distL="0" distR="0" wp14:anchorId="57FA5706" wp14:editId="60945A17">
            <wp:extent cx="6886575" cy="4886325"/>
            <wp:effectExtent l="0" t="57150" r="0" b="47625"/>
            <wp:docPr id="78677179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4FC579F" w14:textId="77777777" w:rsidR="00054B27" w:rsidRDefault="00054B27" w:rsidP="00054B27"/>
    <w:p w14:paraId="79F5BCE0" w14:textId="77777777" w:rsidR="00054B27" w:rsidRPr="00054B27" w:rsidRDefault="00054B27" w:rsidP="00054B27"/>
    <w:p w14:paraId="7450EAEF" w14:textId="1BD93899" w:rsidR="00054B27" w:rsidRPr="00054B27" w:rsidRDefault="00054B27" w:rsidP="00054B27">
      <w:pPr>
        <w:pStyle w:val="Heading3"/>
        <w:rPr>
          <w:b/>
          <w:bCs/>
          <w:u w:val="single"/>
        </w:rPr>
      </w:pPr>
      <w:r w:rsidRPr="00054B27">
        <w:rPr>
          <w:b/>
          <w:bCs/>
          <w:u w:val="single"/>
        </w:rPr>
        <w:lastRenderedPageBreak/>
        <w:t>Policies and Procedures for the Hybrid Workforce</w:t>
      </w:r>
    </w:p>
    <w:p w14:paraId="5F51BE45" w14:textId="620BA940" w:rsidR="00054B27" w:rsidRPr="00054B27" w:rsidRDefault="00054B27" w:rsidP="00054B27">
      <w:proofErr w:type="spellStart"/>
      <w:r w:rsidRPr="00054B27">
        <w:t>MediTrust's</w:t>
      </w:r>
      <w:proofErr w:type="spellEnd"/>
      <w:r w:rsidRPr="00054B27">
        <w:t xml:space="preserve"> hybrid workforce creates unique security challenges that cannot be addressed through technology alone. Clear policies and procedures must guide </w:t>
      </w:r>
      <w:r w:rsidR="00DB33C6" w:rsidRPr="00054B27">
        <w:t>employees’</w:t>
      </w:r>
      <w:r w:rsidRPr="00054B27">
        <w:t xml:space="preserve"> </w:t>
      </w:r>
      <w:r w:rsidR="00DB33C6" w:rsidRPr="00054B27">
        <w:t>behavior</w:t>
      </w:r>
      <w:r w:rsidRPr="00054B27">
        <w:t xml:space="preserve"> and establish expectations for secure working practices. Three policies are particularly critical for the EU expansion.</w:t>
      </w:r>
    </w:p>
    <w:p w14:paraId="5DFD4930" w14:textId="78D2D784" w:rsidR="00054B27" w:rsidRPr="00054B27" w:rsidRDefault="00054B27" w:rsidP="00054B27">
      <w:r w:rsidRPr="006A33AB">
        <w:rPr>
          <w:b/>
          <w:bCs/>
          <w:i/>
          <w:iCs/>
        </w:rPr>
        <w:t>The AI Usage Policy</w:t>
      </w:r>
      <w:r w:rsidRPr="00054B27">
        <w:t xml:space="preserve"> must address how </w:t>
      </w:r>
      <w:proofErr w:type="spellStart"/>
      <w:r w:rsidRPr="00054B27">
        <w:t>MediTrust's</w:t>
      </w:r>
      <w:proofErr w:type="spellEnd"/>
      <w:r w:rsidRPr="00054B27">
        <w:t xml:space="preserve"> employees and third-party partners interact with AI systems. This policy should prohibit the use of </w:t>
      </w:r>
      <w:r w:rsidR="00DB33C6" w:rsidRPr="00054B27">
        <w:t>unauthorized</w:t>
      </w:r>
      <w:r w:rsidRPr="00054B27">
        <w:t xml:space="preserve"> AI tools for processing patient data, require approval for any AI model training involving sensitive information, and establish guidelines for reviewing AI-generated outputs before clinical use. Given that </w:t>
      </w:r>
      <w:proofErr w:type="spellStart"/>
      <w:r w:rsidRPr="00054B27">
        <w:t>MediTrust</w:t>
      </w:r>
      <w:proofErr w:type="spellEnd"/>
      <w:r w:rsidRPr="00054B27">
        <w:t xml:space="preserve"> develops AI-powered clinical decision support systems, the integrity of those systems depends on controlling how AI is used throughout the </w:t>
      </w:r>
      <w:r w:rsidR="00DB33C6" w:rsidRPr="00054B27">
        <w:t>organization</w:t>
      </w:r>
      <w:r w:rsidRPr="00054B27">
        <w:t>. The policy should also address the risks of shadow AI, where employees use unapproved AI tools that could expose patient data. Mitchell and colleagues argue in their work on model cards that transparency about AI usage is essential for accountability and trust [8].</w:t>
      </w:r>
    </w:p>
    <w:p w14:paraId="58ED9465" w14:textId="77777777" w:rsidR="00054B27" w:rsidRPr="00054B27" w:rsidRDefault="00054B27" w:rsidP="00054B27">
      <w:r w:rsidRPr="006A33AB">
        <w:rPr>
          <w:b/>
          <w:bCs/>
          <w:i/>
          <w:iCs/>
        </w:rPr>
        <w:t>The Secure SaaS Configuration Policy</w:t>
      </w:r>
      <w:r w:rsidRPr="00054B27">
        <w:t xml:space="preserve"> addresses the proliferation of cloud-based software applications that employees adopt for productivity. Without clear guidance, different teams may configure the same SaaS product in different ways, some of which may expose data. This policy should establish baseline security configurations for all approved SaaS applications, require regular access reviews to remove unnecessary permissions, and mandate multi-factor authentication for all SaaS access. For </w:t>
      </w:r>
      <w:proofErr w:type="spellStart"/>
      <w:r w:rsidRPr="00054B27">
        <w:t>MediTrust</w:t>
      </w:r>
      <w:proofErr w:type="spellEnd"/>
      <w:r w:rsidRPr="00054B27">
        <w:t>, where clinical data analysts and remote developers rely heavily on collaboration tools, consistent SaaS configuration prevents data leakage [2].</w:t>
      </w:r>
    </w:p>
    <w:p w14:paraId="2D62DE5A" w14:textId="11377A7E" w:rsidR="00054B27" w:rsidRPr="00054B27" w:rsidRDefault="00054B27" w:rsidP="00054B27">
      <w:r w:rsidRPr="006A33AB">
        <w:rPr>
          <w:b/>
          <w:bCs/>
          <w:i/>
          <w:iCs/>
        </w:rPr>
        <w:t>The Bring Your Own Device Policy</w:t>
      </w:r>
      <w:r w:rsidRPr="00054B27">
        <w:t xml:space="preserve"> is essential for </w:t>
      </w:r>
      <w:proofErr w:type="spellStart"/>
      <w:r w:rsidRPr="00054B27">
        <w:t>MediTrust's</w:t>
      </w:r>
      <w:proofErr w:type="spellEnd"/>
      <w:r w:rsidRPr="00054B27">
        <w:t xml:space="preserve"> hybrid workforce. Many employees will prefer to use personal devices for work, but patient data cannot be stored on unmanaged devices. This policy should require that all devices accessing </w:t>
      </w:r>
      <w:proofErr w:type="spellStart"/>
      <w:r w:rsidRPr="00054B27">
        <w:t>MediTrust</w:t>
      </w:r>
      <w:proofErr w:type="spellEnd"/>
      <w:r w:rsidRPr="00054B27">
        <w:t xml:space="preserve"> systems meet minimum security standards including full disk encryption, up-to-date operating systems, and endpoint detection and response agents. The policy should also establish clear guidelines for what data can be accessed from personal devices and what must remain within managed corporate environments. </w:t>
      </w:r>
      <w:r w:rsidR="000153CE" w:rsidRPr="00054B27">
        <w:t>Containerization</w:t>
      </w:r>
      <w:r w:rsidRPr="00054B27">
        <w:t xml:space="preserve"> solutions can allow personal device use while keeping corporate data separate and remotely wipeable [9].</w:t>
      </w:r>
    </w:p>
    <w:p w14:paraId="1F72C024" w14:textId="24515F4E" w:rsidR="00054B27" w:rsidRPr="00054B27" w:rsidRDefault="00054B27" w:rsidP="00054B27">
      <w:r w:rsidRPr="00054B27">
        <w:t xml:space="preserve">These policies must be living documents, reviewed regularly and updated as threats evolve and new technologies emerge. Training and awareness </w:t>
      </w:r>
      <w:r w:rsidR="000153CE" w:rsidRPr="00054B27">
        <w:t>programs</w:t>
      </w:r>
      <w:r w:rsidRPr="00054B27">
        <w:t xml:space="preserve"> must ensure that employees understand not just what the policies require but why they matter for patient safety and regulatory compliance [10].</w:t>
      </w:r>
    </w:p>
    <w:p w14:paraId="1041EEF6" w14:textId="1B0C43DD" w:rsidR="00054B27" w:rsidRPr="00054B27" w:rsidRDefault="00054B27" w:rsidP="00054B27">
      <w:pPr>
        <w:pStyle w:val="Heading3"/>
        <w:rPr>
          <w:b/>
          <w:bCs/>
          <w:u w:val="single"/>
        </w:rPr>
      </w:pPr>
      <w:r w:rsidRPr="00054B27">
        <w:rPr>
          <w:b/>
          <w:bCs/>
          <w:u w:val="single"/>
        </w:rPr>
        <w:lastRenderedPageBreak/>
        <w:t>Compliance with DORA and NIS2 Requirements</w:t>
      </w:r>
    </w:p>
    <w:p w14:paraId="4C790A97" w14:textId="77777777" w:rsidR="00054B27" w:rsidRPr="00054B27" w:rsidRDefault="00054B27" w:rsidP="00054B27">
      <w:r w:rsidRPr="00054B27">
        <w:t xml:space="preserve">The Digital Operational Resilience Act and the Network and Information Security Directive represent two of the most significant EU cybersecurity regulations in recent years. </w:t>
      </w:r>
      <w:proofErr w:type="spellStart"/>
      <w:r w:rsidRPr="00054B27">
        <w:t>MediTrust</w:t>
      </w:r>
      <w:proofErr w:type="spellEnd"/>
      <w:r w:rsidRPr="00054B27">
        <w:t xml:space="preserve"> must demonstrate compliance with both to operate successfully in the European market.</w:t>
      </w:r>
    </w:p>
    <w:p w14:paraId="5A9817AC" w14:textId="1D180B7E" w:rsidR="00054B27" w:rsidRPr="00054B27" w:rsidRDefault="00054B27" w:rsidP="00054B27">
      <w:r w:rsidRPr="00054B27">
        <w:t xml:space="preserve">DORA focuses specifically on the financial sector's operational resilience, but its principles apply broadly to any </w:t>
      </w:r>
      <w:r w:rsidR="000153CE" w:rsidRPr="00054B27">
        <w:t>organization</w:t>
      </w:r>
      <w:r w:rsidRPr="00054B27">
        <w:t xml:space="preserve"> handling sensitive data and providing critical services. For </w:t>
      </w:r>
      <w:proofErr w:type="spellStart"/>
      <w:r w:rsidRPr="00054B27">
        <w:t>MediTrust</w:t>
      </w:r>
      <w:proofErr w:type="spellEnd"/>
      <w:r w:rsidRPr="00054B27">
        <w:t xml:space="preserve">, the most relevant DORA requirements relate to ICT risk management, incident reporting, and digital operational resilience testing. The regulation requires </w:t>
      </w:r>
      <w:r w:rsidR="000153CE" w:rsidRPr="00054B27">
        <w:t>organizations</w:t>
      </w:r>
      <w:r w:rsidRPr="00054B27">
        <w:t xml:space="preserve"> to establish comprehensive ICT risk management frameworks, report major incidents within strict timeframes, and regularly test their resilience through vulnerability assessments and threat-led penetration testing [4].</w:t>
      </w:r>
    </w:p>
    <w:p w14:paraId="17D11301" w14:textId="77777777" w:rsidR="00054B27" w:rsidRPr="00054B27" w:rsidRDefault="00054B27" w:rsidP="00054B27">
      <w:r w:rsidRPr="00054B27">
        <w:t xml:space="preserve">To meet DORA's incident reporting obligations, </w:t>
      </w:r>
      <w:proofErr w:type="spellStart"/>
      <w:r w:rsidRPr="00054B27">
        <w:t>MediTrust</w:t>
      </w:r>
      <w:proofErr w:type="spellEnd"/>
      <w:r w:rsidRPr="00054B27">
        <w:t xml:space="preserve"> must implement systems capable of detecting and classifying incidents quickly. Major incidents must be reported to competent authorities within four hours of classification, with detailed follow-up reports within seventy-two hours [4]. This requires not just technical detection capabilities but also clearly defined incident response procedures and trained personnel who understand reporting requirements. The Security Operations Manager and their team must maintain twenty-four seven coverage to meet these deadlines.</w:t>
      </w:r>
    </w:p>
    <w:p w14:paraId="4AD2C7F5" w14:textId="7B1B5570" w:rsidR="00054B27" w:rsidRPr="00054B27" w:rsidRDefault="00054B27" w:rsidP="00054B27">
      <w:r w:rsidRPr="00054B27">
        <w:t xml:space="preserve">NIS2 expands upon the original Network and Information Security Directive, applying to a broader range of sectors including healthcare. The directive requires </w:t>
      </w:r>
      <w:r w:rsidR="000153CE" w:rsidRPr="00054B27">
        <w:t>organizations</w:t>
      </w:r>
      <w:r w:rsidRPr="00054B27">
        <w:t xml:space="preserve"> to implement appropriate technical and </w:t>
      </w:r>
      <w:r w:rsidR="000153CE" w:rsidRPr="00054B27">
        <w:t>organizational</w:t>
      </w:r>
      <w:r w:rsidRPr="00054B27">
        <w:t xml:space="preserve"> measures to manage cybersecurity risks, report significant incidents to national authorities, and ensure that senior management is accountable for compliance [5]. For </w:t>
      </w:r>
      <w:proofErr w:type="spellStart"/>
      <w:r w:rsidRPr="00054B27">
        <w:t>MediTrust</w:t>
      </w:r>
      <w:proofErr w:type="spellEnd"/>
      <w:r w:rsidRPr="00054B27">
        <w:t xml:space="preserve">, NIS2 compliance means demonstrating that cybersecurity is embedded throughout the </w:t>
      </w:r>
      <w:r w:rsidR="000153CE" w:rsidRPr="00054B27">
        <w:t>organization</w:t>
      </w:r>
      <w:r w:rsidRPr="00054B27">
        <w:t>, not just in the security team. The directive explicitly requires that management bodies approve cybersecurity measures and receive training on risks [5].</w:t>
      </w:r>
    </w:p>
    <w:p w14:paraId="134DDD7F" w14:textId="222AD14E" w:rsidR="00054B27" w:rsidRPr="00054B27" w:rsidRDefault="00054B27" w:rsidP="00054B27">
      <w:r w:rsidRPr="00054B27">
        <w:t xml:space="preserve">Both regulations </w:t>
      </w:r>
      <w:r w:rsidR="000153CE" w:rsidRPr="00054B27">
        <w:t>emphasize</w:t>
      </w:r>
      <w:r w:rsidRPr="00054B27">
        <w:t xml:space="preserve"> supply chain security, requiring </w:t>
      </w:r>
      <w:r w:rsidR="000153CE" w:rsidRPr="00054B27">
        <w:t>organizations</w:t>
      </w:r>
      <w:r w:rsidRPr="00054B27">
        <w:t xml:space="preserve"> to assess and manage risks associated with third-party providers. For </w:t>
      </w:r>
      <w:proofErr w:type="spellStart"/>
      <w:r w:rsidRPr="00054B27">
        <w:t>MediTrust</w:t>
      </w:r>
      <w:proofErr w:type="spellEnd"/>
      <w:r w:rsidRPr="00054B27">
        <w:t>, this means conducting due diligence on cloud providers, research partners, and software vendors. Contracts must include security requirements, and ongoing monitoring must verify that third parties maintain appropriate controls [7].</w:t>
      </w:r>
    </w:p>
    <w:p w14:paraId="2D36FC4C" w14:textId="77777777" w:rsidR="00054B27" w:rsidRPr="00054B27" w:rsidRDefault="00054B27" w:rsidP="00054B27">
      <w:r w:rsidRPr="00054B27">
        <w:t xml:space="preserve">Demonstrating compliance requires evidence. </w:t>
      </w:r>
      <w:proofErr w:type="spellStart"/>
      <w:r w:rsidRPr="00054B27">
        <w:t>MediTrust</w:t>
      </w:r>
      <w:proofErr w:type="spellEnd"/>
      <w:r w:rsidRPr="00054B27">
        <w:t xml:space="preserve"> must maintain documentation of risk assessments, security policies, incident reports, and testing results. Regular audits, </w:t>
      </w:r>
      <w:r w:rsidRPr="00054B27">
        <w:lastRenderedPageBreak/>
        <w:t>whether internal or external, provide assurance that controls remain effective and identify areas for improvement before regulators find them [6].</w:t>
      </w:r>
    </w:p>
    <w:p w14:paraId="3179BB10" w14:textId="40942A2F" w:rsidR="00054B27" w:rsidRDefault="00054B27" w:rsidP="00054B27"/>
    <w:p w14:paraId="75E374B8" w14:textId="77777777" w:rsidR="000E417F" w:rsidRDefault="000E417F" w:rsidP="00054B27"/>
    <w:p w14:paraId="043D371D" w14:textId="77777777" w:rsidR="000E417F" w:rsidRDefault="000E417F" w:rsidP="00054B27"/>
    <w:p w14:paraId="0738E9B0" w14:textId="77777777" w:rsidR="000E417F" w:rsidRDefault="000E417F" w:rsidP="00054B27"/>
    <w:p w14:paraId="4B7B7030" w14:textId="77777777" w:rsidR="000E417F" w:rsidRDefault="000E417F" w:rsidP="00054B27"/>
    <w:p w14:paraId="6270EF62" w14:textId="77777777" w:rsidR="000E417F" w:rsidRDefault="000E417F" w:rsidP="00054B27"/>
    <w:p w14:paraId="09536D0B" w14:textId="77777777" w:rsidR="000E417F" w:rsidRDefault="000E417F" w:rsidP="00054B27"/>
    <w:p w14:paraId="4B9F137C" w14:textId="77777777" w:rsidR="000E417F" w:rsidRDefault="000E417F" w:rsidP="00054B27"/>
    <w:p w14:paraId="1EAC8DB3" w14:textId="77777777" w:rsidR="000E417F" w:rsidRDefault="000E417F" w:rsidP="00054B27"/>
    <w:p w14:paraId="03CB1FD7" w14:textId="77777777" w:rsidR="000E417F" w:rsidRDefault="000E417F" w:rsidP="00054B27"/>
    <w:p w14:paraId="36504054" w14:textId="77777777" w:rsidR="000E417F" w:rsidRDefault="000E417F" w:rsidP="00054B27"/>
    <w:p w14:paraId="5CC79569" w14:textId="77777777" w:rsidR="000E417F" w:rsidRDefault="000E417F" w:rsidP="00054B27"/>
    <w:p w14:paraId="14445B39" w14:textId="77777777" w:rsidR="000E417F" w:rsidRDefault="000E417F" w:rsidP="00054B27"/>
    <w:p w14:paraId="61973630" w14:textId="77777777" w:rsidR="000E417F" w:rsidRDefault="000E417F" w:rsidP="00054B27"/>
    <w:p w14:paraId="7C10E6FD" w14:textId="77777777" w:rsidR="000E417F" w:rsidRDefault="000E417F" w:rsidP="00054B27"/>
    <w:p w14:paraId="09B7BE4E" w14:textId="77777777" w:rsidR="000E417F" w:rsidRDefault="000E417F" w:rsidP="00054B27"/>
    <w:p w14:paraId="1DB6F18E" w14:textId="77777777" w:rsidR="000E417F" w:rsidRDefault="000E417F" w:rsidP="00054B27"/>
    <w:p w14:paraId="35FA36D2" w14:textId="77777777" w:rsidR="000E417F" w:rsidRDefault="000E417F" w:rsidP="00054B27"/>
    <w:p w14:paraId="7276617F" w14:textId="77777777" w:rsidR="000E417F" w:rsidRDefault="000E417F" w:rsidP="00054B27"/>
    <w:p w14:paraId="57822EB3" w14:textId="77777777" w:rsidR="000E417F" w:rsidRDefault="000E417F" w:rsidP="00054B27"/>
    <w:p w14:paraId="7E405C58" w14:textId="77777777" w:rsidR="000E417F" w:rsidRDefault="000E417F" w:rsidP="00054B27"/>
    <w:p w14:paraId="1F0B7715" w14:textId="77777777" w:rsidR="000E417F" w:rsidRDefault="000E417F" w:rsidP="00054B27"/>
    <w:p w14:paraId="6ADE363A" w14:textId="77777777" w:rsidR="000E417F" w:rsidRPr="00054B27" w:rsidRDefault="000E417F" w:rsidP="00054B27"/>
    <w:p w14:paraId="260A2B48" w14:textId="544D5343" w:rsidR="00054B27" w:rsidRPr="00054B27" w:rsidRDefault="00054B27" w:rsidP="00054B27">
      <w:pPr>
        <w:pStyle w:val="Heading3"/>
        <w:rPr>
          <w:b/>
          <w:bCs/>
          <w:u w:val="single"/>
        </w:rPr>
      </w:pPr>
      <w:r w:rsidRPr="00054B27">
        <w:rPr>
          <w:b/>
          <w:bCs/>
          <w:u w:val="single"/>
        </w:rPr>
        <w:lastRenderedPageBreak/>
        <w:t>Governance and Strategy Using NIST CSF 2.0</w:t>
      </w:r>
    </w:p>
    <w:p w14:paraId="6F2B3428" w14:textId="77777777" w:rsidR="00054B27" w:rsidRPr="00054B27" w:rsidRDefault="00054B27" w:rsidP="00054B27">
      <w:r w:rsidRPr="00054B27">
        <w:t xml:space="preserve">The NIST Cybersecurity Framework provides a structured approach to aligning security strategy with business goals. Version 2.0, released in 2024, expands upon earlier versions with increased focus on governance and supply chain risk management, both essential for </w:t>
      </w:r>
      <w:proofErr w:type="spellStart"/>
      <w:r w:rsidRPr="00054B27">
        <w:t>MediTrust's</w:t>
      </w:r>
      <w:proofErr w:type="spellEnd"/>
      <w:r w:rsidRPr="00054B27">
        <w:t xml:space="preserve"> EU expansion [3].</w:t>
      </w:r>
    </w:p>
    <w:p w14:paraId="677CDBEA" w14:textId="74B87E49" w:rsidR="00054B27" w:rsidRPr="00054B27" w:rsidRDefault="00054B27" w:rsidP="00054B27">
      <w:r w:rsidRPr="00054B27">
        <w:t xml:space="preserve">The framework's six core functions provide a comprehensive structure for </w:t>
      </w:r>
      <w:proofErr w:type="spellStart"/>
      <w:r w:rsidRPr="00054B27">
        <w:t>MediTrust's</w:t>
      </w:r>
      <w:proofErr w:type="spellEnd"/>
      <w:r w:rsidRPr="00054B27">
        <w:t xml:space="preserve"> security </w:t>
      </w:r>
      <w:r w:rsidR="000153CE" w:rsidRPr="00054B27">
        <w:t>program</w:t>
      </w:r>
      <w:r w:rsidRPr="00054B27">
        <w:t>.</w:t>
      </w:r>
    </w:p>
    <w:p w14:paraId="3C0D83BD" w14:textId="5C530944" w:rsidR="00054B27" w:rsidRPr="00054B27" w:rsidRDefault="00054B27" w:rsidP="00054B27">
      <w:r w:rsidRPr="00054B27">
        <w:t xml:space="preserve">Govern establishes that cybersecurity is a business priority requiring oversight from the highest levels. For </w:t>
      </w:r>
      <w:proofErr w:type="spellStart"/>
      <w:r w:rsidRPr="00054B27">
        <w:t>MediTrust</w:t>
      </w:r>
      <w:proofErr w:type="spellEnd"/>
      <w:r w:rsidRPr="00054B27">
        <w:t xml:space="preserve">, this means the Board of Directors must receive regular updates on cybersecurity risks and </w:t>
      </w:r>
      <w:r w:rsidR="000153CE" w:rsidRPr="00054B27">
        <w:t>program</w:t>
      </w:r>
      <w:r w:rsidRPr="00054B27">
        <w:t xml:space="preserve"> effectiveness. The EU Head of Security should present quarterly reports linking security investments to business outcomes such as regulatory compliance, patient trust, and operational resilience [3].</w:t>
      </w:r>
    </w:p>
    <w:p w14:paraId="6D83BA6E" w14:textId="619C649A" w:rsidR="00054B27" w:rsidRPr="00054B27" w:rsidRDefault="00054B27" w:rsidP="00054B27">
      <w:r w:rsidRPr="00054B27">
        <w:t xml:space="preserve">Identify requires understanding </w:t>
      </w:r>
      <w:r w:rsidR="000153CE" w:rsidRPr="00054B27">
        <w:t>organizational</w:t>
      </w:r>
      <w:r w:rsidRPr="00054B27">
        <w:t xml:space="preserve"> assets, risks, and priorities. </w:t>
      </w:r>
      <w:proofErr w:type="spellStart"/>
      <w:r w:rsidRPr="00054B27">
        <w:t>MediTrust</w:t>
      </w:r>
      <w:proofErr w:type="spellEnd"/>
      <w:r w:rsidRPr="00054B27">
        <w:t xml:space="preserve"> must maintain an inventory of all systems processing EU patient data, classify them by criticality, and conduct regular risk assessments. This function feeds directly into DORA's ICT risk management requirements by ensuring that resources focus on the most important assets [2].</w:t>
      </w:r>
    </w:p>
    <w:p w14:paraId="719406D1" w14:textId="77777777" w:rsidR="00054B27" w:rsidRPr="00054B27" w:rsidRDefault="00054B27" w:rsidP="00054B27">
      <w:r w:rsidRPr="00054B27">
        <w:t xml:space="preserve">Protect implements safeguards to ensure delivery of critical services. For </w:t>
      </w:r>
      <w:proofErr w:type="spellStart"/>
      <w:r w:rsidRPr="00054B27">
        <w:t>MediTrust</w:t>
      </w:r>
      <w:proofErr w:type="spellEnd"/>
      <w:r w:rsidRPr="00054B27">
        <w:t>, this includes access controls, data encryption, security awareness training, and the Zero Trust architecture elements discussed throughout this paper. Protection measures must balance security with usability so that clinical staff and developers can work effectively [1].</w:t>
      </w:r>
    </w:p>
    <w:p w14:paraId="56D67FAD" w14:textId="77777777" w:rsidR="00054B27" w:rsidRPr="00054B27" w:rsidRDefault="00054B27" w:rsidP="00054B27">
      <w:r w:rsidRPr="00054B27">
        <w:t xml:space="preserve">Detect encompasses activities that identify cybersecurity events quickly. </w:t>
      </w:r>
      <w:proofErr w:type="spellStart"/>
      <w:r w:rsidRPr="00054B27">
        <w:t>MediTrust's</w:t>
      </w:r>
      <w:proofErr w:type="spellEnd"/>
      <w:r w:rsidRPr="00054B27">
        <w:t xml:space="preserve"> Security Operations Centre, supported by SIEM and endpoint detection and response tools, provides continuous monitoring for suspicious activity. Early detection reduces the impact of incidents and supports DORA's incident reporting timelines [9].</w:t>
      </w:r>
    </w:p>
    <w:p w14:paraId="7DED0482" w14:textId="77777777" w:rsidR="00054B27" w:rsidRPr="00054B27" w:rsidRDefault="00054B27" w:rsidP="00054B27">
      <w:r w:rsidRPr="00054B27">
        <w:t xml:space="preserve">Respond includes actions taken when incidents occur. </w:t>
      </w:r>
      <w:proofErr w:type="spellStart"/>
      <w:r w:rsidRPr="00054B27">
        <w:t>MediTrust</w:t>
      </w:r>
      <w:proofErr w:type="spellEnd"/>
      <w:r w:rsidRPr="00054B27">
        <w:t xml:space="preserve"> must maintain incident response plans that are tested regularly through tabletop exercises and simulations. Response activities must coordinate with legal, communications, and clinical teams to manage both technical and business impacts [7].</w:t>
      </w:r>
    </w:p>
    <w:p w14:paraId="08D2E850" w14:textId="77777777" w:rsidR="00054B27" w:rsidRPr="00054B27" w:rsidRDefault="00054B27" w:rsidP="00054B27">
      <w:r w:rsidRPr="00054B27">
        <w:t xml:space="preserve">Recover focuses on restoring capabilities after incidents. </w:t>
      </w:r>
      <w:proofErr w:type="spellStart"/>
      <w:r w:rsidRPr="00054B27">
        <w:t>MediTrust's</w:t>
      </w:r>
      <w:proofErr w:type="spellEnd"/>
      <w:r w:rsidRPr="00054B27">
        <w:t xml:space="preserve"> disaster recovery and business continuity plans ensure that patient-facing services can resume quickly even after significant disruptions like ransomware attacks [9].</w:t>
      </w:r>
    </w:p>
    <w:p w14:paraId="1E270CEC" w14:textId="77777777" w:rsidR="00054B27" w:rsidRPr="00054B27" w:rsidRDefault="00054B27" w:rsidP="00054B27">
      <w:r w:rsidRPr="00054B27">
        <w:lastRenderedPageBreak/>
        <w:t xml:space="preserve">Linking these functions to business goals requires clear metrics. </w:t>
      </w:r>
      <w:proofErr w:type="spellStart"/>
      <w:r w:rsidRPr="00054B27">
        <w:t>MediTrust</w:t>
      </w:r>
      <w:proofErr w:type="spellEnd"/>
      <w:r w:rsidRPr="00054B27">
        <w:t xml:space="preserve"> should track not just technical indicators like mean time to detect but also business outcomes like audit results, regulatory findings, and patient trust surveys [10].</w:t>
      </w:r>
    </w:p>
    <w:p w14:paraId="5B2774A0" w14:textId="358006E9" w:rsidR="00054B27" w:rsidRDefault="00054B27" w:rsidP="00054B27"/>
    <w:p w14:paraId="6886F9C4" w14:textId="77777777" w:rsidR="000E417F" w:rsidRDefault="000E417F" w:rsidP="00054B27"/>
    <w:p w14:paraId="406122DD" w14:textId="77777777" w:rsidR="000E417F" w:rsidRDefault="000E417F" w:rsidP="00054B27"/>
    <w:p w14:paraId="6AADECEE" w14:textId="77777777" w:rsidR="000E417F" w:rsidRDefault="000E417F" w:rsidP="00054B27"/>
    <w:p w14:paraId="6E87AB38" w14:textId="77777777" w:rsidR="000E417F" w:rsidRDefault="000E417F" w:rsidP="00054B27"/>
    <w:p w14:paraId="21C06EDC" w14:textId="77777777" w:rsidR="000E417F" w:rsidRDefault="000E417F" w:rsidP="00054B27"/>
    <w:p w14:paraId="653C3968" w14:textId="77777777" w:rsidR="000E417F" w:rsidRDefault="000E417F" w:rsidP="00054B27"/>
    <w:p w14:paraId="2889DFD4" w14:textId="77777777" w:rsidR="000E417F" w:rsidRDefault="000E417F" w:rsidP="00054B27"/>
    <w:p w14:paraId="171C32DB" w14:textId="77777777" w:rsidR="000E417F" w:rsidRDefault="000E417F" w:rsidP="00054B27"/>
    <w:p w14:paraId="03035FAF" w14:textId="77777777" w:rsidR="000E417F" w:rsidRDefault="000E417F" w:rsidP="00054B27"/>
    <w:p w14:paraId="7A4EFE39" w14:textId="77777777" w:rsidR="000E417F" w:rsidRDefault="000E417F" w:rsidP="00054B27"/>
    <w:p w14:paraId="7E9D3CBD" w14:textId="77777777" w:rsidR="000E417F" w:rsidRDefault="000E417F" w:rsidP="00054B27"/>
    <w:p w14:paraId="5BFD8E8C" w14:textId="77777777" w:rsidR="000E417F" w:rsidRDefault="000E417F" w:rsidP="00054B27"/>
    <w:p w14:paraId="5D99FB3F" w14:textId="77777777" w:rsidR="000E417F" w:rsidRDefault="000E417F" w:rsidP="00054B27"/>
    <w:p w14:paraId="31D76D3A" w14:textId="77777777" w:rsidR="000E417F" w:rsidRDefault="000E417F" w:rsidP="00054B27"/>
    <w:p w14:paraId="23E60149" w14:textId="77777777" w:rsidR="000E417F" w:rsidRDefault="000E417F" w:rsidP="00054B27"/>
    <w:p w14:paraId="35B32141" w14:textId="77777777" w:rsidR="000E417F" w:rsidRDefault="000E417F" w:rsidP="00054B27"/>
    <w:p w14:paraId="522415D1" w14:textId="77777777" w:rsidR="000E417F" w:rsidRDefault="000E417F" w:rsidP="00054B27"/>
    <w:p w14:paraId="54E912D3" w14:textId="77777777" w:rsidR="000E417F" w:rsidRDefault="000E417F" w:rsidP="00054B27"/>
    <w:p w14:paraId="3EF8F21A" w14:textId="77777777" w:rsidR="000E417F" w:rsidRDefault="000E417F" w:rsidP="00054B27"/>
    <w:p w14:paraId="35D270C3" w14:textId="77777777" w:rsidR="000E417F" w:rsidRDefault="000E417F" w:rsidP="00054B27"/>
    <w:p w14:paraId="66A96305" w14:textId="77777777" w:rsidR="000E417F" w:rsidRPr="00054B27" w:rsidRDefault="000E417F" w:rsidP="00054B27"/>
    <w:p w14:paraId="13B2157D" w14:textId="0D5587F2" w:rsidR="00054B27" w:rsidRPr="00054B27" w:rsidRDefault="00054B27" w:rsidP="00054B27">
      <w:pPr>
        <w:pStyle w:val="Heading3"/>
        <w:rPr>
          <w:b/>
          <w:bCs/>
          <w:u w:val="single"/>
        </w:rPr>
      </w:pPr>
      <w:r w:rsidRPr="00054B27">
        <w:rPr>
          <w:b/>
          <w:bCs/>
          <w:u w:val="single"/>
        </w:rPr>
        <w:lastRenderedPageBreak/>
        <w:t>High-Level Risk Assessment</w:t>
      </w:r>
    </w:p>
    <w:p w14:paraId="31EF1D73" w14:textId="77777777" w:rsidR="00054B27" w:rsidRPr="00054B27" w:rsidRDefault="00054B27" w:rsidP="00054B27">
      <w:r w:rsidRPr="00054B27">
        <w:t xml:space="preserve">Risk management must focus on the threats most likely to harm </w:t>
      </w:r>
      <w:proofErr w:type="spellStart"/>
      <w:r w:rsidRPr="00054B27">
        <w:t>MediTrust's</w:t>
      </w:r>
      <w:proofErr w:type="spellEnd"/>
      <w:r w:rsidRPr="00054B27">
        <w:t xml:space="preserve"> EU operations. Two areas deserve particular attention.</w:t>
      </w:r>
    </w:p>
    <w:p w14:paraId="3D4991BB" w14:textId="77777777" w:rsidR="00054B27" w:rsidRPr="00054B27" w:rsidRDefault="00054B27" w:rsidP="00054B27">
      <w:r w:rsidRPr="00054B27">
        <w:t xml:space="preserve">Software supply chain risks pose significant danger to AI-driven healthcare companies. Poisoned AI models occur when attackers manipulate training data to introduce backdoors or biases. For </w:t>
      </w:r>
      <w:proofErr w:type="spellStart"/>
      <w:r w:rsidRPr="00054B27">
        <w:t>MediTrust</w:t>
      </w:r>
      <w:proofErr w:type="spellEnd"/>
      <w:r w:rsidRPr="00054B27">
        <w:t xml:space="preserve">, a poisoned clinical decision support model could recommend incorrect treatments, directly harming patients [1]. Vulnerable dependencies in third-party libraries can provide entry points for attackers. The 2021 attack on </w:t>
      </w:r>
      <w:proofErr w:type="spellStart"/>
      <w:r w:rsidRPr="00054B27">
        <w:t>Codecov</w:t>
      </w:r>
      <w:proofErr w:type="spellEnd"/>
      <w:r w:rsidRPr="00054B27">
        <w:t xml:space="preserve"> demonstrated how compromised development tools can lead to widespread data breaches.</w:t>
      </w:r>
    </w:p>
    <w:p w14:paraId="4A687B50" w14:textId="5F884290" w:rsidR="00054B27" w:rsidRPr="00054B27" w:rsidRDefault="00054B27" w:rsidP="00054B27">
      <w:r w:rsidRPr="00054B27">
        <w:t xml:space="preserve">Mitigating these risks requires multiple controls. Software composition analysis tools must scan all dependencies for known vulnerabilities. Models must be validated against clean test data before deployment to detect poisoning attempts [8]. Third-party providers must undergo security assessments before contracts are signed. Research on AI security </w:t>
      </w:r>
      <w:r w:rsidR="000153CE" w:rsidRPr="00054B27">
        <w:t>emphasizes</w:t>
      </w:r>
      <w:r w:rsidRPr="00054B27">
        <w:t xml:space="preserve"> that model validation must include testing for unexpected </w:t>
      </w:r>
      <w:r w:rsidR="000153CE" w:rsidRPr="00054B27">
        <w:t>behaviors</w:t>
      </w:r>
      <w:r w:rsidRPr="00054B27">
        <w:t>, not just accuracy metrics [8].</w:t>
      </w:r>
    </w:p>
    <w:p w14:paraId="254F97BD" w14:textId="76248B03" w:rsidR="00054B27" w:rsidRPr="00054B27" w:rsidRDefault="00054B27" w:rsidP="00054B27">
      <w:r w:rsidRPr="00054B27">
        <w:t xml:space="preserve">Cloud misconfigurations represent another critical risk. The 2019 Capital One breach, where a misconfigured web application firewall exposed sensitive data, shows how easily cloud environments can be compromised [2]. For </w:t>
      </w:r>
      <w:proofErr w:type="spellStart"/>
      <w:r w:rsidRPr="00054B27">
        <w:t>MediTrust</w:t>
      </w:r>
      <w:proofErr w:type="spellEnd"/>
      <w:r w:rsidRPr="00054B27">
        <w:t xml:space="preserve">, misconfigured storage buckets could expose patient records or diagnostic images. Misconfigured identity and access management could allow </w:t>
      </w:r>
      <w:r w:rsidR="000153CE" w:rsidRPr="00054B27">
        <w:t>unauthorized</w:t>
      </w:r>
      <w:r w:rsidRPr="00054B27">
        <w:t xml:space="preserve"> access to AI training data.</w:t>
      </w:r>
    </w:p>
    <w:p w14:paraId="797CE1CF" w14:textId="77777777" w:rsidR="00054B27" w:rsidRPr="00054B27" w:rsidRDefault="00054B27" w:rsidP="00054B27">
      <w:r w:rsidRPr="00054B27">
        <w:t>Cloud Security Posture Management tools continuously assess cloud environments against security benchmarks, alerting when configurations drift from secure baselines. Infrastructure as Code practices ensure that environments are deployed consistently, reducing the risk of manual configuration errors [2]. Research on cloud security demonstrates that automated configuration monitoring reduces misconfiguration-related incidents by over sixty percent [2].</w:t>
      </w:r>
    </w:p>
    <w:p w14:paraId="46EFAC39" w14:textId="49CA441E" w:rsidR="00054B27" w:rsidRDefault="00054B27" w:rsidP="00054B27"/>
    <w:p w14:paraId="7C54F282" w14:textId="77777777" w:rsidR="000E417F" w:rsidRDefault="000E417F" w:rsidP="00054B27"/>
    <w:p w14:paraId="290F9B29" w14:textId="77777777" w:rsidR="000E417F" w:rsidRDefault="000E417F" w:rsidP="00054B27"/>
    <w:p w14:paraId="2950A408" w14:textId="77777777" w:rsidR="000E417F" w:rsidRDefault="000E417F" w:rsidP="00054B27"/>
    <w:p w14:paraId="5981FBCB" w14:textId="77777777" w:rsidR="000E417F" w:rsidRPr="00054B27" w:rsidRDefault="000E417F" w:rsidP="00054B27"/>
    <w:p w14:paraId="73AEE171" w14:textId="44A77CD6" w:rsidR="00054B27" w:rsidRPr="00054B27" w:rsidRDefault="00054B27" w:rsidP="00054B27">
      <w:pPr>
        <w:pStyle w:val="Heading3"/>
        <w:rPr>
          <w:b/>
          <w:bCs/>
          <w:u w:val="single"/>
        </w:rPr>
      </w:pPr>
      <w:r w:rsidRPr="00054B27">
        <w:rPr>
          <w:b/>
          <w:bCs/>
          <w:u w:val="single"/>
        </w:rPr>
        <w:lastRenderedPageBreak/>
        <w:t>Disaster Recovery for Ransomware Attacks</w:t>
      </w:r>
    </w:p>
    <w:p w14:paraId="4D358663" w14:textId="77777777" w:rsidR="001C78A8" w:rsidRPr="001C78A8" w:rsidRDefault="001C78A8" w:rsidP="001C78A8">
      <w:r w:rsidRPr="001C78A8">
        <w:t xml:space="preserve">Ransomware poses an existential threat to </w:t>
      </w:r>
      <w:proofErr w:type="spellStart"/>
      <w:r w:rsidRPr="001C78A8">
        <w:t>MediTrust</w:t>
      </w:r>
      <w:proofErr w:type="spellEnd"/>
      <w:r w:rsidRPr="001C78A8">
        <w:t xml:space="preserve"> because attackers target AI training data and source code repositories. Attackers typically gain access through phishing emails targeting remote developers, exploiting unpatched vulnerabilities, or compromising third-party partners with weak security [9]. Once inside, they move laterally, escalate privileges, and deploy encryption malware that locks critical files.</w:t>
      </w:r>
    </w:p>
    <w:p w14:paraId="197170B0" w14:textId="5C9FF0CB" w:rsidR="001C78A8" w:rsidRPr="001C78A8" w:rsidRDefault="001C78A8" w:rsidP="001C78A8">
      <w:r w:rsidRPr="001C78A8">
        <w:t xml:space="preserve">The consequences are severe. If AI training data is encrypted, </w:t>
      </w:r>
      <w:proofErr w:type="spellStart"/>
      <w:r w:rsidRPr="001C78A8">
        <w:t>MediTrust</w:t>
      </w:r>
      <w:proofErr w:type="spellEnd"/>
      <w:r w:rsidRPr="001C78A8">
        <w:t xml:space="preserve"> cannot retrain or update clinical models, rendering them inaccurate [9]. If source code is encrypted, development halts completely. Patient care is disrupted as hospitals lose access to diagnostic support. Regulatory penalties under DORA and NIS2 follow for failing to protect critical services and report incidents on time [4]</w:t>
      </w:r>
      <w:r>
        <w:t>,</w:t>
      </w:r>
      <w:r w:rsidRPr="001C78A8">
        <w:t>[5]. DORA requires major incidents reported within four hours [4]. NIS2 holds senior management accountable for cybersecurity failures [5]. Reputational damage causes clinical partners to lose trust, and potential litigation adds financial strain.</w:t>
      </w:r>
    </w:p>
    <w:p w14:paraId="2FFCD8EB" w14:textId="77777777" w:rsidR="001C78A8" w:rsidRPr="001C78A8" w:rsidRDefault="001C78A8" w:rsidP="001C78A8">
      <w:r w:rsidRPr="001C78A8">
        <w:t>A robust disaster recovery plan follows four phases. Preparation involves immutable backups stored in isolated, air-gapped environments, tested quarterly through restoration exercises [7]. Detection uses endpoint tools to identify ransomware within minutes. Containment isolates infected systems and preserves forensic evidence. Recovery restores services in priority order: first patient-facing tools, then development environments [10]. Post-incident analysis identifies root causes and updates the plan with lessons learned to build future resilience [9].</w:t>
      </w:r>
    </w:p>
    <w:p w14:paraId="194F7D84" w14:textId="45D9932D" w:rsidR="00054B27" w:rsidRDefault="00054B27" w:rsidP="00054B27"/>
    <w:p w14:paraId="7A07380F" w14:textId="77777777" w:rsidR="000E417F" w:rsidRDefault="000E417F" w:rsidP="00054B27"/>
    <w:p w14:paraId="1E631AF9" w14:textId="77777777" w:rsidR="000E417F" w:rsidRDefault="000E417F" w:rsidP="00054B27"/>
    <w:p w14:paraId="56AF44E7" w14:textId="77777777" w:rsidR="000E417F" w:rsidRDefault="000E417F" w:rsidP="00054B27"/>
    <w:p w14:paraId="36CE8F91" w14:textId="77777777" w:rsidR="000E417F" w:rsidRDefault="000E417F" w:rsidP="00054B27"/>
    <w:p w14:paraId="4D6492EC" w14:textId="77777777" w:rsidR="000E417F" w:rsidRDefault="000E417F" w:rsidP="00054B27"/>
    <w:p w14:paraId="1820D897" w14:textId="77777777" w:rsidR="000E417F" w:rsidRDefault="000E417F" w:rsidP="00054B27"/>
    <w:p w14:paraId="1182C9B5" w14:textId="77777777" w:rsidR="000E417F" w:rsidRDefault="000E417F" w:rsidP="00054B27"/>
    <w:p w14:paraId="253F34C4" w14:textId="77777777" w:rsidR="000E417F" w:rsidRPr="00054B27" w:rsidRDefault="000E417F" w:rsidP="00054B27"/>
    <w:p w14:paraId="198EE63B" w14:textId="5D00A446" w:rsidR="00054B27" w:rsidRPr="00054B27" w:rsidRDefault="00054B27" w:rsidP="00054B27">
      <w:pPr>
        <w:pStyle w:val="Heading3"/>
        <w:rPr>
          <w:b/>
          <w:bCs/>
          <w:u w:val="single"/>
        </w:rPr>
      </w:pPr>
      <w:r w:rsidRPr="00054B27">
        <w:rPr>
          <w:b/>
          <w:bCs/>
          <w:u w:val="single"/>
        </w:rPr>
        <w:lastRenderedPageBreak/>
        <w:t>Modern Protection Mechanisms</w:t>
      </w:r>
    </w:p>
    <w:p w14:paraId="72CA4F8F" w14:textId="77777777" w:rsidR="000E417F" w:rsidRPr="000E417F" w:rsidRDefault="000E417F" w:rsidP="000E417F">
      <w:r w:rsidRPr="000E417F">
        <w:t xml:space="preserve">Effective protection requires layered controls that address different attack vectors. Several modern mechanisms with specific implementation techniques are particularly relevant for </w:t>
      </w:r>
      <w:proofErr w:type="spellStart"/>
      <w:r w:rsidRPr="000E417F">
        <w:t>MediTrust</w:t>
      </w:r>
      <w:proofErr w:type="spellEnd"/>
      <w:r w:rsidRPr="000E417F">
        <w:t>.</w:t>
      </w:r>
    </w:p>
    <w:p w14:paraId="565B1144" w14:textId="77777777" w:rsidR="000E417F" w:rsidRPr="000E417F" w:rsidRDefault="000E417F" w:rsidP="000E417F">
      <w:r w:rsidRPr="000E417F">
        <w:rPr>
          <w:b/>
          <w:bCs/>
          <w:i/>
          <w:iCs/>
        </w:rPr>
        <w:t>Cloud Security Posture Management</w:t>
      </w:r>
      <w:r w:rsidRPr="000E417F">
        <w:t xml:space="preserve"> continuously monitors cloud environments for misconfigurations and compliance violations. </w:t>
      </w:r>
      <w:proofErr w:type="spellStart"/>
      <w:r w:rsidRPr="000E417F">
        <w:t>MediTrust</w:t>
      </w:r>
      <w:proofErr w:type="spellEnd"/>
      <w:r w:rsidRPr="000E417F">
        <w:t xml:space="preserve"> should implement automated remediation policies that immediately restrict publicly exposed storage buckets containing patient data, enforce encryption at rest for all databases, and apply least-privilege identity permissions across AWS, Azure, and GCP environments [2].</w:t>
      </w:r>
    </w:p>
    <w:p w14:paraId="7EB24254" w14:textId="77777777" w:rsidR="000E417F" w:rsidRPr="000E417F" w:rsidRDefault="000E417F" w:rsidP="000E417F">
      <w:r w:rsidRPr="000E417F">
        <w:rPr>
          <w:b/>
          <w:bCs/>
          <w:i/>
          <w:iCs/>
        </w:rPr>
        <w:t>Security Information and Event Management</w:t>
      </w:r>
      <w:r w:rsidRPr="000E417F">
        <w:t xml:space="preserve"> platforms aggregate logs from across the environment to enable threat detection. </w:t>
      </w:r>
      <w:proofErr w:type="spellStart"/>
      <w:r w:rsidRPr="000E417F">
        <w:t>MediTrust</w:t>
      </w:r>
      <w:proofErr w:type="spellEnd"/>
      <w:r w:rsidRPr="000E417F">
        <w:t xml:space="preserve"> should deploy user and entity behavior analytics that establish baselines for normal activity and trigger alerts when remote developers access unusual data volumes or clinical analysts query databases at abnormal hours, indicating potential compromise [9].</w:t>
      </w:r>
    </w:p>
    <w:p w14:paraId="17A78E8C" w14:textId="77777777" w:rsidR="000E417F" w:rsidRPr="000E417F" w:rsidRDefault="000E417F" w:rsidP="000E417F">
      <w:r w:rsidRPr="000E417F">
        <w:rPr>
          <w:b/>
          <w:bCs/>
          <w:i/>
          <w:iCs/>
        </w:rPr>
        <w:t>Endpoint Detection and Response</w:t>
      </w:r>
      <w:r w:rsidRPr="000E417F">
        <w:t xml:space="preserve"> with automated response capabilities protects employee devices. </w:t>
      </w:r>
      <w:proofErr w:type="spellStart"/>
      <w:r w:rsidRPr="000E417F">
        <w:t>MediTrust</w:t>
      </w:r>
      <w:proofErr w:type="spellEnd"/>
      <w:r w:rsidRPr="000E417F">
        <w:t xml:space="preserve"> should configure EDR tools to automatically isolate any device exhibiting ransomware behavior, block execution of known malicious processes, and roll back encryption attempts on critical files while alerting security teams [9].</w:t>
      </w:r>
    </w:p>
    <w:p w14:paraId="1214586B" w14:textId="77777777" w:rsidR="000E417F" w:rsidRPr="000E417F" w:rsidRDefault="000E417F" w:rsidP="000E417F">
      <w:r w:rsidRPr="000E417F">
        <w:rPr>
          <w:b/>
          <w:bCs/>
        </w:rPr>
        <w:t>Phishing-Resistant Multi-Factor Authentication</w:t>
      </w:r>
      <w:r w:rsidRPr="000E417F">
        <w:t xml:space="preserve"> eliminates credential theft. </w:t>
      </w:r>
      <w:proofErr w:type="spellStart"/>
      <w:r w:rsidRPr="000E417F">
        <w:t>MediTrust</w:t>
      </w:r>
      <w:proofErr w:type="spellEnd"/>
      <w:r w:rsidRPr="000E417F">
        <w:t xml:space="preserve"> should mandate </w:t>
      </w:r>
      <w:proofErr w:type="spellStart"/>
      <w:r w:rsidRPr="000E417F">
        <w:t>WebAuthn</w:t>
      </w:r>
      <w:proofErr w:type="spellEnd"/>
      <w:r w:rsidRPr="000E417F">
        <w:t xml:space="preserve"> using biometrics or FIDO2 security keys for all privileged users, ensuring that even if a developer's password is stolen in a phishing attack, attackers cannot authenticate without the physical hardware key [10].</w:t>
      </w:r>
    </w:p>
    <w:p w14:paraId="3190C642" w14:textId="77777777" w:rsidR="000E417F" w:rsidRPr="000E417F" w:rsidRDefault="000E417F" w:rsidP="000E417F">
      <w:r w:rsidRPr="000E417F">
        <w:t xml:space="preserve">These controls work together, providing defense in depth that protects </w:t>
      </w:r>
      <w:proofErr w:type="spellStart"/>
      <w:r w:rsidRPr="000E417F">
        <w:t>MediTrust's</w:t>
      </w:r>
      <w:proofErr w:type="spellEnd"/>
      <w:r w:rsidRPr="000E417F">
        <w:t xml:space="preserve"> patients, partners, and business throughout their EU expansion.</w:t>
      </w:r>
    </w:p>
    <w:p w14:paraId="699F12A8" w14:textId="7CAAF72E" w:rsidR="00054B27" w:rsidRDefault="00054B27" w:rsidP="00054B27"/>
    <w:p w14:paraId="6DF0EDEE" w14:textId="77777777" w:rsidR="000E417F" w:rsidRDefault="000E417F" w:rsidP="00054B27"/>
    <w:p w14:paraId="36D1BDEC" w14:textId="77777777" w:rsidR="000E417F" w:rsidRDefault="000E417F" w:rsidP="00054B27"/>
    <w:p w14:paraId="09B3DCD4" w14:textId="77777777" w:rsidR="000E417F" w:rsidRDefault="000E417F" w:rsidP="00054B27"/>
    <w:p w14:paraId="20536098" w14:textId="77777777" w:rsidR="000E417F" w:rsidRDefault="000E417F" w:rsidP="00054B27"/>
    <w:p w14:paraId="4C2F3CCF" w14:textId="77777777" w:rsidR="000E417F" w:rsidRDefault="000E417F" w:rsidP="00054B27"/>
    <w:p w14:paraId="70245FB1" w14:textId="77777777" w:rsidR="000E417F" w:rsidRPr="00054B27" w:rsidRDefault="000E417F" w:rsidP="00054B27"/>
    <w:p w14:paraId="169BA8A0" w14:textId="77777777" w:rsidR="00054B27" w:rsidRPr="00054B27" w:rsidRDefault="00054B27" w:rsidP="00054B27">
      <w:pPr>
        <w:pStyle w:val="Heading3"/>
        <w:rPr>
          <w:b/>
          <w:bCs/>
          <w:u w:val="single"/>
        </w:rPr>
      </w:pPr>
      <w:r w:rsidRPr="00054B27">
        <w:rPr>
          <w:b/>
          <w:bCs/>
          <w:u w:val="single"/>
        </w:rPr>
        <w:lastRenderedPageBreak/>
        <w:t>Conclusion</w:t>
      </w:r>
    </w:p>
    <w:p w14:paraId="6CA0C3AF" w14:textId="0F81E042" w:rsidR="00054B27" w:rsidRPr="00054B27" w:rsidRDefault="00054B27" w:rsidP="00054B27">
      <w:proofErr w:type="spellStart"/>
      <w:r w:rsidRPr="00054B27">
        <w:t>MediTrust</w:t>
      </w:r>
      <w:proofErr w:type="spellEnd"/>
      <w:r w:rsidRPr="00054B27">
        <w:t xml:space="preserve"> Analytics stands at an important threshold. The EU market offers tremendous opportunity, but only if the company can demonstrate that patient data is protected and regulatory obligations are met. The Zero Trust security </w:t>
      </w:r>
      <w:r w:rsidR="000153CE" w:rsidRPr="00054B27">
        <w:t>program</w:t>
      </w:r>
      <w:r w:rsidRPr="00054B27">
        <w:t xml:space="preserve"> outlined here provides a roadmap for achieving that goal.</w:t>
      </w:r>
    </w:p>
    <w:p w14:paraId="6E800E4D" w14:textId="7DDC1A60" w:rsidR="00054B27" w:rsidRPr="00054B27" w:rsidRDefault="00054B27" w:rsidP="00054B27">
      <w:r w:rsidRPr="00054B27">
        <w:t xml:space="preserve">By establishing the right </w:t>
      </w:r>
      <w:r w:rsidR="000153CE" w:rsidRPr="00054B27">
        <w:t>organizational</w:t>
      </w:r>
      <w:r w:rsidRPr="00054B27">
        <w:t xml:space="preserve"> structure with dedicated Cloud Security and </w:t>
      </w:r>
      <w:proofErr w:type="spellStart"/>
      <w:r w:rsidRPr="00054B27">
        <w:t>DevSecOps</w:t>
      </w:r>
      <w:proofErr w:type="spellEnd"/>
      <w:r w:rsidRPr="00054B27">
        <w:t xml:space="preserve"> leadership, developing clear policies for their hybrid workforce, implementing governance aligned with NIST CSF 2.0, and deploying modern technical controls, </w:t>
      </w:r>
      <w:proofErr w:type="spellStart"/>
      <w:r w:rsidRPr="00054B27">
        <w:t>MediTrust</w:t>
      </w:r>
      <w:proofErr w:type="spellEnd"/>
      <w:r w:rsidRPr="00054B27">
        <w:t xml:space="preserve"> can enter the EU market with confidence. The framework draws directly on established research in AI governance and cybersecurity, applying proven principles to </w:t>
      </w:r>
      <w:proofErr w:type="spellStart"/>
      <w:r w:rsidRPr="00054B27">
        <w:t>MediTrust's</w:t>
      </w:r>
      <w:proofErr w:type="spellEnd"/>
      <w:r w:rsidRPr="00054B27">
        <w:t xml:space="preserve"> specific context.</w:t>
      </w:r>
    </w:p>
    <w:p w14:paraId="41B19862" w14:textId="77777777" w:rsidR="00054B27" w:rsidRPr="00054B27" w:rsidRDefault="00054B27" w:rsidP="00054B27">
      <w:r w:rsidRPr="00054B27">
        <w:t xml:space="preserve">Success requires sustained commitment from leadership, investment in both technology and people, and recognition that security is not a destination but an ongoing journey. With this foundation, </w:t>
      </w:r>
      <w:proofErr w:type="spellStart"/>
      <w:r w:rsidRPr="00054B27">
        <w:t>MediTrust</w:t>
      </w:r>
      <w:proofErr w:type="spellEnd"/>
      <w:r w:rsidRPr="00054B27">
        <w:t xml:space="preserve"> can protect their patients, satisfy regulators, and continue innovating in the critical field of AI-powered healthcare.</w:t>
      </w:r>
    </w:p>
    <w:p w14:paraId="6CD10258" w14:textId="77777777" w:rsidR="00781C43" w:rsidRDefault="00781C43" w:rsidP="00781C43"/>
    <w:p w14:paraId="127F54D7" w14:textId="77777777" w:rsidR="00167468" w:rsidRDefault="00167468" w:rsidP="00781C43"/>
    <w:p w14:paraId="3E299758" w14:textId="77777777" w:rsidR="001C78A8" w:rsidRDefault="001C78A8" w:rsidP="00781C43"/>
    <w:p w14:paraId="73BD0179" w14:textId="77777777" w:rsidR="00167468" w:rsidRDefault="00167468" w:rsidP="00781C43"/>
    <w:p w14:paraId="1CC11AD2" w14:textId="77777777" w:rsidR="000E417F" w:rsidRDefault="000E417F" w:rsidP="00781C43"/>
    <w:p w14:paraId="11F15F2E" w14:textId="77777777" w:rsidR="000E417F" w:rsidRDefault="000E417F" w:rsidP="00781C43"/>
    <w:p w14:paraId="06AA981E" w14:textId="77777777" w:rsidR="000E417F" w:rsidRDefault="000E417F" w:rsidP="00781C43"/>
    <w:p w14:paraId="163A1C2B" w14:textId="77777777" w:rsidR="000E417F" w:rsidRDefault="000E417F" w:rsidP="00781C43"/>
    <w:p w14:paraId="073C38D8" w14:textId="77777777" w:rsidR="000E417F" w:rsidRDefault="000E417F" w:rsidP="00781C43"/>
    <w:p w14:paraId="162C40CC" w14:textId="77777777" w:rsidR="000E417F" w:rsidRDefault="000E417F" w:rsidP="00781C43"/>
    <w:p w14:paraId="3AEC5398" w14:textId="77777777" w:rsidR="000E417F" w:rsidRDefault="000E417F" w:rsidP="00781C43"/>
    <w:p w14:paraId="6AF43688" w14:textId="77777777" w:rsidR="000E417F" w:rsidRDefault="000E417F" w:rsidP="00781C43"/>
    <w:p w14:paraId="795B2005" w14:textId="77777777" w:rsidR="000E417F" w:rsidRDefault="000E417F" w:rsidP="00781C43"/>
    <w:p w14:paraId="185FB2EE" w14:textId="77777777" w:rsidR="00167468" w:rsidRPr="00167468" w:rsidRDefault="00167468" w:rsidP="00167468">
      <w:pPr>
        <w:pStyle w:val="Heading3"/>
        <w:rPr>
          <w:b/>
          <w:bCs/>
          <w:u w:val="single"/>
        </w:rPr>
      </w:pPr>
      <w:r w:rsidRPr="00167468">
        <w:rPr>
          <w:b/>
          <w:bCs/>
          <w:u w:val="single"/>
        </w:rPr>
        <w:lastRenderedPageBreak/>
        <w:t>References</w:t>
      </w:r>
    </w:p>
    <w:p w14:paraId="2A6006F7" w14:textId="77777777" w:rsidR="00167468" w:rsidRPr="00527ABA" w:rsidRDefault="00167468" w:rsidP="00167468">
      <w:pPr>
        <w:rPr>
          <w:sz w:val="22"/>
          <w:szCs w:val="22"/>
        </w:rPr>
      </w:pPr>
      <w:r w:rsidRPr="00527ABA">
        <w:rPr>
          <w:sz w:val="22"/>
          <w:szCs w:val="22"/>
        </w:rPr>
        <w:t>[1] S. Barocas, M. Hardt, and A. Narayanan, Fairness and Machine Learning: Limitations and Opportunities. Cambridge: MIT Press, 2023.</w:t>
      </w:r>
    </w:p>
    <w:p w14:paraId="40F7F58A" w14:textId="77777777" w:rsidR="00167468" w:rsidRPr="00527ABA" w:rsidRDefault="00167468" w:rsidP="00167468">
      <w:pPr>
        <w:rPr>
          <w:sz w:val="22"/>
          <w:szCs w:val="22"/>
        </w:rPr>
      </w:pPr>
      <w:r w:rsidRPr="00527ABA">
        <w:rPr>
          <w:sz w:val="22"/>
          <w:szCs w:val="22"/>
        </w:rPr>
        <w:t>[2] R. Bellamy et al., "AI Fairness 360: An Extensible Toolkit for Detecting and Mitigating Algorithmic Bias," IBM Journal of Research and Development, 2019.</w:t>
      </w:r>
    </w:p>
    <w:p w14:paraId="039397BD" w14:textId="77777777" w:rsidR="00167468" w:rsidRPr="00527ABA" w:rsidRDefault="00167468" w:rsidP="00167468">
      <w:pPr>
        <w:rPr>
          <w:sz w:val="22"/>
          <w:szCs w:val="22"/>
        </w:rPr>
      </w:pPr>
      <w:r w:rsidRPr="00527ABA">
        <w:rPr>
          <w:sz w:val="22"/>
          <w:szCs w:val="22"/>
        </w:rPr>
        <w:t>[3] National Institute of Standards and Technology, "The NIST Cybersecurity Framework 2.0," NIST CSWP 29, Gaithersburg, MD, 2024.</w:t>
      </w:r>
    </w:p>
    <w:p w14:paraId="5030D0A7" w14:textId="77777777" w:rsidR="00167468" w:rsidRPr="00527ABA" w:rsidRDefault="00167468" w:rsidP="00167468">
      <w:pPr>
        <w:rPr>
          <w:sz w:val="22"/>
          <w:szCs w:val="22"/>
        </w:rPr>
      </w:pPr>
      <w:r w:rsidRPr="00527ABA">
        <w:rPr>
          <w:sz w:val="22"/>
          <w:szCs w:val="22"/>
        </w:rPr>
        <w:t>[4] European Commission, "Regulation (EU) 2022/2554 on digital operational resilience for the financial sector (DORA)," Official Journal of the European Union, Brussels, 2022.</w:t>
      </w:r>
    </w:p>
    <w:p w14:paraId="7BC169D6" w14:textId="77777777" w:rsidR="00167468" w:rsidRPr="00527ABA" w:rsidRDefault="00167468" w:rsidP="00167468">
      <w:pPr>
        <w:rPr>
          <w:sz w:val="22"/>
          <w:szCs w:val="22"/>
        </w:rPr>
      </w:pPr>
      <w:r w:rsidRPr="00527ABA">
        <w:rPr>
          <w:sz w:val="22"/>
          <w:szCs w:val="22"/>
        </w:rPr>
        <w:t>[5] European Parliament and Council, "Directive (EU) 2022/2555 on measures for a high common level of cybersecurity across the Union (NIS2)," Official Journal of the European Union, 2022.</w:t>
      </w:r>
    </w:p>
    <w:p w14:paraId="46062869" w14:textId="77777777" w:rsidR="00167468" w:rsidRPr="00527ABA" w:rsidRDefault="00167468" w:rsidP="00167468">
      <w:pPr>
        <w:rPr>
          <w:sz w:val="22"/>
          <w:szCs w:val="22"/>
        </w:rPr>
      </w:pPr>
      <w:r w:rsidRPr="00527ABA">
        <w:rPr>
          <w:sz w:val="22"/>
          <w:szCs w:val="22"/>
        </w:rPr>
        <w:t>[6] T. Gebru et al., "Datasheets for Datasets," Communications of the ACM, vol. 64, no. 12, 2021.</w:t>
      </w:r>
    </w:p>
    <w:p w14:paraId="75490CBF" w14:textId="77777777" w:rsidR="00167468" w:rsidRPr="00527ABA" w:rsidRDefault="00167468" w:rsidP="00167468">
      <w:pPr>
        <w:rPr>
          <w:sz w:val="22"/>
          <w:szCs w:val="22"/>
        </w:rPr>
      </w:pPr>
      <w:r w:rsidRPr="00527ABA">
        <w:rPr>
          <w:sz w:val="22"/>
          <w:szCs w:val="22"/>
        </w:rPr>
        <w:t>[7] S. Lundberg and S. Lee, "A Unified Approach to Interpreting Model Predictions," Advances in Neural Information Processing Systems, 2017.</w:t>
      </w:r>
    </w:p>
    <w:p w14:paraId="0E7AFBF8" w14:textId="77777777" w:rsidR="00167468" w:rsidRPr="00527ABA" w:rsidRDefault="00167468" w:rsidP="00167468">
      <w:pPr>
        <w:rPr>
          <w:sz w:val="22"/>
          <w:szCs w:val="22"/>
        </w:rPr>
      </w:pPr>
      <w:r w:rsidRPr="00527ABA">
        <w:rPr>
          <w:sz w:val="22"/>
          <w:szCs w:val="22"/>
        </w:rPr>
        <w:t>[8] M. Mitchell et al., "Model Cards for Model Reporting," in Proceedings of the Conference on Fairness, Accountability, and Transparency, 2019.</w:t>
      </w:r>
    </w:p>
    <w:p w14:paraId="1F2100E2" w14:textId="77777777" w:rsidR="00167468" w:rsidRPr="00527ABA" w:rsidRDefault="00167468" w:rsidP="00167468">
      <w:pPr>
        <w:rPr>
          <w:sz w:val="22"/>
          <w:szCs w:val="22"/>
        </w:rPr>
      </w:pPr>
      <w:r w:rsidRPr="00527ABA">
        <w:rPr>
          <w:sz w:val="22"/>
          <w:szCs w:val="22"/>
        </w:rPr>
        <w:t>[9] D. Sculley et al., "Hidden Technical Debt in Machine Learning Systems," Advances in Neural Information Processing Systems, 2015.</w:t>
      </w:r>
    </w:p>
    <w:p w14:paraId="07EB164F" w14:textId="46C968B7" w:rsidR="00167468" w:rsidRPr="00E42249" w:rsidRDefault="00167468" w:rsidP="00781C43">
      <w:pPr>
        <w:rPr>
          <w:sz w:val="22"/>
          <w:szCs w:val="22"/>
        </w:rPr>
        <w:sectPr w:rsidR="00167468" w:rsidRPr="00E42249" w:rsidSect="00392E31">
          <w:pgSz w:w="12240" w:h="15840"/>
          <w:pgMar w:top="1440" w:right="1440" w:bottom="1440" w:left="1440" w:header="720" w:footer="720" w:gutter="0"/>
          <w:pgNumType w:start="0"/>
          <w:cols w:space="720"/>
          <w:titlePg/>
          <w:docGrid w:linePitch="360"/>
        </w:sectPr>
      </w:pPr>
      <w:r w:rsidRPr="00527ABA">
        <w:rPr>
          <w:sz w:val="22"/>
          <w:szCs w:val="22"/>
        </w:rPr>
        <w:t>[10] International Organization for Standardization, "ISO/IEC 42001:2023 Information technology — Artificial intelligence — Management system," Geneva, 2023.</w:t>
      </w:r>
    </w:p>
    <w:p w14:paraId="11070B5B" w14:textId="6834AB8F" w:rsidR="0069060C" w:rsidRPr="00DC0744" w:rsidRDefault="0069060C" w:rsidP="0069060C">
      <w:pPr>
        <w:rPr>
          <w:rFonts w:ascii="Times New Roman" w:hAnsi="Times New Roman" w:cs="Times New Roman"/>
          <w:sz w:val="18"/>
          <w:szCs w:val="18"/>
        </w:rPr>
      </w:pPr>
    </w:p>
    <w:sectPr w:rsidR="0069060C" w:rsidRPr="00DC0744" w:rsidSect="00054B2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BF9F5" w14:textId="77777777" w:rsidR="003A0736" w:rsidRDefault="003A0736" w:rsidP="00403A2D">
      <w:pPr>
        <w:spacing w:after="0" w:line="240" w:lineRule="auto"/>
      </w:pPr>
      <w:r>
        <w:separator/>
      </w:r>
    </w:p>
  </w:endnote>
  <w:endnote w:type="continuationSeparator" w:id="0">
    <w:p w14:paraId="4505C2D7" w14:textId="77777777" w:rsidR="003A0736" w:rsidRDefault="003A0736" w:rsidP="00403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99041" w14:textId="77777777" w:rsidR="003A0736" w:rsidRDefault="003A0736" w:rsidP="00403A2D">
      <w:pPr>
        <w:spacing w:after="0" w:line="240" w:lineRule="auto"/>
      </w:pPr>
      <w:r>
        <w:separator/>
      </w:r>
    </w:p>
  </w:footnote>
  <w:footnote w:type="continuationSeparator" w:id="0">
    <w:p w14:paraId="332A4D6D" w14:textId="77777777" w:rsidR="003A0736" w:rsidRDefault="003A0736" w:rsidP="00403A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44F"/>
    <w:rsid w:val="00003B9F"/>
    <w:rsid w:val="000051FF"/>
    <w:rsid w:val="000153CE"/>
    <w:rsid w:val="000412CC"/>
    <w:rsid w:val="0004199A"/>
    <w:rsid w:val="000437C4"/>
    <w:rsid w:val="00047A57"/>
    <w:rsid w:val="00054B27"/>
    <w:rsid w:val="0006652F"/>
    <w:rsid w:val="0007426C"/>
    <w:rsid w:val="00096035"/>
    <w:rsid w:val="000A2FDC"/>
    <w:rsid w:val="000E417F"/>
    <w:rsid w:val="00124D96"/>
    <w:rsid w:val="00125D9A"/>
    <w:rsid w:val="00135544"/>
    <w:rsid w:val="00142035"/>
    <w:rsid w:val="00142055"/>
    <w:rsid w:val="00146ADC"/>
    <w:rsid w:val="0016387E"/>
    <w:rsid w:val="00165E7D"/>
    <w:rsid w:val="00167468"/>
    <w:rsid w:val="00177130"/>
    <w:rsid w:val="00192369"/>
    <w:rsid w:val="001A4A82"/>
    <w:rsid w:val="001B3749"/>
    <w:rsid w:val="001C4259"/>
    <w:rsid w:val="001C78A8"/>
    <w:rsid w:val="001D0D76"/>
    <w:rsid w:val="001D4E61"/>
    <w:rsid w:val="00202147"/>
    <w:rsid w:val="00245896"/>
    <w:rsid w:val="0025469B"/>
    <w:rsid w:val="00255E70"/>
    <w:rsid w:val="002652D2"/>
    <w:rsid w:val="00291F14"/>
    <w:rsid w:val="002A1610"/>
    <w:rsid w:val="002A19D8"/>
    <w:rsid w:val="002A2D2A"/>
    <w:rsid w:val="002C5850"/>
    <w:rsid w:val="002D14BB"/>
    <w:rsid w:val="002D51E9"/>
    <w:rsid w:val="002E094F"/>
    <w:rsid w:val="002E6BA0"/>
    <w:rsid w:val="002F0981"/>
    <w:rsid w:val="0030391F"/>
    <w:rsid w:val="00324171"/>
    <w:rsid w:val="00342D7C"/>
    <w:rsid w:val="00351253"/>
    <w:rsid w:val="00353FFB"/>
    <w:rsid w:val="0035405D"/>
    <w:rsid w:val="00387D67"/>
    <w:rsid w:val="00392E31"/>
    <w:rsid w:val="003A0736"/>
    <w:rsid w:val="003A5EB2"/>
    <w:rsid w:val="003B4E3F"/>
    <w:rsid w:val="003C484F"/>
    <w:rsid w:val="003C57C2"/>
    <w:rsid w:val="003D02B3"/>
    <w:rsid w:val="00403A2D"/>
    <w:rsid w:val="004072FF"/>
    <w:rsid w:val="00410D04"/>
    <w:rsid w:val="00413C45"/>
    <w:rsid w:val="00461A7A"/>
    <w:rsid w:val="0047477F"/>
    <w:rsid w:val="004812FD"/>
    <w:rsid w:val="004C0A5B"/>
    <w:rsid w:val="004E5E5A"/>
    <w:rsid w:val="004F6269"/>
    <w:rsid w:val="005022A2"/>
    <w:rsid w:val="005132A4"/>
    <w:rsid w:val="005147C2"/>
    <w:rsid w:val="00525AEE"/>
    <w:rsid w:val="00527ABA"/>
    <w:rsid w:val="0054047F"/>
    <w:rsid w:val="005540F7"/>
    <w:rsid w:val="005A2BB3"/>
    <w:rsid w:val="005D7B10"/>
    <w:rsid w:val="006041D0"/>
    <w:rsid w:val="0063578D"/>
    <w:rsid w:val="00643F2D"/>
    <w:rsid w:val="00644C27"/>
    <w:rsid w:val="00646236"/>
    <w:rsid w:val="006502AC"/>
    <w:rsid w:val="0066778E"/>
    <w:rsid w:val="0069060C"/>
    <w:rsid w:val="006A0A3A"/>
    <w:rsid w:val="006A33AB"/>
    <w:rsid w:val="006B01B7"/>
    <w:rsid w:val="006B68B7"/>
    <w:rsid w:val="006C1067"/>
    <w:rsid w:val="006D6E82"/>
    <w:rsid w:val="00720023"/>
    <w:rsid w:val="00734D67"/>
    <w:rsid w:val="00740FD4"/>
    <w:rsid w:val="00781C43"/>
    <w:rsid w:val="007B3F76"/>
    <w:rsid w:val="007C3516"/>
    <w:rsid w:val="007D2293"/>
    <w:rsid w:val="007E7137"/>
    <w:rsid w:val="007F2B28"/>
    <w:rsid w:val="0080211C"/>
    <w:rsid w:val="008055F0"/>
    <w:rsid w:val="0081183D"/>
    <w:rsid w:val="008465FA"/>
    <w:rsid w:val="008726B7"/>
    <w:rsid w:val="0087554F"/>
    <w:rsid w:val="00883120"/>
    <w:rsid w:val="008B1253"/>
    <w:rsid w:val="008B69E6"/>
    <w:rsid w:val="008B78D0"/>
    <w:rsid w:val="008C550B"/>
    <w:rsid w:val="008F453A"/>
    <w:rsid w:val="008F4F7C"/>
    <w:rsid w:val="00927926"/>
    <w:rsid w:val="00931915"/>
    <w:rsid w:val="00936E2A"/>
    <w:rsid w:val="00965619"/>
    <w:rsid w:val="009A4EDE"/>
    <w:rsid w:val="009F2988"/>
    <w:rsid w:val="009F47ED"/>
    <w:rsid w:val="00A01079"/>
    <w:rsid w:val="00A03A4E"/>
    <w:rsid w:val="00A42876"/>
    <w:rsid w:val="00A44793"/>
    <w:rsid w:val="00A47129"/>
    <w:rsid w:val="00A517AC"/>
    <w:rsid w:val="00A60E9D"/>
    <w:rsid w:val="00A63C12"/>
    <w:rsid w:val="00A75401"/>
    <w:rsid w:val="00A84FC3"/>
    <w:rsid w:val="00A95447"/>
    <w:rsid w:val="00AA1B7F"/>
    <w:rsid w:val="00AB0123"/>
    <w:rsid w:val="00AB6086"/>
    <w:rsid w:val="00AC624E"/>
    <w:rsid w:val="00AD4275"/>
    <w:rsid w:val="00AE437C"/>
    <w:rsid w:val="00B17793"/>
    <w:rsid w:val="00B3735C"/>
    <w:rsid w:val="00B462BF"/>
    <w:rsid w:val="00B83896"/>
    <w:rsid w:val="00B83D3E"/>
    <w:rsid w:val="00B87709"/>
    <w:rsid w:val="00B90D7C"/>
    <w:rsid w:val="00BE2C58"/>
    <w:rsid w:val="00BE5D58"/>
    <w:rsid w:val="00C10408"/>
    <w:rsid w:val="00C12ED6"/>
    <w:rsid w:val="00C26B3B"/>
    <w:rsid w:val="00C30A77"/>
    <w:rsid w:val="00C77F26"/>
    <w:rsid w:val="00C82627"/>
    <w:rsid w:val="00CB20E7"/>
    <w:rsid w:val="00CB763C"/>
    <w:rsid w:val="00CC126D"/>
    <w:rsid w:val="00CD37D4"/>
    <w:rsid w:val="00CE2988"/>
    <w:rsid w:val="00CF0A41"/>
    <w:rsid w:val="00D01403"/>
    <w:rsid w:val="00D146A5"/>
    <w:rsid w:val="00D25DDD"/>
    <w:rsid w:val="00D474E7"/>
    <w:rsid w:val="00D57380"/>
    <w:rsid w:val="00D576C1"/>
    <w:rsid w:val="00DA5C01"/>
    <w:rsid w:val="00DB33C6"/>
    <w:rsid w:val="00DC0744"/>
    <w:rsid w:val="00DE26A2"/>
    <w:rsid w:val="00E13058"/>
    <w:rsid w:val="00E13FEA"/>
    <w:rsid w:val="00E2392A"/>
    <w:rsid w:val="00E312D3"/>
    <w:rsid w:val="00E3232D"/>
    <w:rsid w:val="00E42249"/>
    <w:rsid w:val="00E64B89"/>
    <w:rsid w:val="00E70AB9"/>
    <w:rsid w:val="00E8344F"/>
    <w:rsid w:val="00E85F22"/>
    <w:rsid w:val="00EA4640"/>
    <w:rsid w:val="00EB1AC4"/>
    <w:rsid w:val="00EB7109"/>
    <w:rsid w:val="00EC660C"/>
    <w:rsid w:val="00EE26A3"/>
    <w:rsid w:val="00EE73C1"/>
    <w:rsid w:val="00EF3F42"/>
    <w:rsid w:val="00EF5E40"/>
    <w:rsid w:val="00EF659E"/>
    <w:rsid w:val="00EF7160"/>
    <w:rsid w:val="00F03025"/>
    <w:rsid w:val="00F12C5C"/>
    <w:rsid w:val="00F20EAE"/>
    <w:rsid w:val="00F427AC"/>
    <w:rsid w:val="00F75755"/>
    <w:rsid w:val="00F7777F"/>
    <w:rsid w:val="00F8351F"/>
    <w:rsid w:val="00F847D8"/>
    <w:rsid w:val="00F975AC"/>
    <w:rsid w:val="00FA32EA"/>
    <w:rsid w:val="00FC2237"/>
    <w:rsid w:val="00FE07D5"/>
    <w:rsid w:val="00FE64E4"/>
    <w:rsid w:val="00FF5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FA4D5"/>
  <w15:chartTrackingRefBased/>
  <w15:docId w15:val="{B339F62B-445B-4E44-9A5A-2651A182E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4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34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834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34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34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34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34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34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34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4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34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834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34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34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34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34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34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344F"/>
    <w:rPr>
      <w:rFonts w:eastAsiaTheme="majorEastAsia" w:cstheme="majorBidi"/>
      <w:color w:val="272727" w:themeColor="text1" w:themeTint="D8"/>
    </w:rPr>
  </w:style>
  <w:style w:type="paragraph" w:styleId="Title">
    <w:name w:val="Title"/>
    <w:basedOn w:val="Normal"/>
    <w:next w:val="Normal"/>
    <w:link w:val="TitleChar"/>
    <w:uiPriority w:val="10"/>
    <w:qFormat/>
    <w:rsid w:val="00E834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34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34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34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344F"/>
    <w:pPr>
      <w:spacing w:before="160"/>
      <w:jc w:val="center"/>
    </w:pPr>
    <w:rPr>
      <w:i/>
      <w:iCs/>
      <w:color w:val="404040" w:themeColor="text1" w:themeTint="BF"/>
    </w:rPr>
  </w:style>
  <w:style w:type="character" w:customStyle="1" w:styleId="QuoteChar">
    <w:name w:val="Quote Char"/>
    <w:basedOn w:val="DefaultParagraphFont"/>
    <w:link w:val="Quote"/>
    <w:uiPriority w:val="29"/>
    <w:rsid w:val="00E8344F"/>
    <w:rPr>
      <w:i/>
      <w:iCs/>
      <w:color w:val="404040" w:themeColor="text1" w:themeTint="BF"/>
    </w:rPr>
  </w:style>
  <w:style w:type="paragraph" w:styleId="ListParagraph">
    <w:name w:val="List Paragraph"/>
    <w:basedOn w:val="Normal"/>
    <w:uiPriority w:val="34"/>
    <w:qFormat/>
    <w:rsid w:val="00E8344F"/>
    <w:pPr>
      <w:ind w:left="720"/>
      <w:contextualSpacing/>
    </w:pPr>
  </w:style>
  <w:style w:type="character" w:styleId="IntenseEmphasis">
    <w:name w:val="Intense Emphasis"/>
    <w:basedOn w:val="DefaultParagraphFont"/>
    <w:uiPriority w:val="21"/>
    <w:qFormat/>
    <w:rsid w:val="00E8344F"/>
    <w:rPr>
      <w:i/>
      <w:iCs/>
      <w:color w:val="0F4761" w:themeColor="accent1" w:themeShade="BF"/>
    </w:rPr>
  </w:style>
  <w:style w:type="paragraph" w:styleId="IntenseQuote">
    <w:name w:val="Intense Quote"/>
    <w:basedOn w:val="Normal"/>
    <w:next w:val="Normal"/>
    <w:link w:val="IntenseQuoteChar"/>
    <w:uiPriority w:val="30"/>
    <w:qFormat/>
    <w:rsid w:val="00E834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344F"/>
    <w:rPr>
      <w:i/>
      <w:iCs/>
      <w:color w:val="0F4761" w:themeColor="accent1" w:themeShade="BF"/>
    </w:rPr>
  </w:style>
  <w:style w:type="character" w:styleId="IntenseReference">
    <w:name w:val="Intense Reference"/>
    <w:basedOn w:val="DefaultParagraphFont"/>
    <w:uiPriority w:val="32"/>
    <w:qFormat/>
    <w:rsid w:val="00E8344F"/>
    <w:rPr>
      <w:b/>
      <w:bCs/>
      <w:smallCaps/>
      <w:color w:val="0F4761" w:themeColor="accent1" w:themeShade="BF"/>
      <w:spacing w:val="5"/>
    </w:rPr>
  </w:style>
  <w:style w:type="paragraph" w:styleId="NoSpacing">
    <w:name w:val="No Spacing"/>
    <w:link w:val="NoSpacingChar"/>
    <w:uiPriority w:val="1"/>
    <w:qFormat/>
    <w:rsid w:val="00EB1AC4"/>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EB1AC4"/>
    <w:rPr>
      <w:rFonts w:eastAsiaTheme="minorEastAsia"/>
      <w:kern w:val="0"/>
      <w:sz w:val="22"/>
      <w:szCs w:val="22"/>
      <w14:ligatures w14:val="none"/>
    </w:rPr>
  </w:style>
  <w:style w:type="character" w:styleId="Hyperlink">
    <w:name w:val="Hyperlink"/>
    <w:basedOn w:val="DefaultParagraphFont"/>
    <w:uiPriority w:val="99"/>
    <w:unhideWhenUsed/>
    <w:rsid w:val="00720023"/>
    <w:rPr>
      <w:color w:val="467886" w:themeColor="hyperlink"/>
      <w:u w:val="single"/>
    </w:rPr>
  </w:style>
  <w:style w:type="character" w:styleId="UnresolvedMention">
    <w:name w:val="Unresolved Mention"/>
    <w:basedOn w:val="DefaultParagraphFont"/>
    <w:uiPriority w:val="99"/>
    <w:semiHidden/>
    <w:unhideWhenUsed/>
    <w:rsid w:val="00720023"/>
    <w:rPr>
      <w:color w:val="605E5C"/>
      <w:shd w:val="clear" w:color="auto" w:fill="E1DFDD"/>
    </w:rPr>
  </w:style>
  <w:style w:type="paragraph" w:styleId="EndnoteText">
    <w:name w:val="endnote text"/>
    <w:basedOn w:val="Normal"/>
    <w:link w:val="EndnoteTextChar"/>
    <w:uiPriority w:val="99"/>
    <w:semiHidden/>
    <w:unhideWhenUsed/>
    <w:rsid w:val="00403A2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03A2D"/>
    <w:rPr>
      <w:sz w:val="20"/>
      <w:szCs w:val="20"/>
    </w:rPr>
  </w:style>
  <w:style w:type="character" w:styleId="EndnoteReference">
    <w:name w:val="endnote reference"/>
    <w:basedOn w:val="DefaultParagraphFont"/>
    <w:uiPriority w:val="99"/>
    <w:semiHidden/>
    <w:unhideWhenUsed/>
    <w:rsid w:val="00403A2D"/>
    <w:rPr>
      <w:vertAlign w:val="superscript"/>
    </w:rPr>
  </w:style>
  <w:style w:type="paragraph" w:styleId="Header">
    <w:name w:val="header"/>
    <w:basedOn w:val="Normal"/>
    <w:link w:val="HeaderChar"/>
    <w:uiPriority w:val="99"/>
    <w:unhideWhenUsed/>
    <w:rsid w:val="00C104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0408"/>
  </w:style>
  <w:style w:type="paragraph" w:styleId="Footer">
    <w:name w:val="footer"/>
    <w:basedOn w:val="Normal"/>
    <w:link w:val="FooterChar"/>
    <w:uiPriority w:val="99"/>
    <w:unhideWhenUsed/>
    <w:rsid w:val="00C104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0408"/>
  </w:style>
  <w:style w:type="table" w:styleId="TableGrid">
    <w:name w:val="Table Grid"/>
    <w:basedOn w:val="TableNormal"/>
    <w:uiPriority w:val="39"/>
    <w:rsid w:val="00D01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
    <w:name w:val="Grid Table 3"/>
    <w:basedOn w:val="TableNormal"/>
    <w:uiPriority w:val="48"/>
    <w:rsid w:val="00D0140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Accent4">
    <w:name w:val="Grid Table 4 Accent 4"/>
    <w:basedOn w:val="TableNormal"/>
    <w:uiPriority w:val="49"/>
    <w:rsid w:val="00D01403"/>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5Dark">
    <w:name w:val="List Table 5 Dark"/>
    <w:basedOn w:val="TableNormal"/>
    <w:uiPriority w:val="50"/>
    <w:rsid w:val="00D01403"/>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rful">
    <w:name w:val="List Table 7 Colorful"/>
    <w:basedOn w:val="TableNormal"/>
    <w:uiPriority w:val="52"/>
    <w:rsid w:val="00D01403"/>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Accent4">
    <w:name w:val="Grid Table 2 Accent 4"/>
    <w:basedOn w:val="TableNormal"/>
    <w:uiPriority w:val="47"/>
    <w:rsid w:val="00D01403"/>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1Light-Accent4">
    <w:name w:val="Grid Table 1 Light Accent 4"/>
    <w:basedOn w:val="TableNormal"/>
    <w:uiPriority w:val="46"/>
    <w:rsid w:val="00D01403"/>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47477F"/>
    <w:rPr>
      <w:sz w:val="16"/>
      <w:szCs w:val="16"/>
    </w:rPr>
  </w:style>
  <w:style w:type="paragraph" w:styleId="CommentText">
    <w:name w:val="annotation text"/>
    <w:basedOn w:val="Normal"/>
    <w:link w:val="CommentTextChar"/>
    <w:uiPriority w:val="99"/>
    <w:unhideWhenUsed/>
    <w:rsid w:val="0047477F"/>
    <w:pPr>
      <w:spacing w:line="240" w:lineRule="auto"/>
    </w:pPr>
    <w:rPr>
      <w:sz w:val="20"/>
      <w:szCs w:val="20"/>
    </w:rPr>
  </w:style>
  <w:style w:type="character" w:customStyle="1" w:styleId="CommentTextChar">
    <w:name w:val="Comment Text Char"/>
    <w:basedOn w:val="DefaultParagraphFont"/>
    <w:link w:val="CommentText"/>
    <w:uiPriority w:val="99"/>
    <w:rsid w:val="0047477F"/>
    <w:rPr>
      <w:sz w:val="20"/>
      <w:szCs w:val="20"/>
    </w:rPr>
  </w:style>
  <w:style w:type="paragraph" w:styleId="CommentSubject">
    <w:name w:val="annotation subject"/>
    <w:basedOn w:val="CommentText"/>
    <w:next w:val="CommentText"/>
    <w:link w:val="CommentSubjectChar"/>
    <w:uiPriority w:val="99"/>
    <w:semiHidden/>
    <w:unhideWhenUsed/>
    <w:rsid w:val="0047477F"/>
    <w:rPr>
      <w:b/>
      <w:bCs/>
    </w:rPr>
  </w:style>
  <w:style w:type="character" w:customStyle="1" w:styleId="CommentSubjectChar">
    <w:name w:val="Comment Subject Char"/>
    <w:basedOn w:val="CommentTextChar"/>
    <w:link w:val="CommentSubject"/>
    <w:uiPriority w:val="99"/>
    <w:semiHidden/>
    <w:rsid w:val="0047477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jp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6085DA-CB8E-4865-9D95-71E8791711F7}" type="doc">
      <dgm:prSet loTypeId="urn:microsoft.com/office/officeart/2005/8/layout/orgChart1" loCatId="hierarchy" qsTypeId="urn:microsoft.com/office/officeart/2005/8/quickstyle/3d2" qsCatId="3D" csTypeId="urn:microsoft.com/office/officeart/2005/8/colors/accent6_2" csCatId="accent6" phldr="1"/>
      <dgm:spPr/>
      <dgm:t>
        <a:bodyPr/>
        <a:lstStyle/>
        <a:p>
          <a:endParaRPr lang="en-US"/>
        </a:p>
      </dgm:t>
    </dgm:pt>
    <dgm:pt modelId="{A7A50DB8-09D4-4094-B2E4-52ADA2F37962}">
      <dgm:prSet phldrT="[Text]">
        <dgm:style>
          <a:lnRef idx="2">
            <a:schemeClr val="accent1">
              <a:shade val="15000"/>
            </a:schemeClr>
          </a:lnRef>
          <a:fillRef idx="1">
            <a:schemeClr val="accent1"/>
          </a:fillRef>
          <a:effectRef idx="0">
            <a:schemeClr val="accent1"/>
          </a:effectRef>
          <a:fontRef idx="minor">
            <a:schemeClr val="lt1"/>
          </a:fontRef>
        </dgm:style>
      </dgm:prSet>
      <dgm:spPr/>
      <dgm:t>
        <a:bodyPr/>
        <a:lstStyle/>
        <a:p>
          <a:pPr>
            <a:buNone/>
          </a:pPr>
          <a:r>
            <a:rPr lang="en-US" b="0"/>
            <a:t>Group Chief Information Security (CISO) </a:t>
          </a:r>
          <a:endParaRPr lang="en-US"/>
        </a:p>
      </dgm:t>
    </dgm:pt>
    <dgm:pt modelId="{FCE51657-9D8A-4301-AAD8-0B800DACCF3B}" type="parTrans" cxnId="{96F38396-FE65-406F-B0EB-3EAB9F5CCCC1}">
      <dgm:prSet/>
      <dgm:spPr/>
      <dgm:t>
        <a:bodyPr/>
        <a:lstStyle/>
        <a:p>
          <a:endParaRPr lang="en-US"/>
        </a:p>
      </dgm:t>
    </dgm:pt>
    <dgm:pt modelId="{597A37B7-40F9-4FB8-8A43-511B15071A19}" type="sibTrans" cxnId="{96F38396-FE65-406F-B0EB-3EAB9F5CCCC1}">
      <dgm:prSet/>
      <dgm:spPr/>
      <dgm:t>
        <a:bodyPr/>
        <a:lstStyle/>
        <a:p>
          <a:endParaRPr lang="en-US"/>
        </a:p>
      </dgm:t>
    </dgm:pt>
    <dgm:pt modelId="{B9A2C099-B863-44C8-A01D-D083DC75FEEE}" type="asst">
      <dgm:prSet phldrT="[Text]">
        <dgm:style>
          <a:lnRef idx="2">
            <a:schemeClr val="accent1">
              <a:shade val="15000"/>
            </a:schemeClr>
          </a:lnRef>
          <a:fillRef idx="1">
            <a:schemeClr val="accent1"/>
          </a:fillRef>
          <a:effectRef idx="0">
            <a:schemeClr val="accent1"/>
          </a:effectRef>
          <a:fontRef idx="minor">
            <a:schemeClr val="lt1"/>
          </a:fontRef>
        </dgm:style>
      </dgm:prSet>
      <dgm:spPr/>
      <dgm:t>
        <a:bodyPr/>
        <a:lstStyle/>
        <a:p>
          <a:pPr>
            <a:buNone/>
          </a:pPr>
          <a:r>
            <a:rPr lang="en-US" b="0"/>
            <a:t>Head of Security, EU Region </a:t>
          </a:r>
          <a:endParaRPr lang="en-US"/>
        </a:p>
      </dgm:t>
    </dgm:pt>
    <dgm:pt modelId="{6A7DAD8B-82C1-4E41-A584-403DAEBFCE05}" type="parTrans" cxnId="{033B61B3-0E7A-47F5-BB24-A1A63AE8FFF4}">
      <dgm:prSet/>
      <dgm:spPr/>
      <dgm:t>
        <a:bodyPr/>
        <a:lstStyle/>
        <a:p>
          <a:endParaRPr lang="en-US"/>
        </a:p>
      </dgm:t>
    </dgm:pt>
    <dgm:pt modelId="{1881D3B1-D7A2-4004-9379-C4C97A828B6D}" type="sibTrans" cxnId="{033B61B3-0E7A-47F5-BB24-A1A63AE8FFF4}">
      <dgm:prSet/>
      <dgm:spPr/>
      <dgm:t>
        <a:bodyPr/>
        <a:lstStyle/>
        <a:p>
          <a:endParaRPr lang="en-US"/>
        </a:p>
      </dgm:t>
    </dgm:pt>
    <dgm:pt modelId="{CD5CECF6-5D85-4E22-AC32-B442A4ADA4EE}">
      <dgm:prSet phldrT="[Text]">
        <dgm:style>
          <a:lnRef idx="2">
            <a:schemeClr val="accent2">
              <a:shade val="15000"/>
            </a:schemeClr>
          </a:lnRef>
          <a:fillRef idx="1">
            <a:schemeClr val="accent2"/>
          </a:fillRef>
          <a:effectRef idx="0">
            <a:schemeClr val="accent2"/>
          </a:effectRef>
          <a:fontRef idx="minor">
            <a:schemeClr val="lt1"/>
          </a:fontRef>
        </dgm:style>
      </dgm:prSet>
      <dgm:spPr/>
      <dgm:t>
        <a:bodyPr/>
        <a:lstStyle/>
        <a:p>
          <a:r>
            <a:rPr lang="en-US"/>
            <a:t>Cloud Security Architect</a:t>
          </a:r>
        </a:p>
      </dgm:t>
    </dgm:pt>
    <dgm:pt modelId="{B0FD43E7-E6C3-4F23-A896-3B8A723634F7}" type="parTrans" cxnId="{D9D77FBC-9B94-4578-B64C-25C5126E7BDD}">
      <dgm:prSet/>
      <dgm:spPr/>
      <dgm:t>
        <a:bodyPr/>
        <a:lstStyle/>
        <a:p>
          <a:endParaRPr lang="en-US"/>
        </a:p>
      </dgm:t>
    </dgm:pt>
    <dgm:pt modelId="{A474594F-F6E3-4C71-A2BF-CAFA0CA77187}" type="sibTrans" cxnId="{D9D77FBC-9B94-4578-B64C-25C5126E7BDD}">
      <dgm:prSet/>
      <dgm:spPr/>
      <dgm:t>
        <a:bodyPr/>
        <a:lstStyle/>
        <a:p>
          <a:endParaRPr lang="en-US"/>
        </a:p>
      </dgm:t>
    </dgm:pt>
    <dgm:pt modelId="{21AD2B35-96D7-409D-AF96-2A0145197674}">
      <dgm:prSet phldrT="[Text]">
        <dgm:style>
          <a:lnRef idx="2">
            <a:schemeClr val="accent2">
              <a:shade val="15000"/>
            </a:schemeClr>
          </a:lnRef>
          <a:fillRef idx="1">
            <a:schemeClr val="accent2"/>
          </a:fillRef>
          <a:effectRef idx="0">
            <a:schemeClr val="accent2"/>
          </a:effectRef>
          <a:fontRef idx="minor">
            <a:schemeClr val="lt1"/>
          </a:fontRef>
        </dgm:style>
      </dgm:prSet>
      <dgm:spPr/>
      <dgm:t>
        <a:bodyPr/>
        <a:lstStyle/>
        <a:p>
          <a:r>
            <a:rPr lang="en-US"/>
            <a:t>Security Operations Manager</a:t>
          </a:r>
        </a:p>
      </dgm:t>
    </dgm:pt>
    <dgm:pt modelId="{00C5EAB5-DC5F-4D03-9926-A8AD85762B70}" type="parTrans" cxnId="{938AC36D-D7C0-4028-9FDC-583FD58E74E6}">
      <dgm:prSet/>
      <dgm:spPr/>
      <dgm:t>
        <a:bodyPr/>
        <a:lstStyle/>
        <a:p>
          <a:endParaRPr lang="en-US"/>
        </a:p>
      </dgm:t>
    </dgm:pt>
    <dgm:pt modelId="{DF789781-26B4-4646-9F61-CA1698D43F2F}" type="sibTrans" cxnId="{938AC36D-D7C0-4028-9FDC-583FD58E74E6}">
      <dgm:prSet/>
      <dgm:spPr/>
      <dgm:t>
        <a:bodyPr/>
        <a:lstStyle/>
        <a:p>
          <a:endParaRPr lang="en-US"/>
        </a:p>
      </dgm:t>
    </dgm:pt>
    <dgm:pt modelId="{7AEB311E-51E5-4350-9717-106B67ECC79A}">
      <dgm:prSet>
        <dgm:style>
          <a:lnRef idx="2">
            <a:schemeClr val="accent2">
              <a:shade val="15000"/>
            </a:schemeClr>
          </a:lnRef>
          <a:fillRef idx="1">
            <a:schemeClr val="accent2"/>
          </a:fillRef>
          <a:effectRef idx="0">
            <a:schemeClr val="accent2"/>
          </a:effectRef>
          <a:fontRef idx="minor">
            <a:schemeClr val="lt1"/>
          </a:fontRef>
        </dgm:style>
      </dgm:prSet>
      <dgm:spPr/>
      <dgm:t>
        <a:bodyPr/>
        <a:lstStyle/>
        <a:p>
          <a:r>
            <a:rPr lang="en-US"/>
            <a:t>Compliance and Risk Officer</a:t>
          </a:r>
        </a:p>
      </dgm:t>
    </dgm:pt>
    <dgm:pt modelId="{FB02A073-6A49-4B78-BC66-4D10484C207B}" type="parTrans" cxnId="{0EBD051C-6227-4B4F-BB2D-FC918E927BA4}">
      <dgm:prSet/>
      <dgm:spPr/>
      <dgm:t>
        <a:bodyPr/>
        <a:lstStyle/>
        <a:p>
          <a:endParaRPr lang="en-US"/>
        </a:p>
      </dgm:t>
    </dgm:pt>
    <dgm:pt modelId="{7D8A366C-A390-4D6B-9F05-E2A3BA749474}" type="sibTrans" cxnId="{0EBD051C-6227-4B4F-BB2D-FC918E927BA4}">
      <dgm:prSet/>
      <dgm:spPr/>
      <dgm:t>
        <a:bodyPr/>
        <a:lstStyle/>
        <a:p>
          <a:endParaRPr lang="en-US"/>
        </a:p>
      </dgm:t>
    </dgm:pt>
    <dgm:pt modelId="{D9E172A0-674B-40ED-9A3B-6C73BF73EF9D}">
      <dgm:prSet phldrT="[Text]"/>
      <dgm:spPr/>
      <dgm:t>
        <a:bodyPr/>
        <a:lstStyle/>
        <a:p>
          <a:r>
            <a:rPr lang="en-US"/>
            <a:t>AWS</a:t>
          </a:r>
        </a:p>
      </dgm:t>
    </dgm:pt>
    <dgm:pt modelId="{A2681BA2-9094-4BBF-AFC8-E00A1116518E}" type="parTrans" cxnId="{71DEE4BD-2655-408A-8AF2-51DDBEC74F49}">
      <dgm:prSet/>
      <dgm:spPr/>
      <dgm:t>
        <a:bodyPr/>
        <a:lstStyle/>
        <a:p>
          <a:endParaRPr lang="en-US"/>
        </a:p>
      </dgm:t>
    </dgm:pt>
    <dgm:pt modelId="{51A7FC8B-E483-40C0-BF25-8842C3E8E89F}" type="sibTrans" cxnId="{71DEE4BD-2655-408A-8AF2-51DDBEC74F49}">
      <dgm:prSet/>
      <dgm:spPr/>
      <dgm:t>
        <a:bodyPr/>
        <a:lstStyle/>
        <a:p>
          <a:endParaRPr lang="en-US"/>
        </a:p>
      </dgm:t>
    </dgm:pt>
    <dgm:pt modelId="{28BAC349-B48F-40ED-8C5B-AD9417D1DBC0}">
      <dgm:prSet phldrT="[Text]"/>
      <dgm:spPr/>
      <dgm:t>
        <a:bodyPr/>
        <a:lstStyle/>
        <a:p>
          <a:r>
            <a:rPr lang="en-US"/>
            <a:t>CI/CD Security</a:t>
          </a:r>
        </a:p>
      </dgm:t>
    </dgm:pt>
    <dgm:pt modelId="{DE82A580-8F9D-4753-9CF5-9745527F2B98}" type="parTrans" cxnId="{018E75B3-EDDF-4381-AD15-F9486C1EF9CD}">
      <dgm:prSet/>
      <dgm:spPr/>
      <dgm:t>
        <a:bodyPr/>
        <a:lstStyle/>
        <a:p>
          <a:endParaRPr lang="en-US"/>
        </a:p>
      </dgm:t>
    </dgm:pt>
    <dgm:pt modelId="{F67CCEA1-A1C4-473D-8804-E1BF00F78ABE}" type="sibTrans" cxnId="{018E75B3-EDDF-4381-AD15-F9486C1EF9CD}">
      <dgm:prSet/>
      <dgm:spPr/>
      <dgm:t>
        <a:bodyPr/>
        <a:lstStyle/>
        <a:p>
          <a:endParaRPr lang="en-US"/>
        </a:p>
      </dgm:t>
    </dgm:pt>
    <dgm:pt modelId="{6A73765E-6D97-4AAC-B43B-76DACB0E8B1B}">
      <dgm:prSet phldrT="[Text]"/>
      <dgm:spPr/>
      <dgm:t>
        <a:bodyPr/>
        <a:lstStyle/>
        <a:p>
          <a:r>
            <a:rPr lang="en-US"/>
            <a:t>SAST/DAST</a:t>
          </a:r>
        </a:p>
      </dgm:t>
    </dgm:pt>
    <dgm:pt modelId="{CCC45EB5-0665-4E34-AFF1-959AE7D89978}" type="parTrans" cxnId="{311E4621-3E9A-4553-8B7F-D447C35F5B0B}">
      <dgm:prSet/>
      <dgm:spPr/>
      <dgm:t>
        <a:bodyPr/>
        <a:lstStyle/>
        <a:p>
          <a:endParaRPr lang="en-US"/>
        </a:p>
      </dgm:t>
    </dgm:pt>
    <dgm:pt modelId="{E05E3E44-D97B-4CFE-922E-E9220E657F22}" type="sibTrans" cxnId="{311E4621-3E9A-4553-8B7F-D447C35F5B0B}">
      <dgm:prSet/>
      <dgm:spPr/>
      <dgm:t>
        <a:bodyPr/>
        <a:lstStyle/>
        <a:p>
          <a:endParaRPr lang="en-US"/>
        </a:p>
      </dgm:t>
    </dgm:pt>
    <dgm:pt modelId="{DF15A4DF-0F78-423C-AD69-F9FC4B0C50B9}">
      <dgm:prSet phldrT="[Text]"/>
      <dgm:spPr/>
      <dgm:t>
        <a:bodyPr/>
        <a:lstStyle/>
        <a:p>
          <a:r>
            <a:rPr lang="en-US"/>
            <a:t>Secure Coding</a:t>
          </a:r>
        </a:p>
      </dgm:t>
    </dgm:pt>
    <dgm:pt modelId="{E6E795BC-D2DE-427E-BEA3-802AC9388A71}" type="parTrans" cxnId="{7EA8F00D-E591-4B6A-8668-575E0E2EEF22}">
      <dgm:prSet/>
      <dgm:spPr/>
      <dgm:t>
        <a:bodyPr/>
        <a:lstStyle/>
        <a:p>
          <a:endParaRPr lang="en-US"/>
        </a:p>
      </dgm:t>
    </dgm:pt>
    <dgm:pt modelId="{C23D4865-C383-469B-8489-B0D8BAC3E5B6}" type="sibTrans" cxnId="{7EA8F00D-E591-4B6A-8668-575E0E2EEF22}">
      <dgm:prSet/>
      <dgm:spPr/>
      <dgm:t>
        <a:bodyPr/>
        <a:lstStyle/>
        <a:p>
          <a:endParaRPr lang="en-US"/>
        </a:p>
      </dgm:t>
    </dgm:pt>
    <dgm:pt modelId="{914B6520-4F93-4371-9DF0-3E83D93BAC5A}">
      <dgm:prSet phldrT="[Text]">
        <dgm:style>
          <a:lnRef idx="2">
            <a:schemeClr val="accent2">
              <a:shade val="15000"/>
            </a:schemeClr>
          </a:lnRef>
          <a:fillRef idx="1">
            <a:schemeClr val="accent2"/>
          </a:fillRef>
          <a:effectRef idx="0">
            <a:schemeClr val="accent2"/>
          </a:effectRef>
          <a:fontRef idx="minor">
            <a:schemeClr val="lt1"/>
          </a:fontRef>
        </dgm:style>
      </dgm:prSet>
      <dgm:spPr/>
      <dgm:t>
        <a:bodyPr/>
        <a:lstStyle/>
        <a:p>
          <a:r>
            <a:rPr lang="en-US"/>
            <a:t>DevSecOps Lead</a:t>
          </a:r>
        </a:p>
      </dgm:t>
    </dgm:pt>
    <dgm:pt modelId="{D097698C-C3E1-49D8-A631-C1FEBEB88E88}" type="sibTrans" cxnId="{EF854143-B7BC-4292-896F-1B269BF9F38B}">
      <dgm:prSet/>
      <dgm:spPr/>
      <dgm:t>
        <a:bodyPr/>
        <a:lstStyle/>
        <a:p>
          <a:endParaRPr lang="en-US"/>
        </a:p>
      </dgm:t>
    </dgm:pt>
    <dgm:pt modelId="{39CFE6AA-6CFB-4CD7-8D91-E83976CA4261}" type="parTrans" cxnId="{EF854143-B7BC-4292-896F-1B269BF9F38B}">
      <dgm:prSet/>
      <dgm:spPr/>
      <dgm:t>
        <a:bodyPr/>
        <a:lstStyle/>
        <a:p>
          <a:endParaRPr lang="en-US"/>
        </a:p>
      </dgm:t>
    </dgm:pt>
    <dgm:pt modelId="{94629DED-41CF-44B0-B351-6CE7FA6C4FAC}">
      <dgm:prSet phldrT="[Text]"/>
      <dgm:spPr/>
      <dgm:t>
        <a:bodyPr/>
        <a:lstStyle/>
        <a:p>
          <a:r>
            <a:rPr lang="en-US"/>
            <a:t>Azure</a:t>
          </a:r>
        </a:p>
      </dgm:t>
    </dgm:pt>
    <dgm:pt modelId="{A0941D6B-2F72-44B5-82EB-4739A0DEBEFF}" type="parTrans" cxnId="{48816D06-8127-4972-B702-E22B36E0C28A}">
      <dgm:prSet/>
      <dgm:spPr/>
      <dgm:t>
        <a:bodyPr/>
        <a:lstStyle/>
        <a:p>
          <a:endParaRPr lang="en-US"/>
        </a:p>
      </dgm:t>
    </dgm:pt>
    <dgm:pt modelId="{FDFFA540-D293-4DF4-84E9-38374A096202}" type="sibTrans" cxnId="{48816D06-8127-4972-B702-E22B36E0C28A}">
      <dgm:prSet/>
      <dgm:spPr/>
      <dgm:t>
        <a:bodyPr/>
        <a:lstStyle/>
        <a:p>
          <a:endParaRPr lang="en-US"/>
        </a:p>
      </dgm:t>
    </dgm:pt>
    <dgm:pt modelId="{796D5CC7-C93A-44B9-A8D9-3C0BE95656FE}">
      <dgm:prSet phldrT="[Text]"/>
      <dgm:spPr/>
      <dgm:t>
        <a:bodyPr/>
        <a:lstStyle/>
        <a:p>
          <a:r>
            <a:rPr lang="en-US"/>
            <a:t>GCP</a:t>
          </a:r>
        </a:p>
      </dgm:t>
    </dgm:pt>
    <dgm:pt modelId="{B022F3A0-0ACC-42A6-9762-B15BF18B11C8}" type="parTrans" cxnId="{F8B20C4C-A2C1-43E9-97DE-4EB370539E2D}">
      <dgm:prSet/>
      <dgm:spPr/>
      <dgm:t>
        <a:bodyPr/>
        <a:lstStyle/>
        <a:p>
          <a:endParaRPr lang="en-US"/>
        </a:p>
      </dgm:t>
    </dgm:pt>
    <dgm:pt modelId="{5801563D-8958-4A08-8A4C-8D8C684E03ED}" type="sibTrans" cxnId="{F8B20C4C-A2C1-43E9-97DE-4EB370539E2D}">
      <dgm:prSet/>
      <dgm:spPr/>
      <dgm:t>
        <a:bodyPr/>
        <a:lstStyle/>
        <a:p>
          <a:endParaRPr lang="en-US"/>
        </a:p>
      </dgm:t>
    </dgm:pt>
    <dgm:pt modelId="{5E694851-DCD4-4B3F-BFDA-47C0E181E728}">
      <dgm:prSet phldrT="[Text]"/>
      <dgm:spPr/>
      <dgm:t>
        <a:bodyPr/>
        <a:lstStyle/>
        <a:p>
          <a:r>
            <a:rPr lang="en-US"/>
            <a:t>CSPM</a:t>
          </a:r>
        </a:p>
      </dgm:t>
    </dgm:pt>
    <dgm:pt modelId="{F12B699D-D3A3-4C2D-94C1-E060D45F704B}" type="parTrans" cxnId="{4011B67F-1486-416D-8901-C500A01F92F8}">
      <dgm:prSet/>
      <dgm:spPr/>
      <dgm:t>
        <a:bodyPr/>
        <a:lstStyle/>
        <a:p>
          <a:endParaRPr lang="en-US"/>
        </a:p>
      </dgm:t>
    </dgm:pt>
    <dgm:pt modelId="{A995E5E8-4C4B-44CA-9333-3C4FDFF547C4}" type="sibTrans" cxnId="{4011B67F-1486-416D-8901-C500A01F92F8}">
      <dgm:prSet/>
      <dgm:spPr/>
      <dgm:t>
        <a:bodyPr/>
        <a:lstStyle/>
        <a:p>
          <a:endParaRPr lang="en-US"/>
        </a:p>
      </dgm:t>
    </dgm:pt>
    <dgm:pt modelId="{6F3355DE-7C96-4FF0-81D7-DDF6174BDC94}">
      <dgm:prSet phldrT="[Text]"/>
      <dgm:spPr/>
      <dgm:t>
        <a:bodyPr/>
        <a:lstStyle/>
        <a:p>
          <a:r>
            <a:rPr lang="en-US"/>
            <a:t>IAM</a:t>
          </a:r>
        </a:p>
      </dgm:t>
    </dgm:pt>
    <dgm:pt modelId="{BA4BE093-F64A-4D5B-A642-821778F954F0}" type="parTrans" cxnId="{6E40FCC4-AFB9-4AC3-AEE9-DD48A5152AE7}">
      <dgm:prSet/>
      <dgm:spPr/>
      <dgm:t>
        <a:bodyPr/>
        <a:lstStyle/>
        <a:p>
          <a:endParaRPr lang="en-US"/>
        </a:p>
      </dgm:t>
    </dgm:pt>
    <dgm:pt modelId="{3D4573C7-D904-4CEE-8745-A899970E6655}" type="sibTrans" cxnId="{6E40FCC4-AFB9-4AC3-AEE9-DD48A5152AE7}">
      <dgm:prSet/>
      <dgm:spPr/>
      <dgm:t>
        <a:bodyPr/>
        <a:lstStyle/>
        <a:p>
          <a:endParaRPr lang="en-US"/>
        </a:p>
      </dgm:t>
    </dgm:pt>
    <dgm:pt modelId="{7C8C7DBB-F490-4ED2-84F3-945F508FF91C}">
      <dgm:prSet phldrT="[Text]"/>
      <dgm:spPr/>
      <dgm:t>
        <a:bodyPr/>
        <a:lstStyle/>
        <a:p>
          <a:r>
            <a:rPr lang="en-US"/>
            <a:t>Encryption</a:t>
          </a:r>
        </a:p>
      </dgm:t>
    </dgm:pt>
    <dgm:pt modelId="{5D40F6A7-4C65-46BF-A731-E2A730794ED5}" type="parTrans" cxnId="{068BB103-95DF-490B-9FF8-23F949BA76A6}">
      <dgm:prSet/>
      <dgm:spPr/>
      <dgm:t>
        <a:bodyPr/>
        <a:lstStyle/>
        <a:p>
          <a:endParaRPr lang="en-US"/>
        </a:p>
      </dgm:t>
    </dgm:pt>
    <dgm:pt modelId="{6055C905-7ED5-4882-9238-5CB9251CE06D}" type="sibTrans" cxnId="{068BB103-95DF-490B-9FF8-23F949BA76A6}">
      <dgm:prSet/>
      <dgm:spPr/>
      <dgm:t>
        <a:bodyPr/>
        <a:lstStyle/>
        <a:p>
          <a:endParaRPr lang="en-US"/>
        </a:p>
      </dgm:t>
    </dgm:pt>
    <dgm:pt modelId="{112EE4BC-D392-4572-976F-BDF4711959E7}">
      <dgm:prSet phldrT="[Text]"/>
      <dgm:spPr/>
      <dgm:t>
        <a:bodyPr/>
        <a:lstStyle/>
        <a:p>
          <a:r>
            <a:rPr lang="en-US"/>
            <a:t>Training</a:t>
          </a:r>
        </a:p>
      </dgm:t>
    </dgm:pt>
    <dgm:pt modelId="{9526A8C6-5373-42BB-98A5-F4DD4EAFC67F}" type="parTrans" cxnId="{EAEA19AC-7D17-428E-844C-CD355EC6CCFA}">
      <dgm:prSet/>
      <dgm:spPr/>
      <dgm:t>
        <a:bodyPr/>
        <a:lstStyle/>
        <a:p>
          <a:endParaRPr lang="en-US"/>
        </a:p>
      </dgm:t>
    </dgm:pt>
    <dgm:pt modelId="{CCFFF0CE-C8B5-4B1C-BCB6-65EA8ED6D145}" type="sibTrans" cxnId="{EAEA19AC-7D17-428E-844C-CD355EC6CCFA}">
      <dgm:prSet/>
      <dgm:spPr/>
      <dgm:t>
        <a:bodyPr/>
        <a:lstStyle/>
        <a:p>
          <a:endParaRPr lang="en-US"/>
        </a:p>
      </dgm:t>
    </dgm:pt>
    <dgm:pt modelId="{95B5BBA1-B912-4F90-9E66-8DAF2275CE23}">
      <dgm:prSet phldrT="[Text]"/>
      <dgm:spPr/>
      <dgm:t>
        <a:bodyPr/>
        <a:lstStyle/>
        <a:p>
          <a:r>
            <a:rPr lang="en-US"/>
            <a:t>24/7 Monitor</a:t>
          </a:r>
        </a:p>
      </dgm:t>
    </dgm:pt>
    <dgm:pt modelId="{4BBA92A6-4BF1-421F-A1AA-0497F90258AF}" type="parTrans" cxnId="{B99762A6-C66A-4974-943F-E898B7352F53}">
      <dgm:prSet/>
      <dgm:spPr/>
      <dgm:t>
        <a:bodyPr/>
        <a:lstStyle/>
        <a:p>
          <a:endParaRPr lang="en-US"/>
        </a:p>
      </dgm:t>
    </dgm:pt>
    <dgm:pt modelId="{70A222A6-B95E-4CDA-BECE-55BC4646CBC6}" type="sibTrans" cxnId="{B99762A6-C66A-4974-943F-E898B7352F53}">
      <dgm:prSet/>
      <dgm:spPr/>
      <dgm:t>
        <a:bodyPr/>
        <a:lstStyle/>
        <a:p>
          <a:endParaRPr lang="en-US"/>
        </a:p>
      </dgm:t>
    </dgm:pt>
    <dgm:pt modelId="{F9E4685B-9EC4-49A0-A13E-218F8ED353FC}">
      <dgm:prSet phldrT="[Text]"/>
      <dgm:spPr/>
      <dgm:t>
        <a:bodyPr/>
        <a:lstStyle/>
        <a:p>
          <a:r>
            <a:rPr lang="en-US"/>
            <a:t>SIEM</a:t>
          </a:r>
        </a:p>
      </dgm:t>
    </dgm:pt>
    <dgm:pt modelId="{F0AF9DDB-8D83-4545-9A7C-6A1C5629CD8B}" type="parTrans" cxnId="{2A0C2E79-A043-4EB9-BFFA-F092965A8121}">
      <dgm:prSet/>
      <dgm:spPr/>
      <dgm:t>
        <a:bodyPr/>
        <a:lstStyle/>
        <a:p>
          <a:endParaRPr lang="en-US"/>
        </a:p>
      </dgm:t>
    </dgm:pt>
    <dgm:pt modelId="{70439485-C004-486E-A81C-8B15AE2267DB}" type="sibTrans" cxnId="{2A0C2E79-A043-4EB9-BFFA-F092965A8121}">
      <dgm:prSet/>
      <dgm:spPr/>
      <dgm:t>
        <a:bodyPr/>
        <a:lstStyle/>
        <a:p>
          <a:endParaRPr lang="en-US"/>
        </a:p>
      </dgm:t>
    </dgm:pt>
    <dgm:pt modelId="{86E1688F-F842-4FEC-BBF3-01F043040AA5}">
      <dgm:prSet phldrT="[Text]"/>
      <dgm:spPr/>
      <dgm:t>
        <a:bodyPr/>
        <a:lstStyle/>
        <a:p>
          <a:r>
            <a:rPr lang="en-US"/>
            <a:t>EDR</a:t>
          </a:r>
        </a:p>
      </dgm:t>
    </dgm:pt>
    <dgm:pt modelId="{90C90E06-CA33-4EC4-9170-646A75FBB3A7}" type="parTrans" cxnId="{622ADCBA-7B85-4EAF-B168-ADA7762995EE}">
      <dgm:prSet/>
      <dgm:spPr/>
      <dgm:t>
        <a:bodyPr/>
        <a:lstStyle/>
        <a:p>
          <a:endParaRPr lang="en-US"/>
        </a:p>
      </dgm:t>
    </dgm:pt>
    <dgm:pt modelId="{CA6C4A1D-4ADD-4F8F-AFEE-50BCB26F2130}" type="sibTrans" cxnId="{622ADCBA-7B85-4EAF-B168-ADA7762995EE}">
      <dgm:prSet/>
      <dgm:spPr/>
      <dgm:t>
        <a:bodyPr/>
        <a:lstStyle/>
        <a:p>
          <a:endParaRPr lang="en-US"/>
        </a:p>
      </dgm:t>
    </dgm:pt>
    <dgm:pt modelId="{FA600D3D-3E8B-4DF5-8389-39964018EEA6}">
      <dgm:prSet phldrT="[Text]"/>
      <dgm:spPr/>
      <dgm:t>
        <a:bodyPr/>
        <a:lstStyle/>
        <a:p>
          <a:r>
            <a:rPr lang="en-US"/>
            <a:t>Threat Hunting</a:t>
          </a:r>
        </a:p>
      </dgm:t>
    </dgm:pt>
    <dgm:pt modelId="{45E8E5B2-E4FC-4B53-852B-83284C0B786A}" type="parTrans" cxnId="{370FD77E-EF2A-46D7-A416-1DEE22B5D461}">
      <dgm:prSet/>
      <dgm:spPr/>
      <dgm:t>
        <a:bodyPr/>
        <a:lstStyle/>
        <a:p>
          <a:endParaRPr lang="en-US"/>
        </a:p>
      </dgm:t>
    </dgm:pt>
    <dgm:pt modelId="{1F15113F-F67F-4F95-B6A5-BB97939BCF59}" type="sibTrans" cxnId="{370FD77E-EF2A-46D7-A416-1DEE22B5D461}">
      <dgm:prSet/>
      <dgm:spPr/>
      <dgm:t>
        <a:bodyPr/>
        <a:lstStyle/>
        <a:p>
          <a:endParaRPr lang="en-US"/>
        </a:p>
      </dgm:t>
    </dgm:pt>
    <dgm:pt modelId="{C2FDCF36-D137-4D84-92B2-1FB5283A6AD0}">
      <dgm:prSet phldrT="[Text]"/>
      <dgm:spPr/>
      <dgm:t>
        <a:bodyPr/>
        <a:lstStyle/>
        <a:p>
          <a:r>
            <a:rPr lang="en-US"/>
            <a:t>Incident Response</a:t>
          </a:r>
        </a:p>
      </dgm:t>
    </dgm:pt>
    <dgm:pt modelId="{FD64D414-5CF4-4F50-A069-2712E6CF5A9F}" type="parTrans" cxnId="{CFD41DD9-C4B2-4E78-9D85-1884ACDA48C5}">
      <dgm:prSet/>
      <dgm:spPr/>
      <dgm:t>
        <a:bodyPr/>
        <a:lstStyle/>
        <a:p>
          <a:endParaRPr lang="en-US"/>
        </a:p>
      </dgm:t>
    </dgm:pt>
    <dgm:pt modelId="{E721E5EF-819F-4617-98A3-1996E27B5A4B}" type="sibTrans" cxnId="{CFD41DD9-C4B2-4E78-9D85-1884ACDA48C5}">
      <dgm:prSet/>
      <dgm:spPr/>
      <dgm:t>
        <a:bodyPr/>
        <a:lstStyle/>
        <a:p>
          <a:endParaRPr lang="en-US"/>
        </a:p>
      </dgm:t>
    </dgm:pt>
    <dgm:pt modelId="{902A8E99-AAD2-4398-A32D-1C66E94AE715}">
      <dgm:prSet/>
      <dgm:spPr/>
      <dgm:t>
        <a:bodyPr/>
        <a:lstStyle/>
        <a:p>
          <a:r>
            <a:rPr lang="en-US"/>
            <a:t>DORA</a:t>
          </a:r>
        </a:p>
      </dgm:t>
    </dgm:pt>
    <dgm:pt modelId="{E4FFD212-63AE-4870-BDF0-29A031D83362}" type="parTrans" cxnId="{F46974D0-FDD4-477F-A4B6-7C729ECC0735}">
      <dgm:prSet/>
      <dgm:spPr/>
      <dgm:t>
        <a:bodyPr/>
        <a:lstStyle/>
        <a:p>
          <a:endParaRPr lang="en-US"/>
        </a:p>
      </dgm:t>
    </dgm:pt>
    <dgm:pt modelId="{3472E394-599E-4F34-95CF-3487B53D23BE}" type="sibTrans" cxnId="{F46974D0-FDD4-477F-A4B6-7C729ECC0735}">
      <dgm:prSet/>
      <dgm:spPr/>
      <dgm:t>
        <a:bodyPr/>
        <a:lstStyle/>
        <a:p>
          <a:endParaRPr lang="en-US"/>
        </a:p>
      </dgm:t>
    </dgm:pt>
    <dgm:pt modelId="{69B49330-9FC2-42D5-BFC2-DCC1BEA2DAA0}">
      <dgm:prSet/>
      <dgm:spPr/>
      <dgm:t>
        <a:bodyPr/>
        <a:lstStyle/>
        <a:p>
          <a:r>
            <a:rPr lang="en-US"/>
            <a:t>NIS2</a:t>
          </a:r>
        </a:p>
      </dgm:t>
    </dgm:pt>
    <dgm:pt modelId="{7F2427F2-37F5-4009-A91A-FF9322667FC8}" type="parTrans" cxnId="{05B5A214-03EC-499D-919C-308BF63D17C0}">
      <dgm:prSet/>
      <dgm:spPr/>
      <dgm:t>
        <a:bodyPr/>
        <a:lstStyle/>
        <a:p>
          <a:endParaRPr lang="en-US"/>
        </a:p>
      </dgm:t>
    </dgm:pt>
    <dgm:pt modelId="{8A452E8B-77B9-4795-9D1E-44AB918DD997}" type="sibTrans" cxnId="{05B5A214-03EC-499D-919C-308BF63D17C0}">
      <dgm:prSet/>
      <dgm:spPr/>
      <dgm:t>
        <a:bodyPr/>
        <a:lstStyle/>
        <a:p>
          <a:endParaRPr lang="en-US"/>
        </a:p>
      </dgm:t>
    </dgm:pt>
    <dgm:pt modelId="{7390BDC3-410A-46BE-9419-B809C7DB6F4E}">
      <dgm:prSet/>
      <dgm:spPr/>
      <dgm:t>
        <a:bodyPr/>
        <a:lstStyle/>
        <a:p>
          <a:r>
            <a:rPr lang="en-US"/>
            <a:t>GDPR</a:t>
          </a:r>
        </a:p>
      </dgm:t>
    </dgm:pt>
    <dgm:pt modelId="{0C343BE7-2460-4747-95CF-918F95857F1A}" type="parTrans" cxnId="{65E5C093-112B-4279-B232-BE4E0E48098C}">
      <dgm:prSet/>
      <dgm:spPr/>
      <dgm:t>
        <a:bodyPr/>
        <a:lstStyle/>
        <a:p>
          <a:endParaRPr lang="en-US"/>
        </a:p>
      </dgm:t>
    </dgm:pt>
    <dgm:pt modelId="{3EE6F96E-4B61-46C1-B925-FD56F914A75F}" type="sibTrans" cxnId="{65E5C093-112B-4279-B232-BE4E0E48098C}">
      <dgm:prSet/>
      <dgm:spPr/>
      <dgm:t>
        <a:bodyPr/>
        <a:lstStyle/>
        <a:p>
          <a:endParaRPr lang="en-US"/>
        </a:p>
      </dgm:t>
    </dgm:pt>
    <dgm:pt modelId="{BF266F81-EA65-412E-9F01-1BF637335164}">
      <dgm:prSet/>
      <dgm:spPr/>
      <dgm:t>
        <a:bodyPr/>
        <a:lstStyle/>
        <a:p>
          <a:r>
            <a:rPr lang="en-US"/>
            <a:t>Thirt Party Risk</a:t>
          </a:r>
        </a:p>
      </dgm:t>
    </dgm:pt>
    <dgm:pt modelId="{FDE16DBD-033B-47BC-BF52-702D04211CAF}" type="parTrans" cxnId="{E3DC1220-E4AD-4E02-9AAB-1BA97566518D}">
      <dgm:prSet/>
      <dgm:spPr/>
      <dgm:t>
        <a:bodyPr/>
        <a:lstStyle/>
        <a:p>
          <a:endParaRPr lang="en-US"/>
        </a:p>
      </dgm:t>
    </dgm:pt>
    <dgm:pt modelId="{BBB62EDC-4D45-4A30-B77F-EE846B55ED46}" type="sibTrans" cxnId="{E3DC1220-E4AD-4E02-9AAB-1BA97566518D}">
      <dgm:prSet/>
      <dgm:spPr/>
      <dgm:t>
        <a:bodyPr/>
        <a:lstStyle/>
        <a:p>
          <a:endParaRPr lang="en-US"/>
        </a:p>
      </dgm:t>
    </dgm:pt>
    <dgm:pt modelId="{EBFB0D50-7508-45BD-B0CA-8EFE70DBDDFD}">
      <dgm:prSet/>
      <dgm:spPr/>
      <dgm:t>
        <a:bodyPr/>
        <a:lstStyle/>
        <a:p>
          <a:r>
            <a:rPr lang="en-US"/>
            <a:t>Audits</a:t>
          </a:r>
        </a:p>
      </dgm:t>
    </dgm:pt>
    <dgm:pt modelId="{AE45F58E-A836-47DD-858C-D84F770C38EA}" type="parTrans" cxnId="{563D7B43-5E5F-4F69-855E-09A7F6AEB74B}">
      <dgm:prSet/>
      <dgm:spPr/>
      <dgm:t>
        <a:bodyPr/>
        <a:lstStyle/>
        <a:p>
          <a:endParaRPr lang="en-US"/>
        </a:p>
      </dgm:t>
    </dgm:pt>
    <dgm:pt modelId="{11B4ABFB-5FFE-4BA0-BE8A-BA892DD04034}" type="sibTrans" cxnId="{563D7B43-5E5F-4F69-855E-09A7F6AEB74B}">
      <dgm:prSet/>
      <dgm:spPr/>
      <dgm:t>
        <a:bodyPr/>
        <a:lstStyle/>
        <a:p>
          <a:endParaRPr lang="en-US"/>
        </a:p>
      </dgm:t>
    </dgm:pt>
    <dgm:pt modelId="{D75D3003-B385-4227-990E-A4DCFCB76F25}">
      <dgm:prSet/>
      <dgm:spPr/>
      <dgm:t>
        <a:bodyPr/>
        <a:lstStyle/>
        <a:p>
          <a:r>
            <a:rPr lang="en-US"/>
            <a:t>Evidence</a:t>
          </a:r>
        </a:p>
      </dgm:t>
    </dgm:pt>
    <dgm:pt modelId="{C2B6756E-4D7A-4EDA-9AEA-D3ED2CD83D7D}" type="parTrans" cxnId="{CC251E7D-6B5C-49D3-B906-D3C5E6A915F2}">
      <dgm:prSet/>
      <dgm:spPr/>
      <dgm:t>
        <a:bodyPr/>
        <a:lstStyle/>
        <a:p>
          <a:endParaRPr lang="en-US"/>
        </a:p>
      </dgm:t>
    </dgm:pt>
    <dgm:pt modelId="{2E5F1467-7A58-4E1B-BEA3-117268EAFDA2}" type="sibTrans" cxnId="{CC251E7D-6B5C-49D3-B906-D3C5E6A915F2}">
      <dgm:prSet/>
      <dgm:spPr/>
      <dgm:t>
        <a:bodyPr/>
        <a:lstStyle/>
        <a:p>
          <a:endParaRPr lang="en-US"/>
        </a:p>
      </dgm:t>
    </dgm:pt>
    <dgm:pt modelId="{D75E6025-21B9-427C-A938-254BD6090C91}" type="pres">
      <dgm:prSet presAssocID="{8D6085DA-CB8E-4865-9D95-71E8791711F7}" presName="hierChild1" presStyleCnt="0">
        <dgm:presLayoutVars>
          <dgm:orgChart val="1"/>
          <dgm:chPref val="1"/>
          <dgm:dir val="rev"/>
          <dgm:animOne val="branch"/>
          <dgm:animLvl val="lvl"/>
          <dgm:resizeHandles/>
        </dgm:presLayoutVars>
      </dgm:prSet>
      <dgm:spPr/>
    </dgm:pt>
    <dgm:pt modelId="{BD183C80-D7E3-4994-902D-196475AEC414}" type="pres">
      <dgm:prSet presAssocID="{A7A50DB8-09D4-4094-B2E4-52ADA2F37962}" presName="hierRoot1" presStyleCnt="0">
        <dgm:presLayoutVars>
          <dgm:hierBranch val="init"/>
        </dgm:presLayoutVars>
      </dgm:prSet>
      <dgm:spPr/>
    </dgm:pt>
    <dgm:pt modelId="{E1C27C7B-6F62-4DE2-9647-63117AD0641D}" type="pres">
      <dgm:prSet presAssocID="{A7A50DB8-09D4-4094-B2E4-52ADA2F37962}" presName="rootComposite1" presStyleCnt="0"/>
      <dgm:spPr/>
    </dgm:pt>
    <dgm:pt modelId="{419F9161-5C07-4141-ADEF-D296609BE8E2}" type="pres">
      <dgm:prSet presAssocID="{A7A50DB8-09D4-4094-B2E4-52ADA2F37962}" presName="rootText1" presStyleLbl="node0" presStyleIdx="0" presStyleCnt="1">
        <dgm:presLayoutVars>
          <dgm:chPref val="3"/>
        </dgm:presLayoutVars>
      </dgm:prSet>
      <dgm:spPr/>
    </dgm:pt>
    <dgm:pt modelId="{3247F569-5E4F-47EB-B833-A1D6B99D3BA5}" type="pres">
      <dgm:prSet presAssocID="{A7A50DB8-09D4-4094-B2E4-52ADA2F37962}" presName="rootConnector1" presStyleLbl="node1" presStyleIdx="0" presStyleCnt="0"/>
      <dgm:spPr/>
    </dgm:pt>
    <dgm:pt modelId="{6B9D5161-9107-401A-98BA-D35123362B4D}" type="pres">
      <dgm:prSet presAssocID="{A7A50DB8-09D4-4094-B2E4-52ADA2F37962}" presName="hierChild2" presStyleCnt="0"/>
      <dgm:spPr/>
    </dgm:pt>
    <dgm:pt modelId="{F23DA57A-FF5C-4FF0-8838-1AD25DF3ACA0}" type="pres">
      <dgm:prSet presAssocID="{B0FD43E7-E6C3-4F23-A896-3B8A723634F7}" presName="Name37" presStyleLbl="parChTrans1D2" presStyleIdx="0" presStyleCnt="5"/>
      <dgm:spPr/>
    </dgm:pt>
    <dgm:pt modelId="{739C93EA-EFA9-4696-ABB0-42D0C39F3870}" type="pres">
      <dgm:prSet presAssocID="{CD5CECF6-5D85-4E22-AC32-B442A4ADA4EE}" presName="hierRoot2" presStyleCnt="0">
        <dgm:presLayoutVars>
          <dgm:hierBranch val="init"/>
        </dgm:presLayoutVars>
      </dgm:prSet>
      <dgm:spPr/>
    </dgm:pt>
    <dgm:pt modelId="{FB250346-C8F4-43BB-9CA5-8789D575E0FE}" type="pres">
      <dgm:prSet presAssocID="{CD5CECF6-5D85-4E22-AC32-B442A4ADA4EE}" presName="rootComposite" presStyleCnt="0"/>
      <dgm:spPr/>
    </dgm:pt>
    <dgm:pt modelId="{B356DB7D-7C23-4F9D-808F-F1B0CFCF6F6C}" type="pres">
      <dgm:prSet presAssocID="{CD5CECF6-5D85-4E22-AC32-B442A4ADA4EE}" presName="rootText" presStyleLbl="node2" presStyleIdx="0" presStyleCnt="4">
        <dgm:presLayoutVars>
          <dgm:chPref val="3"/>
        </dgm:presLayoutVars>
      </dgm:prSet>
      <dgm:spPr/>
    </dgm:pt>
    <dgm:pt modelId="{1AD6DC54-FAE7-4516-B451-92B5239727C6}" type="pres">
      <dgm:prSet presAssocID="{CD5CECF6-5D85-4E22-AC32-B442A4ADA4EE}" presName="rootConnector" presStyleLbl="node2" presStyleIdx="0" presStyleCnt="4"/>
      <dgm:spPr/>
    </dgm:pt>
    <dgm:pt modelId="{B632B8BB-0970-42E1-9E51-998197A5EBC2}" type="pres">
      <dgm:prSet presAssocID="{CD5CECF6-5D85-4E22-AC32-B442A4ADA4EE}" presName="hierChild4" presStyleCnt="0"/>
      <dgm:spPr/>
    </dgm:pt>
    <dgm:pt modelId="{00BCAA54-286F-4C3B-90BE-659D2188F147}" type="pres">
      <dgm:prSet presAssocID="{A2681BA2-9094-4BBF-AFC8-E00A1116518E}" presName="Name37" presStyleLbl="parChTrans1D3" presStyleIdx="0" presStyleCnt="21"/>
      <dgm:spPr/>
    </dgm:pt>
    <dgm:pt modelId="{BF47B16B-F114-411C-ABC9-5C7FF526CFBD}" type="pres">
      <dgm:prSet presAssocID="{D9E172A0-674B-40ED-9A3B-6C73BF73EF9D}" presName="hierRoot2" presStyleCnt="0">
        <dgm:presLayoutVars>
          <dgm:hierBranch val="init"/>
        </dgm:presLayoutVars>
      </dgm:prSet>
      <dgm:spPr/>
    </dgm:pt>
    <dgm:pt modelId="{7D5F7A16-F954-4D9F-9B9F-0D4EE2FBEC92}" type="pres">
      <dgm:prSet presAssocID="{D9E172A0-674B-40ED-9A3B-6C73BF73EF9D}" presName="rootComposite" presStyleCnt="0"/>
      <dgm:spPr/>
    </dgm:pt>
    <dgm:pt modelId="{2FC91C9A-D908-499F-AD2F-DDF5D6890CAA}" type="pres">
      <dgm:prSet presAssocID="{D9E172A0-674B-40ED-9A3B-6C73BF73EF9D}" presName="rootText" presStyleLbl="node3" presStyleIdx="0" presStyleCnt="21">
        <dgm:presLayoutVars>
          <dgm:chPref val="3"/>
        </dgm:presLayoutVars>
      </dgm:prSet>
      <dgm:spPr/>
    </dgm:pt>
    <dgm:pt modelId="{18809E8A-F2A0-41F5-8CD8-93DC36875A38}" type="pres">
      <dgm:prSet presAssocID="{D9E172A0-674B-40ED-9A3B-6C73BF73EF9D}" presName="rootConnector" presStyleLbl="node3" presStyleIdx="0" presStyleCnt="21"/>
      <dgm:spPr/>
    </dgm:pt>
    <dgm:pt modelId="{7AE2C63A-63E8-424A-8700-F3D4111BFF81}" type="pres">
      <dgm:prSet presAssocID="{D9E172A0-674B-40ED-9A3B-6C73BF73EF9D}" presName="hierChild4" presStyleCnt="0"/>
      <dgm:spPr/>
    </dgm:pt>
    <dgm:pt modelId="{4AAB1301-7F5B-4CE5-BAFC-70C0C0ED2204}" type="pres">
      <dgm:prSet presAssocID="{D9E172A0-674B-40ED-9A3B-6C73BF73EF9D}" presName="hierChild5" presStyleCnt="0"/>
      <dgm:spPr/>
    </dgm:pt>
    <dgm:pt modelId="{0101F265-0063-471A-81A3-93F9B3B9E1ED}" type="pres">
      <dgm:prSet presAssocID="{A0941D6B-2F72-44B5-82EB-4739A0DEBEFF}" presName="Name37" presStyleLbl="parChTrans1D3" presStyleIdx="1" presStyleCnt="21"/>
      <dgm:spPr/>
    </dgm:pt>
    <dgm:pt modelId="{F2FEF4B6-08C8-474C-B871-E76AE64DC1A9}" type="pres">
      <dgm:prSet presAssocID="{94629DED-41CF-44B0-B351-6CE7FA6C4FAC}" presName="hierRoot2" presStyleCnt="0">
        <dgm:presLayoutVars>
          <dgm:hierBranch val="init"/>
        </dgm:presLayoutVars>
      </dgm:prSet>
      <dgm:spPr/>
    </dgm:pt>
    <dgm:pt modelId="{5452CF6A-C8F8-4E2E-8786-9B5F6070F1E2}" type="pres">
      <dgm:prSet presAssocID="{94629DED-41CF-44B0-B351-6CE7FA6C4FAC}" presName="rootComposite" presStyleCnt="0"/>
      <dgm:spPr/>
    </dgm:pt>
    <dgm:pt modelId="{368DCD1B-FCCA-4432-969C-AB540438CD87}" type="pres">
      <dgm:prSet presAssocID="{94629DED-41CF-44B0-B351-6CE7FA6C4FAC}" presName="rootText" presStyleLbl="node3" presStyleIdx="1" presStyleCnt="21">
        <dgm:presLayoutVars>
          <dgm:chPref val="3"/>
        </dgm:presLayoutVars>
      </dgm:prSet>
      <dgm:spPr/>
    </dgm:pt>
    <dgm:pt modelId="{B5F432E9-E50A-4CFF-8EC3-506371CA5000}" type="pres">
      <dgm:prSet presAssocID="{94629DED-41CF-44B0-B351-6CE7FA6C4FAC}" presName="rootConnector" presStyleLbl="node3" presStyleIdx="1" presStyleCnt="21"/>
      <dgm:spPr/>
    </dgm:pt>
    <dgm:pt modelId="{8CD5A3A4-1FA3-47D5-BA5C-73C45E80FF8C}" type="pres">
      <dgm:prSet presAssocID="{94629DED-41CF-44B0-B351-6CE7FA6C4FAC}" presName="hierChild4" presStyleCnt="0"/>
      <dgm:spPr/>
    </dgm:pt>
    <dgm:pt modelId="{5B0D1435-B130-4119-8E0A-F4A5AB1E266C}" type="pres">
      <dgm:prSet presAssocID="{94629DED-41CF-44B0-B351-6CE7FA6C4FAC}" presName="hierChild5" presStyleCnt="0"/>
      <dgm:spPr/>
    </dgm:pt>
    <dgm:pt modelId="{ABAD48C7-D894-4C0C-BD5F-83EE58D79769}" type="pres">
      <dgm:prSet presAssocID="{B022F3A0-0ACC-42A6-9762-B15BF18B11C8}" presName="Name37" presStyleLbl="parChTrans1D3" presStyleIdx="2" presStyleCnt="21"/>
      <dgm:spPr/>
    </dgm:pt>
    <dgm:pt modelId="{D7AEBB2D-9459-4FFD-BEA4-0F01E08B8A39}" type="pres">
      <dgm:prSet presAssocID="{796D5CC7-C93A-44B9-A8D9-3C0BE95656FE}" presName="hierRoot2" presStyleCnt="0">
        <dgm:presLayoutVars>
          <dgm:hierBranch val="init"/>
        </dgm:presLayoutVars>
      </dgm:prSet>
      <dgm:spPr/>
    </dgm:pt>
    <dgm:pt modelId="{B9EE9DB3-4BE1-4285-82CA-3FF622AF89FF}" type="pres">
      <dgm:prSet presAssocID="{796D5CC7-C93A-44B9-A8D9-3C0BE95656FE}" presName="rootComposite" presStyleCnt="0"/>
      <dgm:spPr/>
    </dgm:pt>
    <dgm:pt modelId="{038E0F0E-A221-4EB4-8ACA-08188EC7690F}" type="pres">
      <dgm:prSet presAssocID="{796D5CC7-C93A-44B9-A8D9-3C0BE95656FE}" presName="rootText" presStyleLbl="node3" presStyleIdx="2" presStyleCnt="21">
        <dgm:presLayoutVars>
          <dgm:chPref val="3"/>
        </dgm:presLayoutVars>
      </dgm:prSet>
      <dgm:spPr/>
    </dgm:pt>
    <dgm:pt modelId="{630000CA-CAB5-4114-9E42-404F0E865344}" type="pres">
      <dgm:prSet presAssocID="{796D5CC7-C93A-44B9-A8D9-3C0BE95656FE}" presName="rootConnector" presStyleLbl="node3" presStyleIdx="2" presStyleCnt="21"/>
      <dgm:spPr/>
    </dgm:pt>
    <dgm:pt modelId="{D99312D7-CC18-423D-8669-ECDF833E9A79}" type="pres">
      <dgm:prSet presAssocID="{796D5CC7-C93A-44B9-A8D9-3C0BE95656FE}" presName="hierChild4" presStyleCnt="0"/>
      <dgm:spPr/>
    </dgm:pt>
    <dgm:pt modelId="{FFE900F1-88D8-4626-A81F-904FE37206BE}" type="pres">
      <dgm:prSet presAssocID="{796D5CC7-C93A-44B9-A8D9-3C0BE95656FE}" presName="hierChild5" presStyleCnt="0"/>
      <dgm:spPr/>
    </dgm:pt>
    <dgm:pt modelId="{55DA4ABA-B282-42DF-987A-12665283EF0A}" type="pres">
      <dgm:prSet presAssocID="{F12B699D-D3A3-4C2D-94C1-E060D45F704B}" presName="Name37" presStyleLbl="parChTrans1D3" presStyleIdx="3" presStyleCnt="21"/>
      <dgm:spPr/>
    </dgm:pt>
    <dgm:pt modelId="{5159E7FD-2008-4C53-8920-FF23BF7DD0FA}" type="pres">
      <dgm:prSet presAssocID="{5E694851-DCD4-4B3F-BFDA-47C0E181E728}" presName="hierRoot2" presStyleCnt="0">
        <dgm:presLayoutVars>
          <dgm:hierBranch val="init"/>
        </dgm:presLayoutVars>
      </dgm:prSet>
      <dgm:spPr/>
    </dgm:pt>
    <dgm:pt modelId="{638562B4-A4B9-4B28-B3A6-E110CC05E0A6}" type="pres">
      <dgm:prSet presAssocID="{5E694851-DCD4-4B3F-BFDA-47C0E181E728}" presName="rootComposite" presStyleCnt="0"/>
      <dgm:spPr/>
    </dgm:pt>
    <dgm:pt modelId="{92795619-8848-42B4-94DF-923F4BD4C058}" type="pres">
      <dgm:prSet presAssocID="{5E694851-DCD4-4B3F-BFDA-47C0E181E728}" presName="rootText" presStyleLbl="node3" presStyleIdx="3" presStyleCnt="21">
        <dgm:presLayoutVars>
          <dgm:chPref val="3"/>
        </dgm:presLayoutVars>
      </dgm:prSet>
      <dgm:spPr/>
    </dgm:pt>
    <dgm:pt modelId="{2C1B5473-02AE-4347-9634-D5D307833859}" type="pres">
      <dgm:prSet presAssocID="{5E694851-DCD4-4B3F-BFDA-47C0E181E728}" presName="rootConnector" presStyleLbl="node3" presStyleIdx="3" presStyleCnt="21"/>
      <dgm:spPr/>
    </dgm:pt>
    <dgm:pt modelId="{FFD6F230-1A34-43C3-B658-DD4BA8F57FD4}" type="pres">
      <dgm:prSet presAssocID="{5E694851-DCD4-4B3F-BFDA-47C0E181E728}" presName="hierChild4" presStyleCnt="0"/>
      <dgm:spPr/>
    </dgm:pt>
    <dgm:pt modelId="{3478A715-E102-474E-A5FD-B7B7E341D2EB}" type="pres">
      <dgm:prSet presAssocID="{5E694851-DCD4-4B3F-BFDA-47C0E181E728}" presName="hierChild5" presStyleCnt="0"/>
      <dgm:spPr/>
    </dgm:pt>
    <dgm:pt modelId="{17B579BB-4DD0-4C04-ADF0-69AC66D87263}" type="pres">
      <dgm:prSet presAssocID="{BA4BE093-F64A-4D5B-A642-821778F954F0}" presName="Name37" presStyleLbl="parChTrans1D3" presStyleIdx="4" presStyleCnt="21"/>
      <dgm:spPr/>
    </dgm:pt>
    <dgm:pt modelId="{53D107EC-C623-4652-915B-F2BF0C73DD2D}" type="pres">
      <dgm:prSet presAssocID="{6F3355DE-7C96-4FF0-81D7-DDF6174BDC94}" presName="hierRoot2" presStyleCnt="0">
        <dgm:presLayoutVars>
          <dgm:hierBranch val="init"/>
        </dgm:presLayoutVars>
      </dgm:prSet>
      <dgm:spPr/>
    </dgm:pt>
    <dgm:pt modelId="{EBE8A661-E2C5-462A-BEC9-BED394B19B60}" type="pres">
      <dgm:prSet presAssocID="{6F3355DE-7C96-4FF0-81D7-DDF6174BDC94}" presName="rootComposite" presStyleCnt="0"/>
      <dgm:spPr/>
    </dgm:pt>
    <dgm:pt modelId="{A1F16312-792B-4C01-8ACA-DEB9E0458479}" type="pres">
      <dgm:prSet presAssocID="{6F3355DE-7C96-4FF0-81D7-DDF6174BDC94}" presName="rootText" presStyleLbl="node3" presStyleIdx="4" presStyleCnt="21">
        <dgm:presLayoutVars>
          <dgm:chPref val="3"/>
        </dgm:presLayoutVars>
      </dgm:prSet>
      <dgm:spPr/>
    </dgm:pt>
    <dgm:pt modelId="{7E3A3BC2-DD68-40A6-A35C-34CF44B93B4D}" type="pres">
      <dgm:prSet presAssocID="{6F3355DE-7C96-4FF0-81D7-DDF6174BDC94}" presName="rootConnector" presStyleLbl="node3" presStyleIdx="4" presStyleCnt="21"/>
      <dgm:spPr/>
    </dgm:pt>
    <dgm:pt modelId="{AFC967B9-6405-4096-B8EF-4BEEA49A6BF3}" type="pres">
      <dgm:prSet presAssocID="{6F3355DE-7C96-4FF0-81D7-DDF6174BDC94}" presName="hierChild4" presStyleCnt="0"/>
      <dgm:spPr/>
    </dgm:pt>
    <dgm:pt modelId="{970CD8DC-86E2-40A5-BEC7-90C8487C3480}" type="pres">
      <dgm:prSet presAssocID="{6F3355DE-7C96-4FF0-81D7-DDF6174BDC94}" presName="hierChild5" presStyleCnt="0"/>
      <dgm:spPr/>
    </dgm:pt>
    <dgm:pt modelId="{76047D46-3293-4D83-998A-7DE525101B1E}" type="pres">
      <dgm:prSet presAssocID="{5D40F6A7-4C65-46BF-A731-E2A730794ED5}" presName="Name37" presStyleLbl="parChTrans1D3" presStyleIdx="5" presStyleCnt="21"/>
      <dgm:spPr/>
    </dgm:pt>
    <dgm:pt modelId="{2FEB1AA7-1B72-4A17-98F4-DDA4B1017551}" type="pres">
      <dgm:prSet presAssocID="{7C8C7DBB-F490-4ED2-84F3-945F508FF91C}" presName="hierRoot2" presStyleCnt="0">
        <dgm:presLayoutVars>
          <dgm:hierBranch val="init"/>
        </dgm:presLayoutVars>
      </dgm:prSet>
      <dgm:spPr/>
    </dgm:pt>
    <dgm:pt modelId="{53A3F066-3B21-4ABF-9C8C-657E7C562380}" type="pres">
      <dgm:prSet presAssocID="{7C8C7DBB-F490-4ED2-84F3-945F508FF91C}" presName="rootComposite" presStyleCnt="0"/>
      <dgm:spPr/>
    </dgm:pt>
    <dgm:pt modelId="{C667B6AC-A6F0-4C0D-8C92-14C554970E94}" type="pres">
      <dgm:prSet presAssocID="{7C8C7DBB-F490-4ED2-84F3-945F508FF91C}" presName="rootText" presStyleLbl="node3" presStyleIdx="5" presStyleCnt="21">
        <dgm:presLayoutVars>
          <dgm:chPref val="3"/>
        </dgm:presLayoutVars>
      </dgm:prSet>
      <dgm:spPr/>
    </dgm:pt>
    <dgm:pt modelId="{D020FFD2-570B-4710-AF5C-E2243F599DFB}" type="pres">
      <dgm:prSet presAssocID="{7C8C7DBB-F490-4ED2-84F3-945F508FF91C}" presName="rootConnector" presStyleLbl="node3" presStyleIdx="5" presStyleCnt="21"/>
      <dgm:spPr/>
    </dgm:pt>
    <dgm:pt modelId="{2FBC30CB-C099-475A-B580-D369DE8E321C}" type="pres">
      <dgm:prSet presAssocID="{7C8C7DBB-F490-4ED2-84F3-945F508FF91C}" presName="hierChild4" presStyleCnt="0"/>
      <dgm:spPr/>
    </dgm:pt>
    <dgm:pt modelId="{B33B65CB-D8AA-409C-8408-659D3998ED88}" type="pres">
      <dgm:prSet presAssocID="{7C8C7DBB-F490-4ED2-84F3-945F508FF91C}" presName="hierChild5" presStyleCnt="0"/>
      <dgm:spPr/>
    </dgm:pt>
    <dgm:pt modelId="{667D39F9-80E7-4081-8E27-E8B5F1897355}" type="pres">
      <dgm:prSet presAssocID="{CD5CECF6-5D85-4E22-AC32-B442A4ADA4EE}" presName="hierChild5" presStyleCnt="0"/>
      <dgm:spPr/>
    </dgm:pt>
    <dgm:pt modelId="{E11A719F-A09C-42BA-9639-4690F50014FA}" type="pres">
      <dgm:prSet presAssocID="{39CFE6AA-6CFB-4CD7-8D91-E83976CA4261}" presName="Name37" presStyleLbl="parChTrans1D2" presStyleIdx="1" presStyleCnt="5"/>
      <dgm:spPr/>
    </dgm:pt>
    <dgm:pt modelId="{F3A40C3E-53A4-4B0E-B6A5-E621B4007BB0}" type="pres">
      <dgm:prSet presAssocID="{914B6520-4F93-4371-9DF0-3E83D93BAC5A}" presName="hierRoot2" presStyleCnt="0">
        <dgm:presLayoutVars>
          <dgm:hierBranch val="init"/>
        </dgm:presLayoutVars>
      </dgm:prSet>
      <dgm:spPr/>
    </dgm:pt>
    <dgm:pt modelId="{4F41AB2B-38ED-4F88-9846-AC0BBC602485}" type="pres">
      <dgm:prSet presAssocID="{914B6520-4F93-4371-9DF0-3E83D93BAC5A}" presName="rootComposite" presStyleCnt="0"/>
      <dgm:spPr/>
    </dgm:pt>
    <dgm:pt modelId="{55E9ACFA-4162-4695-89E1-ECF3DE11C1A2}" type="pres">
      <dgm:prSet presAssocID="{914B6520-4F93-4371-9DF0-3E83D93BAC5A}" presName="rootText" presStyleLbl="node2" presStyleIdx="1" presStyleCnt="4">
        <dgm:presLayoutVars>
          <dgm:chPref val="3"/>
        </dgm:presLayoutVars>
      </dgm:prSet>
      <dgm:spPr/>
    </dgm:pt>
    <dgm:pt modelId="{CB96BE56-647C-4DC9-95C8-F0306C8D29E2}" type="pres">
      <dgm:prSet presAssocID="{914B6520-4F93-4371-9DF0-3E83D93BAC5A}" presName="rootConnector" presStyleLbl="node2" presStyleIdx="1" presStyleCnt="4"/>
      <dgm:spPr/>
    </dgm:pt>
    <dgm:pt modelId="{B9ED8129-04AD-4B1B-A3E0-6FFDBFA8A7C4}" type="pres">
      <dgm:prSet presAssocID="{914B6520-4F93-4371-9DF0-3E83D93BAC5A}" presName="hierChild4" presStyleCnt="0"/>
      <dgm:spPr/>
    </dgm:pt>
    <dgm:pt modelId="{D542F73F-3AF0-49C7-8D76-EB557D073F4B}" type="pres">
      <dgm:prSet presAssocID="{DE82A580-8F9D-4753-9CF5-9745527F2B98}" presName="Name37" presStyleLbl="parChTrans1D3" presStyleIdx="6" presStyleCnt="21"/>
      <dgm:spPr/>
    </dgm:pt>
    <dgm:pt modelId="{BB50DC8E-66D9-44B2-8301-0F41C229BB24}" type="pres">
      <dgm:prSet presAssocID="{28BAC349-B48F-40ED-8C5B-AD9417D1DBC0}" presName="hierRoot2" presStyleCnt="0">
        <dgm:presLayoutVars>
          <dgm:hierBranch val="init"/>
        </dgm:presLayoutVars>
      </dgm:prSet>
      <dgm:spPr/>
    </dgm:pt>
    <dgm:pt modelId="{C3A58ADC-4EE5-4DC5-A953-49A5282561F6}" type="pres">
      <dgm:prSet presAssocID="{28BAC349-B48F-40ED-8C5B-AD9417D1DBC0}" presName="rootComposite" presStyleCnt="0"/>
      <dgm:spPr/>
    </dgm:pt>
    <dgm:pt modelId="{FB7186CD-5958-42DD-AD5B-921A29BC2260}" type="pres">
      <dgm:prSet presAssocID="{28BAC349-B48F-40ED-8C5B-AD9417D1DBC0}" presName="rootText" presStyleLbl="node3" presStyleIdx="6" presStyleCnt="21">
        <dgm:presLayoutVars>
          <dgm:chPref val="3"/>
        </dgm:presLayoutVars>
      </dgm:prSet>
      <dgm:spPr/>
    </dgm:pt>
    <dgm:pt modelId="{A7BFC1E6-74F4-4F34-8C05-E504BE8BADEF}" type="pres">
      <dgm:prSet presAssocID="{28BAC349-B48F-40ED-8C5B-AD9417D1DBC0}" presName="rootConnector" presStyleLbl="node3" presStyleIdx="6" presStyleCnt="21"/>
      <dgm:spPr/>
    </dgm:pt>
    <dgm:pt modelId="{E88DB11B-EF33-4CA9-982A-EF6124EF4A9F}" type="pres">
      <dgm:prSet presAssocID="{28BAC349-B48F-40ED-8C5B-AD9417D1DBC0}" presName="hierChild4" presStyleCnt="0"/>
      <dgm:spPr/>
    </dgm:pt>
    <dgm:pt modelId="{F6973960-F0D2-4EF2-ACFC-37B0A40298DA}" type="pres">
      <dgm:prSet presAssocID="{28BAC349-B48F-40ED-8C5B-AD9417D1DBC0}" presName="hierChild5" presStyleCnt="0"/>
      <dgm:spPr/>
    </dgm:pt>
    <dgm:pt modelId="{1AA92768-8061-46A9-B58B-510A77639706}" type="pres">
      <dgm:prSet presAssocID="{CCC45EB5-0665-4E34-AFF1-959AE7D89978}" presName="Name37" presStyleLbl="parChTrans1D3" presStyleIdx="7" presStyleCnt="21"/>
      <dgm:spPr/>
    </dgm:pt>
    <dgm:pt modelId="{2713ABCB-66CF-4F46-B3DC-3A5DB6C6EE2B}" type="pres">
      <dgm:prSet presAssocID="{6A73765E-6D97-4AAC-B43B-76DACB0E8B1B}" presName="hierRoot2" presStyleCnt="0">
        <dgm:presLayoutVars>
          <dgm:hierBranch val="init"/>
        </dgm:presLayoutVars>
      </dgm:prSet>
      <dgm:spPr/>
    </dgm:pt>
    <dgm:pt modelId="{BA78ED78-F445-4564-AFA2-49DBD2875E13}" type="pres">
      <dgm:prSet presAssocID="{6A73765E-6D97-4AAC-B43B-76DACB0E8B1B}" presName="rootComposite" presStyleCnt="0"/>
      <dgm:spPr/>
    </dgm:pt>
    <dgm:pt modelId="{1018633A-474E-4EB8-84AB-2E1993311C0B}" type="pres">
      <dgm:prSet presAssocID="{6A73765E-6D97-4AAC-B43B-76DACB0E8B1B}" presName="rootText" presStyleLbl="node3" presStyleIdx="7" presStyleCnt="21">
        <dgm:presLayoutVars>
          <dgm:chPref val="3"/>
        </dgm:presLayoutVars>
      </dgm:prSet>
      <dgm:spPr/>
    </dgm:pt>
    <dgm:pt modelId="{AAFC2384-C664-44F1-939D-E2610FBB32AA}" type="pres">
      <dgm:prSet presAssocID="{6A73765E-6D97-4AAC-B43B-76DACB0E8B1B}" presName="rootConnector" presStyleLbl="node3" presStyleIdx="7" presStyleCnt="21"/>
      <dgm:spPr/>
    </dgm:pt>
    <dgm:pt modelId="{5240D419-9D70-492A-A01F-23342420EC81}" type="pres">
      <dgm:prSet presAssocID="{6A73765E-6D97-4AAC-B43B-76DACB0E8B1B}" presName="hierChild4" presStyleCnt="0"/>
      <dgm:spPr/>
    </dgm:pt>
    <dgm:pt modelId="{8765CFD4-5E4A-48AB-BF74-3687FF83E9B9}" type="pres">
      <dgm:prSet presAssocID="{6A73765E-6D97-4AAC-B43B-76DACB0E8B1B}" presName="hierChild5" presStyleCnt="0"/>
      <dgm:spPr/>
    </dgm:pt>
    <dgm:pt modelId="{36CD85EA-6922-4411-A773-53F2E9A9F508}" type="pres">
      <dgm:prSet presAssocID="{E6E795BC-D2DE-427E-BEA3-802AC9388A71}" presName="Name37" presStyleLbl="parChTrans1D3" presStyleIdx="8" presStyleCnt="21"/>
      <dgm:spPr/>
    </dgm:pt>
    <dgm:pt modelId="{2601FA72-777A-4331-8BCC-22196493C237}" type="pres">
      <dgm:prSet presAssocID="{DF15A4DF-0F78-423C-AD69-F9FC4B0C50B9}" presName="hierRoot2" presStyleCnt="0">
        <dgm:presLayoutVars>
          <dgm:hierBranch val="init"/>
        </dgm:presLayoutVars>
      </dgm:prSet>
      <dgm:spPr/>
    </dgm:pt>
    <dgm:pt modelId="{FCD03874-D888-4150-BF7D-EEDA96168B1B}" type="pres">
      <dgm:prSet presAssocID="{DF15A4DF-0F78-423C-AD69-F9FC4B0C50B9}" presName="rootComposite" presStyleCnt="0"/>
      <dgm:spPr/>
    </dgm:pt>
    <dgm:pt modelId="{A004A5F6-22F5-477B-8E25-546ED588730B}" type="pres">
      <dgm:prSet presAssocID="{DF15A4DF-0F78-423C-AD69-F9FC4B0C50B9}" presName="rootText" presStyleLbl="node3" presStyleIdx="8" presStyleCnt="21">
        <dgm:presLayoutVars>
          <dgm:chPref val="3"/>
        </dgm:presLayoutVars>
      </dgm:prSet>
      <dgm:spPr/>
    </dgm:pt>
    <dgm:pt modelId="{99FA7DE0-9618-4F38-A8E4-420D511BD901}" type="pres">
      <dgm:prSet presAssocID="{DF15A4DF-0F78-423C-AD69-F9FC4B0C50B9}" presName="rootConnector" presStyleLbl="node3" presStyleIdx="8" presStyleCnt="21"/>
      <dgm:spPr/>
    </dgm:pt>
    <dgm:pt modelId="{146B86C1-6F59-47BB-8702-E122E70CA480}" type="pres">
      <dgm:prSet presAssocID="{DF15A4DF-0F78-423C-AD69-F9FC4B0C50B9}" presName="hierChild4" presStyleCnt="0"/>
      <dgm:spPr/>
    </dgm:pt>
    <dgm:pt modelId="{45DC65FF-3D73-4CAA-809D-B806BEB96BEE}" type="pres">
      <dgm:prSet presAssocID="{DF15A4DF-0F78-423C-AD69-F9FC4B0C50B9}" presName="hierChild5" presStyleCnt="0"/>
      <dgm:spPr/>
    </dgm:pt>
    <dgm:pt modelId="{3D5E7CC6-C24B-447F-B5D1-26978F19070E}" type="pres">
      <dgm:prSet presAssocID="{9526A8C6-5373-42BB-98A5-F4DD4EAFC67F}" presName="Name37" presStyleLbl="parChTrans1D3" presStyleIdx="9" presStyleCnt="21"/>
      <dgm:spPr/>
    </dgm:pt>
    <dgm:pt modelId="{457174DE-28EA-4705-8A98-CF89821E9DC4}" type="pres">
      <dgm:prSet presAssocID="{112EE4BC-D392-4572-976F-BDF4711959E7}" presName="hierRoot2" presStyleCnt="0">
        <dgm:presLayoutVars>
          <dgm:hierBranch val="init"/>
        </dgm:presLayoutVars>
      </dgm:prSet>
      <dgm:spPr/>
    </dgm:pt>
    <dgm:pt modelId="{397DB298-4F7E-4BE0-BCCC-623E5134C477}" type="pres">
      <dgm:prSet presAssocID="{112EE4BC-D392-4572-976F-BDF4711959E7}" presName="rootComposite" presStyleCnt="0"/>
      <dgm:spPr/>
    </dgm:pt>
    <dgm:pt modelId="{35F530B3-93D6-4FE4-96EE-23C97F659921}" type="pres">
      <dgm:prSet presAssocID="{112EE4BC-D392-4572-976F-BDF4711959E7}" presName="rootText" presStyleLbl="node3" presStyleIdx="9" presStyleCnt="21">
        <dgm:presLayoutVars>
          <dgm:chPref val="3"/>
        </dgm:presLayoutVars>
      </dgm:prSet>
      <dgm:spPr/>
    </dgm:pt>
    <dgm:pt modelId="{B1746B45-578A-4826-B293-D2FF0092D93B}" type="pres">
      <dgm:prSet presAssocID="{112EE4BC-D392-4572-976F-BDF4711959E7}" presName="rootConnector" presStyleLbl="node3" presStyleIdx="9" presStyleCnt="21"/>
      <dgm:spPr/>
    </dgm:pt>
    <dgm:pt modelId="{85266542-80D8-4C5D-8855-F099BBA5E14B}" type="pres">
      <dgm:prSet presAssocID="{112EE4BC-D392-4572-976F-BDF4711959E7}" presName="hierChild4" presStyleCnt="0"/>
      <dgm:spPr/>
    </dgm:pt>
    <dgm:pt modelId="{D9E43AC7-EBF2-4D7F-9D7F-4AE94DEB2407}" type="pres">
      <dgm:prSet presAssocID="{112EE4BC-D392-4572-976F-BDF4711959E7}" presName="hierChild5" presStyleCnt="0"/>
      <dgm:spPr/>
    </dgm:pt>
    <dgm:pt modelId="{60A64FB7-24A7-4575-8F1D-99D5BE642F7C}" type="pres">
      <dgm:prSet presAssocID="{914B6520-4F93-4371-9DF0-3E83D93BAC5A}" presName="hierChild5" presStyleCnt="0"/>
      <dgm:spPr/>
    </dgm:pt>
    <dgm:pt modelId="{EC74FFC8-1576-4C0D-A91C-F278A868962E}" type="pres">
      <dgm:prSet presAssocID="{00C5EAB5-DC5F-4D03-9926-A8AD85762B70}" presName="Name37" presStyleLbl="parChTrans1D2" presStyleIdx="2" presStyleCnt="5"/>
      <dgm:spPr/>
    </dgm:pt>
    <dgm:pt modelId="{C4D9C55F-E18D-4208-A5F0-A2DE190F2B34}" type="pres">
      <dgm:prSet presAssocID="{21AD2B35-96D7-409D-AF96-2A0145197674}" presName="hierRoot2" presStyleCnt="0">
        <dgm:presLayoutVars>
          <dgm:hierBranch val="init"/>
        </dgm:presLayoutVars>
      </dgm:prSet>
      <dgm:spPr/>
    </dgm:pt>
    <dgm:pt modelId="{52FEB32B-2089-487C-B291-4209C3EB46DB}" type="pres">
      <dgm:prSet presAssocID="{21AD2B35-96D7-409D-AF96-2A0145197674}" presName="rootComposite" presStyleCnt="0"/>
      <dgm:spPr/>
    </dgm:pt>
    <dgm:pt modelId="{9E4E4801-9308-43BA-A715-DAEB8F729F26}" type="pres">
      <dgm:prSet presAssocID="{21AD2B35-96D7-409D-AF96-2A0145197674}" presName="rootText" presStyleLbl="node2" presStyleIdx="2" presStyleCnt="4">
        <dgm:presLayoutVars>
          <dgm:chPref val="3"/>
        </dgm:presLayoutVars>
      </dgm:prSet>
      <dgm:spPr/>
    </dgm:pt>
    <dgm:pt modelId="{5A998737-ADB5-4512-BBF3-5DEB2CAF2012}" type="pres">
      <dgm:prSet presAssocID="{21AD2B35-96D7-409D-AF96-2A0145197674}" presName="rootConnector" presStyleLbl="node2" presStyleIdx="2" presStyleCnt="4"/>
      <dgm:spPr/>
    </dgm:pt>
    <dgm:pt modelId="{122E419F-E1F5-4673-BB00-9A824C632AFF}" type="pres">
      <dgm:prSet presAssocID="{21AD2B35-96D7-409D-AF96-2A0145197674}" presName="hierChild4" presStyleCnt="0"/>
      <dgm:spPr/>
    </dgm:pt>
    <dgm:pt modelId="{3C4855FD-14B4-4319-B3A7-C9DE8B6182B7}" type="pres">
      <dgm:prSet presAssocID="{4BBA92A6-4BF1-421F-A1AA-0497F90258AF}" presName="Name37" presStyleLbl="parChTrans1D3" presStyleIdx="10" presStyleCnt="21"/>
      <dgm:spPr/>
    </dgm:pt>
    <dgm:pt modelId="{C2ABDB81-432F-46B5-8A9A-2C6DD7F1CBFE}" type="pres">
      <dgm:prSet presAssocID="{95B5BBA1-B912-4F90-9E66-8DAF2275CE23}" presName="hierRoot2" presStyleCnt="0">
        <dgm:presLayoutVars>
          <dgm:hierBranch val="init"/>
        </dgm:presLayoutVars>
      </dgm:prSet>
      <dgm:spPr/>
    </dgm:pt>
    <dgm:pt modelId="{775B893C-A991-4CDC-A395-467B0191912B}" type="pres">
      <dgm:prSet presAssocID="{95B5BBA1-B912-4F90-9E66-8DAF2275CE23}" presName="rootComposite" presStyleCnt="0"/>
      <dgm:spPr/>
    </dgm:pt>
    <dgm:pt modelId="{4C36608C-C753-40C5-BA8E-71B45715778F}" type="pres">
      <dgm:prSet presAssocID="{95B5BBA1-B912-4F90-9E66-8DAF2275CE23}" presName="rootText" presStyleLbl="node3" presStyleIdx="10" presStyleCnt="21">
        <dgm:presLayoutVars>
          <dgm:chPref val="3"/>
        </dgm:presLayoutVars>
      </dgm:prSet>
      <dgm:spPr/>
    </dgm:pt>
    <dgm:pt modelId="{110E486E-686C-40EC-922A-6053848D1449}" type="pres">
      <dgm:prSet presAssocID="{95B5BBA1-B912-4F90-9E66-8DAF2275CE23}" presName="rootConnector" presStyleLbl="node3" presStyleIdx="10" presStyleCnt="21"/>
      <dgm:spPr/>
    </dgm:pt>
    <dgm:pt modelId="{D8C0C680-6BCE-4D7C-8DC8-5D79BB2F85E1}" type="pres">
      <dgm:prSet presAssocID="{95B5BBA1-B912-4F90-9E66-8DAF2275CE23}" presName="hierChild4" presStyleCnt="0"/>
      <dgm:spPr/>
    </dgm:pt>
    <dgm:pt modelId="{F9F5FE0D-3C0D-41F3-9A00-6697E264AE71}" type="pres">
      <dgm:prSet presAssocID="{95B5BBA1-B912-4F90-9E66-8DAF2275CE23}" presName="hierChild5" presStyleCnt="0"/>
      <dgm:spPr/>
    </dgm:pt>
    <dgm:pt modelId="{F118FA5C-8018-4E97-A5A1-98C1AB5433BB}" type="pres">
      <dgm:prSet presAssocID="{F0AF9DDB-8D83-4545-9A7C-6A1C5629CD8B}" presName="Name37" presStyleLbl="parChTrans1D3" presStyleIdx="11" presStyleCnt="21"/>
      <dgm:spPr/>
    </dgm:pt>
    <dgm:pt modelId="{BC45F917-D45F-4AD5-8AB6-757231FAF5F4}" type="pres">
      <dgm:prSet presAssocID="{F9E4685B-9EC4-49A0-A13E-218F8ED353FC}" presName="hierRoot2" presStyleCnt="0">
        <dgm:presLayoutVars>
          <dgm:hierBranch val="init"/>
        </dgm:presLayoutVars>
      </dgm:prSet>
      <dgm:spPr/>
    </dgm:pt>
    <dgm:pt modelId="{722FE590-9DA0-48F8-B417-4833A702C978}" type="pres">
      <dgm:prSet presAssocID="{F9E4685B-9EC4-49A0-A13E-218F8ED353FC}" presName="rootComposite" presStyleCnt="0"/>
      <dgm:spPr/>
    </dgm:pt>
    <dgm:pt modelId="{A33A35EC-EB4E-4439-AD7B-8CC93B6FF300}" type="pres">
      <dgm:prSet presAssocID="{F9E4685B-9EC4-49A0-A13E-218F8ED353FC}" presName="rootText" presStyleLbl="node3" presStyleIdx="11" presStyleCnt="21">
        <dgm:presLayoutVars>
          <dgm:chPref val="3"/>
        </dgm:presLayoutVars>
      </dgm:prSet>
      <dgm:spPr/>
    </dgm:pt>
    <dgm:pt modelId="{4C0A5C79-C981-46C8-BF1B-B6AB08AC418B}" type="pres">
      <dgm:prSet presAssocID="{F9E4685B-9EC4-49A0-A13E-218F8ED353FC}" presName="rootConnector" presStyleLbl="node3" presStyleIdx="11" presStyleCnt="21"/>
      <dgm:spPr/>
    </dgm:pt>
    <dgm:pt modelId="{97C40267-B454-4CBF-BD15-AAE4076AD7B0}" type="pres">
      <dgm:prSet presAssocID="{F9E4685B-9EC4-49A0-A13E-218F8ED353FC}" presName="hierChild4" presStyleCnt="0"/>
      <dgm:spPr/>
    </dgm:pt>
    <dgm:pt modelId="{7575A95A-A34C-4BF8-AABF-84039771CEBE}" type="pres">
      <dgm:prSet presAssocID="{F9E4685B-9EC4-49A0-A13E-218F8ED353FC}" presName="hierChild5" presStyleCnt="0"/>
      <dgm:spPr/>
    </dgm:pt>
    <dgm:pt modelId="{5235BC4F-27BC-4C69-96B1-EDB00AB65E28}" type="pres">
      <dgm:prSet presAssocID="{90C90E06-CA33-4EC4-9170-646A75FBB3A7}" presName="Name37" presStyleLbl="parChTrans1D3" presStyleIdx="12" presStyleCnt="21"/>
      <dgm:spPr/>
    </dgm:pt>
    <dgm:pt modelId="{FB5E9F15-EFED-4146-BC69-98CD904C672F}" type="pres">
      <dgm:prSet presAssocID="{86E1688F-F842-4FEC-BBF3-01F043040AA5}" presName="hierRoot2" presStyleCnt="0">
        <dgm:presLayoutVars>
          <dgm:hierBranch val="init"/>
        </dgm:presLayoutVars>
      </dgm:prSet>
      <dgm:spPr/>
    </dgm:pt>
    <dgm:pt modelId="{F867B7F6-A317-49D6-BA5D-9FD64972DBB2}" type="pres">
      <dgm:prSet presAssocID="{86E1688F-F842-4FEC-BBF3-01F043040AA5}" presName="rootComposite" presStyleCnt="0"/>
      <dgm:spPr/>
    </dgm:pt>
    <dgm:pt modelId="{4896BE33-8B2E-473A-811F-94A82F5C9500}" type="pres">
      <dgm:prSet presAssocID="{86E1688F-F842-4FEC-BBF3-01F043040AA5}" presName="rootText" presStyleLbl="node3" presStyleIdx="12" presStyleCnt="21">
        <dgm:presLayoutVars>
          <dgm:chPref val="3"/>
        </dgm:presLayoutVars>
      </dgm:prSet>
      <dgm:spPr/>
    </dgm:pt>
    <dgm:pt modelId="{42014BCB-E88C-44D7-AAF7-D6E726C2C144}" type="pres">
      <dgm:prSet presAssocID="{86E1688F-F842-4FEC-BBF3-01F043040AA5}" presName="rootConnector" presStyleLbl="node3" presStyleIdx="12" presStyleCnt="21"/>
      <dgm:spPr/>
    </dgm:pt>
    <dgm:pt modelId="{68A86574-B3C1-4CC4-9F48-E0CCD2FF76B9}" type="pres">
      <dgm:prSet presAssocID="{86E1688F-F842-4FEC-BBF3-01F043040AA5}" presName="hierChild4" presStyleCnt="0"/>
      <dgm:spPr/>
    </dgm:pt>
    <dgm:pt modelId="{373F75F0-451A-4B9B-A4DD-F6E673FAAE69}" type="pres">
      <dgm:prSet presAssocID="{86E1688F-F842-4FEC-BBF3-01F043040AA5}" presName="hierChild5" presStyleCnt="0"/>
      <dgm:spPr/>
    </dgm:pt>
    <dgm:pt modelId="{FE9AE0D9-ED38-4782-B689-BF0333EFCA4C}" type="pres">
      <dgm:prSet presAssocID="{45E8E5B2-E4FC-4B53-852B-83284C0B786A}" presName="Name37" presStyleLbl="parChTrans1D3" presStyleIdx="13" presStyleCnt="21"/>
      <dgm:spPr/>
    </dgm:pt>
    <dgm:pt modelId="{03BBDE57-6D3A-4B6E-94FE-DBE993EA7D4C}" type="pres">
      <dgm:prSet presAssocID="{FA600D3D-3E8B-4DF5-8389-39964018EEA6}" presName="hierRoot2" presStyleCnt="0">
        <dgm:presLayoutVars>
          <dgm:hierBranch val="init"/>
        </dgm:presLayoutVars>
      </dgm:prSet>
      <dgm:spPr/>
    </dgm:pt>
    <dgm:pt modelId="{7CC66F12-E982-4D16-BF5A-39B82F0E018D}" type="pres">
      <dgm:prSet presAssocID="{FA600D3D-3E8B-4DF5-8389-39964018EEA6}" presName="rootComposite" presStyleCnt="0"/>
      <dgm:spPr/>
    </dgm:pt>
    <dgm:pt modelId="{48AB38C2-1A6E-41A6-8A03-FD7F0406D7E5}" type="pres">
      <dgm:prSet presAssocID="{FA600D3D-3E8B-4DF5-8389-39964018EEA6}" presName="rootText" presStyleLbl="node3" presStyleIdx="13" presStyleCnt="21">
        <dgm:presLayoutVars>
          <dgm:chPref val="3"/>
        </dgm:presLayoutVars>
      </dgm:prSet>
      <dgm:spPr/>
    </dgm:pt>
    <dgm:pt modelId="{42E43A9F-E943-42E5-8C55-E90ACE444BF2}" type="pres">
      <dgm:prSet presAssocID="{FA600D3D-3E8B-4DF5-8389-39964018EEA6}" presName="rootConnector" presStyleLbl="node3" presStyleIdx="13" presStyleCnt="21"/>
      <dgm:spPr/>
    </dgm:pt>
    <dgm:pt modelId="{DB568FD3-CF0A-4A8D-A1A8-1339FF02C1DB}" type="pres">
      <dgm:prSet presAssocID="{FA600D3D-3E8B-4DF5-8389-39964018EEA6}" presName="hierChild4" presStyleCnt="0"/>
      <dgm:spPr/>
    </dgm:pt>
    <dgm:pt modelId="{0F8F13BA-3C10-4862-94A5-0A77859BF644}" type="pres">
      <dgm:prSet presAssocID="{FA600D3D-3E8B-4DF5-8389-39964018EEA6}" presName="hierChild5" presStyleCnt="0"/>
      <dgm:spPr/>
    </dgm:pt>
    <dgm:pt modelId="{BBF7E4F7-3790-4997-A3A2-41BEFE09E50D}" type="pres">
      <dgm:prSet presAssocID="{FD64D414-5CF4-4F50-A069-2712E6CF5A9F}" presName="Name37" presStyleLbl="parChTrans1D3" presStyleIdx="14" presStyleCnt="21"/>
      <dgm:spPr/>
    </dgm:pt>
    <dgm:pt modelId="{7724C9D9-17AA-425D-810B-1D5C450A600B}" type="pres">
      <dgm:prSet presAssocID="{C2FDCF36-D137-4D84-92B2-1FB5283A6AD0}" presName="hierRoot2" presStyleCnt="0">
        <dgm:presLayoutVars>
          <dgm:hierBranch val="init"/>
        </dgm:presLayoutVars>
      </dgm:prSet>
      <dgm:spPr/>
    </dgm:pt>
    <dgm:pt modelId="{B1D28919-9196-4EFC-AAE4-0AFC736E533A}" type="pres">
      <dgm:prSet presAssocID="{C2FDCF36-D137-4D84-92B2-1FB5283A6AD0}" presName="rootComposite" presStyleCnt="0"/>
      <dgm:spPr/>
    </dgm:pt>
    <dgm:pt modelId="{866E0E98-4E3C-42E2-A66E-0D8D5F113DC7}" type="pres">
      <dgm:prSet presAssocID="{C2FDCF36-D137-4D84-92B2-1FB5283A6AD0}" presName="rootText" presStyleLbl="node3" presStyleIdx="14" presStyleCnt="21">
        <dgm:presLayoutVars>
          <dgm:chPref val="3"/>
        </dgm:presLayoutVars>
      </dgm:prSet>
      <dgm:spPr/>
    </dgm:pt>
    <dgm:pt modelId="{D3BC6035-727A-46D1-AB7E-18B0E8CEF243}" type="pres">
      <dgm:prSet presAssocID="{C2FDCF36-D137-4D84-92B2-1FB5283A6AD0}" presName="rootConnector" presStyleLbl="node3" presStyleIdx="14" presStyleCnt="21"/>
      <dgm:spPr/>
    </dgm:pt>
    <dgm:pt modelId="{843A97CF-8EDF-4CC7-96B2-AE3D303A403C}" type="pres">
      <dgm:prSet presAssocID="{C2FDCF36-D137-4D84-92B2-1FB5283A6AD0}" presName="hierChild4" presStyleCnt="0"/>
      <dgm:spPr/>
    </dgm:pt>
    <dgm:pt modelId="{E099E158-8298-4B23-A67A-7420DD26EE8B}" type="pres">
      <dgm:prSet presAssocID="{C2FDCF36-D137-4D84-92B2-1FB5283A6AD0}" presName="hierChild5" presStyleCnt="0"/>
      <dgm:spPr/>
    </dgm:pt>
    <dgm:pt modelId="{694AC01E-70CE-4DD7-9B8A-3757EC7EC56C}" type="pres">
      <dgm:prSet presAssocID="{21AD2B35-96D7-409D-AF96-2A0145197674}" presName="hierChild5" presStyleCnt="0"/>
      <dgm:spPr/>
    </dgm:pt>
    <dgm:pt modelId="{88162098-0AA2-4260-B38F-1BD6D377B44F}" type="pres">
      <dgm:prSet presAssocID="{FB02A073-6A49-4B78-BC66-4D10484C207B}" presName="Name37" presStyleLbl="parChTrans1D2" presStyleIdx="3" presStyleCnt="5"/>
      <dgm:spPr/>
    </dgm:pt>
    <dgm:pt modelId="{C4A862E7-7393-4F80-907D-C9276AC7C59D}" type="pres">
      <dgm:prSet presAssocID="{7AEB311E-51E5-4350-9717-106B67ECC79A}" presName="hierRoot2" presStyleCnt="0">
        <dgm:presLayoutVars>
          <dgm:hierBranch val="init"/>
        </dgm:presLayoutVars>
      </dgm:prSet>
      <dgm:spPr/>
    </dgm:pt>
    <dgm:pt modelId="{AFBE1A24-4528-4785-A93A-C6B77B1C3A21}" type="pres">
      <dgm:prSet presAssocID="{7AEB311E-51E5-4350-9717-106B67ECC79A}" presName="rootComposite" presStyleCnt="0"/>
      <dgm:spPr/>
    </dgm:pt>
    <dgm:pt modelId="{92C773A9-D259-4F1E-B8D7-EFCCB81200BC}" type="pres">
      <dgm:prSet presAssocID="{7AEB311E-51E5-4350-9717-106B67ECC79A}" presName="rootText" presStyleLbl="node2" presStyleIdx="3" presStyleCnt="4">
        <dgm:presLayoutVars>
          <dgm:chPref val="3"/>
        </dgm:presLayoutVars>
      </dgm:prSet>
      <dgm:spPr/>
    </dgm:pt>
    <dgm:pt modelId="{51D56ECE-EBF0-449A-8D7C-90BC74D2C571}" type="pres">
      <dgm:prSet presAssocID="{7AEB311E-51E5-4350-9717-106B67ECC79A}" presName="rootConnector" presStyleLbl="node2" presStyleIdx="3" presStyleCnt="4"/>
      <dgm:spPr/>
    </dgm:pt>
    <dgm:pt modelId="{B1B4091E-0B79-4A1A-BEA2-0DD801E8039C}" type="pres">
      <dgm:prSet presAssocID="{7AEB311E-51E5-4350-9717-106B67ECC79A}" presName="hierChild4" presStyleCnt="0"/>
      <dgm:spPr/>
    </dgm:pt>
    <dgm:pt modelId="{31EF4169-C852-4511-BD4F-A0D9A0687421}" type="pres">
      <dgm:prSet presAssocID="{E4FFD212-63AE-4870-BDF0-29A031D83362}" presName="Name37" presStyleLbl="parChTrans1D3" presStyleIdx="15" presStyleCnt="21"/>
      <dgm:spPr/>
    </dgm:pt>
    <dgm:pt modelId="{BA4B5020-9B42-4E46-957B-D0E299A6D748}" type="pres">
      <dgm:prSet presAssocID="{902A8E99-AAD2-4398-A32D-1C66E94AE715}" presName="hierRoot2" presStyleCnt="0">
        <dgm:presLayoutVars>
          <dgm:hierBranch val="init"/>
        </dgm:presLayoutVars>
      </dgm:prSet>
      <dgm:spPr/>
    </dgm:pt>
    <dgm:pt modelId="{4065C47A-F8D3-468B-A20C-73997121C567}" type="pres">
      <dgm:prSet presAssocID="{902A8E99-AAD2-4398-A32D-1C66E94AE715}" presName="rootComposite" presStyleCnt="0"/>
      <dgm:spPr/>
    </dgm:pt>
    <dgm:pt modelId="{68D568EC-2EA9-4A92-ABD1-0D594917CB25}" type="pres">
      <dgm:prSet presAssocID="{902A8E99-AAD2-4398-A32D-1C66E94AE715}" presName="rootText" presStyleLbl="node3" presStyleIdx="15" presStyleCnt="21">
        <dgm:presLayoutVars>
          <dgm:chPref val="3"/>
        </dgm:presLayoutVars>
      </dgm:prSet>
      <dgm:spPr/>
    </dgm:pt>
    <dgm:pt modelId="{9A41182C-062D-4D4B-874A-B0866FF84991}" type="pres">
      <dgm:prSet presAssocID="{902A8E99-AAD2-4398-A32D-1C66E94AE715}" presName="rootConnector" presStyleLbl="node3" presStyleIdx="15" presStyleCnt="21"/>
      <dgm:spPr/>
    </dgm:pt>
    <dgm:pt modelId="{98724551-5094-4B91-ACDC-EEFFED9BC969}" type="pres">
      <dgm:prSet presAssocID="{902A8E99-AAD2-4398-A32D-1C66E94AE715}" presName="hierChild4" presStyleCnt="0"/>
      <dgm:spPr/>
    </dgm:pt>
    <dgm:pt modelId="{A820F330-7FAF-4A6F-9C30-39228B862C25}" type="pres">
      <dgm:prSet presAssocID="{902A8E99-AAD2-4398-A32D-1C66E94AE715}" presName="hierChild5" presStyleCnt="0"/>
      <dgm:spPr/>
    </dgm:pt>
    <dgm:pt modelId="{9A338828-B52D-4B1A-A45B-A708E6B03D4A}" type="pres">
      <dgm:prSet presAssocID="{7F2427F2-37F5-4009-A91A-FF9322667FC8}" presName="Name37" presStyleLbl="parChTrans1D3" presStyleIdx="16" presStyleCnt="21"/>
      <dgm:spPr/>
    </dgm:pt>
    <dgm:pt modelId="{E06BC04E-A86A-4E33-9DA0-88E28CE7A627}" type="pres">
      <dgm:prSet presAssocID="{69B49330-9FC2-42D5-BFC2-DCC1BEA2DAA0}" presName="hierRoot2" presStyleCnt="0">
        <dgm:presLayoutVars>
          <dgm:hierBranch val="init"/>
        </dgm:presLayoutVars>
      </dgm:prSet>
      <dgm:spPr/>
    </dgm:pt>
    <dgm:pt modelId="{F3FCBA1B-4C2F-40F6-A441-34A9DBA934C7}" type="pres">
      <dgm:prSet presAssocID="{69B49330-9FC2-42D5-BFC2-DCC1BEA2DAA0}" presName="rootComposite" presStyleCnt="0"/>
      <dgm:spPr/>
    </dgm:pt>
    <dgm:pt modelId="{2FF39C86-D091-4F9A-9B9D-74C558CA076F}" type="pres">
      <dgm:prSet presAssocID="{69B49330-9FC2-42D5-BFC2-DCC1BEA2DAA0}" presName="rootText" presStyleLbl="node3" presStyleIdx="16" presStyleCnt="21">
        <dgm:presLayoutVars>
          <dgm:chPref val="3"/>
        </dgm:presLayoutVars>
      </dgm:prSet>
      <dgm:spPr/>
    </dgm:pt>
    <dgm:pt modelId="{1E09C604-F447-44E8-A59E-8E31E0670460}" type="pres">
      <dgm:prSet presAssocID="{69B49330-9FC2-42D5-BFC2-DCC1BEA2DAA0}" presName="rootConnector" presStyleLbl="node3" presStyleIdx="16" presStyleCnt="21"/>
      <dgm:spPr/>
    </dgm:pt>
    <dgm:pt modelId="{94339E6D-291D-4763-B522-EDD84DCC0010}" type="pres">
      <dgm:prSet presAssocID="{69B49330-9FC2-42D5-BFC2-DCC1BEA2DAA0}" presName="hierChild4" presStyleCnt="0"/>
      <dgm:spPr/>
    </dgm:pt>
    <dgm:pt modelId="{2ED1841B-18AA-42B9-8B1B-2A42FFF2423D}" type="pres">
      <dgm:prSet presAssocID="{69B49330-9FC2-42D5-BFC2-DCC1BEA2DAA0}" presName="hierChild5" presStyleCnt="0"/>
      <dgm:spPr/>
    </dgm:pt>
    <dgm:pt modelId="{B906EC2D-75F0-437E-8742-2D5D9BF932A8}" type="pres">
      <dgm:prSet presAssocID="{0C343BE7-2460-4747-95CF-918F95857F1A}" presName="Name37" presStyleLbl="parChTrans1D3" presStyleIdx="17" presStyleCnt="21"/>
      <dgm:spPr/>
    </dgm:pt>
    <dgm:pt modelId="{C2F480B0-B319-43D0-90FA-B9A6EDDFE4A5}" type="pres">
      <dgm:prSet presAssocID="{7390BDC3-410A-46BE-9419-B809C7DB6F4E}" presName="hierRoot2" presStyleCnt="0">
        <dgm:presLayoutVars>
          <dgm:hierBranch val="init"/>
        </dgm:presLayoutVars>
      </dgm:prSet>
      <dgm:spPr/>
    </dgm:pt>
    <dgm:pt modelId="{E44AD6BC-442A-49A5-BFDE-C0FD89A6CFB6}" type="pres">
      <dgm:prSet presAssocID="{7390BDC3-410A-46BE-9419-B809C7DB6F4E}" presName="rootComposite" presStyleCnt="0"/>
      <dgm:spPr/>
    </dgm:pt>
    <dgm:pt modelId="{596C76DC-00FD-4184-A4DD-BC65F4DF1FAE}" type="pres">
      <dgm:prSet presAssocID="{7390BDC3-410A-46BE-9419-B809C7DB6F4E}" presName="rootText" presStyleLbl="node3" presStyleIdx="17" presStyleCnt="21">
        <dgm:presLayoutVars>
          <dgm:chPref val="3"/>
        </dgm:presLayoutVars>
      </dgm:prSet>
      <dgm:spPr/>
    </dgm:pt>
    <dgm:pt modelId="{B53F48EF-4BD8-44D2-9747-B2E61B3DC235}" type="pres">
      <dgm:prSet presAssocID="{7390BDC3-410A-46BE-9419-B809C7DB6F4E}" presName="rootConnector" presStyleLbl="node3" presStyleIdx="17" presStyleCnt="21"/>
      <dgm:spPr/>
    </dgm:pt>
    <dgm:pt modelId="{06E77E6C-CB4A-4F1F-8453-54D5024D4F02}" type="pres">
      <dgm:prSet presAssocID="{7390BDC3-410A-46BE-9419-B809C7DB6F4E}" presName="hierChild4" presStyleCnt="0"/>
      <dgm:spPr/>
    </dgm:pt>
    <dgm:pt modelId="{4563177A-1754-4421-91FD-EACD89409A12}" type="pres">
      <dgm:prSet presAssocID="{7390BDC3-410A-46BE-9419-B809C7DB6F4E}" presName="hierChild5" presStyleCnt="0"/>
      <dgm:spPr/>
    </dgm:pt>
    <dgm:pt modelId="{868867D7-994C-4F03-8C61-BA6339A8ABB9}" type="pres">
      <dgm:prSet presAssocID="{FDE16DBD-033B-47BC-BF52-702D04211CAF}" presName="Name37" presStyleLbl="parChTrans1D3" presStyleIdx="18" presStyleCnt="21"/>
      <dgm:spPr/>
    </dgm:pt>
    <dgm:pt modelId="{0DB794FF-BE5D-4931-80F2-ED200C742C8D}" type="pres">
      <dgm:prSet presAssocID="{BF266F81-EA65-412E-9F01-1BF637335164}" presName="hierRoot2" presStyleCnt="0">
        <dgm:presLayoutVars>
          <dgm:hierBranch val="init"/>
        </dgm:presLayoutVars>
      </dgm:prSet>
      <dgm:spPr/>
    </dgm:pt>
    <dgm:pt modelId="{F86CDF56-4154-47D8-94C5-1ED612999FA9}" type="pres">
      <dgm:prSet presAssocID="{BF266F81-EA65-412E-9F01-1BF637335164}" presName="rootComposite" presStyleCnt="0"/>
      <dgm:spPr/>
    </dgm:pt>
    <dgm:pt modelId="{88FD65DB-05ED-4DDE-8B3F-8F4035FC7814}" type="pres">
      <dgm:prSet presAssocID="{BF266F81-EA65-412E-9F01-1BF637335164}" presName="rootText" presStyleLbl="node3" presStyleIdx="18" presStyleCnt="21">
        <dgm:presLayoutVars>
          <dgm:chPref val="3"/>
        </dgm:presLayoutVars>
      </dgm:prSet>
      <dgm:spPr/>
    </dgm:pt>
    <dgm:pt modelId="{929593B5-D8F2-4DE8-B7A2-8B7641A35B2E}" type="pres">
      <dgm:prSet presAssocID="{BF266F81-EA65-412E-9F01-1BF637335164}" presName="rootConnector" presStyleLbl="node3" presStyleIdx="18" presStyleCnt="21"/>
      <dgm:spPr/>
    </dgm:pt>
    <dgm:pt modelId="{809AD334-7A04-4ED2-924D-68BCFB256CC4}" type="pres">
      <dgm:prSet presAssocID="{BF266F81-EA65-412E-9F01-1BF637335164}" presName="hierChild4" presStyleCnt="0"/>
      <dgm:spPr/>
    </dgm:pt>
    <dgm:pt modelId="{466A8FD3-E662-4294-8052-7DEAEEF54A5E}" type="pres">
      <dgm:prSet presAssocID="{BF266F81-EA65-412E-9F01-1BF637335164}" presName="hierChild5" presStyleCnt="0"/>
      <dgm:spPr/>
    </dgm:pt>
    <dgm:pt modelId="{FD0DA0CB-A8A6-4435-83A9-2639F4645F83}" type="pres">
      <dgm:prSet presAssocID="{AE45F58E-A836-47DD-858C-D84F770C38EA}" presName="Name37" presStyleLbl="parChTrans1D3" presStyleIdx="19" presStyleCnt="21"/>
      <dgm:spPr/>
    </dgm:pt>
    <dgm:pt modelId="{07F84081-EBCA-452E-B1E4-27588B77727C}" type="pres">
      <dgm:prSet presAssocID="{EBFB0D50-7508-45BD-B0CA-8EFE70DBDDFD}" presName="hierRoot2" presStyleCnt="0">
        <dgm:presLayoutVars>
          <dgm:hierBranch val="init"/>
        </dgm:presLayoutVars>
      </dgm:prSet>
      <dgm:spPr/>
    </dgm:pt>
    <dgm:pt modelId="{2C09D44B-D6EE-4CBD-B7CC-DD343150A1CA}" type="pres">
      <dgm:prSet presAssocID="{EBFB0D50-7508-45BD-B0CA-8EFE70DBDDFD}" presName="rootComposite" presStyleCnt="0"/>
      <dgm:spPr/>
    </dgm:pt>
    <dgm:pt modelId="{B024A9EA-30D8-4D81-A0D6-7944B803AC63}" type="pres">
      <dgm:prSet presAssocID="{EBFB0D50-7508-45BD-B0CA-8EFE70DBDDFD}" presName="rootText" presStyleLbl="node3" presStyleIdx="19" presStyleCnt="21">
        <dgm:presLayoutVars>
          <dgm:chPref val="3"/>
        </dgm:presLayoutVars>
      </dgm:prSet>
      <dgm:spPr/>
    </dgm:pt>
    <dgm:pt modelId="{4EDC534D-867E-4040-BB51-4ABFD74349C7}" type="pres">
      <dgm:prSet presAssocID="{EBFB0D50-7508-45BD-B0CA-8EFE70DBDDFD}" presName="rootConnector" presStyleLbl="node3" presStyleIdx="19" presStyleCnt="21"/>
      <dgm:spPr/>
    </dgm:pt>
    <dgm:pt modelId="{561665E0-C15B-4A7F-9AE5-A7EDD823C638}" type="pres">
      <dgm:prSet presAssocID="{EBFB0D50-7508-45BD-B0CA-8EFE70DBDDFD}" presName="hierChild4" presStyleCnt="0"/>
      <dgm:spPr/>
    </dgm:pt>
    <dgm:pt modelId="{9F98DF36-EFD0-46A0-980E-C1ACBCE2E107}" type="pres">
      <dgm:prSet presAssocID="{EBFB0D50-7508-45BD-B0CA-8EFE70DBDDFD}" presName="hierChild5" presStyleCnt="0"/>
      <dgm:spPr/>
    </dgm:pt>
    <dgm:pt modelId="{95D3F27B-05C1-49C8-8A57-05AF1BEBEEAB}" type="pres">
      <dgm:prSet presAssocID="{C2B6756E-4D7A-4EDA-9AEA-D3ED2CD83D7D}" presName="Name37" presStyleLbl="parChTrans1D3" presStyleIdx="20" presStyleCnt="21"/>
      <dgm:spPr/>
    </dgm:pt>
    <dgm:pt modelId="{41B4F829-13EC-434F-AA79-FC6C223BABFB}" type="pres">
      <dgm:prSet presAssocID="{D75D3003-B385-4227-990E-A4DCFCB76F25}" presName="hierRoot2" presStyleCnt="0">
        <dgm:presLayoutVars>
          <dgm:hierBranch val="init"/>
        </dgm:presLayoutVars>
      </dgm:prSet>
      <dgm:spPr/>
    </dgm:pt>
    <dgm:pt modelId="{51C1617C-958B-4381-81B7-D57C53D1136A}" type="pres">
      <dgm:prSet presAssocID="{D75D3003-B385-4227-990E-A4DCFCB76F25}" presName="rootComposite" presStyleCnt="0"/>
      <dgm:spPr/>
    </dgm:pt>
    <dgm:pt modelId="{97166BC2-E115-45A0-AB33-6C7A4F301369}" type="pres">
      <dgm:prSet presAssocID="{D75D3003-B385-4227-990E-A4DCFCB76F25}" presName="rootText" presStyleLbl="node3" presStyleIdx="20" presStyleCnt="21">
        <dgm:presLayoutVars>
          <dgm:chPref val="3"/>
        </dgm:presLayoutVars>
      </dgm:prSet>
      <dgm:spPr/>
    </dgm:pt>
    <dgm:pt modelId="{B3013DA7-D732-47D7-9905-E772C52F06FB}" type="pres">
      <dgm:prSet presAssocID="{D75D3003-B385-4227-990E-A4DCFCB76F25}" presName="rootConnector" presStyleLbl="node3" presStyleIdx="20" presStyleCnt="21"/>
      <dgm:spPr/>
    </dgm:pt>
    <dgm:pt modelId="{3E6CEB14-E535-4728-99D0-2A275D7F4835}" type="pres">
      <dgm:prSet presAssocID="{D75D3003-B385-4227-990E-A4DCFCB76F25}" presName="hierChild4" presStyleCnt="0"/>
      <dgm:spPr/>
    </dgm:pt>
    <dgm:pt modelId="{624BF698-7F2B-4479-BC1B-B6F03263B113}" type="pres">
      <dgm:prSet presAssocID="{D75D3003-B385-4227-990E-A4DCFCB76F25}" presName="hierChild5" presStyleCnt="0"/>
      <dgm:spPr/>
    </dgm:pt>
    <dgm:pt modelId="{D603727D-8FBA-41A2-A398-016421998E62}" type="pres">
      <dgm:prSet presAssocID="{7AEB311E-51E5-4350-9717-106B67ECC79A}" presName="hierChild5" presStyleCnt="0"/>
      <dgm:spPr/>
    </dgm:pt>
    <dgm:pt modelId="{4240DC85-2809-47C5-90A2-4F2EBE8920B8}" type="pres">
      <dgm:prSet presAssocID="{A7A50DB8-09D4-4094-B2E4-52ADA2F37962}" presName="hierChild3" presStyleCnt="0"/>
      <dgm:spPr/>
    </dgm:pt>
    <dgm:pt modelId="{EB02CBBC-5BD0-4706-AEC8-EB2D47A98B39}" type="pres">
      <dgm:prSet presAssocID="{6A7DAD8B-82C1-4E41-A584-403DAEBFCE05}" presName="Name111" presStyleLbl="parChTrans1D2" presStyleIdx="4" presStyleCnt="5"/>
      <dgm:spPr/>
    </dgm:pt>
    <dgm:pt modelId="{AF39C732-6C37-432C-8A89-F57E5C61A34D}" type="pres">
      <dgm:prSet presAssocID="{B9A2C099-B863-44C8-A01D-D083DC75FEEE}" presName="hierRoot3" presStyleCnt="0">
        <dgm:presLayoutVars>
          <dgm:hierBranch val="init"/>
        </dgm:presLayoutVars>
      </dgm:prSet>
      <dgm:spPr/>
    </dgm:pt>
    <dgm:pt modelId="{2CFFA62C-3CE1-40B5-BCB1-AD688D3CB12D}" type="pres">
      <dgm:prSet presAssocID="{B9A2C099-B863-44C8-A01D-D083DC75FEEE}" presName="rootComposite3" presStyleCnt="0"/>
      <dgm:spPr/>
    </dgm:pt>
    <dgm:pt modelId="{F5C71784-D5E0-4A84-A7FD-EED73BD832B8}" type="pres">
      <dgm:prSet presAssocID="{B9A2C099-B863-44C8-A01D-D083DC75FEEE}" presName="rootText3" presStyleLbl="asst1" presStyleIdx="0" presStyleCnt="1">
        <dgm:presLayoutVars>
          <dgm:chPref val="3"/>
        </dgm:presLayoutVars>
      </dgm:prSet>
      <dgm:spPr/>
    </dgm:pt>
    <dgm:pt modelId="{8DAFAECF-268F-4F06-ACFE-7C562BB688FB}" type="pres">
      <dgm:prSet presAssocID="{B9A2C099-B863-44C8-A01D-D083DC75FEEE}" presName="rootConnector3" presStyleLbl="asst1" presStyleIdx="0" presStyleCnt="1"/>
      <dgm:spPr/>
    </dgm:pt>
    <dgm:pt modelId="{0546653E-6196-4266-8914-520D546217C3}" type="pres">
      <dgm:prSet presAssocID="{B9A2C099-B863-44C8-A01D-D083DC75FEEE}" presName="hierChild6" presStyleCnt="0"/>
      <dgm:spPr/>
    </dgm:pt>
    <dgm:pt modelId="{2762FB53-22E4-4CEA-BC7C-25BB0F3023BA}" type="pres">
      <dgm:prSet presAssocID="{B9A2C099-B863-44C8-A01D-D083DC75FEEE}" presName="hierChild7" presStyleCnt="0"/>
      <dgm:spPr/>
    </dgm:pt>
  </dgm:ptLst>
  <dgm:cxnLst>
    <dgm:cxn modelId="{068BB103-95DF-490B-9FF8-23F949BA76A6}" srcId="{CD5CECF6-5D85-4E22-AC32-B442A4ADA4EE}" destId="{7C8C7DBB-F490-4ED2-84F3-945F508FF91C}" srcOrd="5" destOrd="0" parTransId="{5D40F6A7-4C65-46BF-A731-E2A730794ED5}" sibTransId="{6055C905-7ED5-4882-9238-5CB9251CE06D}"/>
    <dgm:cxn modelId="{5D16C005-EDB4-499F-8021-54B4B8C903D8}" type="presOf" srcId="{7C8C7DBB-F490-4ED2-84F3-945F508FF91C}" destId="{D020FFD2-570B-4710-AF5C-E2243F599DFB}" srcOrd="1" destOrd="0" presId="urn:microsoft.com/office/officeart/2005/8/layout/orgChart1"/>
    <dgm:cxn modelId="{48816D06-8127-4972-B702-E22B36E0C28A}" srcId="{CD5CECF6-5D85-4E22-AC32-B442A4ADA4EE}" destId="{94629DED-41CF-44B0-B351-6CE7FA6C4FAC}" srcOrd="1" destOrd="0" parTransId="{A0941D6B-2F72-44B5-82EB-4739A0DEBEFF}" sibTransId="{FDFFA540-D293-4DF4-84E9-38374A096202}"/>
    <dgm:cxn modelId="{DEB46409-4BEF-49B4-8FEF-0693073BB0B5}" type="presOf" srcId="{21AD2B35-96D7-409D-AF96-2A0145197674}" destId="{5A998737-ADB5-4512-BBF3-5DEB2CAF2012}" srcOrd="1" destOrd="0" presId="urn:microsoft.com/office/officeart/2005/8/layout/orgChart1"/>
    <dgm:cxn modelId="{CD4B5309-A122-4432-803B-4EC43B4A4C81}" type="presOf" srcId="{28BAC349-B48F-40ED-8C5B-AD9417D1DBC0}" destId="{FB7186CD-5958-42DD-AD5B-921A29BC2260}" srcOrd="0" destOrd="0" presId="urn:microsoft.com/office/officeart/2005/8/layout/orgChart1"/>
    <dgm:cxn modelId="{7EA8F00D-E591-4B6A-8668-575E0E2EEF22}" srcId="{914B6520-4F93-4371-9DF0-3E83D93BAC5A}" destId="{DF15A4DF-0F78-423C-AD69-F9FC4B0C50B9}" srcOrd="2" destOrd="0" parTransId="{E6E795BC-D2DE-427E-BEA3-802AC9388A71}" sibTransId="{C23D4865-C383-469B-8489-B0D8BAC3E5B6}"/>
    <dgm:cxn modelId="{05B5A214-03EC-499D-919C-308BF63D17C0}" srcId="{7AEB311E-51E5-4350-9717-106B67ECC79A}" destId="{69B49330-9FC2-42D5-BFC2-DCC1BEA2DAA0}" srcOrd="1" destOrd="0" parTransId="{7F2427F2-37F5-4009-A91A-FF9322667FC8}" sibTransId="{8A452E8B-77B9-4795-9D1E-44AB918DD997}"/>
    <dgm:cxn modelId="{DE128215-5CF7-4399-B377-CA9C75B6B607}" type="presOf" srcId="{21AD2B35-96D7-409D-AF96-2A0145197674}" destId="{9E4E4801-9308-43BA-A715-DAEB8F729F26}" srcOrd="0" destOrd="0" presId="urn:microsoft.com/office/officeart/2005/8/layout/orgChart1"/>
    <dgm:cxn modelId="{0EBD051C-6227-4B4F-BB2D-FC918E927BA4}" srcId="{A7A50DB8-09D4-4094-B2E4-52ADA2F37962}" destId="{7AEB311E-51E5-4350-9717-106B67ECC79A}" srcOrd="4" destOrd="0" parTransId="{FB02A073-6A49-4B78-BC66-4D10484C207B}" sibTransId="{7D8A366C-A390-4D6B-9F05-E2A3BA749474}"/>
    <dgm:cxn modelId="{2D92D51D-33CD-43E1-B3FD-834E1661FACD}" type="presOf" srcId="{D9E172A0-674B-40ED-9A3B-6C73BF73EF9D}" destId="{18809E8A-F2A0-41F5-8CD8-93DC36875A38}" srcOrd="1" destOrd="0" presId="urn:microsoft.com/office/officeart/2005/8/layout/orgChart1"/>
    <dgm:cxn modelId="{E3DC1220-E4AD-4E02-9AAB-1BA97566518D}" srcId="{7AEB311E-51E5-4350-9717-106B67ECC79A}" destId="{BF266F81-EA65-412E-9F01-1BF637335164}" srcOrd="3" destOrd="0" parTransId="{FDE16DBD-033B-47BC-BF52-702D04211CAF}" sibTransId="{BBB62EDC-4D45-4A30-B77F-EE846B55ED46}"/>
    <dgm:cxn modelId="{7D1DA520-2E49-45B1-9FDC-6E0BFBAE2F06}" type="presOf" srcId="{39CFE6AA-6CFB-4CD7-8D91-E83976CA4261}" destId="{E11A719F-A09C-42BA-9639-4690F50014FA}" srcOrd="0" destOrd="0" presId="urn:microsoft.com/office/officeart/2005/8/layout/orgChart1"/>
    <dgm:cxn modelId="{3C4DC620-E1AA-4424-921B-B992422F5FEF}" type="presOf" srcId="{FA600D3D-3E8B-4DF5-8389-39964018EEA6}" destId="{42E43A9F-E943-42E5-8C55-E90ACE444BF2}" srcOrd="1" destOrd="0" presId="urn:microsoft.com/office/officeart/2005/8/layout/orgChart1"/>
    <dgm:cxn modelId="{311E4621-3E9A-4553-8B7F-D447C35F5B0B}" srcId="{914B6520-4F93-4371-9DF0-3E83D93BAC5A}" destId="{6A73765E-6D97-4AAC-B43B-76DACB0E8B1B}" srcOrd="1" destOrd="0" parTransId="{CCC45EB5-0665-4E34-AFF1-959AE7D89978}" sibTransId="{E05E3E44-D97B-4CFE-922E-E9220E657F22}"/>
    <dgm:cxn modelId="{5BFF5C29-C547-4600-9A94-5CFE7FD21202}" type="presOf" srcId="{90C90E06-CA33-4EC4-9170-646A75FBB3A7}" destId="{5235BC4F-27BC-4C69-96B1-EDB00AB65E28}" srcOrd="0" destOrd="0" presId="urn:microsoft.com/office/officeart/2005/8/layout/orgChart1"/>
    <dgm:cxn modelId="{4D15852B-2BA7-4623-99E7-807D76B41E61}" type="presOf" srcId="{7C8C7DBB-F490-4ED2-84F3-945F508FF91C}" destId="{C667B6AC-A6F0-4C0D-8C92-14C554970E94}" srcOrd="0" destOrd="0" presId="urn:microsoft.com/office/officeart/2005/8/layout/orgChart1"/>
    <dgm:cxn modelId="{8823C530-3535-481B-8786-7EB67A4CA009}" type="presOf" srcId="{BF266F81-EA65-412E-9F01-1BF637335164}" destId="{88FD65DB-05ED-4DDE-8B3F-8F4035FC7814}" srcOrd="0" destOrd="0" presId="urn:microsoft.com/office/officeart/2005/8/layout/orgChart1"/>
    <dgm:cxn modelId="{A1FB0234-FF11-4C30-AED9-8A4E22B99959}" type="presOf" srcId="{A2681BA2-9094-4BBF-AFC8-E00A1116518E}" destId="{00BCAA54-286F-4C3B-90BE-659D2188F147}" srcOrd="0" destOrd="0" presId="urn:microsoft.com/office/officeart/2005/8/layout/orgChart1"/>
    <dgm:cxn modelId="{BBB19935-26AC-4D08-84D9-5D8D97A104A1}" type="presOf" srcId="{6A73765E-6D97-4AAC-B43B-76DACB0E8B1B}" destId="{1018633A-474E-4EB8-84AB-2E1993311C0B}" srcOrd="0" destOrd="0" presId="urn:microsoft.com/office/officeart/2005/8/layout/orgChart1"/>
    <dgm:cxn modelId="{8B350A39-B423-4626-A33B-5CF55ACC7DBB}" type="presOf" srcId="{E6E795BC-D2DE-427E-BEA3-802AC9388A71}" destId="{36CD85EA-6922-4411-A773-53F2E9A9F508}" srcOrd="0" destOrd="0" presId="urn:microsoft.com/office/officeart/2005/8/layout/orgChart1"/>
    <dgm:cxn modelId="{E615773B-F305-4843-9829-B3A8FFA027D3}" type="presOf" srcId="{C2B6756E-4D7A-4EDA-9AEA-D3ED2CD83D7D}" destId="{95D3F27B-05C1-49C8-8A57-05AF1BEBEEAB}" srcOrd="0" destOrd="0" presId="urn:microsoft.com/office/officeart/2005/8/layout/orgChart1"/>
    <dgm:cxn modelId="{F394495F-F5C8-4219-9CBE-48CA7DF5062F}" type="presOf" srcId="{FA600D3D-3E8B-4DF5-8389-39964018EEA6}" destId="{48AB38C2-1A6E-41A6-8A03-FD7F0406D7E5}" srcOrd="0" destOrd="0" presId="urn:microsoft.com/office/officeart/2005/8/layout/orgChart1"/>
    <dgm:cxn modelId="{0D498A60-A89F-46F7-BE4B-202022AA7650}" type="presOf" srcId="{7AEB311E-51E5-4350-9717-106B67ECC79A}" destId="{92C773A9-D259-4F1E-B8D7-EFCCB81200BC}" srcOrd="0" destOrd="0" presId="urn:microsoft.com/office/officeart/2005/8/layout/orgChart1"/>
    <dgm:cxn modelId="{913E7A61-2E7B-4457-8241-3E7C86947A3D}" type="presOf" srcId="{F9E4685B-9EC4-49A0-A13E-218F8ED353FC}" destId="{A33A35EC-EB4E-4439-AD7B-8CC93B6FF300}" srcOrd="0" destOrd="0" presId="urn:microsoft.com/office/officeart/2005/8/layout/orgChart1"/>
    <dgm:cxn modelId="{FBB65A61-E535-48DC-96E2-0854E8FDEDC5}" type="presOf" srcId="{6A7DAD8B-82C1-4E41-A584-403DAEBFCE05}" destId="{EB02CBBC-5BD0-4706-AEC8-EB2D47A98B39}" srcOrd="0" destOrd="0" presId="urn:microsoft.com/office/officeart/2005/8/layout/orgChart1"/>
    <dgm:cxn modelId="{EF854143-B7BC-4292-896F-1B269BF9F38B}" srcId="{A7A50DB8-09D4-4094-B2E4-52ADA2F37962}" destId="{914B6520-4F93-4371-9DF0-3E83D93BAC5A}" srcOrd="2" destOrd="0" parTransId="{39CFE6AA-6CFB-4CD7-8D91-E83976CA4261}" sibTransId="{D097698C-C3E1-49D8-A631-C1FEBEB88E88}"/>
    <dgm:cxn modelId="{563D7B43-5E5F-4F69-855E-09A7F6AEB74B}" srcId="{7AEB311E-51E5-4350-9717-106B67ECC79A}" destId="{EBFB0D50-7508-45BD-B0CA-8EFE70DBDDFD}" srcOrd="4" destOrd="0" parTransId="{AE45F58E-A836-47DD-858C-D84F770C38EA}" sibTransId="{11B4ABFB-5FFE-4BA0-BE8A-BA892DD04034}"/>
    <dgm:cxn modelId="{BF9E9745-6504-46D2-9D56-9C9DDCEBE5D4}" type="presOf" srcId="{28BAC349-B48F-40ED-8C5B-AD9417D1DBC0}" destId="{A7BFC1E6-74F4-4F34-8C05-E504BE8BADEF}" srcOrd="1" destOrd="0" presId="urn:microsoft.com/office/officeart/2005/8/layout/orgChart1"/>
    <dgm:cxn modelId="{F8621147-6E32-4499-8253-8B83883DF361}" type="presOf" srcId="{F0AF9DDB-8D83-4545-9A7C-6A1C5629CD8B}" destId="{F118FA5C-8018-4E97-A5A1-98C1AB5433BB}" srcOrd="0" destOrd="0" presId="urn:microsoft.com/office/officeart/2005/8/layout/orgChart1"/>
    <dgm:cxn modelId="{7A608147-7BAF-4C2A-9B51-42CB3ADAB03A}" type="presOf" srcId="{DF15A4DF-0F78-423C-AD69-F9FC4B0C50B9}" destId="{99FA7DE0-9618-4F38-A8E4-420D511BD901}" srcOrd="1" destOrd="0" presId="urn:microsoft.com/office/officeart/2005/8/layout/orgChart1"/>
    <dgm:cxn modelId="{60B9E067-045E-4C07-B4B8-1AC4EFBB2505}" type="presOf" srcId="{E4FFD212-63AE-4870-BDF0-29A031D83362}" destId="{31EF4169-C852-4511-BD4F-A0D9A0687421}" srcOrd="0" destOrd="0" presId="urn:microsoft.com/office/officeart/2005/8/layout/orgChart1"/>
    <dgm:cxn modelId="{5251474A-C331-44B7-85A0-A27C5A37A3C1}" type="presOf" srcId="{8D6085DA-CB8E-4865-9D95-71E8791711F7}" destId="{D75E6025-21B9-427C-A938-254BD6090C91}" srcOrd="0" destOrd="0" presId="urn:microsoft.com/office/officeart/2005/8/layout/orgChart1"/>
    <dgm:cxn modelId="{F8B20C4C-A2C1-43E9-97DE-4EB370539E2D}" srcId="{CD5CECF6-5D85-4E22-AC32-B442A4ADA4EE}" destId="{796D5CC7-C93A-44B9-A8D9-3C0BE95656FE}" srcOrd="2" destOrd="0" parTransId="{B022F3A0-0ACC-42A6-9762-B15BF18B11C8}" sibTransId="{5801563D-8958-4A08-8A4C-8D8C684E03ED}"/>
    <dgm:cxn modelId="{A2256F6D-C71B-44D6-88FD-18D397BEA715}" type="presOf" srcId="{F9E4685B-9EC4-49A0-A13E-218F8ED353FC}" destId="{4C0A5C79-C981-46C8-BF1B-B6AB08AC418B}" srcOrd="1" destOrd="0" presId="urn:microsoft.com/office/officeart/2005/8/layout/orgChart1"/>
    <dgm:cxn modelId="{938AC36D-D7C0-4028-9FDC-583FD58E74E6}" srcId="{A7A50DB8-09D4-4094-B2E4-52ADA2F37962}" destId="{21AD2B35-96D7-409D-AF96-2A0145197674}" srcOrd="3" destOrd="0" parTransId="{00C5EAB5-DC5F-4D03-9926-A8AD85762B70}" sibTransId="{DF789781-26B4-4646-9F61-CA1698D43F2F}"/>
    <dgm:cxn modelId="{E78F346E-0279-4CAC-B498-EFEB2C3F966A}" type="presOf" srcId="{B9A2C099-B863-44C8-A01D-D083DC75FEEE}" destId="{8DAFAECF-268F-4F06-ACFE-7C562BB688FB}" srcOrd="1" destOrd="0" presId="urn:microsoft.com/office/officeart/2005/8/layout/orgChart1"/>
    <dgm:cxn modelId="{ADEDB850-2877-495F-ACB5-443ECD3968C1}" type="presOf" srcId="{6F3355DE-7C96-4FF0-81D7-DDF6174BDC94}" destId="{A1F16312-792B-4C01-8ACA-DEB9E0458479}" srcOrd="0" destOrd="0" presId="urn:microsoft.com/office/officeart/2005/8/layout/orgChart1"/>
    <dgm:cxn modelId="{5DE8CD70-C103-4192-B097-F63DB828E47D}" type="presOf" srcId="{B0FD43E7-E6C3-4F23-A896-3B8A723634F7}" destId="{F23DA57A-FF5C-4FF0-8838-1AD25DF3ACA0}" srcOrd="0" destOrd="0" presId="urn:microsoft.com/office/officeart/2005/8/layout/orgChart1"/>
    <dgm:cxn modelId="{72CE2D73-9A86-425F-928B-4E6ECEDA62A0}" type="presOf" srcId="{86E1688F-F842-4FEC-BBF3-01F043040AA5}" destId="{42014BCB-E88C-44D7-AAF7-D6E726C2C144}" srcOrd="1" destOrd="0" presId="urn:microsoft.com/office/officeart/2005/8/layout/orgChart1"/>
    <dgm:cxn modelId="{2A0C2E79-A043-4EB9-BFFA-F092965A8121}" srcId="{21AD2B35-96D7-409D-AF96-2A0145197674}" destId="{F9E4685B-9EC4-49A0-A13E-218F8ED353FC}" srcOrd="1" destOrd="0" parTransId="{F0AF9DDB-8D83-4545-9A7C-6A1C5629CD8B}" sibTransId="{70439485-C004-486E-A81C-8B15AE2267DB}"/>
    <dgm:cxn modelId="{15F26A79-FBFD-4CB2-8EB4-7B22EA9B2B67}" type="presOf" srcId="{6A73765E-6D97-4AAC-B43B-76DACB0E8B1B}" destId="{AAFC2384-C664-44F1-939D-E2610FBB32AA}" srcOrd="1" destOrd="0" presId="urn:microsoft.com/office/officeart/2005/8/layout/orgChart1"/>
    <dgm:cxn modelId="{2F973E5A-76ED-4413-9F26-0A0FCCA666F9}" type="presOf" srcId="{7AEB311E-51E5-4350-9717-106B67ECC79A}" destId="{51D56ECE-EBF0-449A-8D7C-90BC74D2C571}" srcOrd="1" destOrd="0" presId="urn:microsoft.com/office/officeart/2005/8/layout/orgChart1"/>
    <dgm:cxn modelId="{5421817A-376F-4A90-B7F5-0A5E926324E6}" type="presOf" srcId="{6F3355DE-7C96-4FF0-81D7-DDF6174BDC94}" destId="{7E3A3BC2-DD68-40A6-A35C-34CF44B93B4D}" srcOrd="1" destOrd="0" presId="urn:microsoft.com/office/officeart/2005/8/layout/orgChart1"/>
    <dgm:cxn modelId="{CB5D927A-2E9C-48AB-8B8D-30B2FF21DB15}" type="presOf" srcId="{BA4BE093-F64A-4D5B-A642-821778F954F0}" destId="{17B579BB-4DD0-4C04-ADF0-69AC66D87263}" srcOrd="0" destOrd="0" presId="urn:microsoft.com/office/officeart/2005/8/layout/orgChart1"/>
    <dgm:cxn modelId="{9E19117C-6657-4796-AE1C-21F9061F828A}" type="presOf" srcId="{69B49330-9FC2-42D5-BFC2-DCC1BEA2DAA0}" destId="{2FF39C86-D091-4F9A-9B9D-74C558CA076F}" srcOrd="0" destOrd="0" presId="urn:microsoft.com/office/officeart/2005/8/layout/orgChart1"/>
    <dgm:cxn modelId="{CC251E7D-6B5C-49D3-B906-D3C5E6A915F2}" srcId="{7AEB311E-51E5-4350-9717-106B67ECC79A}" destId="{D75D3003-B385-4227-990E-A4DCFCB76F25}" srcOrd="5" destOrd="0" parTransId="{C2B6756E-4D7A-4EDA-9AEA-D3ED2CD83D7D}" sibTransId="{2E5F1467-7A58-4E1B-BEA3-117268EAFDA2}"/>
    <dgm:cxn modelId="{C275937E-8FAA-4547-BB1B-792842C311E1}" type="presOf" srcId="{C2FDCF36-D137-4D84-92B2-1FB5283A6AD0}" destId="{866E0E98-4E3C-42E2-A66E-0D8D5F113DC7}" srcOrd="0" destOrd="0" presId="urn:microsoft.com/office/officeart/2005/8/layout/orgChart1"/>
    <dgm:cxn modelId="{370FD77E-EF2A-46D7-A416-1DEE22B5D461}" srcId="{21AD2B35-96D7-409D-AF96-2A0145197674}" destId="{FA600D3D-3E8B-4DF5-8389-39964018EEA6}" srcOrd="3" destOrd="0" parTransId="{45E8E5B2-E4FC-4B53-852B-83284C0B786A}" sibTransId="{1F15113F-F67F-4F95-B6A5-BB97939BCF59}"/>
    <dgm:cxn modelId="{99FF517F-7788-42D8-878A-FB2498C5705D}" type="presOf" srcId="{86E1688F-F842-4FEC-BBF3-01F043040AA5}" destId="{4896BE33-8B2E-473A-811F-94A82F5C9500}" srcOrd="0" destOrd="0" presId="urn:microsoft.com/office/officeart/2005/8/layout/orgChart1"/>
    <dgm:cxn modelId="{4011B67F-1486-416D-8901-C500A01F92F8}" srcId="{CD5CECF6-5D85-4E22-AC32-B442A4ADA4EE}" destId="{5E694851-DCD4-4B3F-BFDA-47C0E181E728}" srcOrd="3" destOrd="0" parTransId="{F12B699D-D3A3-4C2D-94C1-E060D45F704B}" sibTransId="{A995E5E8-4C4B-44CA-9333-3C4FDFF547C4}"/>
    <dgm:cxn modelId="{08C42080-0290-4F37-A195-1E556C5BC2E6}" type="presOf" srcId="{D9E172A0-674B-40ED-9A3B-6C73BF73EF9D}" destId="{2FC91C9A-D908-499F-AD2F-DDF5D6890CAA}" srcOrd="0" destOrd="0" presId="urn:microsoft.com/office/officeart/2005/8/layout/orgChart1"/>
    <dgm:cxn modelId="{C0B6DC84-A7B2-44FA-817C-6CF59A3CA5AD}" type="presOf" srcId="{EBFB0D50-7508-45BD-B0CA-8EFE70DBDDFD}" destId="{B024A9EA-30D8-4D81-A0D6-7944B803AC63}" srcOrd="0" destOrd="0" presId="urn:microsoft.com/office/officeart/2005/8/layout/orgChart1"/>
    <dgm:cxn modelId="{952F3785-24ED-4622-99A8-43851BBB9C52}" type="presOf" srcId="{EBFB0D50-7508-45BD-B0CA-8EFE70DBDDFD}" destId="{4EDC534D-867E-4040-BB51-4ABFD74349C7}" srcOrd="1" destOrd="0" presId="urn:microsoft.com/office/officeart/2005/8/layout/orgChart1"/>
    <dgm:cxn modelId="{F092BA88-0F1B-4792-8BEA-67BA4CA70EEA}" type="presOf" srcId="{FD64D414-5CF4-4F50-A069-2712E6CF5A9F}" destId="{BBF7E4F7-3790-4997-A3A2-41BEFE09E50D}" srcOrd="0" destOrd="0" presId="urn:microsoft.com/office/officeart/2005/8/layout/orgChart1"/>
    <dgm:cxn modelId="{FB8ADB8C-D948-45E4-BFFF-490FD4AAA6F4}" type="presOf" srcId="{95B5BBA1-B912-4F90-9E66-8DAF2275CE23}" destId="{110E486E-686C-40EC-922A-6053848D1449}" srcOrd="1" destOrd="0" presId="urn:microsoft.com/office/officeart/2005/8/layout/orgChart1"/>
    <dgm:cxn modelId="{4411668E-8731-4F07-8FFE-9EA613CC70FF}" type="presOf" srcId="{C2FDCF36-D137-4D84-92B2-1FB5283A6AD0}" destId="{D3BC6035-727A-46D1-AB7E-18B0E8CEF243}" srcOrd="1" destOrd="0" presId="urn:microsoft.com/office/officeart/2005/8/layout/orgChart1"/>
    <dgm:cxn modelId="{E3F2A38E-C4E2-4661-8E03-FEB95E9B8A49}" type="presOf" srcId="{69B49330-9FC2-42D5-BFC2-DCC1BEA2DAA0}" destId="{1E09C604-F447-44E8-A59E-8E31E0670460}" srcOrd="1" destOrd="0" presId="urn:microsoft.com/office/officeart/2005/8/layout/orgChart1"/>
    <dgm:cxn modelId="{4889A691-8EB2-4B00-90DE-E8088CCBABCB}" type="presOf" srcId="{7F2427F2-37F5-4009-A91A-FF9322667FC8}" destId="{9A338828-B52D-4B1A-A45B-A708E6B03D4A}" srcOrd="0" destOrd="0" presId="urn:microsoft.com/office/officeart/2005/8/layout/orgChart1"/>
    <dgm:cxn modelId="{03C74F93-1A64-40B3-9EC3-A8A74DC31EA3}" type="presOf" srcId="{A0941D6B-2F72-44B5-82EB-4739A0DEBEFF}" destId="{0101F265-0063-471A-81A3-93F9B3B9E1ED}" srcOrd="0" destOrd="0" presId="urn:microsoft.com/office/officeart/2005/8/layout/orgChart1"/>
    <dgm:cxn modelId="{65E5C093-112B-4279-B232-BE4E0E48098C}" srcId="{7AEB311E-51E5-4350-9717-106B67ECC79A}" destId="{7390BDC3-410A-46BE-9419-B809C7DB6F4E}" srcOrd="2" destOrd="0" parTransId="{0C343BE7-2460-4747-95CF-918F95857F1A}" sibTransId="{3EE6F96E-4B61-46C1-B925-FD56F914A75F}"/>
    <dgm:cxn modelId="{B99DFF93-065F-4D9C-B6E2-57FDDD5D8B98}" type="presOf" srcId="{AE45F58E-A836-47DD-858C-D84F770C38EA}" destId="{FD0DA0CB-A8A6-4435-83A9-2639F4645F83}" srcOrd="0" destOrd="0" presId="urn:microsoft.com/office/officeart/2005/8/layout/orgChart1"/>
    <dgm:cxn modelId="{96F38396-FE65-406F-B0EB-3EAB9F5CCCC1}" srcId="{8D6085DA-CB8E-4865-9D95-71E8791711F7}" destId="{A7A50DB8-09D4-4094-B2E4-52ADA2F37962}" srcOrd="0" destOrd="0" parTransId="{FCE51657-9D8A-4301-AAD8-0B800DACCF3B}" sibTransId="{597A37B7-40F9-4FB8-8A43-511B15071A19}"/>
    <dgm:cxn modelId="{6D568497-B77F-4BAC-8E24-E6AFC6B961DE}" type="presOf" srcId="{45E8E5B2-E4FC-4B53-852B-83284C0B786A}" destId="{FE9AE0D9-ED38-4782-B689-BF0333EFCA4C}" srcOrd="0" destOrd="0" presId="urn:microsoft.com/office/officeart/2005/8/layout/orgChart1"/>
    <dgm:cxn modelId="{A0F67A99-7E94-40C8-A3E9-D5DC7D060B85}" type="presOf" srcId="{FDE16DBD-033B-47BC-BF52-702D04211CAF}" destId="{868867D7-994C-4F03-8C61-BA6339A8ABB9}" srcOrd="0" destOrd="0" presId="urn:microsoft.com/office/officeart/2005/8/layout/orgChart1"/>
    <dgm:cxn modelId="{6AF6ED99-A423-4F29-B2E7-19C19762857E}" type="presOf" srcId="{B9A2C099-B863-44C8-A01D-D083DC75FEEE}" destId="{F5C71784-D5E0-4A84-A7FD-EED73BD832B8}" srcOrd="0" destOrd="0" presId="urn:microsoft.com/office/officeart/2005/8/layout/orgChart1"/>
    <dgm:cxn modelId="{DCC7AE9D-73FD-42CC-A9DA-2D27EA36C502}" type="presOf" srcId="{796D5CC7-C93A-44B9-A8D9-3C0BE95656FE}" destId="{630000CA-CAB5-4114-9E42-404F0E865344}" srcOrd="1" destOrd="0" presId="urn:microsoft.com/office/officeart/2005/8/layout/orgChart1"/>
    <dgm:cxn modelId="{186FF0A3-69F1-4CD3-A199-528403B0DDFE}" type="presOf" srcId="{7390BDC3-410A-46BE-9419-B809C7DB6F4E}" destId="{B53F48EF-4BD8-44D2-9747-B2E61B3DC235}" srcOrd="1" destOrd="0" presId="urn:microsoft.com/office/officeart/2005/8/layout/orgChart1"/>
    <dgm:cxn modelId="{6E0B44A5-FC20-406C-AEEE-FF104F81AD75}" type="presOf" srcId="{914B6520-4F93-4371-9DF0-3E83D93BAC5A}" destId="{CB96BE56-647C-4DC9-95C8-F0306C8D29E2}" srcOrd="1" destOrd="0" presId="urn:microsoft.com/office/officeart/2005/8/layout/orgChart1"/>
    <dgm:cxn modelId="{B9024BA5-24CF-4673-B2AF-FE781BB244AD}" type="presOf" srcId="{95B5BBA1-B912-4F90-9E66-8DAF2275CE23}" destId="{4C36608C-C753-40C5-BA8E-71B45715778F}" srcOrd="0" destOrd="0" presId="urn:microsoft.com/office/officeart/2005/8/layout/orgChart1"/>
    <dgm:cxn modelId="{7EF85DA6-0C40-4F5F-A37F-A2032C379688}" type="presOf" srcId="{CD5CECF6-5D85-4E22-AC32-B442A4ADA4EE}" destId="{B356DB7D-7C23-4F9D-808F-F1B0CFCF6F6C}" srcOrd="0" destOrd="0" presId="urn:microsoft.com/office/officeart/2005/8/layout/orgChart1"/>
    <dgm:cxn modelId="{B99762A6-C66A-4974-943F-E898B7352F53}" srcId="{21AD2B35-96D7-409D-AF96-2A0145197674}" destId="{95B5BBA1-B912-4F90-9E66-8DAF2275CE23}" srcOrd="0" destOrd="0" parTransId="{4BBA92A6-4BF1-421F-A1AA-0497F90258AF}" sibTransId="{70A222A6-B95E-4CDA-BECE-55BC4646CBC6}"/>
    <dgm:cxn modelId="{708005A8-1DFA-46DE-AAFE-9A676B5A80D3}" type="presOf" srcId="{DF15A4DF-0F78-423C-AD69-F9FC4B0C50B9}" destId="{A004A5F6-22F5-477B-8E25-546ED588730B}" srcOrd="0" destOrd="0" presId="urn:microsoft.com/office/officeart/2005/8/layout/orgChart1"/>
    <dgm:cxn modelId="{34878AAA-A3A1-4147-B422-3175F7141089}" type="presOf" srcId="{112EE4BC-D392-4572-976F-BDF4711959E7}" destId="{35F530B3-93D6-4FE4-96EE-23C97F659921}" srcOrd="0" destOrd="0" presId="urn:microsoft.com/office/officeart/2005/8/layout/orgChart1"/>
    <dgm:cxn modelId="{00EF12AC-BB8C-43AD-9FAF-E481CF7AD2E3}" type="presOf" srcId="{B022F3A0-0ACC-42A6-9762-B15BF18B11C8}" destId="{ABAD48C7-D894-4C0C-BD5F-83EE58D79769}" srcOrd="0" destOrd="0" presId="urn:microsoft.com/office/officeart/2005/8/layout/orgChart1"/>
    <dgm:cxn modelId="{EAEA19AC-7D17-428E-844C-CD355EC6CCFA}" srcId="{914B6520-4F93-4371-9DF0-3E83D93BAC5A}" destId="{112EE4BC-D392-4572-976F-BDF4711959E7}" srcOrd="3" destOrd="0" parTransId="{9526A8C6-5373-42BB-98A5-F4DD4EAFC67F}" sibTransId="{CCFFF0CE-C8B5-4B1C-BCB6-65EA8ED6D145}"/>
    <dgm:cxn modelId="{D69BB6AC-56F7-4077-9E38-92322F3B4067}" type="presOf" srcId="{7390BDC3-410A-46BE-9419-B809C7DB6F4E}" destId="{596C76DC-00FD-4184-A4DD-BC65F4DF1FAE}" srcOrd="0" destOrd="0" presId="urn:microsoft.com/office/officeart/2005/8/layout/orgChart1"/>
    <dgm:cxn modelId="{DC8D42B1-662E-4DD5-B966-BC79974F31B0}" type="presOf" srcId="{BF266F81-EA65-412E-9F01-1BF637335164}" destId="{929593B5-D8F2-4DE8-B7A2-8B7641A35B2E}" srcOrd="1" destOrd="0" presId="urn:microsoft.com/office/officeart/2005/8/layout/orgChart1"/>
    <dgm:cxn modelId="{658C7CB2-9110-4395-9136-5B231D3DFD68}" type="presOf" srcId="{CCC45EB5-0665-4E34-AFF1-959AE7D89978}" destId="{1AA92768-8061-46A9-B58B-510A77639706}" srcOrd="0" destOrd="0" presId="urn:microsoft.com/office/officeart/2005/8/layout/orgChart1"/>
    <dgm:cxn modelId="{033B61B3-0E7A-47F5-BB24-A1A63AE8FFF4}" srcId="{A7A50DB8-09D4-4094-B2E4-52ADA2F37962}" destId="{B9A2C099-B863-44C8-A01D-D083DC75FEEE}" srcOrd="0" destOrd="0" parTransId="{6A7DAD8B-82C1-4E41-A584-403DAEBFCE05}" sibTransId="{1881D3B1-D7A2-4004-9379-C4C97A828B6D}"/>
    <dgm:cxn modelId="{018E75B3-EDDF-4381-AD15-F9486C1EF9CD}" srcId="{914B6520-4F93-4371-9DF0-3E83D93BAC5A}" destId="{28BAC349-B48F-40ED-8C5B-AD9417D1DBC0}" srcOrd="0" destOrd="0" parTransId="{DE82A580-8F9D-4753-9CF5-9745527F2B98}" sibTransId="{F67CCEA1-A1C4-473D-8804-E1BF00F78ABE}"/>
    <dgm:cxn modelId="{F893ECB4-A665-4791-A3F7-FC5D7B18549B}" type="presOf" srcId="{112EE4BC-D392-4572-976F-BDF4711959E7}" destId="{B1746B45-578A-4826-B293-D2FF0092D93B}" srcOrd="1" destOrd="0" presId="urn:microsoft.com/office/officeart/2005/8/layout/orgChart1"/>
    <dgm:cxn modelId="{90038FB5-20A7-4EB3-8CD5-472B772B6DB8}" type="presOf" srcId="{902A8E99-AAD2-4398-A32D-1C66E94AE715}" destId="{68D568EC-2EA9-4A92-ABD1-0D594917CB25}" srcOrd="0" destOrd="0" presId="urn:microsoft.com/office/officeart/2005/8/layout/orgChart1"/>
    <dgm:cxn modelId="{C43A95B7-D12A-43AD-8B15-59E01A2B0E8D}" type="presOf" srcId="{94629DED-41CF-44B0-B351-6CE7FA6C4FAC}" destId="{368DCD1B-FCCA-4432-969C-AB540438CD87}" srcOrd="0" destOrd="0" presId="urn:microsoft.com/office/officeart/2005/8/layout/orgChart1"/>
    <dgm:cxn modelId="{F54D7AB8-713D-4A7A-9123-2E43E095C496}" type="presOf" srcId="{5D40F6A7-4C65-46BF-A731-E2A730794ED5}" destId="{76047D46-3293-4D83-998A-7DE525101B1E}" srcOrd="0" destOrd="0" presId="urn:microsoft.com/office/officeart/2005/8/layout/orgChart1"/>
    <dgm:cxn modelId="{622ADCBA-7B85-4EAF-B168-ADA7762995EE}" srcId="{21AD2B35-96D7-409D-AF96-2A0145197674}" destId="{86E1688F-F842-4FEC-BBF3-01F043040AA5}" srcOrd="2" destOrd="0" parTransId="{90C90E06-CA33-4EC4-9170-646A75FBB3A7}" sibTransId="{CA6C4A1D-4ADD-4F8F-AFEE-50BCB26F2130}"/>
    <dgm:cxn modelId="{D9D77FBC-9B94-4578-B64C-25C5126E7BDD}" srcId="{A7A50DB8-09D4-4094-B2E4-52ADA2F37962}" destId="{CD5CECF6-5D85-4E22-AC32-B442A4ADA4EE}" srcOrd="1" destOrd="0" parTransId="{B0FD43E7-E6C3-4F23-A896-3B8A723634F7}" sibTransId="{A474594F-F6E3-4C71-A2BF-CAFA0CA77187}"/>
    <dgm:cxn modelId="{71DEE4BD-2655-408A-8AF2-51DDBEC74F49}" srcId="{CD5CECF6-5D85-4E22-AC32-B442A4ADA4EE}" destId="{D9E172A0-674B-40ED-9A3B-6C73BF73EF9D}" srcOrd="0" destOrd="0" parTransId="{A2681BA2-9094-4BBF-AFC8-E00A1116518E}" sibTransId="{51A7FC8B-E483-40C0-BF25-8842C3E8E89F}"/>
    <dgm:cxn modelId="{9640DCBE-036C-47C9-B4CA-99B03563A6F4}" type="presOf" srcId="{00C5EAB5-DC5F-4D03-9926-A8AD85762B70}" destId="{EC74FFC8-1576-4C0D-A91C-F278A868962E}" srcOrd="0" destOrd="0" presId="urn:microsoft.com/office/officeart/2005/8/layout/orgChart1"/>
    <dgm:cxn modelId="{6E40FCC4-AFB9-4AC3-AEE9-DD48A5152AE7}" srcId="{CD5CECF6-5D85-4E22-AC32-B442A4ADA4EE}" destId="{6F3355DE-7C96-4FF0-81D7-DDF6174BDC94}" srcOrd="4" destOrd="0" parTransId="{BA4BE093-F64A-4D5B-A642-821778F954F0}" sibTransId="{3D4573C7-D904-4CEE-8745-A899970E6655}"/>
    <dgm:cxn modelId="{2378A4C5-18E6-4604-A798-01450EA76C98}" type="presOf" srcId="{DE82A580-8F9D-4753-9CF5-9745527F2B98}" destId="{D542F73F-3AF0-49C7-8D76-EB557D073F4B}" srcOrd="0" destOrd="0" presId="urn:microsoft.com/office/officeart/2005/8/layout/orgChart1"/>
    <dgm:cxn modelId="{CADD11C6-F9C2-4142-9548-00FDEFD1400D}" type="presOf" srcId="{796D5CC7-C93A-44B9-A8D9-3C0BE95656FE}" destId="{038E0F0E-A221-4EB4-8ACA-08188EC7690F}" srcOrd="0" destOrd="0" presId="urn:microsoft.com/office/officeart/2005/8/layout/orgChart1"/>
    <dgm:cxn modelId="{3B7AC1C6-EB96-49EF-90EB-89D5AD235981}" type="presOf" srcId="{9526A8C6-5373-42BB-98A5-F4DD4EAFC67F}" destId="{3D5E7CC6-C24B-447F-B5D1-26978F19070E}" srcOrd="0" destOrd="0" presId="urn:microsoft.com/office/officeart/2005/8/layout/orgChart1"/>
    <dgm:cxn modelId="{DC250BC9-1483-45AA-86A8-17A16104E98A}" type="presOf" srcId="{D75D3003-B385-4227-990E-A4DCFCB76F25}" destId="{97166BC2-E115-45A0-AB33-6C7A4F301369}" srcOrd="0" destOrd="0" presId="urn:microsoft.com/office/officeart/2005/8/layout/orgChart1"/>
    <dgm:cxn modelId="{3361C1CB-C44F-434A-9A22-4178C72C383F}" type="presOf" srcId="{914B6520-4F93-4371-9DF0-3E83D93BAC5A}" destId="{55E9ACFA-4162-4695-89E1-ECF3DE11C1A2}" srcOrd="0" destOrd="0" presId="urn:microsoft.com/office/officeart/2005/8/layout/orgChart1"/>
    <dgm:cxn modelId="{B22E7CCD-B3FB-4A96-AD90-B63556036233}" type="presOf" srcId="{D75D3003-B385-4227-990E-A4DCFCB76F25}" destId="{B3013DA7-D732-47D7-9905-E772C52F06FB}" srcOrd="1" destOrd="0" presId="urn:microsoft.com/office/officeart/2005/8/layout/orgChart1"/>
    <dgm:cxn modelId="{0129D7CD-F901-4AED-9CD9-A472EEB449CC}" type="presOf" srcId="{94629DED-41CF-44B0-B351-6CE7FA6C4FAC}" destId="{B5F432E9-E50A-4CFF-8EC3-506371CA5000}" srcOrd="1" destOrd="0" presId="urn:microsoft.com/office/officeart/2005/8/layout/orgChart1"/>
    <dgm:cxn modelId="{E81B37D0-67B5-4404-BBC1-A4A969167F18}" type="presOf" srcId="{FB02A073-6A49-4B78-BC66-4D10484C207B}" destId="{88162098-0AA2-4260-B38F-1BD6D377B44F}" srcOrd="0" destOrd="0" presId="urn:microsoft.com/office/officeart/2005/8/layout/orgChart1"/>
    <dgm:cxn modelId="{F46974D0-FDD4-477F-A4B6-7C729ECC0735}" srcId="{7AEB311E-51E5-4350-9717-106B67ECC79A}" destId="{902A8E99-AAD2-4398-A32D-1C66E94AE715}" srcOrd="0" destOrd="0" parTransId="{E4FFD212-63AE-4870-BDF0-29A031D83362}" sibTransId="{3472E394-599E-4F34-95CF-3487B53D23BE}"/>
    <dgm:cxn modelId="{1CA64DD6-E57D-4E7C-9B4B-86C6DAE42507}" type="presOf" srcId="{5E694851-DCD4-4B3F-BFDA-47C0E181E728}" destId="{92795619-8848-42B4-94DF-923F4BD4C058}" srcOrd="0" destOrd="0" presId="urn:microsoft.com/office/officeart/2005/8/layout/orgChart1"/>
    <dgm:cxn modelId="{2B5320D7-FEF0-4223-AAA0-E6D95D857705}" type="presOf" srcId="{5E694851-DCD4-4B3F-BFDA-47C0E181E728}" destId="{2C1B5473-02AE-4347-9634-D5D307833859}" srcOrd="1" destOrd="0" presId="urn:microsoft.com/office/officeart/2005/8/layout/orgChart1"/>
    <dgm:cxn modelId="{CFD41DD9-C4B2-4E78-9D85-1884ACDA48C5}" srcId="{21AD2B35-96D7-409D-AF96-2A0145197674}" destId="{C2FDCF36-D137-4D84-92B2-1FB5283A6AD0}" srcOrd="4" destOrd="0" parTransId="{FD64D414-5CF4-4F50-A069-2712E6CF5A9F}" sibTransId="{E721E5EF-819F-4617-98A3-1996E27B5A4B}"/>
    <dgm:cxn modelId="{1A41AADD-3E63-40C1-93E5-69700775DD98}" type="presOf" srcId="{902A8E99-AAD2-4398-A32D-1C66E94AE715}" destId="{9A41182C-062D-4D4B-874A-B0866FF84991}" srcOrd="1" destOrd="0" presId="urn:microsoft.com/office/officeart/2005/8/layout/orgChart1"/>
    <dgm:cxn modelId="{128890E2-CB70-4FDF-9022-4AD60CBB3906}" type="presOf" srcId="{CD5CECF6-5D85-4E22-AC32-B442A4ADA4EE}" destId="{1AD6DC54-FAE7-4516-B451-92B5239727C6}" srcOrd="1" destOrd="0" presId="urn:microsoft.com/office/officeart/2005/8/layout/orgChart1"/>
    <dgm:cxn modelId="{DA86C9E6-B2D1-496A-978A-9FA280B87415}" type="presOf" srcId="{F12B699D-D3A3-4C2D-94C1-E060D45F704B}" destId="{55DA4ABA-B282-42DF-987A-12665283EF0A}" srcOrd="0" destOrd="0" presId="urn:microsoft.com/office/officeart/2005/8/layout/orgChart1"/>
    <dgm:cxn modelId="{CC2352E9-E42E-41D7-A7CF-A8A804F2D18B}" type="presOf" srcId="{A7A50DB8-09D4-4094-B2E4-52ADA2F37962}" destId="{3247F569-5E4F-47EB-B833-A1D6B99D3BA5}" srcOrd="1" destOrd="0" presId="urn:microsoft.com/office/officeart/2005/8/layout/orgChart1"/>
    <dgm:cxn modelId="{FA132CFC-82AD-4EB3-8AFC-C4F0D61AD0D0}" type="presOf" srcId="{A7A50DB8-09D4-4094-B2E4-52ADA2F37962}" destId="{419F9161-5C07-4141-ADEF-D296609BE8E2}" srcOrd="0" destOrd="0" presId="urn:microsoft.com/office/officeart/2005/8/layout/orgChart1"/>
    <dgm:cxn modelId="{8BA0CBFD-577D-48B4-B059-63111E51DB73}" type="presOf" srcId="{4BBA92A6-4BF1-421F-A1AA-0497F90258AF}" destId="{3C4855FD-14B4-4319-B3A7-C9DE8B6182B7}" srcOrd="0" destOrd="0" presId="urn:microsoft.com/office/officeart/2005/8/layout/orgChart1"/>
    <dgm:cxn modelId="{BEE6FEFE-7A70-427B-8383-B4490528B835}" type="presOf" srcId="{0C343BE7-2460-4747-95CF-918F95857F1A}" destId="{B906EC2D-75F0-437E-8742-2D5D9BF932A8}" srcOrd="0" destOrd="0" presId="urn:microsoft.com/office/officeart/2005/8/layout/orgChart1"/>
    <dgm:cxn modelId="{68CE8177-032D-45D5-A14D-85509C225495}" type="presParOf" srcId="{D75E6025-21B9-427C-A938-254BD6090C91}" destId="{BD183C80-D7E3-4994-902D-196475AEC414}" srcOrd="0" destOrd="0" presId="urn:microsoft.com/office/officeart/2005/8/layout/orgChart1"/>
    <dgm:cxn modelId="{2014FDEF-04E8-48B6-9D9E-6028A015A950}" type="presParOf" srcId="{BD183C80-D7E3-4994-902D-196475AEC414}" destId="{E1C27C7B-6F62-4DE2-9647-63117AD0641D}" srcOrd="0" destOrd="0" presId="urn:microsoft.com/office/officeart/2005/8/layout/orgChart1"/>
    <dgm:cxn modelId="{FB1F586D-440E-44D6-9C99-89B3C81EA4C1}" type="presParOf" srcId="{E1C27C7B-6F62-4DE2-9647-63117AD0641D}" destId="{419F9161-5C07-4141-ADEF-D296609BE8E2}" srcOrd="0" destOrd="0" presId="urn:microsoft.com/office/officeart/2005/8/layout/orgChart1"/>
    <dgm:cxn modelId="{DA0B1283-B7B8-4A1B-9A10-063B13E5E998}" type="presParOf" srcId="{E1C27C7B-6F62-4DE2-9647-63117AD0641D}" destId="{3247F569-5E4F-47EB-B833-A1D6B99D3BA5}" srcOrd="1" destOrd="0" presId="urn:microsoft.com/office/officeart/2005/8/layout/orgChart1"/>
    <dgm:cxn modelId="{6731A81E-D957-4765-BA0E-9245D5C1AA91}" type="presParOf" srcId="{BD183C80-D7E3-4994-902D-196475AEC414}" destId="{6B9D5161-9107-401A-98BA-D35123362B4D}" srcOrd="1" destOrd="0" presId="urn:microsoft.com/office/officeart/2005/8/layout/orgChart1"/>
    <dgm:cxn modelId="{82D6A11C-6C6E-45AC-B23F-72330E39285B}" type="presParOf" srcId="{6B9D5161-9107-401A-98BA-D35123362B4D}" destId="{F23DA57A-FF5C-4FF0-8838-1AD25DF3ACA0}" srcOrd="0" destOrd="0" presId="urn:microsoft.com/office/officeart/2005/8/layout/orgChart1"/>
    <dgm:cxn modelId="{1033078A-1A92-4746-976D-14EB7CF0C263}" type="presParOf" srcId="{6B9D5161-9107-401A-98BA-D35123362B4D}" destId="{739C93EA-EFA9-4696-ABB0-42D0C39F3870}" srcOrd="1" destOrd="0" presId="urn:microsoft.com/office/officeart/2005/8/layout/orgChart1"/>
    <dgm:cxn modelId="{323C0D2A-60E6-41A6-AC97-91C7519250A5}" type="presParOf" srcId="{739C93EA-EFA9-4696-ABB0-42D0C39F3870}" destId="{FB250346-C8F4-43BB-9CA5-8789D575E0FE}" srcOrd="0" destOrd="0" presId="urn:microsoft.com/office/officeart/2005/8/layout/orgChart1"/>
    <dgm:cxn modelId="{7924EF5D-0B04-4617-8386-3CB465DEACEE}" type="presParOf" srcId="{FB250346-C8F4-43BB-9CA5-8789D575E0FE}" destId="{B356DB7D-7C23-4F9D-808F-F1B0CFCF6F6C}" srcOrd="0" destOrd="0" presId="urn:microsoft.com/office/officeart/2005/8/layout/orgChart1"/>
    <dgm:cxn modelId="{1C807463-D7E0-4098-A682-F0EA006BA8D1}" type="presParOf" srcId="{FB250346-C8F4-43BB-9CA5-8789D575E0FE}" destId="{1AD6DC54-FAE7-4516-B451-92B5239727C6}" srcOrd="1" destOrd="0" presId="urn:microsoft.com/office/officeart/2005/8/layout/orgChart1"/>
    <dgm:cxn modelId="{168A13CF-138D-4108-80F8-F60942CC670C}" type="presParOf" srcId="{739C93EA-EFA9-4696-ABB0-42D0C39F3870}" destId="{B632B8BB-0970-42E1-9E51-998197A5EBC2}" srcOrd="1" destOrd="0" presId="urn:microsoft.com/office/officeart/2005/8/layout/orgChart1"/>
    <dgm:cxn modelId="{D6E0346C-7301-4556-BEDD-B6568A5221D5}" type="presParOf" srcId="{B632B8BB-0970-42E1-9E51-998197A5EBC2}" destId="{00BCAA54-286F-4C3B-90BE-659D2188F147}" srcOrd="0" destOrd="0" presId="urn:microsoft.com/office/officeart/2005/8/layout/orgChart1"/>
    <dgm:cxn modelId="{9A40B3F4-C538-49D7-B5CB-5E08754FB6F4}" type="presParOf" srcId="{B632B8BB-0970-42E1-9E51-998197A5EBC2}" destId="{BF47B16B-F114-411C-ABC9-5C7FF526CFBD}" srcOrd="1" destOrd="0" presId="urn:microsoft.com/office/officeart/2005/8/layout/orgChart1"/>
    <dgm:cxn modelId="{12268D1B-17B1-4667-A1F6-015F3E262072}" type="presParOf" srcId="{BF47B16B-F114-411C-ABC9-5C7FF526CFBD}" destId="{7D5F7A16-F954-4D9F-9B9F-0D4EE2FBEC92}" srcOrd="0" destOrd="0" presId="urn:microsoft.com/office/officeart/2005/8/layout/orgChart1"/>
    <dgm:cxn modelId="{836D3A29-0A2B-4A7F-9FB2-69EDE99A37CF}" type="presParOf" srcId="{7D5F7A16-F954-4D9F-9B9F-0D4EE2FBEC92}" destId="{2FC91C9A-D908-499F-AD2F-DDF5D6890CAA}" srcOrd="0" destOrd="0" presId="urn:microsoft.com/office/officeart/2005/8/layout/orgChart1"/>
    <dgm:cxn modelId="{DA675A86-7C1C-4B88-B713-75CE6DA5AED4}" type="presParOf" srcId="{7D5F7A16-F954-4D9F-9B9F-0D4EE2FBEC92}" destId="{18809E8A-F2A0-41F5-8CD8-93DC36875A38}" srcOrd="1" destOrd="0" presId="urn:microsoft.com/office/officeart/2005/8/layout/orgChart1"/>
    <dgm:cxn modelId="{1CF376D7-C47B-460D-93F2-8BFF6F0FE600}" type="presParOf" srcId="{BF47B16B-F114-411C-ABC9-5C7FF526CFBD}" destId="{7AE2C63A-63E8-424A-8700-F3D4111BFF81}" srcOrd="1" destOrd="0" presId="urn:microsoft.com/office/officeart/2005/8/layout/orgChart1"/>
    <dgm:cxn modelId="{A976984F-D5CB-4541-90AB-CBA840E3B3BE}" type="presParOf" srcId="{BF47B16B-F114-411C-ABC9-5C7FF526CFBD}" destId="{4AAB1301-7F5B-4CE5-BAFC-70C0C0ED2204}" srcOrd="2" destOrd="0" presId="urn:microsoft.com/office/officeart/2005/8/layout/orgChart1"/>
    <dgm:cxn modelId="{5882575A-EAA5-49D9-88FF-FE8975AB4D5D}" type="presParOf" srcId="{B632B8BB-0970-42E1-9E51-998197A5EBC2}" destId="{0101F265-0063-471A-81A3-93F9B3B9E1ED}" srcOrd="2" destOrd="0" presId="urn:microsoft.com/office/officeart/2005/8/layout/orgChart1"/>
    <dgm:cxn modelId="{80F0336D-7A00-47FF-AF86-097C0D7B185B}" type="presParOf" srcId="{B632B8BB-0970-42E1-9E51-998197A5EBC2}" destId="{F2FEF4B6-08C8-474C-B871-E76AE64DC1A9}" srcOrd="3" destOrd="0" presId="urn:microsoft.com/office/officeart/2005/8/layout/orgChart1"/>
    <dgm:cxn modelId="{E7CA5C7B-7244-4127-96B9-FAF1F8C0EC2B}" type="presParOf" srcId="{F2FEF4B6-08C8-474C-B871-E76AE64DC1A9}" destId="{5452CF6A-C8F8-4E2E-8786-9B5F6070F1E2}" srcOrd="0" destOrd="0" presId="urn:microsoft.com/office/officeart/2005/8/layout/orgChart1"/>
    <dgm:cxn modelId="{5774ADA6-08C9-4B59-9B89-D860E3FD8472}" type="presParOf" srcId="{5452CF6A-C8F8-4E2E-8786-9B5F6070F1E2}" destId="{368DCD1B-FCCA-4432-969C-AB540438CD87}" srcOrd="0" destOrd="0" presId="urn:microsoft.com/office/officeart/2005/8/layout/orgChart1"/>
    <dgm:cxn modelId="{05E28EB5-F165-49D4-AD83-D3B85B496728}" type="presParOf" srcId="{5452CF6A-C8F8-4E2E-8786-9B5F6070F1E2}" destId="{B5F432E9-E50A-4CFF-8EC3-506371CA5000}" srcOrd="1" destOrd="0" presId="urn:microsoft.com/office/officeart/2005/8/layout/orgChart1"/>
    <dgm:cxn modelId="{CCA9A02F-5A90-4D8C-9582-32BEDA7237BD}" type="presParOf" srcId="{F2FEF4B6-08C8-474C-B871-E76AE64DC1A9}" destId="{8CD5A3A4-1FA3-47D5-BA5C-73C45E80FF8C}" srcOrd="1" destOrd="0" presId="urn:microsoft.com/office/officeart/2005/8/layout/orgChart1"/>
    <dgm:cxn modelId="{1039A272-0977-436E-9A45-AFB5DA9C4934}" type="presParOf" srcId="{F2FEF4B6-08C8-474C-B871-E76AE64DC1A9}" destId="{5B0D1435-B130-4119-8E0A-F4A5AB1E266C}" srcOrd="2" destOrd="0" presId="urn:microsoft.com/office/officeart/2005/8/layout/orgChart1"/>
    <dgm:cxn modelId="{2815BEBD-38E9-4E95-8513-1645C1B93039}" type="presParOf" srcId="{B632B8BB-0970-42E1-9E51-998197A5EBC2}" destId="{ABAD48C7-D894-4C0C-BD5F-83EE58D79769}" srcOrd="4" destOrd="0" presId="urn:microsoft.com/office/officeart/2005/8/layout/orgChart1"/>
    <dgm:cxn modelId="{3C90E19F-1F84-4B3B-9451-C60A0AFF1F5B}" type="presParOf" srcId="{B632B8BB-0970-42E1-9E51-998197A5EBC2}" destId="{D7AEBB2D-9459-4FFD-BEA4-0F01E08B8A39}" srcOrd="5" destOrd="0" presId="urn:microsoft.com/office/officeart/2005/8/layout/orgChart1"/>
    <dgm:cxn modelId="{316FD62A-DDAB-464C-A61B-1B170D505E14}" type="presParOf" srcId="{D7AEBB2D-9459-4FFD-BEA4-0F01E08B8A39}" destId="{B9EE9DB3-4BE1-4285-82CA-3FF622AF89FF}" srcOrd="0" destOrd="0" presId="urn:microsoft.com/office/officeart/2005/8/layout/orgChart1"/>
    <dgm:cxn modelId="{BFC38EF8-E149-4B7C-84EF-8B72DFD7AE8D}" type="presParOf" srcId="{B9EE9DB3-4BE1-4285-82CA-3FF622AF89FF}" destId="{038E0F0E-A221-4EB4-8ACA-08188EC7690F}" srcOrd="0" destOrd="0" presId="urn:microsoft.com/office/officeart/2005/8/layout/orgChart1"/>
    <dgm:cxn modelId="{74249391-54EC-41D7-BB21-A8F2FA214CD7}" type="presParOf" srcId="{B9EE9DB3-4BE1-4285-82CA-3FF622AF89FF}" destId="{630000CA-CAB5-4114-9E42-404F0E865344}" srcOrd="1" destOrd="0" presId="urn:microsoft.com/office/officeart/2005/8/layout/orgChart1"/>
    <dgm:cxn modelId="{49D7E47D-FB98-4522-88CD-57BC46DA5233}" type="presParOf" srcId="{D7AEBB2D-9459-4FFD-BEA4-0F01E08B8A39}" destId="{D99312D7-CC18-423D-8669-ECDF833E9A79}" srcOrd="1" destOrd="0" presId="urn:microsoft.com/office/officeart/2005/8/layout/orgChart1"/>
    <dgm:cxn modelId="{BB4063DD-36A1-4D57-95A6-1D2917EDDD0C}" type="presParOf" srcId="{D7AEBB2D-9459-4FFD-BEA4-0F01E08B8A39}" destId="{FFE900F1-88D8-4626-A81F-904FE37206BE}" srcOrd="2" destOrd="0" presId="urn:microsoft.com/office/officeart/2005/8/layout/orgChart1"/>
    <dgm:cxn modelId="{FBBD5327-9BB0-4526-9281-7422FFE01F8C}" type="presParOf" srcId="{B632B8BB-0970-42E1-9E51-998197A5EBC2}" destId="{55DA4ABA-B282-42DF-987A-12665283EF0A}" srcOrd="6" destOrd="0" presId="urn:microsoft.com/office/officeart/2005/8/layout/orgChart1"/>
    <dgm:cxn modelId="{00FF7772-522B-45ED-8251-17E44D1EEE87}" type="presParOf" srcId="{B632B8BB-0970-42E1-9E51-998197A5EBC2}" destId="{5159E7FD-2008-4C53-8920-FF23BF7DD0FA}" srcOrd="7" destOrd="0" presId="urn:microsoft.com/office/officeart/2005/8/layout/orgChart1"/>
    <dgm:cxn modelId="{D665FBD0-5E34-41BE-856E-3E993124941C}" type="presParOf" srcId="{5159E7FD-2008-4C53-8920-FF23BF7DD0FA}" destId="{638562B4-A4B9-4B28-B3A6-E110CC05E0A6}" srcOrd="0" destOrd="0" presId="urn:microsoft.com/office/officeart/2005/8/layout/orgChart1"/>
    <dgm:cxn modelId="{8504AB45-D392-4222-95CF-B9C4CDB238BA}" type="presParOf" srcId="{638562B4-A4B9-4B28-B3A6-E110CC05E0A6}" destId="{92795619-8848-42B4-94DF-923F4BD4C058}" srcOrd="0" destOrd="0" presId="urn:microsoft.com/office/officeart/2005/8/layout/orgChart1"/>
    <dgm:cxn modelId="{3CAFE3D2-1E5E-43E2-B464-83A70B56F3FA}" type="presParOf" srcId="{638562B4-A4B9-4B28-B3A6-E110CC05E0A6}" destId="{2C1B5473-02AE-4347-9634-D5D307833859}" srcOrd="1" destOrd="0" presId="urn:microsoft.com/office/officeart/2005/8/layout/orgChart1"/>
    <dgm:cxn modelId="{FB53B521-ACE9-49B1-B427-7EF00D0FE11B}" type="presParOf" srcId="{5159E7FD-2008-4C53-8920-FF23BF7DD0FA}" destId="{FFD6F230-1A34-43C3-B658-DD4BA8F57FD4}" srcOrd="1" destOrd="0" presId="urn:microsoft.com/office/officeart/2005/8/layout/orgChart1"/>
    <dgm:cxn modelId="{FA0D7997-4FFC-42A8-90E0-36F485B88350}" type="presParOf" srcId="{5159E7FD-2008-4C53-8920-FF23BF7DD0FA}" destId="{3478A715-E102-474E-A5FD-B7B7E341D2EB}" srcOrd="2" destOrd="0" presId="urn:microsoft.com/office/officeart/2005/8/layout/orgChart1"/>
    <dgm:cxn modelId="{637E9E2F-BCB7-41DC-9786-E9CD9A7EA838}" type="presParOf" srcId="{B632B8BB-0970-42E1-9E51-998197A5EBC2}" destId="{17B579BB-4DD0-4C04-ADF0-69AC66D87263}" srcOrd="8" destOrd="0" presId="urn:microsoft.com/office/officeart/2005/8/layout/orgChart1"/>
    <dgm:cxn modelId="{28B4221D-0062-47CE-ACED-FA3112FF5B13}" type="presParOf" srcId="{B632B8BB-0970-42E1-9E51-998197A5EBC2}" destId="{53D107EC-C623-4652-915B-F2BF0C73DD2D}" srcOrd="9" destOrd="0" presId="urn:microsoft.com/office/officeart/2005/8/layout/orgChart1"/>
    <dgm:cxn modelId="{9E490859-DA05-4851-B8DB-E4B1206F8768}" type="presParOf" srcId="{53D107EC-C623-4652-915B-F2BF0C73DD2D}" destId="{EBE8A661-E2C5-462A-BEC9-BED394B19B60}" srcOrd="0" destOrd="0" presId="urn:microsoft.com/office/officeart/2005/8/layout/orgChart1"/>
    <dgm:cxn modelId="{67690ADA-F860-44B8-BA86-171A73E175F8}" type="presParOf" srcId="{EBE8A661-E2C5-462A-BEC9-BED394B19B60}" destId="{A1F16312-792B-4C01-8ACA-DEB9E0458479}" srcOrd="0" destOrd="0" presId="urn:microsoft.com/office/officeart/2005/8/layout/orgChart1"/>
    <dgm:cxn modelId="{AEE3DE5E-1EBD-4C63-88D4-D753C66BABDE}" type="presParOf" srcId="{EBE8A661-E2C5-462A-BEC9-BED394B19B60}" destId="{7E3A3BC2-DD68-40A6-A35C-34CF44B93B4D}" srcOrd="1" destOrd="0" presId="urn:microsoft.com/office/officeart/2005/8/layout/orgChart1"/>
    <dgm:cxn modelId="{9F8B9627-1D51-4379-BCD4-7F0CF3B59F8F}" type="presParOf" srcId="{53D107EC-C623-4652-915B-F2BF0C73DD2D}" destId="{AFC967B9-6405-4096-B8EF-4BEEA49A6BF3}" srcOrd="1" destOrd="0" presId="urn:microsoft.com/office/officeart/2005/8/layout/orgChart1"/>
    <dgm:cxn modelId="{17AFB4EE-6882-41D5-952B-92A59A412429}" type="presParOf" srcId="{53D107EC-C623-4652-915B-F2BF0C73DD2D}" destId="{970CD8DC-86E2-40A5-BEC7-90C8487C3480}" srcOrd="2" destOrd="0" presId="urn:microsoft.com/office/officeart/2005/8/layout/orgChart1"/>
    <dgm:cxn modelId="{F81EF224-E039-465A-9444-0FA7658EB4D7}" type="presParOf" srcId="{B632B8BB-0970-42E1-9E51-998197A5EBC2}" destId="{76047D46-3293-4D83-998A-7DE525101B1E}" srcOrd="10" destOrd="0" presId="urn:microsoft.com/office/officeart/2005/8/layout/orgChart1"/>
    <dgm:cxn modelId="{5346AC8C-2583-4D45-83CC-58582B947D72}" type="presParOf" srcId="{B632B8BB-0970-42E1-9E51-998197A5EBC2}" destId="{2FEB1AA7-1B72-4A17-98F4-DDA4B1017551}" srcOrd="11" destOrd="0" presId="urn:microsoft.com/office/officeart/2005/8/layout/orgChart1"/>
    <dgm:cxn modelId="{0F2965A7-8475-4AB8-95DA-7A060BFCC88F}" type="presParOf" srcId="{2FEB1AA7-1B72-4A17-98F4-DDA4B1017551}" destId="{53A3F066-3B21-4ABF-9C8C-657E7C562380}" srcOrd="0" destOrd="0" presId="urn:microsoft.com/office/officeart/2005/8/layout/orgChart1"/>
    <dgm:cxn modelId="{317F2567-5B1A-436C-998B-A76F827A3E8E}" type="presParOf" srcId="{53A3F066-3B21-4ABF-9C8C-657E7C562380}" destId="{C667B6AC-A6F0-4C0D-8C92-14C554970E94}" srcOrd="0" destOrd="0" presId="urn:microsoft.com/office/officeart/2005/8/layout/orgChart1"/>
    <dgm:cxn modelId="{516D2F9E-C66C-4C7E-8BB4-8EB35E10CC5C}" type="presParOf" srcId="{53A3F066-3B21-4ABF-9C8C-657E7C562380}" destId="{D020FFD2-570B-4710-AF5C-E2243F599DFB}" srcOrd="1" destOrd="0" presId="urn:microsoft.com/office/officeart/2005/8/layout/orgChart1"/>
    <dgm:cxn modelId="{4AF97225-EFF4-4C89-BCE9-61D790D97531}" type="presParOf" srcId="{2FEB1AA7-1B72-4A17-98F4-DDA4B1017551}" destId="{2FBC30CB-C099-475A-B580-D369DE8E321C}" srcOrd="1" destOrd="0" presId="urn:microsoft.com/office/officeart/2005/8/layout/orgChart1"/>
    <dgm:cxn modelId="{7FC0F417-5C7B-4288-86F5-DC15F2A3934C}" type="presParOf" srcId="{2FEB1AA7-1B72-4A17-98F4-DDA4B1017551}" destId="{B33B65CB-D8AA-409C-8408-659D3998ED88}" srcOrd="2" destOrd="0" presId="urn:microsoft.com/office/officeart/2005/8/layout/orgChart1"/>
    <dgm:cxn modelId="{1DF291B2-D6C1-4AEC-9075-03A187B84F98}" type="presParOf" srcId="{739C93EA-EFA9-4696-ABB0-42D0C39F3870}" destId="{667D39F9-80E7-4081-8E27-E8B5F1897355}" srcOrd="2" destOrd="0" presId="urn:microsoft.com/office/officeart/2005/8/layout/orgChart1"/>
    <dgm:cxn modelId="{412BCAFA-824D-4B6A-B12B-47414737D43B}" type="presParOf" srcId="{6B9D5161-9107-401A-98BA-D35123362B4D}" destId="{E11A719F-A09C-42BA-9639-4690F50014FA}" srcOrd="2" destOrd="0" presId="urn:microsoft.com/office/officeart/2005/8/layout/orgChart1"/>
    <dgm:cxn modelId="{932744FC-7DCD-4327-BD05-5502FDF7A2A1}" type="presParOf" srcId="{6B9D5161-9107-401A-98BA-D35123362B4D}" destId="{F3A40C3E-53A4-4B0E-B6A5-E621B4007BB0}" srcOrd="3" destOrd="0" presId="urn:microsoft.com/office/officeart/2005/8/layout/orgChart1"/>
    <dgm:cxn modelId="{AF6AEFB9-1AF9-4727-A46F-C38344E7C782}" type="presParOf" srcId="{F3A40C3E-53A4-4B0E-B6A5-E621B4007BB0}" destId="{4F41AB2B-38ED-4F88-9846-AC0BBC602485}" srcOrd="0" destOrd="0" presId="urn:microsoft.com/office/officeart/2005/8/layout/orgChart1"/>
    <dgm:cxn modelId="{508DC213-B938-4259-AC74-84DB00B40B31}" type="presParOf" srcId="{4F41AB2B-38ED-4F88-9846-AC0BBC602485}" destId="{55E9ACFA-4162-4695-89E1-ECF3DE11C1A2}" srcOrd="0" destOrd="0" presId="urn:microsoft.com/office/officeart/2005/8/layout/orgChart1"/>
    <dgm:cxn modelId="{304CAEEC-DAA7-4E67-894C-514E06DAA1FA}" type="presParOf" srcId="{4F41AB2B-38ED-4F88-9846-AC0BBC602485}" destId="{CB96BE56-647C-4DC9-95C8-F0306C8D29E2}" srcOrd="1" destOrd="0" presId="urn:microsoft.com/office/officeart/2005/8/layout/orgChart1"/>
    <dgm:cxn modelId="{5AD2411F-5696-44AF-98DB-092A98D81D0B}" type="presParOf" srcId="{F3A40C3E-53A4-4B0E-B6A5-E621B4007BB0}" destId="{B9ED8129-04AD-4B1B-A3E0-6FFDBFA8A7C4}" srcOrd="1" destOrd="0" presId="urn:microsoft.com/office/officeart/2005/8/layout/orgChart1"/>
    <dgm:cxn modelId="{0DA6028B-2C51-46D7-A67F-A8C0EFAD8180}" type="presParOf" srcId="{B9ED8129-04AD-4B1B-A3E0-6FFDBFA8A7C4}" destId="{D542F73F-3AF0-49C7-8D76-EB557D073F4B}" srcOrd="0" destOrd="0" presId="urn:microsoft.com/office/officeart/2005/8/layout/orgChart1"/>
    <dgm:cxn modelId="{97BF1AB0-9932-490A-816E-F3C86E2BD807}" type="presParOf" srcId="{B9ED8129-04AD-4B1B-A3E0-6FFDBFA8A7C4}" destId="{BB50DC8E-66D9-44B2-8301-0F41C229BB24}" srcOrd="1" destOrd="0" presId="urn:microsoft.com/office/officeart/2005/8/layout/orgChart1"/>
    <dgm:cxn modelId="{D2C94F2D-1F07-4E35-B717-17F2790CA959}" type="presParOf" srcId="{BB50DC8E-66D9-44B2-8301-0F41C229BB24}" destId="{C3A58ADC-4EE5-4DC5-A953-49A5282561F6}" srcOrd="0" destOrd="0" presId="urn:microsoft.com/office/officeart/2005/8/layout/orgChart1"/>
    <dgm:cxn modelId="{F2DDB813-9917-4D6D-9018-614FD4BAB501}" type="presParOf" srcId="{C3A58ADC-4EE5-4DC5-A953-49A5282561F6}" destId="{FB7186CD-5958-42DD-AD5B-921A29BC2260}" srcOrd="0" destOrd="0" presId="urn:microsoft.com/office/officeart/2005/8/layout/orgChart1"/>
    <dgm:cxn modelId="{A33121BD-2682-415C-B09B-E61C07739116}" type="presParOf" srcId="{C3A58ADC-4EE5-4DC5-A953-49A5282561F6}" destId="{A7BFC1E6-74F4-4F34-8C05-E504BE8BADEF}" srcOrd="1" destOrd="0" presId="urn:microsoft.com/office/officeart/2005/8/layout/orgChart1"/>
    <dgm:cxn modelId="{AAA8F609-1B4E-48B2-AF0F-6CD1160CA370}" type="presParOf" srcId="{BB50DC8E-66D9-44B2-8301-0F41C229BB24}" destId="{E88DB11B-EF33-4CA9-982A-EF6124EF4A9F}" srcOrd="1" destOrd="0" presId="urn:microsoft.com/office/officeart/2005/8/layout/orgChart1"/>
    <dgm:cxn modelId="{1198205B-D2CA-4444-B157-670C01D9D131}" type="presParOf" srcId="{BB50DC8E-66D9-44B2-8301-0F41C229BB24}" destId="{F6973960-F0D2-4EF2-ACFC-37B0A40298DA}" srcOrd="2" destOrd="0" presId="urn:microsoft.com/office/officeart/2005/8/layout/orgChart1"/>
    <dgm:cxn modelId="{078B19A4-2C96-4E5B-ACFE-CF1711DAF22B}" type="presParOf" srcId="{B9ED8129-04AD-4B1B-A3E0-6FFDBFA8A7C4}" destId="{1AA92768-8061-46A9-B58B-510A77639706}" srcOrd="2" destOrd="0" presId="urn:microsoft.com/office/officeart/2005/8/layout/orgChart1"/>
    <dgm:cxn modelId="{98A8CBFB-3DFE-4F24-9CC5-B7C76FEFB8C6}" type="presParOf" srcId="{B9ED8129-04AD-4B1B-A3E0-6FFDBFA8A7C4}" destId="{2713ABCB-66CF-4F46-B3DC-3A5DB6C6EE2B}" srcOrd="3" destOrd="0" presId="urn:microsoft.com/office/officeart/2005/8/layout/orgChart1"/>
    <dgm:cxn modelId="{38B514F3-FA71-46DC-8F77-E725EE588B32}" type="presParOf" srcId="{2713ABCB-66CF-4F46-B3DC-3A5DB6C6EE2B}" destId="{BA78ED78-F445-4564-AFA2-49DBD2875E13}" srcOrd="0" destOrd="0" presId="urn:microsoft.com/office/officeart/2005/8/layout/orgChart1"/>
    <dgm:cxn modelId="{94D5463D-E721-41FB-87CD-9497359C647B}" type="presParOf" srcId="{BA78ED78-F445-4564-AFA2-49DBD2875E13}" destId="{1018633A-474E-4EB8-84AB-2E1993311C0B}" srcOrd="0" destOrd="0" presId="urn:microsoft.com/office/officeart/2005/8/layout/orgChart1"/>
    <dgm:cxn modelId="{57503D28-9FC3-4E25-84AF-ECD15B1C9D75}" type="presParOf" srcId="{BA78ED78-F445-4564-AFA2-49DBD2875E13}" destId="{AAFC2384-C664-44F1-939D-E2610FBB32AA}" srcOrd="1" destOrd="0" presId="urn:microsoft.com/office/officeart/2005/8/layout/orgChart1"/>
    <dgm:cxn modelId="{47537CAB-9DB6-40DF-8DDE-1F8E9E42551E}" type="presParOf" srcId="{2713ABCB-66CF-4F46-B3DC-3A5DB6C6EE2B}" destId="{5240D419-9D70-492A-A01F-23342420EC81}" srcOrd="1" destOrd="0" presId="urn:microsoft.com/office/officeart/2005/8/layout/orgChart1"/>
    <dgm:cxn modelId="{7AB13868-963E-4575-A063-6ECE6A0CD6F7}" type="presParOf" srcId="{2713ABCB-66CF-4F46-B3DC-3A5DB6C6EE2B}" destId="{8765CFD4-5E4A-48AB-BF74-3687FF83E9B9}" srcOrd="2" destOrd="0" presId="urn:microsoft.com/office/officeart/2005/8/layout/orgChart1"/>
    <dgm:cxn modelId="{D2395B16-9A99-4C69-90E2-DD8E2376CC20}" type="presParOf" srcId="{B9ED8129-04AD-4B1B-A3E0-6FFDBFA8A7C4}" destId="{36CD85EA-6922-4411-A773-53F2E9A9F508}" srcOrd="4" destOrd="0" presId="urn:microsoft.com/office/officeart/2005/8/layout/orgChart1"/>
    <dgm:cxn modelId="{1ED86BB9-0B48-4722-BD26-A7701A2B501F}" type="presParOf" srcId="{B9ED8129-04AD-4B1B-A3E0-6FFDBFA8A7C4}" destId="{2601FA72-777A-4331-8BCC-22196493C237}" srcOrd="5" destOrd="0" presId="urn:microsoft.com/office/officeart/2005/8/layout/orgChart1"/>
    <dgm:cxn modelId="{20F38D4F-6F05-40B6-A96D-977DD56554D0}" type="presParOf" srcId="{2601FA72-777A-4331-8BCC-22196493C237}" destId="{FCD03874-D888-4150-BF7D-EEDA96168B1B}" srcOrd="0" destOrd="0" presId="urn:microsoft.com/office/officeart/2005/8/layout/orgChart1"/>
    <dgm:cxn modelId="{48C3DAB8-6BC4-4517-ABCF-D83BC50FFA0E}" type="presParOf" srcId="{FCD03874-D888-4150-BF7D-EEDA96168B1B}" destId="{A004A5F6-22F5-477B-8E25-546ED588730B}" srcOrd="0" destOrd="0" presId="urn:microsoft.com/office/officeart/2005/8/layout/orgChart1"/>
    <dgm:cxn modelId="{51E643AF-A930-42F1-B81E-541897061BD3}" type="presParOf" srcId="{FCD03874-D888-4150-BF7D-EEDA96168B1B}" destId="{99FA7DE0-9618-4F38-A8E4-420D511BD901}" srcOrd="1" destOrd="0" presId="urn:microsoft.com/office/officeart/2005/8/layout/orgChart1"/>
    <dgm:cxn modelId="{B2A4BB24-704A-4073-BFB6-FFD2F988F04B}" type="presParOf" srcId="{2601FA72-777A-4331-8BCC-22196493C237}" destId="{146B86C1-6F59-47BB-8702-E122E70CA480}" srcOrd="1" destOrd="0" presId="urn:microsoft.com/office/officeart/2005/8/layout/orgChart1"/>
    <dgm:cxn modelId="{A6C13E19-B73F-4715-AF2B-C941AFF66D35}" type="presParOf" srcId="{2601FA72-777A-4331-8BCC-22196493C237}" destId="{45DC65FF-3D73-4CAA-809D-B806BEB96BEE}" srcOrd="2" destOrd="0" presId="urn:microsoft.com/office/officeart/2005/8/layout/orgChart1"/>
    <dgm:cxn modelId="{4105FBCC-355F-473B-B74A-0CB55ED0BF2F}" type="presParOf" srcId="{B9ED8129-04AD-4B1B-A3E0-6FFDBFA8A7C4}" destId="{3D5E7CC6-C24B-447F-B5D1-26978F19070E}" srcOrd="6" destOrd="0" presId="urn:microsoft.com/office/officeart/2005/8/layout/orgChart1"/>
    <dgm:cxn modelId="{49E761E0-07C9-48F4-B299-E9E6701372A6}" type="presParOf" srcId="{B9ED8129-04AD-4B1B-A3E0-6FFDBFA8A7C4}" destId="{457174DE-28EA-4705-8A98-CF89821E9DC4}" srcOrd="7" destOrd="0" presId="urn:microsoft.com/office/officeart/2005/8/layout/orgChart1"/>
    <dgm:cxn modelId="{F0F8D8D8-27C9-4A8B-BBF4-BBDB0CA2B23E}" type="presParOf" srcId="{457174DE-28EA-4705-8A98-CF89821E9DC4}" destId="{397DB298-4F7E-4BE0-BCCC-623E5134C477}" srcOrd="0" destOrd="0" presId="urn:microsoft.com/office/officeart/2005/8/layout/orgChart1"/>
    <dgm:cxn modelId="{8B45E30D-653D-4600-921B-51B1CD14E9C8}" type="presParOf" srcId="{397DB298-4F7E-4BE0-BCCC-623E5134C477}" destId="{35F530B3-93D6-4FE4-96EE-23C97F659921}" srcOrd="0" destOrd="0" presId="urn:microsoft.com/office/officeart/2005/8/layout/orgChart1"/>
    <dgm:cxn modelId="{B4252E5D-DC89-434B-97B8-4752E020600E}" type="presParOf" srcId="{397DB298-4F7E-4BE0-BCCC-623E5134C477}" destId="{B1746B45-578A-4826-B293-D2FF0092D93B}" srcOrd="1" destOrd="0" presId="urn:microsoft.com/office/officeart/2005/8/layout/orgChart1"/>
    <dgm:cxn modelId="{49A300D5-7843-4C46-B1C9-C686D0AC11E9}" type="presParOf" srcId="{457174DE-28EA-4705-8A98-CF89821E9DC4}" destId="{85266542-80D8-4C5D-8855-F099BBA5E14B}" srcOrd="1" destOrd="0" presId="urn:microsoft.com/office/officeart/2005/8/layout/orgChart1"/>
    <dgm:cxn modelId="{D2C68963-DECA-40EA-84D9-5D85405EAD6A}" type="presParOf" srcId="{457174DE-28EA-4705-8A98-CF89821E9DC4}" destId="{D9E43AC7-EBF2-4D7F-9D7F-4AE94DEB2407}" srcOrd="2" destOrd="0" presId="urn:microsoft.com/office/officeart/2005/8/layout/orgChart1"/>
    <dgm:cxn modelId="{B5EED589-83DD-47B6-A3DC-F03AAD1A6DD6}" type="presParOf" srcId="{F3A40C3E-53A4-4B0E-B6A5-E621B4007BB0}" destId="{60A64FB7-24A7-4575-8F1D-99D5BE642F7C}" srcOrd="2" destOrd="0" presId="urn:microsoft.com/office/officeart/2005/8/layout/orgChart1"/>
    <dgm:cxn modelId="{B5C881DE-A5DF-4C0E-A698-3438ABF26D43}" type="presParOf" srcId="{6B9D5161-9107-401A-98BA-D35123362B4D}" destId="{EC74FFC8-1576-4C0D-A91C-F278A868962E}" srcOrd="4" destOrd="0" presId="urn:microsoft.com/office/officeart/2005/8/layout/orgChart1"/>
    <dgm:cxn modelId="{EE9943CA-D804-4343-9376-CC6A62E37AC5}" type="presParOf" srcId="{6B9D5161-9107-401A-98BA-D35123362B4D}" destId="{C4D9C55F-E18D-4208-A5F0-A2DE190F2B34}" srcOrd="5" destOrd="0" presId="urn:microsoft.com/office/officeart/2005/8/layout/orgChart1"/>
    <dgm:cxn modelId="{0B680B1C-2DC0-431F-AE66-980D2E3F5463}" type="presParOf" srcId="{C4D9C55F-E18D-4208-A5F0-A2DE190F2B34}" destId="{52FEB32B-2089-487C-B291-4209C3EB46DB}" srcOrd="0" destOrd="0" presId="urn:microsoft.com/office/officeart/2005/8/layout/orgChart1"/>
    <dgm:cxn modelId="{DCB06181-F2B8-4334-BAFB-CFCD37B35B7A}" type="presParOf" srcId="{52FEB32B-2089-487C-B291-4209C3EB46DB}" destId="{9E4E4801-9308-43BA-A715-DAEB8F729F26}" srcOrd="0" destOrd="0" presId="urn:microsoft.com/office/officeart/2005/8/layout/orgChart1"/>
    <dgm:cxn modelId="{A088C0EE-1D8A-4141-AF7F-121480CBBBA2}" type="presParOf" srcId="{52FEB32B-2089-487C-B291-4209C3EB46DB}" destId="{5A998737-ADB5-4512-BBF3-5DEB2CAF2012}" srcOrd="1" destOrd="0" presId="urn:microsoft.com/office/officeart/2005/8/layout/orgChart1"/>
    <dgm:cxn modelId="{D28D3BC5-C665-4360-A396-2BA8E719114F}" type="presParOf" srcId="{C4D9C55F-E18D-4208-A5F0-A2DE190F2B34}" destId="{122E419F-E1F5-4673-BB00-9A824C632AFF}" srcOrd="1" destOrd="0" presId="urn:microsoft.com/office/officeart/2005/8/layout/orgChart1"/>
    <dgm:cxn modelId="{88B1A6B7-063F-4140-9C68-A7CF6DF20BB3}" type="presParOf" srcId="{122E419F-E1F5-4673-BB00-9A824C632AFF}" destId="{3C4855FD-14B4-4319-B3A7-C9DE8B6182B7}" srcOrd="0" destOrd="0" presId="urn:microsoft.com/office/officeart/2005/8/layout/orgChart1"/>
    <dgm:cxn modelId="{06602A7D-F7E4-468F-9A01-BFBA7773C773}" type="presParOf" srcId="{122E419F-E1F5-4673-BB00-9A824C632AFF}" destId="{C2ABDB81-432F-46B5-8A9A-2C6DD7F1CBFE}" srcOrd="1" destOrd="0" presId="urn:microsoft.com/office/officeart/2005/8/layout/orgChart1"/>
    <dgm:cxn modelId="{E5B810F2-F442-4C4A-917D-7710290DF302}" type="presParOf" srcId="{C2ABDB81-432F-46B5-8A9A-2C6DD7F1CBFE}" destId="{775B893C-A991-4CDC-A395-467B0191912B}" srcOrd="0" destOrd="0" presId="urn:microsoft.com/office/officeart/2005/8/layout/orgChart1"/>
    <dgm:cxn modelId="{7D14D11D-FAB4-413B-8639-6C0CB21D5B32}" type="presParOf" srcId="{775B893C-A991-4CDC-A395-467B0191912B}" destId="{4C36608C-C753-40C5-BA8E-71B45715778F}" srcOrd="0" destOrd="0" presId="urn:microsoft.com/office/officeart/2005/8/layout/orgChart1"/>
    <dgm:cxn modelId="{D2637970-C363-41D1-AED3-E29AB23F1613}" type="presParOf" srcId="{775B893C-A991-4CDC-A395-467B0191912B}" destId="{110E486E-686C-40EC-922A-6053848D1449}" srcOrd="1" destOrd="0" presId="urn:microsoft.com/office/officeart/2005/8/layout/orgChart1"/>
    <dgm:cxn modelId="{FCDD41F9-116B-4E3A-BED4-FB715D099AE1}" type="presParOf" srcId="{C2ABDB81-432F-46B5-8A9A-2C6DD7F1CBFE}" destId="{D8C0C680-6BCE-4D7C-8DC8-5D79BB2F85E1}" srcOrd="1" destOrd="0" presId="urn:microsoft.com/office/officeart/2005/8/layout/orgChart1"/>
    <dgm:cxn modelId="{4D2D666B-9A9F-4FFB-ADB2-FC6C65A89495}" type="presParOf" srcId="{C2ABDB81-432F-46B5-8A9A-2C6DD7F1CBFE}" destId="{F9F5FE0D-3C0D-41F3-9A00-6697E264AE71}" srcOrd="2" destOrd="0" presId="urn:microsoft.com/office/officeart/2005/8/layout/orgChart1"/>
    <dgm:cxn modelId="{07DA7836-8FAD-41D2-889E-4660F969AAA0}" type="presParOf" srcId="{122E419F-E1F5-4673-BB00-9A824C632AFF}" destId="{F118FA5C-8018-4E97-A5A1-98C1AB5433BB}" srcOrd="2" destOrd="0" presId="urn:microsoft.com/office/officeart/2005/8/layout/orgChart1"/>
    <dgm:cxn modelId="{A0995208-3992-4422-A50E-7527CC20C57E}" type="presParOf" srcId="{122E419F-E1F5-4673-BB00-9A824C632AFF}" destId="{BC45F917-D45F-4AD5-8AB6-757231FAF5F4}" srcOrd="3" destOrd="0" presId="urn:microsoft.com/office/officeart/2005/8/layout/orgChart1"/>
    <dgm:cxn modelId="{D5990AC7-3B2C-4A45-A85D-7DA7C0E67FC6}" type="presParOf" srcId="{BC45F917-D45F-4AD5-8AB6-757231FAF5F4}" destId="{722FE590-9DA0-48F8-B417-4833A702C978}" srcOrd="0" destOrd="0" presId="urn:microsoft.com/office/officeart/2005/8/layout/orgChart1"/>
    <dgm:cxn modelId="{13DA96CF-1F1F-4A11-B5E1-EAF01E8AC43A}" type="presParOf" srcId="{722FE590-9DA0-48F8-B417-4833A702C978}" destId="{A33A35EC-EB4E-4439-AD7B-8CC93B6FF300}" srcOrd="0" destOrd="0" presId="urn:microsoft.com/office/officeart/2005/8/layout/orgChart1"/>
    <dgm:cxn modelId="{5770CD64-B4C7-4344-A78A-35EFC4366961}" type="presParOf" srcId="{722FE590-9DA0-48F8-B417-4833A702C978}" destId="{4C0A5C79-C981-46C8-BF1B-B6AB08AC418B}" srcOrd="1" destOrd="0" presId="urn:microsoft.com/office/officeart/2005/8/layout/orgChart1"/>
    <dgm:cxn modelId="{08DECE3B-F270-496E-9C08-4523553A9B6E}" type="presParOf" srcId="{BC45F917-D45F-4AD5-8AB6-757231FAF5F4}" destId="{97C40267-B454-4CBF-BD15-AAE4076AD7B0}" srcOrd="1" destOrd="0" presId="urn:microsoft.com/office/officeart/2005/8/layout/orgChart1"/>
    <dgm:cxn modelId="{28E3DC1A-68A4-42FD-BED6-91386671475F}" type="presParOf" srcId="{BC45F917-D45F-4AD5-8AB6-757231FAF5F4}" destId="{7575A95A-A34C-4BF8-AABF-84039771CEBE}" srcOrd="2" destOrd="0" presId="urn:microsoft.com/office/officeart/2005/8/layout/orgChart1"/>
    <dgm:cxn modelId="{DD3B01CF-0AF9-495D-B7FD-5CE1081ED592}" type="presParOf" srcId="{122E419F-E1F5-4673-BB00-9A824C632AFF}" destId="{5235BC4F-27BC-4C69-96B1-EDB00AB65E28}" srcOrd="4" destOrd="0" presId="urn:microsoft.com/office/officeart/2005/8/layout/orgChart1"/>
    <dgm:cxn modelId="{5E3C1B95-8B00-4F66-88BF-0461D321A8EF}" type="presParOf" srcId="{122E419F-E1F5-4673-BB00-9A824C632AFF}" destId="{FB5E9F15-EFED-4146-BC69-98CD904C672F}" srcOrd="5" destOrd="0" presId="urn:microsoft.com/office/officeart/2005/8/layout/orgChart1"/>
    <dgm:cxn modelId="{7D25CDA8-1FDE-4735-BAC7-A8EE7112D9B4}" type="presParOf" srcId="{FB5E9F15-EFED-4146-BC69-98CD904C672F}" destId="{F867B7F6-A317-49D6-BA5D-9FD64972DBB2}" srcOrd="0" destOrd="0" presId="urn:microsoft.com/office/officeart/2005/8/layout/orgChart1"/>
    <dgm:cxn modelId="{3A6A87AC-2379-4630-8908-2A430367B5D8}" type="presParOf" srcId="{F867B7F6-A317-49D6-BA5D-9FD64972DBB2}" destId="{4896BE33-8B2E-473A-811F-94A82F5C9500}" srcOrd="0" destOrd="0" presId="urn:microsoft.com/office/officeart/2005/8/layout/orgChart1"/>
    <dgm:cxn modelId="{8DA1DB6F-7232-492B-8AF8-4C5B1E0A57AB}" type="presParOf" srcId="{F867B7F6-A317-49D6-BA5D-9FD64972DBB2}" destId="{42014BCB-E88C-44D7-AAF7-D6E726C2C144}" srcOrd="1" destOrd="0" presId="urn:microsoft.com/office/officeart/2005/8/layout/orgChart1"/>
    <dgm:cxn modelId="{DE2B5C29-9BF6-409A-BAC7-99FCD1BEC5A7}" type="presParOf" srcId="{FB5E9F15-EFED-4146-BC69-98CD904C672F}" destId="{68A86574-B3C1-4CC4-9F48-E0CCD2FF76B9}" srcOrd="1" destOrd="0" presId="urn:microsoft.com/office/officeart/2005/8/layout/orgChart1"/>
    <dgm:cxn modelId="{D353310A-459F-4CAF-996D-6C228A628A42}" type="presParOf" srcId="{FB5E9F15-EFED-4146-BC69-98CD904C672F}" destId="{373F75F0-451A-4B9B-A4DD-F6E673FAAE69}" srcOrd="2" destOrd="0" presId="urn:microsoft.com/office/officeart/2005/8/layout/orgChart1"/>
    <dgm:cxn modelId="{BDCD8FBD-252C-4E28-A8F7-719911105822}" type="presParOf" srcId="{122E419F-E1F5-4673-BB00-9A824C632AFF}" destId="{FE9AE0D9-ED38-4782-B689-BF0333EFCA4C}" srcOrd="6" destOrd="0" presId="urn:microsoft.com/office/officeart/2005/8/layout/orgChart1"/>
    <dgm:cxn modelId="{35004B60-D7F2-4F2B-AF75-173DBC82B20B}" type="presParOf" srcId="{122E419F-E1F5-4673-BB00-9A824C632AFF}" destId="{03BBDE57-6D3A-4B6E-94FE-DBE993EA7D4C}" srcOrd="7" destOrd="0" presId="urn:microsoft.com/office/officeart/2005/8/layout/orgChart1"/>
    <dgm:cxn modelId="{E3105B4B-C5FE-4BDA-84C4-CFEF1457F9BE}" type="presParOf" srcId="{03BBDE57-6D3A-4B6E-94FE-DBE993EA7D4C}" destId="{7CC66F12-E982-4D16-BF5A-39B82F0E018D}" srcOrd="0" destOrd="0" presId="urn:microsoft.com/office/officeart/2005/8/layout/orgChart1"/>
    <dgm:cxn modelId="{B5C49CF7-2B19-4E20-B669-006CD406E452}" type="presParOf" srcId="{7CC66F12-E982-4D16-BF5A-39B82F0E018D}" destId="{48AB38C2-1A6E-41A6-8A03-FD7F0406D7E5}" srcOrd="0" destOrd="0" presId="urn:microsoft.com/office/officeart/2005/8/layout/orgChart1"/>
    <dgm:cxn modelId="{9D5D6462-787C-41C2-A37A-E4996195BE29}" type="presParOf" srcId="{7CC66F12-E982-4D16-BF5A-39B82F0E018D}" destId="{42E43A9F-E943-42E5-8C55-E90ACE444BF2}" srcOrd="1" destOrd="0" presId="urn:microsoft.com/office/officeart/2005/8/layout/orgChart1"/>
    <dgm:cxn modelId="{08C67C14-BEBC-4A31-86BC-E240C4AC933C}" type="presParOf" srcId="{03BBDE57-6D3A-4B6E-94FE-DBE993EA7D4C}" destId="{DB568FD3-CF0A-4A8D-A1A8-1339FF02C1DB}" srcOrd="1" destOrd="0" presId="urn:microsoft.com/office/officeart/2005/8/layout/orgChart1"/>
    <dgm:cxn modelId="{CFF7A1B0-BE27-4059-8656-A210FB60DE21}" type="presParOf" srcId="{03BBDE57-6D3A-4B6E-94FE-DBE993EA7D4C}" destId="{0F8F13BA-3C10-4862-94A5-0A77859BF644}" srcOrd="2" destOrd="0" presId="urn:microsoft.com/office/officeart/2005/8/layout/orgChart1"/>
    <dgm:cxn modelId="{3D6FD17B-784C-41F3-9061-C0230E4457A7}" type="presParOf" srcId="{122E419F-E1F5-4673-BB00-9A824C632AFF}" destId="{BBF7E4F7-3790-4997-A3A2-41BEFE09E50D}" srcOrd="8" destOrd="0" presId="urn:microsoft.com/office/officeart/2005/8/layout/orgChart1"/>
    <dgm:cxn modelId="{3734E244-BC4B-41C3-BA2B-3335F176FDF0}" type="presParOf" srcId="{122E419F-E1F5-4673-BB00-9A824C632AFF}" destId="{7724C9D9-17AA-425D-810B-1D5C450A600B}" srcOrd="9" destOrd="0" presId="urn:microsoft.com/office/officeart/2005/8/layout/orgChart1"/>
    <dgm:cxn modelId="{DBFA8B83-2E72-44CD-8CEE-33AB4FC7F005}" type="presParOf" srcId="{7724C9D9-17AA-425D-810B-1D5C450A600B}" destId="{B1D28919-9196-4EFC-AAE4-0AFC736E533A}" srcOrd="0" destOrd="0" presId="urn:microsoft.com/office/officeart/2005/8/layout/orgChart1"/>
    <dgm:cxn modelId="{DEA69437-B298-43FF-BF52-D234173720D6}" type="presParOf" srcId="{B1D28919-9196-4EFC-AAE4-0AFC736E533A}" destId="{866E0E98-4E3C-42E2-A66E-0D8D5F113DC7}" srcOrd="0" destOrd="0" presId="urn:microsoft.com/office/officeart/2005/8/layout/orgChart1"/>
    <dgm:cxn modelId="{25C2D5E5-5F10-4D7E-9D15-01F10B7BEBBD}" type="presParOf" srcId="{B1D28919-9196-4EFC-AAE4-0AFC736E533A}" destId="{D3BC6035-727A-46D1-AB7E-18B0E8CEF243}" srcOrd="1" destOrd="0" presId="urn:microsoft.com/office/officeart/2005/8/layout/orgChart1"/>
    <dgm:cxn modelId="{27CC4261-D3C9-4F0E-B269-E4C16935C60C}" type="presParOf" srcId="{7724C9D9-17AA-425D-810B-1D5C450A600B}" destId="{843A97CF-8EDF-4CC7-96B2-AE3D303A403C}" srcOrd="1" destOrd="0" presId="urn:microsoft.com/office/officeart/2005/8/layout/orgChart1"/>
    <dgm:cxn modelId="{6A759086-34F5-4A9F-9028-F197EF9DD54C}" type="presParOf" srcId="{7724C9D9-17AA-425D-810B-1D5C450A600B}" destId="{E099E158-8298-4B23-A67A-7420DD26EE8B}" srcOrd="2" destOrd="0" presId="urn:microsoft.com/office/officeart/2005/8/layout/orgChart1"/>
    <dgm:cxn modelId="{44504D0F-79FA-455F-9B97-072F61062B76}" type="presParOf" srcId="{C4D9C55F-E18D-4208-A5F0-A2DE190F2B34}" destId="{694AC01E-70CE-4DD7-9B8A-3757EC7EC56C}" srcOrd="2" destOrd="0" presId="urn:microsoft.com/office/officeart/2005/8/layout/orgChart1"/>
    <dgm:cxn modelId="{F077736D-63CF-4860-81EE-12B8AFBD8FA9}" type="presParOf" srcId="{6B9D5161-9107-401A-98BA-D35123362B4D}" destId="{88162098-0AA2-4260-B38F-1BD6D377B44F}" srcOrd="6" destOrd="0" presId="urn:microsoft.com/office/officeart/2005/8/layout/orgChart1"/>
    <dgm:cxn modelId="{E3E1F55B-AC4E-45BA-A087-7A353723721F}" type="presParOf" srcId="{6B9D5161-9107-401A-98BA-D35123362B4D}" destId="{C4A862E7-7393-4F80-907D-C9276AC7C59D}" srcOrd="7" destOrd="0" presId="urn:microsoft.com/office/officeart/2005/8/layout/orgChart1"/>
    <dgm:cxn modelId="{F8844356-CBCF-40A8-9CC8-40DB53C1A07E}" type="presParOf" srcId="{C4A862E7-7393-4F80-907D-C9276AC7C59D}" destId="{AFBE1A24-4528-4785-A93A-C6B77B1C3A21}" srcOrd="0" destOrd="0" presId="urn:microsoft.com/office/officeart/2005/8/layout/orgChart1"/>
    <dgm:cxn modelId="{DADC024F-0B2E-488A-92AC-131E8F2445EB}" type="presParOf" srcId="{AFBE1A24-4528-4785-A93A-C6B77B1C3A21}" destId="{92C773A9-D259-4F1E-B8D7-EFCCB81200BC}" srcOrd="0" destOrd="0" presId="urn:microsoft.com/office/officeart/2005/8/layout/orgChart1"/>
    <dgm:cxn modelId="{D51D4E94-E4E9-4A42-B346-9F5B002E7B07}" type="presParOf" srcId="{AFBE1A24-4528-4785-A93A-C6B77B1C3A21}" destId="{51D56ECE-EBF0-449A-8D7C-90BC74D2C571}" srcOrd="1" destOrd="0" presId="urn:microsoft.com/office/officeart/2005/8/layout/orgChart1"/>
    <dgm:cxn modelId="{E6C3B450-46DF-47AE-B1FE-4D964ACDF94F}" type="presParOf" srcId="{C4A862E7-7393-4F80-907D-C9276AC7C59D}" destId="{B1B4091E-0B79-4A1A-BEA2-0DD801E8039C}" srcOrd="1" destOrd="0" presId="urn:microsoft.com/office/officeart/2005/8/layout/orgChart1"/>
    <dgm:cxn modelId="{C14EB45D-8154-4F00-B256-8B596BD977FA}" type="presParOf" srcId="{B1B4091E-0B79-4A1A-BEA2-0DD801E8039C}" destId="{31EF4169-C852-4511-BD4F-A0D9A0687421}" srcOrd="0" destOrd="0" presId="urn:microsoft.com/office/officeart/2005/8/layout/orgChart1"/>
    <dgm:cxn modelId="{FF663116-AA62-4F64-8E73-D06C8476871D}" type="presParOf" srcId="{B1B4091E-0B79-4A1A-BEA2-0DD801E8039C}" destId="{BA4B5020-9B42-4E46-957B-D0E299A6D748}" srcOrd="1" destOrd="0" presId="urn:microsoft.com/office/officeart/2005/8/layout/orgChart1"/>
    <dgm:cxn modelId="{07E3C1D0-697A-4FA5-8442-0AFCA2046361}" type="presParOf" srcId="{BA4B5020-9B42-4E46-957B-D0E299A6D748}" destId="{4065C47A-F8D3-468B-A20C-73997121C567}" srcOrd="0" destOrd="0" presId="urn:microsoft.com/office/officeart/2005/8/layout/orgChart1"/>
    <dgm:cxn modelId="{9DB955B1-3B9C-4BCE-B4E8-934C6CDA726F}" type="presParOf" srcId="{4065C47A-F8D3-468B-A20C-73997121C567}" destId="{68D568EC-2EA9-4A92-ABD1-0D594917CB25}" srcOrd="0" destOrd="0" presId="urn:microsoft.com/office/officeart/2005/8/layout/orgChart1"/>
    <dgm:cxn modelId="{E9427253-F43C-417D-BDDC-3F71D32B8C7A}" type="presParOf" srcId="{4065C47A-F8D3-468B-A20C-73997121C567}" destId="{9A41182C-062D-4D4B-874A-B0866FF84991}" srcOrd="1" destOrd="0" presId="urn:microsoft.com/office/officeart/2005/8/layout/orgChart1"/>
    <dgm:cxn modelId="{58094028-1855-4082-B7A1-413B9A337D79}" type="presParOf" srcId="{BA4B5020-9B42-4E46-957B-D0E299A6D748}" destId="{98724551-5094-4B91-ACDC-EEFFED9BC969}" srcOrd="1" destOrd="0" presId="urn:microsoft.com/office/officeart/2005/8/layout/orgChart1"/>
    <dgm:cxn modelId="{C46F72CE-B455-49F7-A99B-041394C180D6}" type="presParOf" srcId="{BA4B5020-9B42-4E46-957B-D0E299A6D748}" destId="{A820F330-7FAF-4A6F-9C30-39228B862C25}" srcOrd="2" destOrd="0" presId="urn:microsoft.com/office/officeart/2005/8/layout/orgChart1"/>
    <dgm:cxn modelId="{1CFAF81E-124D-41EF-850E-4B629123EC89}" type="presParOf" srcId="{B1B4091E-0B79-4A1A-BEA2-0DD801E8039C}" destId="{9A338828-B52D-4B1A-A45B-A708E6B03D4A}" srcOrd="2" destOrd="0" presId="urn:microsoft.com/office/officeart/2005/8/layout/orgChart1"/>
    <dgm:cxn modelId="{83592397-5236-45D5-8A18-7DF510604660}" type="presParOf" srcId="{B1B4091E-0B79-4A1A-BEA2-0DD801E8039C}" destId="{E06BC04E-A86A-4E33-9DA0-88E28CE7A627}" srcOrd="3" destOrd="0" presId="urn:microsoft.com/office/officeart/2005/8/layout/orgChart1"/>
    <dgm:cxn modelId="{224B5982-3FEC-4BD8-8CD0-F9AD9DA98C1F}" type="presParOf" srcId="{E06BC04E-A86A-4E33-9DA0-88E28CE7A627}" destId="{F3FCBA1B-4C2F-40F6-A441-34A9DBA934C7}" srcOrd="0" destOrd="0" presId="urn:microsoft.com/office/officeart/2005/8/layout/orgChart1"/>
    <dgm:cxn modelId="{7FDC7D1C-8B3D-4C18-AC1D-3E3C56893C2C}" type="presParOf" srcId="{F3FCBA1B-4C2F-40F6-A441-34A9DBA934C7}" destId="{2FF39C86-D091-4F9A-9B9D-74C558CA076F}" srcOrd="0" destOrd="0" presId="urn:microsoft.com/office/officeart/2005/8/layout/orgChart1"/>
    <dgm:cxn modelId="{BE17A237-8948-459F-BAEB-3679245472BC}" type="presParOf" srcId="{F3FCBA1B-4C2F-40F6-A441-34A9DBA934C7}" destId="{1E09C604-F447-44E8-A59E-8E31E0670460}" srcOrd="1" destOrd="0" presId="urn:microsoft.com/office/officeart/2005/8/layout/orgChart1"/>
    <dgm:cxn modelId="{7477AB95-8CC9-4172-A876-D75366FBE9B7}" type="presParOf" srcId="{E06BC04E-A86A-4E33-9DA0-88E28CE7A627}" destId="{94339E6D-291D-4763-B522-EDD84DCC0010}" srcOrd="1" destOrd="0" presId="urn:microsoft.com/office/officeart/2005/8/layout/orgChart1"/>
    <dgm:cxn modelId="{2E7A4E67-5AE0-46EE-806B-A3B40C55F032}" type="presParOf" srcId="{E06BC04E-A86A-4E33-9DA0-88E28CE7A627}" destId="{2ED1841B-18AA-42B9-8B1B-2A42FFF2423D}" srcOrd="2" destOrd="0" presId="urn:microsoft.com/office/officeart/2005/8/layout/orgChart1"/>
    <dgm:cxn modelId="{71A1F2A6-4254-41DA-A2E2-D002D15D2E3B}" type="presParOf" srcId="{B1B4091E-0B79-4A1A-BEA2-0DD801E8039C}" destId="{B906EC2D-75F0-437E-8742-2D5D9BF932A8}" srcOrd="4" destOrd="0" presId="urn:microsoft.com/office/officeart/2005/8/layout/orgChart1"/>
    <dgm:cxn modelId="{E4712D65-DB16-41AC-BB11-EAA24981D400}" type="presParOf" srcId="{B1B4091E-0B79-4A1A-BEA2-0DD801E8039C}" destId="{C2F480B0-B319-43D0-90FA-B9A6EDDFE4A5}" srcOrd="5" destOrd="0" presId="urn:microsoft.com/office/officeart/2005/8/layout/orgChart1"/>
    <dgm:cxn modelId="{B2473E78-7E6F-417A-AEEE-D62566698417}" type="presParOf" srcId="{C2F480B0-B319-43D0-90FA-B9A6EDDFE4A5}" destId="{E44AD6BC-442A-49A5-BFDE-C0FD89A6CFB6}" srcOrd="0" destOrd="0" presId="urn:microsoft.com/office/officeart/2005/8/layout/orgChart1"/>
    <dgm:cxn modelId="{FE6F61BA-F92F-4D75-8299-CD2B9728916E}" type="presParOf" srcId="{E44AD6BC-442A-49A5-BFDE-C0FD89A6CFB6}" destId="{596C76DC-00FD-4184-A4DD-BC65F4DF1FAE}" srcOrd="0" destOrd="0" presId="urn:microsoft.com/office/officeart/2005/8/layout/orgChart1"/>
    <dgm:cxn modelId="{BFAF0E78-D70E-4F85-97FC-47A6177BCFCB}" type="presParOf" srcId="{E44AD6BC-442A-49A5-BFDE-C0FD89A6CFB6}" destId="{B53F48EF-4BD8-44D2-9747-B2E61B3DC235}" srcOrd="1" destOrd="0" presId="urn:microsoft.com/office/officeart/2005/8/layout/orgChart1"/>
    <dgm:cxn modelId="{E3530155-96D0-4DBE-BA17-45BF48D224D2}" type="presParOf" srcId="{C2F480B0-B319-43D0-90FA-B9A6EDDFE4A5}" destId="{06E77E6C-CB4A-4F1F-8453-54D5024D4F02}" srcOrd="1" destOrd="0" presId="urn:microsoft.com/office/officeart/2005/8/layout/orgChart1"/>
    <dgm:cxn modelId="{D1930A87-3A0E-4AE5-AD0E-CEFDD1C1F6A9}" type="presParOf" srcId="{C2F480B0-B319-43D0-90FA-B9A6EDDFE4A5}" destId="{4563177A-1754-4421-91FD-EACD89409A12}" srcOrd="2" destOrd="0" presId="urn:microsoft.com/office/officeart/2005/8/layout/orgChart1"/>
    <dgm:cxn modelId="{5E9AD559-F9FD-4C2E-AFDE-4C2625A12737}" type="presParOf" srcId="{B1B4091E-0B79-4A1A-BEA2-0DD801E8039C}" destId="{868867D7-994C-4F03-8C61-BA6339A8ABB9}" srcOrd="6" destOrd="0" presId="urn:microsoft.com/office/officeart/2005/8/layout/orgChart1"/>
    <dgm:cxn modelId="{444A0CA9-C6FF-4012-80A4-A789C748B19C}" type="presParOf" srcId="{B1B4091E-0B79-4A1A-BEA2-0DD801E8039C}" destId="{0DB794FF-BE5D-4931-80F2-ED200C742C8D}" srcOrd="7" destOrd="0" presId="urn:microsoft.com/office/officeart/2005/8/layout/orgChart1"/>
    <dgm:cxn modelId="{19148509-2A03-4667-9CAE-B71FE86D83FC}" type="presParOf" srcId="{0DB794FF-BE5D-4931-80F2-ED200C742C8D}" destId="{F86CDF56-4154-47D8-94C5-1ED612999FA9}" srcOrd="0" destOrd="0" presId="urn:microsoft.com/office/officeart/2005/8/layout/orgChart1"/>
    <dgm:cxn modelId="{C604926D-4618-4C0B-8C92-45EF9E490F49}" type="presParOf" srcId="{F86CDF56-4154-47D8-94C5-1ED612999FA9}" destId="{88FD65DB-05ED-4DDE-8B3F-8F4035FC7814}" srcOrd="0" destOrd="0" presId="urn:microsoft.com/office/officeart/2005/8/layout/orgChart1"/>
    <dgm:cxn modelId="{65255954-2999-44E8-A9F5-05B6E89D7CC9}" type="presParOf" srcId="{F86CDF56-4154-47D8-94C5-1ED612999FA9}" destId="{929593B5-D8F2-4DE8-B7A2-8B7641A35B2E}" srcOrd="1" destOrd="0" presId="urn:microsoft.com/office/officeart/2005/8/layout/orgChart1"/>
    <dgm:cxn modelId="{8A81A787-8B38-433E-A06F-6CC484EFF8FE}" type="presParOf" srcId="{0DB794FF-BE5D-4931-80F2-ED200C742C8D}" destId="{809AD334-7A04-4ED2-924D-68BCFB256CC4}" srcOrd="1" destOrd="0" presId="urn:microsoft.com/office/officeart/2005/8/layout/orgChart1"/>
    <dgm:cxn modelId="{F27FD33F-0539-4297-A909-E33DB83E430D}" type="presParOf" srcId="{0DB794FF-BE5D-4931-80F2-ED200C742C8D}" destId="{466A8FD3-E662-4294-8052-7DEAEEF54A5E}" srcOrd="2" destOrd="0" presId="urn:microsoft.com/office/officeart/2005/8/layout/orgChart1"/>
    <dgm:cxn modelId="{21422F21-345E-490D-8E66-48A7D3AC1B38}" type="presParOf" srcId="{B1B4091E-0B79-4A1A-BEA2-0DD801E8039C}" destId="{FD0DA0CB-A8A6-4435-83A9-2639F4645F83}" srcOrd="8" destOrd="0" presId="urn:microsoft.com/office/officeart/2005/8/layout/orgChart1"/>
    <dgm:cxn modelId="{058812B2-3F49-4F7A-A872-BE31126FF075}" type="presParOf" srcId="{B1B4091E-0B79-4A1A-BEA2-0DD801E8039C}" destId="{07F84081-EBCA-452E-B1E4-27588B77727C}" srcOrd="9" destOrd="0" presId="urn:microsoft.com/office/officeart/2005/8/layout/orgChart1"/>
    <dgm:cxn modelId="{3595BF1B-FC39-4963-A56C-24F249984FC7}" type="presParOf" srcId="{07F84081-EBCA-452E-B1E4-27588B77727C}" destId="{2C09D44B-D6EE-4CBD-B7CC-DD343150A1CA}" srcOrd="0" destOrd="0" presId="urn:microsoft.com/office/officeart/2005/8/layout/orgChart1"/>
    <dgm:cxn modelId="{E4A6C532-3326-418C-80DA-10B73C9B7151}" type="presParOf" srcId="{2C09D44B-D6EE-4CBD-B7CC-DD343150A1CA}" destId="{B024A9EA-30D8-4D81-A0D6-7944B803AC63}" srcOrd="0" destOrd="0" presId="urn:microsoft.com/office/officeart/2005/8/layout/orgChart1"/>
    <dgm:cxn modelId="{0084A23F-C46F-4D4F-994A-338B016EEC40}" type="presParOf" srcId="{2C09D44B-D6EE-4CBD-B7CC-DD343150A1CA}" destId="{4EDC534D-867E-4040-BB51-4ABFD74349C7}" srcOrd="1" destOrd="0" presId="urn:microsoft.com/office/officeart/2005/8/layout/orgChart1"/>
    <dgm:cxn modelId="{563EF265-6990-4A14-A3C1-E68B98D42520}" type="presParOf" srcId="{07F84081-EBCA-452E-B1E4-27588B77727C}" destId="{561665E0-C15B-4A7F-9AE5-A7EDD823C638}" srcOrd="1" destOrd="0" presId="urn:microsoft.com/office/officeart/2005/8/layout/orgChart1"/>
    <dgm:cxn modelId="{7359683C-FA78-4B42-9E5F-8E2F4FCF7EE4}" type="presParOf" srcId="{07F84081-EBCA-452E-B1E4-27588B77727C}" destId="{9F98DF36-EFD0-46A0-980E-C1ACBCE2E107}" srcOrd="2" destOrd="0" presId="urn:microsoft.com/office/officeart/2005/8/layout/orgChart1"/>
    <dgm:cxn modelId="{ADAE78C8-914E-44ED-A86B-E727AB4A4828}" type="presParOf" srcId="{B1B4091E-0B79-4A1A-BEA2-0DD801E8039C}" destId="{95D3F27B-05C1-49C8-8A57-05AF1BEBEEAB}" srcOrd="10" destOrd="0" presId="urn:microsoft.com/office/officeart/2005/8/layout/orgChart1"/>
    <dgm:cxn modelId="{305C216A-288D-4671-9E5B-51BB283F5EBC}" type="presParOf" srcId="{B1B4091E-0B79-4A1A-BEA2-0DD801E8039C}" destId="{41B4F829-13EC-434F-AA79-FC6C223BABFB}" srcOrd="11" destOrd="0" presId="urn:microsoft.com/office/officeart/2005/8/layout/orgChart1"/>
    <dgm:cxn modelId="{1BACC392-30DC-4B30-91EE-8C50B4E51873}" type="presParOf" srcId="{41B4F829-13EC-434F-AA79-FC6C223BABFB}" destId="{51C1617C-958B-4381-81B7-D57C53D1136A}" srcOrd="0" destOrd="0" presId="urn:microsoft.com/office/officeart/2005/8/layout/orgChart1"/>
    <dgm:cxn modelId="{3D0C1A32-0CE6-4632-8505-1BB148F211E9}" type="presParOf" srcId="{51C1617C-958B-4381-81B7-D57C53D1136A}" destId="{97166BC2-E115-45A0-AB33-6C7A4F301369}" srcOrd="0" destOrd="0" presId="urn:microsoft.com/office/officeart/2005/8/layout/orgChart1"/>
    <dgm:cxn modelId="{FAA6FC54-7F44-4017-9187-2D374FB6CA36}" type="presParOf" srcId="{51C1617C-958B-4381-81B7-D57C53D1136A}" destId="{B3013DA7-D732-47D7-9905-E772C52F06FB}" srcOrd="1" destOrd="0" presId="urn:microsoft.com/office/officeart/2005/8/layout/orgChart1"/>
    <dgm:cxn modelId="{2621DF50-B10E-4FB2-92B0-FEE0A1713919}" type="presParOf" srcId="{41B4F829-13EC-434F-AA79-FC6C223BABFB}" destId="{3E6CEB14-E535-4728-99D0-2A275D7F4835}" srcOrd="1" destOrd="0" presId="urn:microsoft.com/office/officeart/2005/8/layout/orgChart1"/>
    <dgm:cxn modelId="{51C22EC5-5104-461E-8B56-519B4FA7FA2A}" type="presParOf" srcId="{41B4F829-13EC-434F-AA79-FC6C223BABFB}" destId="{624BF698-7F2B-4479-BC1B-B6F03263B113}" srcOrd="2" destOrd="0" presId="urn:microsoft.com/office/officeart/2005/8/layout/orgChart1"/>
    <dgm:cxn modelId="{AFF84013-8B0C-4EAD-8A0F-BEBFD704E18B}" type="presParOf" srcId="{C4A862E7-7393-4F80-907D-C9276AC7C59D}" destId="{D603727D-8FBA-41A2-A398-016421998E62}" srcOrd="2" destOrd="0" presId="urn:microsoft.com/office/officeart/2005/8/layout/orgChart1"/>
    <dgm:cxn modelId="{3123B441-74B1-4F5E-A13B-6F63960BAAE1}" type="presParOf" srcId="{BD183C80-D7E3-4994-902D-196475AEC414}" destId="{4240DC85-2809-47C5-90A2-4F2EBE8920B8}" srcOrd="2" destOrd="0" presId="urn:microsoft.com/office/officeart/2005/8/layout/orgChart1"/>
    <dgm:cxn modelId="{569FEC32-6CC7-49E9-ADFC-347473AC6B4E}" type="presParOf" srcId="{4240DC85-2809-47C5-90A2-4F2EBE8920B8}" destId="{EB02CBBC-5BD0-4706-AEC8-EB2D47A98B39}" srcOrd="0" destOrd="0" presId="urn:microsoft.com/office/officeart/2005/8/layout/orgChart1"/>
    <dgm:cxn modelId="{EFCA46A1-2964-40BB-9D19-6E41C6FC846F}" type="presParOf" srcId="{4240DC85-2809-47C5-90A2-4F2EBE8920B8}" destId="{AF39C732-6C37-432C-8A89-F57E5C61A34D}" srcOrd="1" destOrd="0" presId="urn:microsoft.com/office/officeart/2005/8/layout/orgChart1"/>
    <dgm:cxn modelId="{260274A4-F025-4211-9E06-25AB60A6F30D}" type="presParOf" srcId="{AF39C732-6C37-432C-8A89-F57E5C61A34D}" destId="{2CFFA62C-3CE1-40B5-BCB1-AD688D3CB12D}" srcOrd="0" destOrd="0" presId="urn:microsoft.com/office/officeart/2005/8/layout/orgChart1"/>
    <dgm:cxn modelId="{68CBD011-DF73-4310-9B6C-5A02A139016D}" type="presParOf" srcId="{2CFFA62C-3CE1-40B5-BCB1-AD688D3CB12D}" destId="{F5C71784-D5E0-4A84-A7FD-EED73BD832B8}" srcOrd="0" destOrd="0" presId="urn:microsoft.com/office/officeart/2005/8/layout/orgChart1"/>
    <dgm:cxn modelId="{794C8544-2D9D-4310-8811-D4B3AEF63629}" type="presParOf" srcId="{2CFFA62C-3CE1-40B5-BCB1-AD688D3CB12D}" destId="{8DAFAECF-268F-4F06-ACFE-7C562BB688FB}" srcOrd="1" destOrd="0" presId="urn:microsoft.com/office/officeart/2005/8/layout/orgChart1"/>
    <dgm:cxn modelId="{4BF480F5-E0C4-41B7-8072-FE208362AD22}" type="presParOf" srcId="{AF39C732-6C37-432C-8A89-F57E5C61A34D}" destId="{0546653E-6196-4266-8914-520D546217C3}" srcOrd="1" destOrd="0" presId="urn:microsoft.com/office/officeart/2005/8/layout/orgChart1"/>
    <dgm:cxn modelId="{41473917-2B4A-4F9F-BDDE-2BDB16D2292C}" type="presParOf" srcId="{AF39C732-6C37-432C-8A89-F57E5C61A34D}" destId="{2762FB53-22E4-4CEA-BC7C-25BB0F3023BA}"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02CBBC-5BD0-4706-AEC8-EB2D47A98B39}">
      <dsp:nvSpPr>
        <dsp:cNvPr id="0" name=""/>
        <dsp:cNvSpPr/>
      </dsp:nvSpPr>
      <dsp:spPr>
        <a:xfrm>
          <a:off x="3298791" y="396524"/>
          <a:ext cx="91440" cy="363495"/>
        </a:xfrm>
        <a:custGeom>
          <a:avLst/>
          <a:gdLst/>
          <a:ahLst/>
          <a:cxnLst/>
          <a:rect l="0" t="0" r="0" b="0"/>
          <a:pathLst>
            <a:path>
              <a:moveTo>
                <a:pt x="45720" y="0"/>
              </a:moveTo>
              <a:lnTo>
                <a:pt x="45720" y="363495"/>
              </a:lnTo>
              <a:lnTo>
                <a:pt x="128691" y="363495"/>
              </a:lnTo>
            </a:path>
          </a:pathLst>
        </a:custGeom>
        <a:noFill/>
        <a:ln w="19050" cap="flat" cmpd="sng" algn="ctr">
          <a:solidFill>
            <a:schemeClr val="accent6">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95D3F27B-05C1-49C8-8A57-05AF1BEBEEAB}">
      <dsp:nvSpPr>
        <dsp:cNvPr id="0" name=""/>
        <dsp:cNvSpPr/>
      </dsp:nvSpPr>
      <dsp:spPr>
        <a:xfrm>
          <a:off x="1594201" y="1518619"/>
          <a:ext cx="118531" cy="3168732"/>
        </a:xfrm>
        <a:custGeom>
          <a:avLst/>
          <a:gdLst/>
          <a:ahLst/>
          <a:cxnLst/>
          <a:rect l="0" t="0" r="0" b="0"/>
          <a:pathLst>
            <a:path>
              <a:moveTo>
                <a:pt x="0" y="0"/>
              </a:moveTo>
              <a:lnTo>
                <a:pt x="0" y="3168732"/>
              </a:lnTo>
              <a:lnTo>
                <a:pt x="118531" y="3168732"/>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FD0DA0CB-A8A6-4435-83A9-2639F4645F83}">
      <dsp:nvSpPr>
        <dsp:cNvPr id="0" name=""/>
        <dsp:cNvSpPr/>
      </dsp:nvSpPr>
      <dsp:spPr>
        <a:xfrm>
          <a:off x="1594201" y="1518619"/>
          <a:ext cx="118531" cy="2607685"/>
        </a:xfrm>
        <a:custGeom>
          <a:avLst/>
          <a:gdLst/>
          <a:ahLst/>
          <a:cxnLst/>
          <a:rect l="0" t="0" r="0" b="0"/>
          <a:pathLst>
            <a:path>
              <a:moveTo>
                <a:pt x="0" y="0"/>
              </a:moveTo>
              <a:lnTo>
                <a:pt x="0" y="2607685"/>
              </a:lnTo>
              <a:lnTo>
                <a:pt x="118531" y="2607685"/>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868867D7-994C-4F03-8C61-BA6339A8ABB9}">
      <dsp:nvSpPr>
        <dsp:cNvPr id="0" name=""/>
        <dsp:cNvSpPr/>
      </dsp:nvSpPr>
      <dsp:spPr>
        <a:xfrm>
          <a:off x="1594201" y="1518619"/>
          <a:ext cx="118531" cy="2046637"/>
        </a:xfrm>
        <a:custGeom>
          <a:avLst/>
          <a:gdLst/>
          <a:ahLst/>
          <a:cxnLst/>
          <a:rect l="0" t="0" r="0" b="0"/>
          <a:pathLst>
            <a:path>
              <a:moveTo>
                <a:pt x="0" y="0"/>
              </a:moveTo>
              <a:lnTo>
                <a:pt x="0" y="2046637"/>
              </a:lnTo>
              <a:lnTo>
                <a:pt x="118531" y="2046637"/>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B906EC2D-75F0-437E-8742-2D5D9BF932A8}">
      <dsp:nvSpPr>
        <dsp:cNvPr id="0" name=""/>
        <dsp:cNvSpPr/>
      </dsp:nvSpPr>
      <dsp:spPr>
        <a:xfrm>
          <a:off x="1594201" y="1518619"/>
          <a:ext cx="118531" cy="1485590"/>
        </a:xfrm>
        <a:custGeom>
          <a:avLst/>
          <a:gdLst/>
          <a:ahLst/>
          <a:cxnLst/>
          <a:rect l="0" t="0" r="0" b="0"/>
          <a:pathLst>
            <a:path>
              <a:moveTo>
                <a:pt x="0" y="0"/>
              </a:moveTo>
              <a:lnTo>
                <a:pt x="0" y="1485590"/>
              </a:lnTo>
              <a:lnTo>
                <a:pt x="118531" y="1485590"/>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9A338828-B52D-4B1A-A45B-A708E6B03D4A}">
      <dsp:nvSpPr>
        <dsp:cNvPr id="0" name=""/>
        <dsp:cNvSpPr/>
      </dsp:nvSpPr>
      <dsp:spPr>
        <a:xfrm>
          <a:off x="1594201" y="1518619"/>
          <a:ext cx="118531" cy="924542"/>
        </a:xfrm>
        <a:custGeom>
          <a:avLst/>
          <a:gdLst/>
          <a:ahLst/>
          <a:cxnLst/>
          <a:rect l="0" t="0" r="0" b="0"/>
          <a:pathLst>
            <a:path>
              <a:moveTo>
                <a:pt x="0" y="0"/>
              </a:moveTo>
              <a:lnTo>
                <a:pt x="0" y="924542"/>
              </a:lnTo>
              <a:lnTo>
                <a:pt x="118531" y="924542"/>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1EF4169-C852-4511-BD4F-A0D9A0687421}">
      <dsp:nvSpPr>
        <dsp:cNvPr id="0" name=""/>
        <dsp:cNvSpPr/>
      </dsp:nvSpPr>
      <dsp:spPr>
        <a:xfrm>
          <a:off x="1594201" y="1518619"/>
          <a:ext cx="118531" cy="363495"/>
        </a:xfrm>
        <a:custGeom>
          <a:avLst/>
          <a:gdLst/>
          <a:ahLst/>
          <a:cxnLst/>
          <a:rect l="0" t="0" r="0" b="0"/>
          <a:pathLst>
            <a:path>
              <a:moveTo>
                <a:pt x="0" y="0"/>
              </a:moveTo>
              <a:lnTo>
                <a:pt x="0" y="363495"/>
              </a:lnTo>
              <a:lnTo>
                <a:pt x="118531" y="363495"/>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88162098-0AA2-4260-B38F-1BD6D377B44F}">
      <dsp:nvSpPr>
        <dsp:cNvPr id="0" name=""/>
        <dsp:cNvSpPr/>
      </dsp:nvSpPr>
      <dsp:spPr>
        <a:xfrm>
          <a:off x="1910284" y="396524"/>
          <a:ext cx="1434226" cy="726990"/>
        </a:xfrm>
        <a:custGeom>
          <a:avLst/>
          <a:gdLst/>
          <a:ahLst/>
          <a:cxnLst/>
          <a:rect l="0" t="0" r="0" b="0"/>
          <a:pathLst>
            <a:path>
              <a:moveTo>
                <a:pt x="1434226" y="0"/>
              </a:moveTo>
              <a:lnTo>
                <a:pt x="1434226" y="644019"/>
              </a:lnTo>
              <a:lnTo>
                <a:pt x="0" y="644019"/>
              </a:lnTo>
              <a:lnTo>
                <a:pt x="0" y="726990"/>
              </a:lnTo>
            </a:path>
          </a:pathLst>
        </a:custGeom>
        <a:noFill/>
        <a:ln w="19050" cap="flat" cmpd="sng" algn="ctr">
          <a:solidFill>
            <a:schemeClr val="accent6">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BBF7E4F7-3790-4997-A3A2-41BEFE09E50D}">
      <dsp:nvSpPr>
        <dsp:cNvPr id="0" name=""/>
        <dsp:cNvSpPr/>
      </dsp:nvSpPr>
      <dsp:spPr>
        <a:xfrm>
          <a:off x="2550352" y="1518619"/>
          <a:ext cx="118531" cy="2607685"/>
        </a:xfrm>
        <a:custGeom>
          <a:avLst/>
          <a:gdLst/>
          <a:ahLst/>
          <a:cxnLst/>
          <a:rect l="0" t="0" r="0" b="0"/>
          <a:pathLst>
            <a:path>
              <a:moveTo>
                <a:pt x="0" y="0"/>
              </a:moveTo>
              <a:lnTo>
                <a:pt x="0" y="2607685"/>
              </a:lnTo>
              <a:lnTo>
                <a:pt x="118531" y="2607685"/>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FE9AE0D9-ED38-4782-B689-BF0333EFCA4C}">
      <dsp:nvSpPr>
        <dsp:cNvPr id="0" name=""/>
        <dsp:cNvSpPr/>
      </dsp:nvSpPr>
      <dsp:spPr>
        <a:xfrm>
          <a:off x="2550352" y="1518619"/>
          <a:ext cx="118531" cy="2046637"/>
        </a:xfrm>
        <a:custGeom>
          <a:avLst/>
          <a:gdLst/>
          <a:ahLst/>
          <a:cxnLst/>
          <a:rect l="0" t="0" r="0" b="0"/>
          <a:pathLst>
            <a:path>
              <a:moveTo>
                <a:pt x="0" y="0"/>
              </a:moveTo>
              <a:lnTo>
                <a:pt x="0" y="2046637"/>
              </a:lnTo>
              <a:lnTo>
                <a:pt x="118531" y="2046637"/>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235BC4F-27BC-4C69-96B1-EDB00AB65E28}">
      <dsp:nvSpPr>
        <dsp:cNvPr id="0" name=""/>
        <dsp:cNvSpPr/>
      </dsp:nvSpPr>
      <dsp:spPr>
        <a:xfrm>
          <a:off x="2550352" y="1518619"/>
          <a:ext cx="118531" cy="1485590"/>
        </a:xfrm>
        <a:custGeom>
          <a:avLst/>
          <a:gdLst/>
          <a:ahLst/>
          <a:cxnLst/>
          <a:rect l="0" t="0" r="0" b="0"/>
          <a:pathLst>
            <a:path>
              <a:moveTo>
                <a:pt x="0" y="0"/>
              </a:moveTo>
              <a:lnTo>
                <a:pt x="0" y="1485590"/>
              </a:lnTo>
              <a:lnTo>
                <a:pt x="118531" y="1485590"/>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F118FA5C-8018-4E97-A5A1-98C1AB5433BB}">
      <dsp:nvSpPr>
        <dsp:cNvPr id="0" name=""/>
        <dsp:cNvSpPr/>
      </dsp:nvSpPr>
      <dsp:spPr>
        <a:xfrm>
          <a:off x="2550352" y="1518619"/>
          <a:ext cx="118531" cy="924542"/>
        </a:xfrm>
        <a:custGeom>
          <a:avLst/>
          <a:gdLst/>
          <a:ahLst/>
          <a:cxnLst/>
          <a:rect l="0" t="0" r="0" b="0"/>
          <a:pathLst>
            <a:path>
              <a:moveTo>
                <a:pt x="0" y="0"/>
              </a:moveTo>
              <a:lnTo>
                <a:pt x="0" y="924542"/>
              </a:lnTo>
              <a:lnTo>
                <a:pt x="118531" y="924542"/>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C4855FD-14B4-4319-B3A7-C9DE8B6182B7}">
      <dsp:nvSpPr>
        <dsp:cNvPr id="0" name=""/>
        <dsp:cNvSpPr/>
      </dsp:nvSpPr>
      <dsp:spPr>
        <a:xfrm>
          <a:off x="2550352" y="1518619"/>
          <a:ext cx="118531" cy="363495"/>
        </a:xfrm>
        <a:custGeom>
          <a:avLst/>
          <a:gdLst/>
          <a:ahLst/>
          <a:cxnLst/>
          <a:rect l="0" t="0" r="0" b="0"/>
          <a:pathLst>
            <a:path>
              <a:moveTo>
                <a:pt x="0" y="0"/>
              </a:moveTo>
              <a:lnTo>
                <a:pt x="0" y="363495"/>
              </a:lnTo>
              <a:lnTo>
                <a:pt x="118531" y="363495"/>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EC74FFC8-1576-4C0D-A91C-F278A868962E}">
      <dsp:nvSpPr>
        <dsp:cNvPr id="0" name=""/>
        <dsp:cNvSpPr/>
      </dsp:nvSpPr>
      <dsp:spPr>
        <a:xfrm>
          <a:off x="2866435" y="396524"/>
          <a:ext cx="478075" cy="726990"/>
        </a:xfrm>
        <a:custGeom>
          <a:avLst/>
          <a:gdLst/>
          <a:ahLst/>
          <a:cxnLst/>
          <a:rect l="0" t="0" r="0" b="0"/>
          <a:pathLst>
            <a:path>
              <a:moveTo>
                <a:pt x="478075" y="0"/>
              </a:moveTo>
              <a:lnTo>
                <a:pt x="478075" y="644019"/>
              </a:lnTo>
              <a:lnTo>
                <a:pt x="0" y="644019"/>
              </a:lnTo>
              <a:lnTo>
                <a:pt x="0" y="726990"/>
              </a:lnTo>
            </a:path>
          </a:pathLst>
        </a:custGeom>
        <a:noFill/>
        <a:ln w="19050" cap="flat" cmpd="sng" algn="ctr">
          <a:solidFill>
            <a:schemeClr val="accent6">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D5E7CC6-C24B-447F-B5D1-26978F19070E}">
      <dsp:nvSpPr>
        <dsp:cNvPr id="0" name=""/>
        <dsp:cNvSpPr/>
      </dsp:nvSpPr>
      <dsp:spPr>
        <a:xfrm>
          <a:off x="3506504" y="1518619"/>
          <a:ext cx="118531" cy="2046637"/>
        </a:xfrm>
        <a:custGeom>
          <a:avLst/>
          <a:gdLst/>
          <a:ahLst/>
          <a:cxnLst/>
          <a:rect l="0" t="0" r="0" b="0"/>
          <a:pathLst>
            <a:path>
              <a:moveTo>
                <a:pt x="0" y="0"/>
              </a:moveTo>
              <a:lnTo>
                <a:pt x="0" y="2046637"/>
              </a:lnTo>
              <a:lnTo>
                <a:pt x="118531" y="2046637"/>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6CD85EA-6922-4411-A773-53F2E9A9F508}">
      <dsp:nvSpPr>
        <dsp:cNvPr id="0" name=""/>
        <dsp:cNvSpPr/>
      </dsp:nvSpPr>
      <dsp:spPr>
        <a:xfrm>
          <a:off x="3506504" y="1518619"/>
          <a:ext cx="118531" cy="1485590"/>
        </a:xfrm>
        <a:custGeom>
          <a:avLst/>
          <a:gdLst/>
          <a:ahLst/>
          <a:cxnLst/>
          <a:rect l="0" t="0" r="0" b="0"/>
          <a:pathLst>
            <a:path>
              <a:moveTo>
                <a:pt x="0" y="0"/>
              </a:moveTo>
              <a:lnTo>
                <a:pt x="0" y="1485590"/>
              </a:lnTo>
              <a:lnTo>
                <a:pt x="118531" y="1485590"/>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1AA92768-8061-46A9-B58B-510A77639706}">
      <dsp:nvSpPr>
        <dsp:cNvPr id="0" name=""/>
        <dsp:cNvSpPr/>
      </dsp:nvSpPr>
      <dsp:spPr>
        <a:xfrm>
          <a:off x="3506504" y="1518619"/>
          <a:ext cx="118531" cy="924542"/>
        </a:xfrm>
        <a:custGeom>
          <a:avLst/>
          <a:gdLst/>
          <a:ahLst/>
          <a:cxnLst/>
          <a:rect l="0" t="0" r="0" b="0"/>
          <a:pathLst>
            <a:path>
              <a:moveTo>
                <a:pt x="0" y="0"/>
              </a:moveTo>
              <a:lnTo>
                <a:pt x="0" y="924542"/>
              </a:lnTo>
              <a:lnTo>
                <a:pt x="118531" y="924542"/>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D542F73F-3AF0-49C7-8D76-EB557D073F4B}">
      <dsp:nvSpPr>
        <dsp:cNvPr id="0" name=""/>
        <dsp:cNvSpPr/>
      </dsp:nvSpPr>
      <dsp:spPr>
        <a:xfrm>
          <a:off x="3506504" y="1518619"/>
          <a:ext cx="118531" cy="363495"/>
        </a:xfrm>
        <a:custGeom>
          <a:avLst/>
          <a:gdLst/>
          <a:ahLst/>
          <a:cxnLst/>
          <a:rect l="0" t="0" r="0" b="0"/>
          <a:pathLst>
            <a:path>
              <a:moveTo>
                <a:pt x="0" y="0"/>
              </a:moveTo>
              <a:lnTo>
                <a:pt x="0" y="363495"/>
              </a:lnTo>
              <a:lnTo>
                <a:pt x="118531" y="363495"/>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E11A719F-A09C-42BA-9639-4690F50014FA}">
      <dsp:nvSpPr>
        <dsp:cNvPr id="0" name=""/>
        <dsp:cNvSpPr/>
      </dsp:nvSpPr>
      <dsp:spPr>
        <a:xfrm>
          <a:off x="3344511" y="396524"/>
          <a:ext cx="478075" cy="726990"/>
        </a:xfrm>
        <a:custGeom>
          <a:avLst/>
          <a:gdLst/>
          <a:ahLst/>
          <a:cxnLst/>
          <a:rect l="0" t="0" r="0" b="0"/>
          <a:pathLst>
            <a:path>
              <a:moveTo>
                <a:pt x="0" y="0"/>
              </a:moveTo>
              <a:lnTo>
                <a:pt x="0" y="644019"/>
              </a:lnTo>
              <a:lnTo>
                <a:pt x="478075" y="644019"/>
              </a:lnTo>
              <a:lnTo>
                <a:pt x="478075" y="726990"/>
              </a:lnTo>
            </a:path>
          </a:pathLst>
        </a:custGeom>
        <a:noFill/>
        <a:ln w="19050" cap="flat" cmpd="sng" algn="ctr">
          <a:solidFill>
            <a:schemeClr val="accent6">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76047D46-3293-4D83-998A-7DE525101B1E}">
      <dsp:nvSpPr>
        <dsp:cNvPr id="0" name=""/>
        <dsp:cNvSpPr/>
      </dsp:nvSpPr>
      <dsp:spPr>
        <a:xfrm>
          <a:off x="4462655" y="1518619"/>
          <a:ext cx="118531" cy="3168732"/>
        </a:xfrm>
        <a:custGeom>
          <a:avLst/>
          <a:gdLst/>
          <a:ahLst/>
          <a:cxnLst/>
          <a:rect l="0" t="0" r="0" b="0"/>
          <a:pathLst>
            <a:path>
              <a:moveTo>
                <a:pt x="0" y="0"/>
              </a:moveTo>
              <a:lnTo>
                <a:pt x="0" y="3168732"/>
              </a:lnTo>
              <a:lnTo>
                <a:pt x="118531" y="3168732"/>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17B579BB-4DD0-4C04-ADF0-69AC66D87263}">
      <dsp:nvSpPr>
        <dsp:cNvPr id="0" name=""/>
        <dsp:cNvSpPr/>
      </dsp:nvSpPr>
      <dsp:spPr>
        <a:xfrm>
          <a:off x="4462655" y="1518619"/>
          <a:ext cx="118531" cy="2607685"/>
        </a:xfrm>
        <a:custGeom>
          <a:avLst/>
          <a:gdLst/>
          <a:ahLst/>
          <a:cxnLst/>
          <a:rect l="0" t="0" r="0" b="0"/>
          <a:pathLst>
            <a:path>
              <a:moveTo>
                <a:pt x="0" y="0"/>
              </a:moveTo>
              <a:lnTo>
                <a:pt x="0" y="2607685"/>
              </a:lnTo>
              <a:lnTo>
                <a:pt x="118531" y="2607685"/>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5DA4ABA-B282-42DF-987A-12665283EF0A}">
      <dsp:nvSpPr>
        <dsp:cNvPr id="0" name=""/>
        <dsp:cNvSpPr/>
      </dsp:nvSpPr>
      <dsp:spPr>
        <a:xfrm>
          <a:off x="4462655" y="1518619"/>
          <a:ext cx="118531" cy="2046637"/>
        </a:xfrm>
        <a:custGeom>
          <a:avLst/>
          <a:gdLst/>
          <a:ahLst/>
          <a:cxnLst/>
          <a:rect l="0" t="0" r="0" b="0"/>
          <a:pathLst>
            <a:path>
              <a:moveTo>
                <a:pt x="0" y="0"/>
              </a:moveTo>
              <a:lnTo>
                <a:pt x="0" y="2046637"/>
              </a:lnTo>
              <a:lnTo>
                <a:pt x="118531" y="2046637"/>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ABAD48C7-D894-4C0C-BD5F-83EE58D79769}">
      <dsp:nvSpPr>
        <dsp:cNvPr id="0" name=""/>
        <dsp:cNvSpPr/>
      </dsp:nvSpPr>
      <dsp:spPr>
        <a:xfrm>
          <a:off x="4462655" y="1518619"/>
          <a:ext cx="118531" cy="1485590"/>
        </a:xfrm>
        <a:custGeom>
          <a:avLst/>
          <a:gdLst/>
          <a:ahLst/>
          <a:cxnLst/>
          <a:rect l="0" t="0" r="0" b="0"/>
          <a:pathLst>
            <a:path>
              <a:moveTo>
                <a:pt x="0" y="0"/>
              </a:moveTo>
              <a:lnTo>
                <a:pt x="0" y="1485590"/>
              </a:lnTo>
              <a:lnTo>
                <a:pt x="118531" y="1485590"/>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0101F265-0063-471A-81A3-93F9B3B9E1ED}">
      <dsp:nvSpPr>
        <dsp:cNvPr id="0" name=""/>
        <dsp:cNvSpPr/>
      </dsp:nvSpPr>
      <dsp:spPr>
        <a:xfrm>
          <a:off x="4462655" y="1518619"/>
          <a:ext cx="118531" cy="924542"/>
        </a:xfrm>
        <a:custGeom>
          <a:avLst/>
          <a:gdLst/>
          <a:ahLst/>
          <a:cxnLst/>
          <a:rect l="0" t="0" r="0" b="0"/>
          <a:pathLst>
            <a:path>
              <a:moveTo>
                <a:pt x="0" y="0"/>
              </a:moveTo>
              <a:lnTo>
                <a:pt x="0" y="924542"/>
              </a:lnTo>
              <a:lnTo>
                <a:pt x="118531" y="924542"/>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00BCAA54-286F-4C3B-90BE-659D2188F147}">
      <dsp:nvSpPr>
        <dsp:cNvPr id="0" name=""/>
        <dsp:cNvSpPr/>
      </dsp:nvSpPr>
      <dsp:spPr>
        <a:xfrm>
          <a:off x="4462655" y="1518619"/>
          <a:ext cx="118531" cy="363495"/>
        </a:xfrm>
        <a:custGeom>
          <a:avLst/>
          <a:gdLst/>
          <a:ahLst/>
          <a:cxnLst/>
          <a:rect l="0" t="0" r="0" b="0"/>
          <a:pathLst>
            <a:path>
              <a:moveTo>
                <a:pt x="0" y="0"/>
              </a:moveTo>
              <a:lnTo>
                <a:pt x="0" y="363495"/>
              </a:lnTo>
              <a:lnTo>
                <a:pt x="118531" y="363495"/>
              </a:lnTo>
            </a:path>
          </a:pathLst>
        </a:custGeom>
        <a:noFill/>
        <a:ln w="19050" cap="flat" cmpd="sng" algn="ctr">
          <a:solidFill>
            <a:schemeClr val="accent6">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F23DA57A-FF5C-4FF0-8838-1AD25DF3ACA0}">
      <dsp:nvSpPr>
        <dsp:cNvPr id="0" name=""/>
        <dsp:cNvSpPr/>
      </dsp:nvSpPr>
      <dsp:spPr>
        <a:xfrm>
          <a:off x="3344511" y="396524"/>
          <a:ext cx="1434226" cy="726990"/>
        </a:xfrm>
        <a:custGeom>
          <a:avLst/>
          <a:gdLst/>
          <a:ahLst/>
          <a:cxnLst/>
          <a:rect l="0" t="0" r="0" b="0"/>
          <a:pathLst>
            <a:path>
              <a:moveTo>
                <a:pt x="0" y="0"/>
              </a:moveTo>
              <a:lnTo>
                <a:pt x="0" y="644019"/>
              </a:lnTo>
              <a:lnTo>
                <a:pt x="1434226" y="644019"/>
              </a:lnTo>
              <a:lnTo>
                <a:pt x="1434226" y="726990"/>
              </a:lnTo>
            </a:path>
          </a:pathLst>
        </a:custGeom>
        <a:noFill/>
        <a:ln w="19050" cap="flat" cmpd="sng" algn="ctr">
          <a:solidFill>
            <a:schemeClr val="accent6">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419F9161-5C07-4141-ADEF-D296609BE8E2}">
      <dsp:nvSpPr>
        <dsp:cNvPr id="0" name=""/>
        <dsp:cNvSpPr/>
      </dsp:nvSpPr>
      <dsp:spPr>
        <a:xfrm>
          <a:off x="2949407" y="1421"/>
          <a:ext cx="790207" cy="395103"/>
        </a:xfrm>
        <a:prstGeom prst="rect">
          <a:avLst/>
        </a:prstGeom>
        <a:solidFill>
          <a:schemeClr val="accent1"/>
        </a:solidFill>
        <a:ln w="19050" cap="flat" cmpd="sng" algn="ctr">
          <a:solidFill>
            <a:schemeClr val="accent1">
              <a:shade val="15000"/>
            </a:schemeClr>
          </a:solidFill>
          <a:prstDash val="solid"/>
          <a:miter lim="800000"/>
        </a:ln>
        <a:effectLst/>
        <a:scene3d>
          <a:camera prst="orthographicFront"/>
          <a:lightRig rig="threePt" dir="t">
            <a:rot lat="0" lon="0" rev="7500000"/>
          </a:lightRig>
        </a:scene3d>
        <a:sp3d/>
      </dsp:spPr>
      <dsp:style>
        <a:lnRef idx="2">
          <a:schemeClr val="accent1">
            <a:shade val="15000"/>
          </a:schemeClr>
        </a:lnRef>
        <a:fillRef idx="1">
          <a:schemeClr val="accent1"/>
        </a:fillRef>
        <a:effectRef idx="0">
          <a:schemeClr val="accent1"/>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0" kern="1200"/>
            <a:t>Group Chief Information Security (CISO) </a:t>
          </a:r>
          <a:endParaRPr lang="en-US" sz="900" kern="1200"/>
        </a:p>
      </dsp:txBody>
      <dsp:txXfrm>
        <a:off x="2949407" y="1421"/>
        <a:ext cx="790207" cy="395103"/>
      </dsp:txXfrm>
    </dsp:sp>
    <dsp:sp modelId="{B356DB7D-7C23-4F9D-808F-F1B0CFCF6F6C}">
      <dsp:nvSpPr>
        <dsp:cNvPr id="0" name=""/>
        <dsp:cNvSpPr/>
      </dsp:nvSpPr>
      <dsp:spPr>
        <a:xfrm>
          <a:off x="4383634" y="1123515"/>
          <a:ext cx="790207" cy="395103"/>
        </a:xfrm>
        <a:prstGeom prst="rect">
          <a:avLst/>
        </a:prstGeom>
        <a:solidFill>
          <a:schemeClr val="accent2"/>
        </a:solidFill>
        <a:ln w="19050" cap="flat" cmpd="sng" algn="ctr">
          <a:solidFill>
            <a:schemeClr val="accent2">
              <a:shade val="15000"/>
            </a:schemeClr>
          </a:solidFill>
          <a:prstDash val="solid"/>
          <a:miter lim="800000"/>
        </a:ln>
        <a:effectLst/>
        <a:scene3d>
          <a:camera prst="orthographicFront"/>
          <a:lightRig rig="threePt" dir="t">
            <a:rot lat="0" lon="0" rev="7500000"/>
          </a:lightRig>
        </a:scene3d>
        <a:sp3d/>
      </dsp:spPr>
      <dsp:style>
        <a:lnRef idx="2">
          <a:schemeClr val="accent2">
            <a:shade val="15000"/>
          </a:schemeClr>
        </a:lnRef>
        <a:fillRef idx="1">
          <a:schemeClr val="accent2"/>
        </a:fillRef>
        <a:effectRef idx="0">
          <a:schemeClr val="accent2"/>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Cloud Security Architect</a:t>
          </a:r>
        </a:p>
      </dsp:txBody>
      <dsp:txXfrm>
        <a:off x="4383634" y="1123515"/>
        <a:ext cx="790207" cy="395103"/>
      </dsp:txXfrm>
    </dsp:sp>
    <dsp:sp modelId="{2FC91C9A-D908-499F-AD2F-DDF5D6890CAA}">
      <dsp:nvSpPr>
        <dsp:cNvPr id="0" name=""/>
        <dsp:cNvSpPr/>
      </dsp:nvSpPr>
      <dsp:spPr>
        <a:xfrm>
          <a:off x="4581186" y="1684563"/>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AWS</a:t>
          </a:r>
        </a:p>
      </dsp:txBody>
      <dsp:txXfrm>
        <a:off x="4581186" y="1684563"/>
        <a:ext cx="790207" cy="395103"/>
      </dsp:txXfrm>
    </dsp:sp>
    <dsp:sp modelId="{368DCD1B-FCCA-4432-969C-AB540438CD87}">
      <dsp:nvSpPr>
        <dsp:cNvPr id="0" name=""/>
        <dsp:cNvSpPr/>
      </dsp:nvSpPr>
      <dsp:spPr>
        <a:xfrm>
          <a:off x="4581186" y="2245610"/>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Azure</a:t>
          </a:r>
        </a:p>
      </dsp:txBody>
      <dsp:txXfrm>
        <a:off x="4581186" y="2245610"/>
        <a:ext cx="790207" cy="395103"/>
      </dsp:txXfrm>
    </dsp:sp>
    <dsp:sp modelId="{038E0F0E-A221-4EB4-8ACA-08188EC7690F}">
      <dsp:nvSpPr>
        <dsp:cNvPr id="0" name=""/>
        <dsp:cNvSpPr/>
      </dsp:nvSpPr>
      <dsp:spPr>
        <a:xfrm>
          <a:off x="4581186" y="2806657"/>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GCP</a:t>
          </a:r>
        </a:p>
      </dsp:txBody>
      <dsp:txXfrm>
        <a:off x="4581186" y="2806657"/>
        <a:ext cx="790207" cy="395103"/>
      </dsp:txXfrm>
    </dsp:sp>
    <dsp:sp modelId="{92795619-8848-42B4-94DF-923F4BD4C058}">
      <dsp:nvSpPr>
        <dsp:cNvPr id="0" name=""/>
        <dsp:cNvSpPr/>
      </dsp:nvSpPr>
      <dsp:spPr>
        <a:xfrm>
          <a:off x="4581186" y="3367705"/>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CSPM</a:t>
          </a:r>
        </a:p>
      </dsp:txBody>
      <dsp:txXfrm>
        <a:off x="4581186" y="3367705"/>
        <a:ext cx="790207" cy="395103"/>
      </dsp:txXfrm>
    </dsp:sp>
    <dsp:sp modelId="{A1F16312-792B-4C01-8ACA-DEB9E0458479}">
      <dsp:nvSpPr>
        <dsp:cNvPr id="0" name=""/>
        <dsp:cNvSpPr/>
      </dsp:nvSpPr>
      <dsp:spPr>
        <a:xfrm>
          <a:off x="4581186" y="3928752"/>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IAM</a:t>
          </a:r>
        </a:p>
      </dsp:txBody>
      <dsp:txXfrm>
        <a:off x="4581186" y="3928752"/>
        <a:ext cx="790207" cy="395103"/>
      </dsp:txXfrm>
    </dsp:sp>
    <dsp:sp modelId="{C667B6AC-A6F0-4C0D-8C92-14C554970E94}">
      <dsp:nvSpPr>
        <dsp:cNvPr id="0" name=""/>
        <dsp:cNvSpPr/>
      </dsp:nvSpPr>
      <dsp:spPr>
        <a:xfrm>
          <a:off x="4581186" y="4489800"/>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Encryption</a:t>
          </a:r>
        </a:p>
      </dsp:txBody>
      <dsp:txXfrm>
        <a:off x="4581186" y="4489800"/>
        <a:ext cx="790207" cy="395103"/>
      </dsp:txXfrm>
    </dsp:sp>
    <dsp:sp modelId="{55E9ACFA-4162-4695-89E1-ECF3DE11C1A2}">
      <dsp:nvSpPr>
        <dsp:cNvPr id="0" name=""/>
        <dsp:cNvSpPr/>
      </dsp:nvSpPr>
      <dsp:spPr>
        <a:xfrm>
          <a:off x="3427483" y="1123515"/>
          <a:ext cx="790207" cy="395103"/>
        </a:xfrm>
        <a:prstGeom prst="rect">
          <a:avLst/>
        </a:prstGeom>
        <a:solidFill>
          <a:schemeClr val="accent2"/>
        </a:solidFill>
        <a:ln w="19050" cap="flat" cmpd="sng" algn="ctr">
          <a:solidFill>
            <a:schemeClr val="accent2">
              <a:shade val="15000"/>
            </a:schemeClr>
          </a:solidFill>
          <a:prstDash val="solid"/>
          <a:miter lim="800000"/>
        </a:ln>
        <a:effectLst/>
        <a:scene3d>
          <a:camera prst="orthographicFront"/>
          <a:lightRig rig="threePt" dir="t">
            <a:rot lat="0" lon="0" rev="7500000"/>
          </a:lightRig>
        </a:scene3d>
        <a:sp3d/>
      </dsp:spPr>
      <dsp:style>
        <a:lnRef idx="2">
          <a:schemeClr val="accent2">
            <a:shade val="15000"/>
          </a:schemeClr>
        </a:lnRef>
        <a:fillRef idx="1">
          <a:schemeClr val="accent2"/>
        </a:fillRef>
        <a:effectRef idx="0">
          <a:schemeClr val="accent2"/>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DevSecOps Lead</a:t>
          </a:r>
        </a:p>
      </dsp:txBody>
      <dsp:txXfrm>
        <a:off x="3427483" y="1123515"/>
        <a:ext cx="790207" cy="395103"/>
      </dsp:txXfrm>
    </dsp:sp>
    <dsp:sp modelId="{FB7186CD-5958-42DD-AD5B-921A29BC2260}">
      <dsp:nvSpPr>
        <dsp:cNvPr id="0" name=""/>
        <dsp:cNvSpPr/>
      </dsp:nvSpPr>
      <dsp:spPr>
        <a:xfrm>
          <a:off x="3625035" y="1684563"/>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CI/CD Security</a:t>
          </a:r>
        </a:p>
      </dsp:txBody>
      <dsp:txXfrm>
        <a:off x="3625035" y="1684563"/>
        <a:ext cx="790207" cy="395103"/>
      </dsp:txXfrm>
    </dsp:sp>
    <dsp:sp modelId="{1018633A-474E-4EB8-84AB-2E1993311C0B}">
      <dsp:nvSpPr>
        <dsp:cNvPr id="0" name=""/>
        <dsp:cNvSpPr/>
      </dsp:nvSpPr>
      <dsp:spPr>
        <a:xfrm>
          <a:off x="3625035" y="2245610"/>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SAST/DAST</a:t>
          </a:r>
        </a:p>
      </dsp:txBody>
      <dsp:txXfrm>
        <a:off x="3625035" y="2245610"/>
        <a:ext cx="790207" cy="395103"/>
      </dsp:txXfrm>
    </dsp:sp>
    <dsp:sp modelId="{A004A5F6-22F5-477B-8E25-546ED588730B}">
      <dsp:nvSpPr>
        <dsp:cNvPr id="0" name=""/>
        <dsp:cNvSpPr/>
      </dsp:nvSpPr>
      <dsp:spPr>
        <a:xfrm>
          <a:off x="3625035" y="2806657"/>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Secure Coding</a:t>
          </a:r>
        </a:p>
      </dsp:txBody>
      <dsp:txXfrm>
        <a:off x="3625035" y="2806657"/>
        <a:ext cx="790207" cy="395103"/>
      </dsp:txXfrm>
    </dsp:sp>
    <dsp:sp modelId="{35F530B3-93D6-4FE4-96EE-23C97F659921}">
      <dsp:nvSpPr>
        <dsp:cNvPr id="0" name=""/>
        <dsp:cNvSpPr/>
      </dsp:nvSpPr>
      <dsp:spPr>
        <a:xfrm>
          <a:off x="3625035" y="3367705"/>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Training</a:t>
          </a:r>
        </a:p>
      </dsp:txBody>
      <dsp:txXfrm>
        <a:off x="3625035" y="3367705"/>
        <a:ext cx="790207" cy="395103"/>
      </dsp:txXfrm>
    </dsp:sp>
    <dsp:sp modelId="{9E4E4801-9308-43BA-A715-DAEB8F729F26}">
      <dsp:nvSpPr>
        <dsp:cNvPr id="0" name=""/>
        <dsp:cNvSpPr/>
      </dsp:nvSpPr>
      <dsp:spPr>
        <a:xfrm>
          <a:off x="2471332" y="1123515"/>
          <a:ext cx="790207" cy="395103"/>
        </a:xfrm>
        <a:prstGeom prst="rect">
          <a:avLst/>
        </a:prstGeom>
        <a:solidFill>
          <a:schemeClr val="accent2"/>
        </a:solidFill>
        <a:ln w="19050" cap="flat" cmpd="sng" algn="ctr">
          <a:solidFill>
            <a:schemeClr val="accent2">
              <a:shade val="15000"/>
            </a:schemeClr>
          </a:solidFill>
          <a:prstDash val="solid"/>
          <a:miter lim="800000"/>
        </a:ln>
        <a:effectLst/>
        <a:scene3d>
          <a:camera prst="orthographicFront"/>
          <a:lightRig rig="threePt" dir="t">
            <a:rot lat="0" lon="0" rev="7500000"/>
          </a:lightRig>
        </a:scene3d>
        <a:sp3d/>
      </dsp:spPr>
      <dsp:style>
        <a:lnRef idx="2">
          <a:schemeClr val="accent2">
            <a:shade val="15000"/>
          </a:schemeClr>
        </a:lnRef>
        <a:fillRef idx="1">
          <a:schemeClr val="accent2"/>
        </a:fillRef>
        <a:effectRef idx="0">
          <a:schemeClr val="accent2"/>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Security Operations Manager</a:t>
          </a:r>
        </a:p>
      </dsp:txBody>
      <dsp:txXfrm>
        <a:off x="2471332" y="1123515"/>
        <a:ext cx="790207" cy="395103"/>
      </dsp:txXfrm>
    </dsp:sp>
    <dsp:sp modelId="{4C36608C-C753-40C5-BA8E-71B45715778F}">
      <dsp:nvSpPr>
        <dsp:cNvPr id="0" name=""/>
        <dsp:cNvSpPr/>
      </dsp:nvSpPr>
      <dsp:spPr>
        <a:xfrm>
          <a:off x="2668884" y="1684563"/>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24/7 Monitor</a:t>
          </a:r>
        </a:p>
      </dsp:txBody>
      <dsp:txXfrm>
        <a:off x="2668884" y="1684563"/>
        <a:ext cx="790207" cy="395103"/>
      </dsp:txXfrm>
    </dsp:sp>
    <dsp:sp modelId="{A33A35EC-EB4E-4439-AD7B-8CC93B6FF300}">
      <dsp:nvSpPr>
        <dsp:cNvPr id="0" name=""/>
        <dsp:cNvSpPr/>
      </dsp:nvSpPr>
      <dsp:spPr>
        <a:xfrm>
          <a:off x="2668884" y="2245610"/>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SIEM</a:t>
          </a:r>
        </a:p>
      </dsp:txBody>
      <dsp:txXfrm>
        <a:off x="2668884" y="2245610"/>
        <a:ext cx="790207" cy="395103"/>
      </dsp:txXfrm>
    </dsp:sp>
    <dsp:sp modelId="{4896BE33-8B2E-473A-811F-94A82F5C9500}">
      <dsp:nvSpPr>
        <dsp:cNvPr id="0" name=""/>
        <dsp:cNvSpPr/>
      </dsp:nvSpPr>
      <dsp:spPr>
        <a:xfrm>
          <a:off x="2668884" y="2806657"/>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EDR</a:t>
          </a:r>
        </a:p>
      </dsp:txBody>
      <dsp:txXfrm>
        <a:off x="2668884" y="2806657"/>
        <a:ext cx="790207" cy="395103"/>
      </dsp:txXfrm>
    </dsp:sp>
    <dsp:sp modelId="{48AB38C2-1A6E-41A6-8A03-FD7F0406D7E5}">
      <dsp:nvSpPr>
        <dsp:cNvPr id="0" name=""/>
        <dsp:cNvSpPr/>
      </dsp:nvSpPr>
      <dsp:spPr>
        <a:xfrm>
          <a:off x="2668884" y="3367705"/>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Threat Hunting</a:t>
          </a:r>
        </a:p>
      </dsp:txBody>
      <dsp:txXfrm>
        <a:off x="2668884" y="3367705"/>
        <a:ext cx="790207" cy="395103"/>
      </dsp:txXfrm>
    </dsp:sp>
    <dsp:sp modelId="{866E0E98-4E3C-42E2-A66E-0D8D5F113DC7}">
      <dsp:nvSpPr>
        <dsp:cNvPr id="0" name=""/>
        <dsp:cNvSpPr/>
      </dsp:nvSpPr>
      <dsp:spPr>
        <a:xfrm>
          <a:off x="2668884" y="3928752"/>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Incident Response</a:t>
          </a:r>
        </a:p>
      </dsp:txBody>
      <dsp:txXfrm>
        <a:off x="2668884" y="3928752"/>
        <a:ext cx="790207" cy="395103"/>
      </dsp:txXfrm>
    </dsp:sp>
    <dsp:sp modelId="{92C773A9-D259-4F1E-B8D7-EFCCB81200BC}">
      <dsp:nvSpPr>
        <dsp:cNvPr id="0" name=""/>
        <dsp:cNvSpPr/>
      </dsp:nvSpPr>
      <dsp:spPr>
        <a:xfrm>
          <a:off x="1515181" y="1123515"/>
          <a:ext cx="790207" cy="395103"/>
        </a:xfrm>
        <a:prstGeom prst="rect">
          <a:avLst/>
        </a:prstGeom>
        <a:solidFill>
          <a:schemeClr val="accent2"/>
        </a:solidFill>
        <a:ln w="19050" cap="flat" cmpd="sng" algn="ctr">
          <a:solidFill>
            <a:schemeClr val="accent2">
              <a:shade val="15000"/>
            </a:schemeClr>
          </a:solidFill>
          <a:prstDash val="solid"/>
          <a:miter lim="800000"/>
        </a:ln>
        <a:effectLst/>
        <a:scene3d>
          <a:camera prst="orthographicFront"/>
          <a:lightRig rig="threePt" dir="t">
            <a:rot lat="0" lon="0" rev="7500000"/>
          </a:lightRig>
        </a:scene3d>
        <a:sp3d/>
      </dsp:spPr>
      <dsp:style>
        <a:lnRef idx="2">
          <a:schemeClr val="accent2">
            <a:shade val="15000"/>
          </a:schemeClr>
        </a:lnRef>
        <a:fillRef idx="1">
          <a:schemeClr val="accent2"/>
        </a:fillRef>
        <a:effectRef idx="0">
          <a:schemeClr val="accent2"/>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Compliance and Risk Officer</a:t>
          </a:r>
        </a:p>
      </dsp:txBody>
      <dsp:txXfrm>
        <a:off x="1515181" y="1123515"/>
        <a:ext cx="790207" cy="395103"/>
      </dsp:txXfrm>
    </dsp:sp>
    <dsp:sp modelId="{68D568EC-2EA9-4A92-ABD1-0D594917CB25}">
      <dsp:nvSpPr>
        <dsp:cNvPr id="0" name=""/>
        <dsp:cNvSpPr/>
      </dsp:nvSpPr>
      <dsp:spPr>
        <a:xfrm>
          <a:off x="1712732" y="1684563"/>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DORA</a:t>
          </a:r>
        </a:p>
      </dsp:txBody>
      <dsp:txXfrm>
        <a:off x="1712732" y="1684563"/>
        <a:ext cx="790207" cy="395103"/>
      </dsp:txXfrm>
    </dsp:sp>
    <dsp:sp modelId="{2FF39C86-D091-4F9A-9B9D-74C558CA076F}">
      <dsp:nvSpPr>
        <dsp:cNvPr id="0" name=""/>
        <dsp:cNvSpPr/>
      </dsp:nvSpPr>
      <dsp:spPr>
        <a:xfrm>
          <a:off x="1712732" y="2245610"/>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NIS2</a:t>
          </a:r>
        </a:p>
      </dsp:txBody>
      <dsp:txXfrm>
        <a:off x="1712732" y="2245610"/>
        <a:ext cx="790207" cy="395103"/>
      </dsp:txXfrm>
    </dsp:sp>
    <dsp:sp modelId="{596C76DC-00FD-4184-A4DD-BC65F4DF1FAE}">
      <dsp:nvSpPr>
        <dsp:cNvPr id="0" name=""/>
        <dsp:cNvSpPr/>
      </dsp:nvSpPr>
      <dsp:spPr>
        <a:xfrm>
          <a:off x="1712732" y="2806657"/>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GDPR</a:t>
          </a:r>
        </a:p>
      </dsp:txBody>
      <dsp:txXfrm>
        <a:off x="1712732" y="2806657"/>
        <a:ext cx="790207" cy="395103"/>
      </dsp:txXfrm>
    </dsp:sp>
    <dsp:sp modelId="{88FD65DB-05ED-4DDE-8B3F-8F4035FC7814}">
      <dsp:nvSpPr>
        <dsp:cNvPr id="0" name=""/>
        <dsp:cNvSpPr/>
      </dsp:nvSpPr>
      <dsp:spPr>
        <a:xfrm>
          <a:off x="1712732" y="3367705"/>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Thirt Party Risk</a:t>
          </a:r>
        </a:p>
      </dsp:txBody>
      <dsp:txXfrm>
        <a:off x="1712732" y="3367705"/>
        <a:ext cx="790207" cy="395103"/>
      </dsp:txXfrm>
    </dsp:sp>
    <dsp:sp modelId="{B024A9EA-30D8-4D81-A0D6-7944B803AC63}">
      <dsp:nvSpPr>
        <dsp:cNvPr id="0" name=""/>
        <dsp:cNvSpPr/>
      </dsp:nvSpPr>
      <dsp:spPr>
        <a:xfrm>
          <a:off x="1712732" y="3928752"/>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Audits</a:t>
          </a:r>
        </a:p>
      </dsp:txBody>
      <dsp:txXfrm>
        <a:off x="1712732" y="3928752"/>
        <a:ext cx="790207" cy="395103"/>
      </dsp:txXfrm>
    </dsp:sp>
    <dsp:sp modelId="{97166BC2-E115-45A0-AB33-6C7A4F301369}">
      <dsp:nvSpPr>
        <dsp:cNvPr id="0" name=""/>
        <dsp:cNvSpPr/>
      </dsp:nvSpPr>
      <dsp:spPr>
        <a:xfrm>
          <a:off x="1712732" y="4489800"/>
          <a:ext cx="790207" cy="395103"/>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Evidence</a:t>
          </a:r>
        </a:p>
      </dsp:txBody>
      <dsp:txXfrm>
        <a:off x="1712732" y="4489800"/>
        <a:ext cx="790207" cy="395103"/>
      </dsp:txXfrm>
    </dsp:sp>
    <dsp:sp modelId="{F5C71784-D5E0-4A84-A7FD-EED73BD832B8}">
      <dsp:nvSpPr>
        <dsp:cNvPr id="0" name=""/>
        <dsp:cNvSpPr/>
      </dsp:nvSpPr>
      <dsp:spPr>
        <a:xfrm>
          <a:off x="3427483" y="562468"/>
          <a:ext cx="790207" cy="395103"/>
        </a:xfrm>
        <a:prstGeom prst="rect">
          <a:avLst/>
        </a:prstGeom>
        <a:solidFill>
          <a:schemeClr val="accent1"/>
        </a:solidFill>
        <a:ln w="19050" cap="flat" cmpd="sng" algn="ctr">
          <a:solidFill>
            <a:schemeClr val="accent1">
              <a:shade val="15000"/>
            </a:schemeClr>
          </a:solidFill>
          <a:prstDash val="solid"/>
          <a:miter lim="800000"/>
        </a:ln>
        <a:effectLst/>
        <a:scene3d>
          <a:camera prst="orthographicFront"/>
          <a:lightRig rig="threePt" dir="t">
            <a:rot lat="0" lon="0" rev="7500000"/>
          </a:lightRig>
        </a:scene3d>
        <a:sp3d/>
      </dsp:spPr>
      <dsp:style>
        <a:lnRef idx="2">
          <a:schemeClr val="accent1">
            <a:shade val="15000"/>
          </a:schemeClr>
        </a:lnRef>
        <a:fillRef idx="1">
          <a:schemeClr val="accent1"/>
        </a:fillRef>
        <a:effectRef idx="0">
          <a:schemeClr val="accent1"/>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0" kern="1200"/>
            <a:t>Head of Security, EU Region </a:t>
          </a:r>
          <a:endParaRPr lang="en-US" sz="900" kern="1200"/>
        </a:p>
      </dsp:txBody>
      <dsp:txXfrm>
        <a:off x="3427483" y="562468"/>
        <a:ext cx="790207" cy="39510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D171CFA3409483FB0B34B2FB9134E2C"/>
        <w:category>
          <w:name w:val="General"/>
          <w:gallery w:val="placeholder"/>
        </w:category>
        <w:types>
          <w:type w:val="bbPlcHdr"/>
        </w:types>
        <w:behaviors>
          <w:behavior w:val="content"/>
        </w:behaviors>
        <w:guid w:val="{B8125D32-6732-4824-B3F3-8BF635BA80E1}"/>
      </w:docPartPr>
      <w:docPartBody>
        <w:p w:rsidR="003560A9" w:rsidRDefault="00CC3201" w:rsidP="00CC3201">
          <w:pPr>
            <w:pStyle w:val="4D171CFA3409483FB0B34B2FB9134E2C"/>
          </w:pPr>
          <w:r>
            <w:rPr>
              <w:rFonts w:asciiTheme="majorHAnsi" w:eastAsiaTheme="majorEastAsia" w:hAnsiTheme="majorHAnsi" w:cstheme="majorBidi"/>
              <w:caps/>
              <w:color w:val="156082" w:themeColor="accent1"/>
              <w:sz w:val="80"/>
              <w:szCs w:val="80"/>
            </w:rPr>
            <w:t>[Document title]</w:t>
          </w:r>
        </w:p>
      </w:docPartBody>
    </w:docPart>
    <w:docPart>
      <w:docPartPr>
        <w:name w:val="1E17CB8C238845F6B46B9131EE65A8FF"/>
        <w:category>
          <w:name w:val="General"/>
          <w:gallery w:val="placeholder"/>
        </w:category>
        <w:types>
          <w:type w:val="bbPlcHdr"/>
        </w:types>
        <w:behaviors>
          <w:behavior w:val="content"/>
        </w:behaviors>
        <w:guid w:val="{A618ABFD-A0D8-414D-8B20-F483ADEBD180}"/>
      </w:docPartPr>
      <w:docPartBody>
        <w:p w:rsidR="003560A9" w:rsidRDefault="00CC3201" w:rsidP="00CC3201">
          <w:pPr>
            <w:pStyle w:val="1E17CB8C238845F6B46B9131EE65A8F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201"/>
    <w:rsid w:val="000C4EE5"/>
    <w:rsid w:val="001A7757"/>
    <w:rsid w:val="0026774A"/>
    <w:rsid w:val="003560A9"/>
    <w:rsid w:val="003A5EB2"/>
    <w:rsid w:val="003C484F"/>
    <w:rsid w:val="004F7184"/>
    <w:rsid w:val="0054047F"/>
    <w:rsid w:val="00650EAD"/>
    <w:rsid w:val="006C1067"/>
    <w:rsid w:val="007607A7"/>
    <w:rsid w:val="00965619"/>
    <w:rsid w:val="00A47129"/>
    <w:rsid w:val="00CC3201"/>
    <w:rsid w:val="00E3338F"/>
    <w:rsid w:val="00EE73C1"/>
    <w:rsid w:val="00F12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171CFA3409483FB0B34B2FB9134E2C">
    <w:name w:val="4D171CFA3409483FB0B34B2FB9134E2C"/>
    <w:rsid w:val="00CC3201"/>
  </w:style>
  <w:style w:type="paragraph" w:customStyle="1" w:styleId="1E17CB8C238845F6B46B9131EE65A8FF">
    <w:name w:val="1E17CB8C238845F6B46B9131EE65A8FF"/>
    <w:rsid w:val="00CC32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2026-03-31T00:00:00</PublishDate>
  <Abstract/>
  <CompanyAddress>UNIVERSITY OF WALES TRINITY SAINT DAVID – QUAY PLACE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438849-1422-47C1-ADA0-ACB1782AD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22</Pages>
  <Words>6095</Words>
  <Characters>40759</Characters>
  <Application>Microsoft Office Word</Application>
  <DocSecurity>0</DocSecurity>
  <Lines>947</Lines>
  <Paragraphs>187</Paragraphs>
  <ScaleCrop>false</ScaleCrop>
  <HeadingPairs>
    <vt:vector size="2" baseType="variant">
      <vt:variant>
        <vt:lpstr>Title</vt:lpstr>
      </vt:variant>
      <vt:variant>
        <vt:i4>1</vt:i4>
      </vt:variant>
    </vt:vector>
  </HeadingPairs>
  <TitlesOfParts>
    <vt:vector size="1" baseType="lpstr">
      <vt:lpstr>Data security and compliance</vt:lpstr>
    </vt:vector>
  </TitlesOfParts>
  <Company>DANU IAZMEDOV - 2319509</Company>
  <LinksUpToDate>false</LinksUpToDate>
  <CharactersWithSpaces>46701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dc:title>
  <dc:subject>ACCA5034</dc:subject>
  <dc:creator>iazmedov danu</dc:creator>
  <cp:keywords/>
  <dc:description/>
  <cp:lastModifiedBy>iazmedov danu</cp:lastModifiedBy>
  <cp:revision>160</cp:revision>
  <dcterms:created xsi:type="dcterms:W3CDTF">2026-03-05T10:46:00Z</dcterms:created>
  <dcterms:modified xsi:type="dcterms:W3CDTF">2026-03-24T17:59:00Z</dcterms:modified>
</cp:coreProperties>
</file>