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Financial Ratios – Initial Observations &amp; Interpretations</w:t>
      </w:r>
    </w:p>
    <w:p>
      <w:pPr>
        <w:spacing w:after="200"/>
      </w:pPr>
      <w:r>
        <w:rPr>
          <w:i/>
          <w:iCs/>
          <w:sz w:val="20"/>
          <w:szCs w:val="20"/>
        </w:rPr>
        <w:t xml:space="preserve">FY21 – FY25</w:t>
      </w:r>
    </w:p>
    <w:p>
      <w:pPr>
        <w:pStyle w:val="Heading2"/>
      </w:pPr>
      <w:r>
        <w:t xml:space="preserve">1. Profitability Ratios</w:t>
      </w:r>
    </w:p>
    <w:p>
      <w:pPr>
        <w:spacing w:after="160"/>
      </w:pPr>
      <w:r>
        <w:t xml:space="preserve">Gross margin remained relatively stable between 24.4% and 25.8% over the five years, indicating consistent control over the cost of sales. However, both operating margin and net margin show a clear downward trend. Operating margin fell from a peak of 4.3% in FY22 to 1.9% in FY25, while net margin declined from 2.7% to –0.1%. The move into negative net margin in FY25 is a significant concern and suggests that rising operating expenses, higher finance costs, or one-off items have eroded bottom-line profitability.</w:t>
      </w:r>
    </w:p>
    <w:p>
      <w:pPr>
        <w:pStyle w:val="Heading2"/>
      </w:pPr>
      <w:r>
        <w:t xml:space="preserve">2. Liquidity Ratios</w:t>
      </w:r>
    </w:p>
    <w:p>
      <w:pPr>
        <w:spacing w:after="160"/>
      </w:pPr>
      <w:r>
        <w:t xml:space="preserve">Liquidity ratios remained broadly stable. The current ratio stayed above 1.5 throughout the period (ranging from 1.43 to 1.64), indicating that the company has sufficient current assets to cover its short-term liabilities. The quick ratio hovered around 0.9–1.0, and the cash ratio remained low (0.17–0.21). Overall, short-term liquidity appears adequate, although the low cash ratio suggests limited immediate cash buffers.</w:t>
      </w:r>
    </w:p>
    <w:p>
      <w:pPr>
        <w:pStyle w:val="Heading2"/>
      </w:pPr>
      <w:r>
        <w:t xml:space="preserve">3. Efficiency Ratios</w:t>
      </w:r>
    </w:p>
    <w:p>
      <w:pPr>
        <w:spacing w:after="160"/>
      </w:pPr>
      <w:r>
        <w:t xml:space="preserve">Efficiency improved markedly after FY21. Asset turnover rose from 0.93 in FY21 to a peak of 1.70 in FY23 and then stabilised around 1.65. Fixed asset turnover more than doubled from 4.63 to over 9.0 in FY22–FY23 before moderating to 7.30 in FY25. These movements indicate better utilisation of both total assets and fixed assets in generating revenue after FY21.</w:t>
      </w:r>
    </w:p>
    <w:p>
      <w:pPr>
        <w:pStyle w:val="Heading2"/>
      </w:pPr>
      <w:r>
        <w:t xml:space="preserve">4. Leverage Ratios</w:t>
      </w:r>
    </w:p>
    <w:p>
      <w:pPr>
        <w:spacing w:after="160"/>
      </w:pPr>
      <w:r>
        <w:t xml:space="preserve">Leverage presents the most concerning trend. Interest coverage ratio declined steadily from 4.21 in FY22 to 0.91 in FY25. A coverage ratio below 1.0 means operating profit is insufficient to cover finance costs, raising questions about the company’s ability to service its debt. The debt/equity ratio remained relatively stable (around 4.0) until FY24 but then jumped sharply to 8.04 in FY25, signalling a substantial increase in financial gearing and risk.</w:t>
      </w:r>
    </w:p>
    <w:p>
      <w:pPr>
        <w:pStyle w:val="Heading2"/>
      </w:pPr>
      <w:r>
        <w:t xml:space="preserve">Overall Interpretation</w:t>
      </w:r>
    </w:p>
    <w:p>
      <w:pPr>
        <w:spacing w:after="120"/>
      </w:pPr>
      <w:r>
        <w:t xml:space="preserve">While the company maintained stable gross margins and adequate short-term liquidity, profitability at the operating and net levels has deteriorated significantly. Efficiency gains after FY21 have not translated into sustained profit growth. The sharp rise in gearing in FY25 combined with interest coverage falling below 1.0 points to increased financial risk. Management attention should focus on cost control, debt management, and restoring sustainable net profitability.</w:t>
      </w:r>
    </w:p>
    <w:sectPr>
      <w:pgSz w:w="11906" w:h="16838"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200" w:before="240"/>
      <w:outlineLvl w:val="0"/>
    </w:pPr>
    <w:rPr>
      <w:rFonts w:ascii="Arial" w:cs="Arial" w:eastAsia="Arial" w:hAnsi="Arial"/>
      <w:b/>
      <w:bCs/>
      <w:color w:val="1F4E79"/>
      <w:sz w:val="28"/>
      <w:szCs w:val="28"/>
    </w:rPr>
  </w:style>
  <w:style w:type="paragraph" w:styleId="Heading2">
    <w:name w:val="Heading 2"/>
    <w:basedOn w:val="Normal"/>
    <w:next w:val="Normal"/>
    <w:qFormat/>
    <w:pPr>
      <w:spacing w:after="120" w:before="200"/>
      <w:outlineLvl w:val="1"/>
    </w:pPr>
    <w:rPr>
      <w:rFonts w:ascii="Arial" w:cs="Arial" w:eastAsia="Arial" w:hAnsi="Arial"/>
      <w:b/>
      <w:bCs/>
      <w:color w:val="2E75B6"/>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2026-08-08T20:48:42.565Z</dcterms:created>
  <dcterms:modified xsi:type="dcterms:W3CDTF">2026-08-08T20:48:42.565Z</dcterms:modified>
</cp:coreProperties>
</file>

<file path=docProps/custom.xml><?xml version="1.0" encoding="utf-8"?>
<Properties xmlns="http://schemas.openxmlformats.org/officeDocument/2006/custom-properties" xmlns:vt="http://schemas.openxmlformats.org/officeDocument/2006/docPropsVTypes"/>
</file>