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9B4BB8" w14:textId="77777777" w:rsidR="00DA1B80" w:rsidRPr="002454A1" w:rsidRDefault="00DA1B80" w:rsidP="00DA1B80">
      <w:pPr>
        <w:pStyle w:val="NormalWeb"/>
        <w:rPr>
          <w:rFonts w:ascii="Courier" w:hAnsi="Courier"/>
          <w:b/>
          <w:bCs/>
        </w:rPr>
      </w:pPr>
      <w:r w:rsidRPr="002454A1">
        <w:rPr>
          <w:rFonts w:ascii="Courier" w:hAnsi="Courier"/>
          <w:b/>
          <w:bCs/>
        </w:rPr>
        <w:t>ESSENTIAL READING:</w:t>
      </w:r>
    </w:p>
    <w:p w14:paraId="34B4B13A" w14:textId="77777777" w:rsidR="00DA1B80" w:rsidRPr="002454A1" w:rsidRDefault="00DA1B80" w:rsidP="00DA1B80">
      <w:pPr>
        <w:pStyle w:val="NormalWeb"/>
        <w:numPr>
          <w:ilvl w:val="0"/>
          <w:numId w:val="1"/>
        </w:numPr>
        <w:rPr>
          <w:rFonts w:ascii="Courier" w:hAnsi="Courier"/>
          <w:b/>
          <w:bCs/>
        </w:rPr>
      </w:pPr>
      <w:r w:rsidRPr="002454A1">
        <w:rPr>
          <w:rFonts w:ascii="Courier" w:hAnsi="Courier"/>
          <w:b/>
          <w:bCs/>
        </w:rPr>
        <w:t xml:space="preserve">Campbell, Joseph, and Antony Van </w:t>
      </w:r>
      <w:proofErr w:type="spellStart"/>
      <w:r w:rsidRPr="002454A1">
        <w:rPr>
          <w:rFonts w:ascii="Courier" w:hAnsi="Courier"/>
          <w:b/>
          <w:bCs/>
        </w:rPr>
        <w:t>Couvering</w:t>
      </w:r>
      <w:proofErr w:type="spellEnd"/>
      <w:r w:rsidRPr="002454A1">
        <w:rPr>
          <w:rFonts w:ascii="Courier" w:hAnsi="Courier"/>
          <w:b/>
          <w:bCs/>
        </w:rPr>
        <w:t xml:space="preserve">. </w:t>
      </w:r>
      <w:r w:rsidRPr="002454A1">
        <w:rPr>
          <w:rFonts w:ascii="Courier" w:hAnsi="Courier"/>
          <w:b/>
          <w:bCs/>
          <w:i/>
          <w:iCs/>
        </w:rPr>
        <w:t>The Mythic Dimension: Selected Essays 1959-1987</w:t>
      </w:r>
      <w:r w:rsidRPr="002454A1">
        <w:rPr>
          <w:rFonts w:ascii="Courier" w:hAnsi="Courier"/>
          <w:b/>
          <w:bCs/>
        </w:rPr>
        <w:t xml:space="preserve">. New World Library, 2017. </w:t>
      </w:r>
    </w:p>
    <w:p w14:paraId="0C8DFFA5" w14:textId="7AABC79F" w:rsidR="002454A1" w:rsidRDefault="00DA1B80" w:rsidP="00DA1B80">
      <w:pPr>
        <w:pStyle w:val="NormalWeb"/>
        <w:rPr>
          <w:rFonts w:ascii="Courier" w:hAnsi="Courier"/>
        </w:rPr>
      </w:pPr>
      <w:r w:rsidRPr="001D0920">
        <w:rPr>
          <w:rFonts w:ascii="Courier" w:hAnsi="Courier"/>
          <w:u w:val="single"/>
        </w:rPr>
        <w:t>WHY read Campbell</w:t>
      </w:r>
      <w:r>
        <w:rPr>
          <w:rFonts w:ascii="Courier" w:hAnsi="Courier"/>
        </w:rPr>
        <w:t>: This anthology of Campbell’s best works includes 12 essays where the brilliant mythologist expounds upon the</w:t>
      </w:r>
      <w:r w:rsidRPr="00A05B38">
        <w:rPr>
          <w:rFonts w:ascii="Courier" w:hAnsi="Courier"/>
        </w:rPr>
        <w:t xml:space="preserve"> history</w:t>
      </w:r>
      <w:r>
        <w:rPr>
          <w:rFonts w:ascii="Courier" w:hAnsi="Courier"/>
        </w:rPr>
        <w:t xml:space="preserve"> of mythology</w:t>
      </w:r>
      <w:r w:rsidRPr="00A05B38">
        <w:rPr>
          <w:rFonts w:ascii="Courier" w:hAnsi="Courier"/>
        </w:rPr>
        <w:t>; its influence on art, literature, and culture; and its role in everyday life</w:t>
      </w:r>
      <w:r>
        <w:rPr>
          <w:rFonts w:ascii="Courier" w:hAnsi="Courier"/>
        </w:rPr>
        <w:t xml:space="preserve">. Campbell’s highly readable and enjoyable scholarship explains how myths originate, function and permeate our lives. Myths being the foundational stories of all religions have a very important part to play in what we think and how we act. For interfaith students, reading mythologies from different cultures and understanding their underlying similarities can be very useful in fostering dialogue. Nothing works better than telling stories that people are familiar with. Fables and myths that teach universal virtues such as charity and kindness can be useful tools to talk to each other. </w:t>
      </w:r>
    </w:p>
    <w:p w14:paraId="2B161E5E" w14:textId="09B3A1A0" w:rsidR="002454A1" w:rsidRPr="002454A1" w:rsidRDefault="002454A1" w:rsidP="00DA1B80">
      <w:pPr>
        <w:pStyle w:val="NormalWeb"/>
        <w:rPr>
          <w:rFonts w:ascii="Courier" w:hAnsi="Courier"/>
        </w:rPr>
      </w:pPr>
      <w:r w:rsidRPr="002454A1">
        <w:rPr>
          <w:rFonts w:ascii="Courier" w:hAnsi="Courier"/>
          <w:u w:val="single"/>
        </w:rPr>
        <w:t>Questions to ask</w:t>
      </w:r>
      <w:r w:rsidRPr="002454A1">
        <w:rPr>
          <w:rFonts w:ascii="Courier" w:hAnsi="Courier"/>
        </w:rPr>
        <w:t xml:space="preserve">: </w:t>
      </w:r>
      <w:r>
        <w:rPr>
          <w:rFonts w:ascii="Courier" w:hAnsi="Courier"/>
        </w:rPr>
        <w:t>What are the archetypal stories of any given society or faith group that become essential identity markers? How can I use this knowledge to steer dialogue in fruitful ways?</w:t>
      </w:r>
    </w:p>
    <w:p w14:paraId="78C62305" w14:textId="77777777" w:rsidR="00DA1B80" w:rsidRPr="00E05C91" w:rsidRDefault="00DA1B80" w:rsidP="00DA1B80">
      <w:pPr>
        <w:pStyle w:val="NormalWeb"/>
        <w:rPr>
          <w:rFonts w:ascii="Courier" w:hAnsi="Courier"/>
        </w:rPr>
      </w:pPr>
    </w:p>
    <w:p w14:paraId="643A80D5" w14:textId="77777777" w:rsidR="00DA1B80" w:rsidRPr="002454A1" w:rsidRDefault="00DA1B80" w:rsidP="00DA1B80">
      <w:pPr>
        <w:pStyle w:val="NormalWeb"/>
        <w:numPr>
          <w:ilvl w:val="0"/>
          <w:numId w:val="1"/>
        </w:numPr>
        <w:rPr>
          <w:rFonts w:ascii="Courier" w:hAnsi="Courier"/>
          <w:b/>
          <w:bCs/>
        </w:rPr>
      </w:pPr>
      <w:r w:rsidRPr="002454A1">
        <w:rPr>
          <w:rFonts w:ascii="Courier" w:hAnsi="Courier"/>
          <w:b/>
          <w:bCs/>
        </w:rPr>
        <w:t xml:space="preserve">Eliade, Mircea. </w:t>
      </w:r>
      <w:r w:rsidRPr="002454A1">
        <w:rPr>
          <w:rFonts w:ascii="Courier" w:hAnsi="Courier"/>
          <w:b/>
          <w:bCs/>
          <w:i/>
          <w:iCs/>
        </w:rPr>
        <w:t>Patterns in Comparative Religion</w:t>
      </w:r>
      <w:r w:rsidRPr="002454A1">
        <w:rPr>
          <w:rFonts w:ascii="Courier" w:hAnsi="Courier"/>
          <w:b/>
          <w:bCs/>
        </w:rPr>
        <w:t xml:space="preserve">. </w:t>
      </w:r>
      <w:proofErr w:type="spellStart"/>
      <w:r w:rsidRPr="002454A1">
        <w:rPr>
          <w:rFonts w:ascii="Courier" w:hAnsi="Courier"/>
          <w:b/>
          <w:bCs/>
        </w:rPr>
        <w:t>Sheed</w:t>
      </w:r>
      <w:proofErr w:type="spellEnd"/>
      <w:r w:rsidRPr="002454A1">
        <w:rPr>
          <w:rFonts w:ascii="Courier" w:hAnsi="Courier"/>
          <w:b/>
          <w:bCs/>
        </w:rPr>
        <w:t xml:space="preserve"> and Ward, 1997. </w:t>
      </w:r>
    </w:p>
    <w:p w14:paraId="336D5BB3" w14:textId="4B4C2CB3" w:rsidR="00DA1B80" w:rsidRDefault="00DA1B80" w:rsidP="00DA1B80">
      <w:pPr>
        <w:pStyle w:val="NormalWeb"/>
        <w:ind w:left="360"/>
        <w:rPr>
          <w:rFonts w:ascii="Courier" w:hAnsi="Courier"/>
        </w:rPr>
      </w:pPr>
      <w:r w:rsidRPr="001D0920">
        <w:rPr>
          <w:rFonts w:ascii="Courier" w:hAnsi="Courier"/>
          <w:u w:val="single"/>
        </w:rPr>
        <w:t>WHY read Eliade</w:t>
      </w:r>
      <w:r>
        <w:rPr>
          <w:rFonts w:ascii="Courier" w:hAnsi="Courier"/>
        </w:rPr>
        <w:t xml:space="preserve">: What Campbell is the mythology, Eliade is to the study of religion. Eliade’s perspectives in this book on the religious experiences of different faith groups includes that one </w:t>
      </w:r>
      <w:r w:rsidRPr="001D0920">
        <w:rPr>
          <w:rFonts w:ascii="Courier" w:hAnsi="Courier"/>
        </w:rPr>
        <w:t>irreducible element</w:t>
      </w:r>
      <w:r>
        <w:rPr>
          <w:rFonts w:ascii="Courier" w:hAnsi="Courier"/>
        </w:rPr>
        <w:t xml:space="preserve"> </w:t>
      </w:r>
      <w:r w:rsidRPr="001D0920">
        <w:rPr>
          <w:rFonts w:ascii="Courier" w:hAnsi="Courier"/>
        </w:rPr>
        <w:t xml:space="preserve">of </w:t>
      </w:r>
      <w:r w:rsidRPr="002454A1">
        <w:rPr>
          <w:rFonts w:ascii="Courier" w:hAnsi="Courier"/>
          <w:b/>
          <w:bCs/>
        </w:rPr>
        <w:t>the sacred</w:t>
      </w:r>
      <w:r>
        <w:rPr>
          <w:rFonts w:ascii="Courier" w:hAnsi="Courier"/>
        </w:rPr>
        <w:t xml:space="preserve"> that most contemporary scholars of religion miss out on. In addition of psychosocial factors, students of interfaith studies would do well to remember the fantastical and magical elements of religion, which are important drivers of behaviour. Read this book to understand how you can sensitively incorporate this dimension of belief in dialogue, when dealing with believers. Fruitful dialogue and harmony between faith groups can only take place when one acknowledges and respects what is considered sacred by the other.  </w:t>
      </w:r>
    </w:p>
    <w:p w14:paraId="445BA3FF" w14:textId="7F700D8C" w:rsidR="002454A1" w:rsidRPr="002454A1" w:rsidRDefault="002454A1" w:rsidP="00DA1B80">
      <w:pPr>
        <w:pStyle w:val="NormalWeb"/>
        <w:ind w:left="360"/>
        <w:rPr>
          <w:rFonts w:ascii="Courier" w:hAnsi="Courier"/>
        </w:rPr>
      </w:pPr>
      <w:r w:rsidRPr="002454A1">
        <w:rPr>
          <w:rFonts w:ascii="Courier" w:hAnsi="Courier"/>
          <w:u w:val="single"/>
        </w:rPr>
        <w:t>Questions to ask</w:t>
      </w:r>
      <w:r>
        <w:rPr>
          <w:rFonts w:ascii="Courier" w:hAnsi="Courier"/>
        </w:rPr>
        <w:t>: What are the objects, rituals and practices of other faith traditions that are considered sacred? How can I invoke these sacred references without causing offence in an interfaith context?</w:t>
      </w:r>
    </w:p>
    <w:p w14:paraId="0563A039" w14:textId="77777777" w:rsidR="00DA1B80" w:rsidRPr="00E05C91" w:rsidRDefault="00DA1B80" w:rsidP="00DA1B80">
      <w:pPr>
        <w:pStyle w:val="NormalWeb"/>
        <w:rPr>
          <w:rFonts w:ascii="Courier" w:hAnsi="Courier"/>
        </w:rPr>
      </w:pPr>
    </w:p>
    <w:p w14:paraId="5A06550A" w14:textId="77777777" w:rsidR="00DA1B80" w:rsidRPr="002454A1" w:rsidRDefault="00DA1B80" w:rsidP="00DA1B80">
      <w:pPr>
        <w:pStyle w:val="NormalWeb"/>
        <w:numPr>
          <w:ilvl w:val="0"/>
          <w:numId w:val="1"/>
        </w:numPr>
        <w:rPr>
          <w:rFonts w:ascii="Courier" w:hAnsi="Courier"/>
          <w:b/>
          <w:bCs/>
          <w:color w:val="000000" w:themeColor="text1"/>
          <w:shd w:val="clear" w:color="auto" w:fill="FFFFFF"/>
        </w:rPr>
      </w:pPr>
      <w:r w:rsidRPr="002454A1">
        <w:rPr>
          <w:rFonts w:ascii="Courier" w:hAnsi="Courier"/>
          <w:b/>
          <w:bCs/>
          <w:color w:val="000000" w:themeColor="text1"/>
          <w:shd w:val="clear" w:color="auto" w:fill="FFFFFF"/>
        </w:rPr>
        <w:lastRenderedPageBreak/>
        <w:t>Davidson Hilda Ellis. </w:t>
      </w:r>
      <w:r w:rsidRPr="002454A1">
        <w:rPr>
          <w:rFonts w:ascii="Courier" w:hAnsi="Courier"/>
          <w:b/>
          <w:bCs/>
          <w:i/>
          <w:iCs/>
          <w:color w:val="000000" w:themeColor="text1"/>
          <w:shd w:val="clear" w:color="auto" w:fill="FFFFFF"/>
        </w:rPr>
        <w:t>Myths and Symbols in Religion and Folklore</w:t>
      </w:r>
      <w:r w:rsidRPr="002454A1">
        <w:rPr>
          <w:rFonts w:ascii="Courier" w:hAnsi="Courier"/>
          <w:b/>
          <w:bCs/>
          <w:color w:val="000000" w:themeColor="text1"/>
          <w:shd w:val="clear" w:color="auto" w:fill="FFFFFF"/>
        </w:rPr>
        <w:t>, Folklore, 100:2, 131-142, DOI: </w:t>
      </w:r>
      <w:hyperlink r:id="rId5" w:history="1">
        <w:r w:rsidRPr="002454A1">
          <w:rPr>
            <w:rStyle w:val="Hyperlink"/>
            <w:rFonts w:ascii="Courier" w:hAnsi="Courier"/>
            <w:b/>
            <w:bCs/>
            <w:color w:val="000000" w:themeColor="text1"/>
            <w:shd w:val="clear" w:color="auto" w:fill="FFFFFF"/>
          </w:rPr>
          <w:t>10.1080/0015587X.1989.9715761</w:t>
        </w:r>
      </w:hyperlink>
      <w:r w:rsidRPr="002454A1">
        <w:rPr>
          <w:rFonts w:ascii="Courier" w:hAnsi="Courier"/>
          <w:b/>
          <w:bCs/>
          <w:color w:val="000000" w:themeColor="text1"/>
          <w:shd w:val="clear" w:color="auto" w:fill="FFFFFF"/>
        </w:rPr>
        <w:t>, 1989 </w:t>
      </w:r>
    </w:p>
    <w:p w14:paraId="3FF95286" w14:textId="08C4ADC5" w:rsidR="00DA1B80" w:rsidRDefault="00DA1B80" w:rsidP="00DA1B80">
      <w:pPr>
        <w:pStyle w:val="NormalWeb"/>
        <w:ind w:left="360"/>
        <w:rPr>
          <w:rFonts w:ascii="Courier" w:hAnsi="Courier"/>
        </w:rPr>
      </w:pPr>
      <w:r w:rsidRPr="00B70095">
        <w:rPr>
          <w:rFonts w:ascii="Courier" w:hAnsi="Courier"/>
          <w:u w:val="single"/>
        </w:rPr>
        <w:t xml:space="preserve">WHY read </w:t>
      </w:r>
      <w:r>
        <w:rPr>
          <w:rFonts w:ascii="Courier" w:hAnsi="Courier"/>
          <w:u w:val="single"/>
        </w:rPr>
        <w:t>Davidson</w:t>
      </w:r>
      <w:r>
        <w:rPr>
          <w:rFonts w:ascii="Courier" w:hAnsi="Courier"/>
        </w:rPr>
        <w:t xml:space="preserve">: In her paper, Davidson uses the typology of fables and folklore to denote symbols in religion. She notes how even a very powerful Christian movement in Iceland and Scandinavia could not completely erase the older folk religions and had to incorporate several ‘pagan’ myths and motifs. A study of such elements in addition to theological perspectives will alert a student of interfaith study to the existence of many </w:t>
      </w:r>
      <w:proofErr w:type="spellStart"/>
      <w:r>
        <w:rPr>
          <w:rFonts w:ascii="Courier" w:hAnsi="Courier"/>
        </w:rPr>
        <w:t>Christianities</w:t>
      </w:r>
      <w:proofErr w:type="spellEnd"/>
      <w:r>
        <w:rPr>
          <w:rFonts w:ascii="Courier" w:hAnsi="Courier"/>
        </w:rPr>
        <w:t xml:space="preserve"> and not one. It will help recognise that not all Christians (or indeed, Muslims or Hindus or Jews) speak the same language or are moved by the same stories, even if they espouse the same faith.  </w:t>
      </w:r>
    </w:p>
    <w:p w14:paraId="7C4B266B" w14:textId="4A8A1F81" w:rsidR="002454A1" w:rsidRPr="002454A1" w:rsidRDefault="002454A1" w:rsidP="00DA1B80">
      <w:pPr>
        <w:pStyle w:val="NormalWeb"/>
        <w:ind w:left="360"/>
        <w:rPr>
          <w:rFonts w:ascii="Courier" w:hAnsi="Courier"/>
        </w:rPr>
      </w:pPr>
      <w:r>
        <w:rPr>
          <w:rFonts w:ascii="Courier" w:hAnsi="Courier"/>
          <w:u w:val="single"/>
        </w:rPr>
        <w:t>Questions to ask</w:t>
      </w:r>
      <w:r>
        <w:rPr>
          <w:rFonts w:ascii="Courier" w:hAnsi="Courier"/>
        </w:rPr>
        <w:t>: How do indigenous faiths influence missionary religions? How can one be mindful of the many local practices that are co-opted within a larger tradition and use them to facilitate dialogue?</w:t>
      </w:r>
      <w:bookmarkStart w:id="0" w:name="_GoBack"/>
      <w:bookmarkEnd w:id="0"/>
    </w:p>
    <w:p w14:paraId="29B21EC8" w14:textId="77777777" w:rsidR="00A909D9" w:rsidRDefault="00A909D9"/>
    <w:sectPr w:rsidR="00A909D9" w:rsidSect="00321DD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w:panose1 w:val="00000000000000000000"/>
    <w:charset w:val="00"/>
    <w:family w:val="auto"/>
    <w:pitch w:val="variable"/>
    <w:sig w:usb0="00000003" w:usb1="00000000" w:usb2="00000000" w:usb3="00000000" w:csb0="00000003"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15185C"/>
    <w:multiLevelType w:val="hybridMultilevel"/>
    <w:tmpl w:val="02A618B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B80"/>
    <w:rsid w:val="002454A1"/>
    <w:rsid w:val="00321DD4"/>
    <w:rsid w:val="007148C2"/>
    <w:rsid w:val="00A909D9"/>
    <w:rsid w:val="00DA1B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70A396CB"/>
  <w15:chartTrackingRefBased/>
  <w15:docId w15:val="{0E88B4AC-94FC-1F4F-AA8E-48BFE2BD6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A1B80"/>
    <w:pPr>
      <w:spacing w:before="100" w:beforeAutospacing="1" w:after="100" w:afterAutospacing="1"/>
    </w:pPr>
    <w:rPr>
      <w:rFonts w:ascii="Times New Roman" w:eastAsia="Times New Roman" w:hAnsi="Times New Roman" w:cs="Times New Roman"/>
      <w:lang w:val="en-IN" w:eastAsia="en-GB"/>
    </w:rPr>
  </w:style>
  <w:style w:type="character" w:styleId="Hyperlink">
    <w:name w:val="Hyperlink"/>
    <w:basedOn w:val="DefaultParagraphFont"/>
    <w:uiPriority w:val="99"/>
    <w:unhideWhenUsed/>
    <w:rsid w:val="00DA1B8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80/0015587X.1989.971576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2</Pages>
  <Words>481</Words>
  <Characters>2747</Characters>
  <Application>Microsoft Office Word</Application>
  <DocSecurity>0</DocSecurity>
  <Lines>22</Lines>
  <Paragraphs>6</Paragraphs>
  <ScaleCrop>false</ScaleCrop>
  <Company/>
  <LinksUpToDate>false</LinksUpToDate>
  <CharactersWithSpaces>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2020-11-18T03:44:00Z</dcterms:created>
  <dcterms:modified xsi:type="dcterms:W3CDTF">2020-11-18T04:00:00Z</dcterms:modified>
</cp:coreProperties>
</file>