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_rels/document.xml.rels" ContentType="application/vnd.openxmlformats-package.relationships+xml"/>
  <Override PartName="/word/settings.xml" ContentType="application/vnd.openxmlformats-officedocument.wordprocessingml.setting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b/>
          <w:b/>
          <w:bCs/>
        </w:rPr>
      </w:pPr>
      <w:r>
        <w:rPr>
          <w:rFonts w:eastAsia="Songti SC" w:cs="Arial Unicode MS" w:ascii="Arial" w:hAnsi="Arial"/>
          <w:b/>
          <w:bCs/>
          <w:color w:val="auto"/>
          <w:kern w:val="2"/>
          <w:sz w:val="22"/>
          <w:szCs w:val="22"/>
          <w:lang w:val="en-GB" w:eastAsia="zh-CN" w:bidi="hi-IN"/>
        </w:rPr>
        <w:t>Dis</w:t>
      </w:r>
      <w:r>
        <w:rPr>
          <w:rFonts w:ascii="Arial" w:hAnsi="Arial"/>
          <w:b/>
          <w:bCs/>
          <w:sz w:val="22"/>
          <w:szCs w:val="22"/>
        </w:rPr>
        <w:t>believed Model Disciples – Women in Luke-Acts</w:t>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Introduction</w:t>
      </w:r>
      <w:bookmarkStart w:id="0" w:name="_GoBack"/>
      <w:bookmarkEnd w:id="0"/>
      <w:r>
        <w:rPr>
          <w:rFonts w:ascii="Arial" w:hAnsi="Arial"/>
          <w:b/>
          <w:bCs/>
          <w:sz w:val="22"/>
          <w:szCs w:val="22"/>
        </w:rPr>
        <w:t xml:space="preserv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In a study of Jesus’ social network, the 121 people he interacts with in the four gospels, Jennifer McClure found that 21% of them were women.</w:t>
      </w:r>
      <w:r>
        <w:rPr>
          <w:rStyle w:val="FootnoteAnchor"/>
          <w:rFonts w:ascii="Arial" w:hAnsi="Arial"/>
          <w:sz w:val="22"/>
          <w:szCs w:val="22"/>
        </w:rPr>
        <w:footnoteReference w:id="2"/>
      </w:r>
      <w:r>
        <w:rPr>
          <w:rFonts w:ascii="Arial" w:hAnsi="Arial"/>
          <w:sz w:val="22"/>
          <w:szCs w:val="22"/>
        </w:rPr>
        <w:t xml:space="preserve"> Of the gospels, Luke </w:t>
      </w:r>
      <w:r>
        <w:rPr>
          <w:rFonts w:eastAsia="Songti SC" w:cs="Arial Unicode MS" w:ascii="Arial" w:hAnsi="Arial"/>
          <w:color w:val="auto"/>
          <w:kern w:val="2"/>
          <w:sz w:val="22"/>
          <w:szCs w:val="22"/>
          <w:lang w:val="en-GB" w:eastAsia="zh-CN" w:bidi="hi-IN"/>
        </w:rPr>
        <w:t>has</w:t>
      </w:r>
      <w:r>
        <w:rPr>
          <w:rFonts w:ascii="Arial" w:hAnsi="Arial"/>
          <w:sz w:val="22"/>
          <w:szCs w:val="22"/>
        </w:rPr>
        <w:t xml:space="preserve"> the most female characters in prominent roles, with this partially continuing into the book of Acts. While Luke gives more stories about women, he takes a more traditional view of their role compared to the other gospels, restricting them in ways that emphasise a more </w:t>
      </w:r>
      <w:r>
        <w:rPr>
          <w:rFonts w:eastAsia="Songti SC" w:ascii="Arial" w:hAnsi="Arial"/>
          <w:sz w:val="22"/>
          <w:szCs w:val="22"/>
        </w:rPr>
        <w:t>conservative</w:t>
      </w:r>
      <w:r>
        <w:rPr>
          <w:rFonts w:ascii="Arial" w:hAnsi="Arial"/>
          <w:sz w:val="22"/>
          <w:szCs w:val="22"/>
        </w:rPr>
        <w:t xml:space="preserve"> idea of femininity. </w:t>
      </w:r>
      <w:r>
        <w:rPr>
          <w:rFonts w:ascii="Arial" w:hAnsi="Arial"/>
          <w:sz w:val="22"/>
          <w:szCs w:val="22"/>
          <w:shd w:fill="FFFFFF" w:val="clear"/>
        </w:rPr>
        <w:t>Seim summarises this by stating that Luke “</w:t>
      </w:r>
      <w:r>
        <w:rPr>
          <w:rFonts w:ascii="Arial" w:hAnsi="Arial"/>
          <w:color w:val="222222"/>
          <w:sz w:val="22"/>
          <w:szCs w:val="22"/>
          <w:shd w:fill="FFFFFF" w:val="clear"/>
        </w:rPr>
        <w:t>cannot be reduced either to a feminist treasure chamber or to a chamber of horrors for women's theology”.</w:t>
      </w:r>
      <w:r>
        <w:rPr>
          <w:rStyle w:val="FootnoteAnchor"/>
          <w:rFonts w:ascii="Arial" w:hAnsi="Arial"/>
          <w:color w:val="222222"/>
          <w:sz w:val="22"/>
          <w:szCs w:val="22"/>
          <w:shd w:fill="FFFFFF" w:val="clear"/>
        </w:rPr>
        <w:footnoteReference w:id="3"/>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shd w:fill="FFFFFF" w:val="clear"/>
        </w:rPr>
        <w:t>This essay discusses the role of women in</w:t>
      </w:r>
      <w:r>
        <w:rPr>
          <w:rFonts w:ascii="Arial" w:hAnsi="Arial"/>
          <w:sz w:val="22"/>
          <w:szCs w:val="22"/>
        </w:rPr>
        <w:t xml:space="preserve"> the book of Luke-Acts, with a particular focus on the disciple Mary Magdalene and the slave girl Rhoda. The first section of the essay</w:t>
      </w:r>
      <w:r>
        <w:rPr>
          <w:rFonts w:ascii="Arial" w:hAnsi="Arial"/>
          <w:sz w:val="22"/>
          <w:szCs w:val="22"/>
          <w:shd w:fill="FFFFFF" w:val="clear"/>
        </w:rPr>
        <w:t xml:space="preserve"> </w:t>
      </w:r>
      <w:r>
        <w:rPr>
          <w:rFonts w:ascii="Arial" w:hAnsi="Arial"/>
          <w:color w:val="000000"/>
          <w:sz w:val="22"/>
          <w:szCs w:val="22"/>
          <w:shd w:fill="FFFFFF" w:val="clear"/>
        </w:rPr>
        <w:t>discusses</w:t>
      </w:r>
      <w:r>
        <w:rPr>
          <w:rFonts w:ascii="Arial" w:hAnsi="Arial"/>
          <w:sz w:val="22"/>
          <w:szCs w:val="22"/>
          <w:shd w:fill="FFFFFF" w:val="clear"/>
        </w:rPr>
        <w:t xml:space="preserve"> women in the gospel of Luke – the pairing motif used, the way that society shaped them as disciples, and how they are portrayed as silent. </w:t>
      </w:r>
      <w:r>
        <w:rPr>
          <w:rFonts w:ascii="Arial" w:hAnsi="Arial"/>
          <w:sz w:val="22"/>
          <w:szCs w:val="22"/>
        </w:rPr>
        <w:t xml:space="preserve">Mary Magdalene is then concentrated on, following Jesus to the cross, yet finding her testimony that he </w:t>
      </w:r>
      <w:r>
        <w:rPr>
          <w:rFonts w:ascii="Arial" w:hAnsi="Arial"/>
          <w:sz w:val="22"/>
          <w:szCs w:val="22"/>
        </w:rPr>
        <w:t>is</w:t>
      </w:r>
      <w:r>
        <w:rPr>
          <w:rFonts w:ascii="Arial" w:hAnsi="Arial"/>
          <w:sz w:val="22"/>
          <w:szCs w:val="22"/>
        </w:rPr>
        <w:t xml:space="preserve"> risen dismissed. The focus is then turned on to the book of Acts,</w:t>
      </w:r>
      <w:r>
        <w:rPr>
          <w:rFonts w:ascii="Arial" w:hAnsi="Arial"/>
          <w:sz w:val="22"/>
          <w:szCs w:val="22"/>
          <w:shd w:fill="FFFFFF" w:val="clear"/>
        </w:rPr>
        <w:t xml:space="preserve"> with a brief discussion of the female characters, before finally </w:t>
      </w:r>
      <w:r>
        <w:rPr>
          <w:rFonts w:eastAsia="Songti SC" w:cs="Arial Unicode MS" w:ascii="Arial" w:hAnsi="Arial"/>
          <w:color w:val="000000"/>
          <w:kern w:val="2"/>
          <w:sz w:val="22"/>
          <w:szCs w:val="22"/>
          <w:shd w:fill="FFFFFF" w:val="clear"/>
          <w:lang w:val="en-GB" w:eastAsia="zh-CN" w:bidi="hi-IN"/>
        </w:rPr>
        <w:t>moving</w:t>
      </w:r>
      <w:r>
        <w:rPr>
          <w:rFonts w:ascii="Arial" w:hAnsi="Arial"/>
          <w:color w:val="000000"/>
          <w:sz w:val="22"/>
          <w:szCs w:val="22"/>
          <w:shd w:fill="FFFFFF" w:val="clear"/>
        </w:rPr>
        <w:t xml:space="preserve"> to</w:t>
      </w:r>
      <w:r>
        <w:rPr>
          <w:rFonts w:ascii="Arial" w:hAnsi="Arial"/>
          <w:sz w:val="22"/>
          <w:szCs w:val="22"/>
          <w:shd w:fill="FFFFFF" w:val="clear"/>
        </w:rPr>
        <w:t xml:space="preserve"> Rhoda and how she too typifies a model, yet disbelieved disciple.</w:t>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Women in the gospel of Luke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From the start, women play a major part in events. The infancy narratives begin with Elizabeth becoming a parent later in life, harkening back to Old Testament figures such as Sarah and Han</w:t>
      </w:r>
      <w:r>
        <w:rPr>
          <w:rFonts w:ascii="Arial" w:hAnsi="Arial"/>
          <w:color w:val="000000"/>
          <w:sz w:val="22"/>
          <w:szCs w:val="22"/>
          <w:shd w:fill="FFFFFF" w:val="clear"/>
        </w:rPr>
        <w:t>nah. Mary, the mother of Jesus, who will also be positioned at the start and climax of Jesus’ ministry, and then Anna are introduced. Yet during Jesus’ ministry, while women continue to appear in Luke, they are heard less often.  A</w:t>
      </w:r>
      <w:r>
        <w:rPr>
          <w:rFonts w:ascii="Arial" w:hAnsi="Arial"/>
          <w:color w:val="222222"/>
          <w:sz w:val="22"/>
          <w:szCs w:val="22"/>
          <w:shd w:fill="FFFFFF" w:val="clear"/>
        </w:rPr>
        <w:t>sikainen finds that after the infancy narratives, there are only four cases where a woman speaks in Luke, and in each case they are corrected or disbelieved.</w:t>
      </w:r>
      <w:r>
        <w:rPr>
          <w:rStyle w:val="FootnoteAnchor"/>
          <w:rFonts w:ascii="Arial" w:hAnsi="Arial"/>
          <w:color w:val="222222"/>
          <w:sz w:val="22"/>
          <w:szCs w:val="22"/>
          <w:shd w:fill="FFFFFF" w:val="clear"/>
        </w:rPr>
        <w:footnoteReference w:id="4"/>
      </w:r>
      <w:r>
        <w:rPr>
          <w:rFonts w:ascii="Arial" w:hAnsi="Arial"/>
          <w:color w:val="222222"/>
          <w:sz w:val="22"/>
          <w:szCs w:val="22"/>
          <w:shd w:fill="FFFFFF" w:val="clear"/>
        </w:rPr>
        <w:t xml:space="preserve"> What is Luke’s purpose in having a gospel so rich in female characters, but restricting them in speaking roles?</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Seim suggests that the increased number of women in Luke, compared to other gospels is due to a broader concern for the poor and the outcast.</w:t>
      </w:r>
      <w:r>
        <w:rPr>
          <w:rStyle w:val="FootnoteAnchor"/>
          <w:rFonts w:ascii="Arial" w:hAnsi="Arial"/>
          <w:sz w:val="22"/>
          <w:szCs w:val="22"/>
        </w:rPr>
        <w:footnoteReference w:id="5"/>
      </w:r>
      <w:r>
        <w:rPr>
          <w:rFonts w:ascii="Arial" w:hAnsi="Arial"/>
          <w:sz w:val="22"/>
          <w:szCs w:val="22"/>
        </w:rPr>
        <w:t xml:space="preserve"> In this, and any other patriarchal society, women could be disadvantaged, and this could be made worse by illness, poverty, or becoming a widow. Yet Luke shows that they can break out of this role of victim, becoming an example of faith. Widows in particular feature prominently, firstly with the prophetess Anna, </w:t>
      </w:r>
      <w:r>
        <w:rPr>
          <w:rFonts w:eastAsia="Songti SC" w:ascii="Arial" w:hAnsi="Arial"/>
          <w:sz w:val="22"/>
          <w:szCs w:val="22"/>
        </w:rPr>
        <w:t>examined</w:t>
      </w:r>
      <w:r>
        <w:rPr>
          <w:rFonts w:ascii="Arial" w:hAnsi="Arial"/>
          <w:sz w:val="22"/>
          <w:szCs w:val="22"/>
        </w:rPr>
        <w:t xml:space="preserve"> later in this section </w:t>
      </w:r>
      <w:r>
        <w:rPr>
          <w:rFonts w:ascii="Arial" w:hAnsi="Arial"/>
          <w:sz w:val="22"/>
          <w:szCs w:val="22"/>
          <w:shd w:fill="FFFFFF" w:val="clear"/>
        </w:rPr>
        <w:t xml:space="preserve">(Lk 2:36-38), </w:t>
      </w:r>
      <w:r>
        <w:rPr>
          <w:rFonts w:ascii="Arial" w:hAnsi="Arial"/>
          <w:sz w:val="22"/>
          <w:szCs w:val="22"/>
        </w:rPr>
        <w:t xml:space="preserve">but also </w:t>
      </w:r>
      <w:r>
        <w:rPr>
          <w:rFonts w:ascii="Arial" w:hAnsi="Arial"/>
          <w:sz w:val="22"/>
          <w:szCs w:val="22"/>
          <w:shd w:fill="FFFFFF" w:val="clear"/>
        </w:rPr>
        <w:t xml:space="preserve">in the story of the widow’s mite, where her devotion and self-sacrifice are recognised and contrasted with those who are privileged and supposedly pious (Lk 21:1-4) and the </w:t>
      </w:r>
      <w:r>
        <w:rPr>
          <w:rFonts w:ascii="Arial" w:hAnsi="Arial"/>
          <w:color w:val="000000"/>
          <w:sz w:val="22"/>
          <w:szCs w:val="22"/>
          <w:shd w:fill="FFFFFF" w:val="clear"/>
        </w:rPr>
        <w:t>persistent</w:t>
      </w:r>
      <w:r>
        <w:rPr>
          <w:rFonts w:ascii="Arial" w:hAnsi="Arial"/>
          <w:sz w:val="22"/>
          <w:szCs w:val="22"/>
          <w:shd w:fill="FFFFFF" w:val="clear"/>
        </w:rPr>
        <w:t xml:space="preserve"> widow who shows the power of </w:t>
      </w:r>
      <w:r>
        <w:rPr>
          <w:rFonts w:ascii="Arial" w:hAnsi="Arial"/>
          <w:color w:val="000000"/>
          <w:sz w:val="22"/>
          <w:szCs w:val="22"/>
          <w:shd w:fill="FFFFFF" w:val="clear"/>
        </w:rPr>
        <w:t>always praying and never giving up</w:t>
      </w:r>
      <w:r>
        <w:rPr>
          <w:rFonts w:ascii="Arial" w:hAnsi="Arial"/>
          <w:sz w:val="22"/>
          <w:szCs w:val="22"/>
          <w:shd w:fill="FFFFFF" w:val="clear"/>
        </w:rPr>
        <w:t xml:space="preserve"> (Lk 18:1-8).</w:t>
      </w:r>
      <w:r>
        <w:rPr>
          <w:rStyle w:val="FootnoteAnchor"/>
          <w:rFonts w:ascii="Arial" w:hAnsi="Arial"/>
          <w:sz w:val="22"/>
          <w:szCs w:val="22"/>
          <w:shd w:fill="FFFFFF" w:val="clear"/>
        </w:rPr>
        <w:footnoteReference w:id="6"/>
      </w:r>
      <w:r>
        <w:rPr>
          <w:rFonts w:ascii="Arial" w:hAnsi="Arial"/>
          <w:sz w:val="22"/>
          <w:szCs w:val="22"/>
          <w:shd w:fill="FFFFFF" w:val="clear"/>
        </w:rPr>
        <w:t xml:space="preserve"> </w:t>
      </w:r>
    </w:p>
    <w:p>
      <w:pPr>
        <w:pStyle w:val="Normal"/>
        <w:rPr>
          <w:rFonts w:ascii="Arial" w:hAnsi="Arial"/>
          <w:sz w:val="22"/>
          <w:szCs w:val="22"/>
        </w:rPr>
      </w:pPr>
      <w:r>
        <w:rPr>
          <w:rFonts w:ascii="Arial" w:hAnsi="Arial"/>
          <w:sz w:val="22"/>
          <w:szCs w:val="22"/>
        </w:rPr>
      </w:r>
    </w:p>
    <w:p>
      <w:pPr>
        <w:pStyle w:val="Normal"/>
        <w:rPr>
          <w:sz w:val="22"/>
          <w:szCs w:val="22"/>
        </w:rPr>
      </w:pPr>
      <w:r>
        <w:rPr>
          <w:rFonts w:ascii="Arial" w:hAnsi="Arial"/>
          <w:sz w:val="22"/>
          <w:szCs w:val="22"/>
        </w:rPr>
        <w:t>A second reason for the larger number of women in the gospel of Luke is due to the author’s habit of pairing stories of men and women. First highlighted by</w:t>
      </w:r>
      <w:r>
        <w:rPr>
          <w:rFonts w:ascii="Arial" w:hAnsi="Arial"/>
          <w:color w:val="000000"/>
          <w:sz w:val="22"/>
          <w:szCs w:val="22"/>
          <w:shd w:fill="FFFFFF" w:val="clear"/>
        </w:rPr>
        <w:t xml:space="preserve"> </w:t>
      </w:r>
      <w:r>
        <w:rPr>
          <w:rFonts w:ascii="Arial" w:hAnsi="Arial"/>
          <w:color w:val="222222"/>
          <w:sz w:val="22"/>
          <w:szCs w:val="22"/>
          <w:shd w:fill="FFFFFF" w:val="clear"/>
        </w:rPr>
        <w:t>Constance Parvey,</w:t>
      </w:r>
      <w:r>
        <w:rPr>
          <w:rStyle w:val="FootnoteAnchor"/>
          <w:rFonts w:ascii="Arial" w:hAnsi="Arial"/>
          <w:color w:val="222222"/>
          <w:sz w:val="22"/>
          <w:szCs w:val="22"/>
          <w:shd w:fill="FFFFFF" w:val="clear"/>
        </w:rPr>
        <w:footnoteReference w:id="7"/>
      </w:r>
      <w:r>
        <w:rPr>
          <w:rFonts w:ascii="Arial" w:hAnsi="Arial"/>
          <w:color w:val="222222"/>
          <w:sz w:val="22"/>
          <w:szCs w:val="22"/>
          <w:shd w:fill="FFFFFF" w:val="clear"/>
        </w:rPr>
        <w:t xml:space="preserve"> D’Angelo finds that Luke constructs these pairings either by linking two stories that have the same point from Q or Mark, comparing two stories from his own source that feature a male and female character, or using one of each.</w:t>
      </w:r>
      <w:r>
        <w:rPr>
          <w:rStyle w:val="FootnoteAnchor"/>
          <w:rFonts w:ascii="Arial" w:hAnsi="Arial"/>
          <w:color w:val="222222"/>
          <w:sz w:val="22"/>
          <w:szCs w:val="22"/>
          <w:shd w:fill="FFFFFF" w:val="clear"/>
        </w:rPr>
        <w:footnoteReference w:id="8"/>
      </w:r>
      <w:r>
        <w:rPr>
          <w:rFonts w:ascii="Arial" w:hAnsi="Arial"/>
          <w:color w:val="222222"/>
          <w:sz w:val="22"/>
          <w:szCs w:val="22"/>
          <w:shd w:fill="FFFFFF" w:val="clear"/>
        </w:rPr>
        <w:t xml:space="preserve"> </w:t>
      </w:r>
      <w:r>
        <w:rPr>
          <w:rFonts w:ascii="Arial" w:hAnsi="Arial"/>
          <w:color w:val="000000"/>
          <w:sz w:val="22"/>
          <w:szCs w:val="22"/>
          <w:shd w:fill="FFFFFF" w:val="clear"/>
        </w:rPr>
        <w:t xml:space="preserve">The pairing of women and men may have multiple purposes. Firstly it allows repetition so that Luke can emphasise his main points and themes.  Secondly, these pairing motifs show that both men and women can show model discipleship behaviour. Most importantly though, it makes Luke’s message both understandable and relatable to male and female readers, </w:t>
      </w:r>
      <w:r>
        <w:rPr>
          <w:rFonts w:eastAsia="Songti SC" w:ascii="Arial" w:hAnsi="Arial"/>
          <w:color w:val="000000"/>
          <w:sz w:val="22"/>
          <w:szCs w:val="22"/>
          <w:shd w:fill="FFFFFF" w:val="clear"/>
        </w:rPr>
        <w:t>hold</w:t>
      </w:r>
      <w:r>
        <w:rPr>
          <w:rFonts w:ascii="Arial" w:hAnsi="Arial"/>
          <w:color w:val="000000"/>
          <w:sz w:val="22"/>
          <w:szCs w:val="22"/>
          <w:shd w:fill="FFFFFF" w:val="clear"/>
        </w:rPr>
        <w:t xml:space="preserve">ing the attention of a mixed audience. It captures too Jesus’ equal concern for men and women, and his teaching that those considered last and least in society will be first in the Kingdom of heaven. </w:t>
      </w:r>
    </w:p>
    <w:p>
      <w:pPr>
        <w:pStyle w:val="Normal"/>
        <w:rPr>
          <w:sz w:val="22"/>
          <w:szCs w:val="22"/>
        </w:rPr>
      </w:pPr>
      <w:r>
        <w:rPr>
          <w:sz w:val="22"/>
          <w:szCs w:val="22"/>
        </w:rPr>
      </w:r>
    </w:p>
    <w:p>
      <w:pPr>
        <w:pStyle w:val="TextBody"/>
        <w:rPr/>
      </w:pPr>
      <w:r>
        <w:rPr>
          <w:rFonts w:ascii="Arial" w:hAnsi="Arial"/>
          <w:color w:val="000000"/>
          <w:sz w:val="22"/>
          <w:szCs w:val="22"/>
          <w:shd w:fill="FFFFFF" w:val="clear"/>
        </w:rPr>
        <w:t>While D’Angelo finds that there is an example of these pairings in almost every chapter of Luke,</w:t>
      </w:r>
      <w:r>
        <w:rPr>
          <w:rStyle w:val="FootnoteAnchor"/>
          <w:rFonts w:ascii="Arial" w:hAnsi="Arial"/>
          <w:color w:val="000000"/>
          <w:sz w:val="22"/>
          <w:szCs w:val="22"/>
          <w:shd w:fill="FFFFFF" w:val="clear"/>
        </w:rPr>
        <w:footnoteReference w:id="9"/>
      </w:r>
      <w:r>
        <w:rPr>
          <w:rFonts w:ascii="Arial" w:hAnsi="Arial"/>
          <w:color w:val="000000"/>
          <w:sz w:val="22"/>
          <w:szCs w:val="22"/>
          <w:shd w:fill="FFFFFF" w:val="clear"/>
        </w:rPr>
        <w:t xml:space="preserve"> only </w:t>
      </w:r>
      <w:r>
        <w:rPr>
          <w:rFonts w:eastAsia="Songti SC" w:cs="Arial Unicode MS" w:ascii="Arial" w:hAnsi="Arial"/>
          <w:color w:val="000000"/>
          <w:kern w:val="2"/>
          <w:sz w:val="22"/>
          <w:szCs w:val="22"/>
          <w:shd w:fill="FFFFFF" w:val="clear"/>
          <w:lang w:val="en-GB" w:eastAsia="zh-CN" w:bidi="hi-IN"/>
        </w:rPr>
        <w:t>two</w:t>
      </w:r>
      <w:r>
        <w:rPr>
          <w:rFonts w:ascii="Arial" w:hAnsi="Arial"/>
          <w:color w:val="000000"/>
          <w:sz w:val="22"/>
          <w:szCs w:val="22"/>
          <w:shd w:fill="FFFFFF" w:val="clear"/>
        </w:rPr>
        <w:t xml:space="preserve"> examples are given here. First is the pairing of Simeon and Anna (Lk 2:25-38). They both recognize in Jesus the salvation of Jerusalem through the son of God. While Anna is “overshadowed by Simeon, thrice anointed with the spirit”,</w:t>
      </w:r>
      <w:r>
        <w:rPr>
          <w:rStyle w:val="FootnoteAnchor"/>
          <w:rFonts w:ascii="Arial" w:hAnsi="Arial"/>
          <w:color w:val="000000"/>
          <w:sz w:val="22"/>
          <w:szCs w:val="22"/>
          <w:shd w:fill="FFFFFF" w:val="clear"/>
        </w:rPr>
        <w:footnoteReference w:id="10"/>
      </w:r>
      <w:r>
        <w:rPr>
          <w:rFonts w:ascii="Arial" w:hAnsi="Arial"/>
          <w:color w:val="000000"/>
          <w:sz w:val="22"/>
          <w:szCs w:val="22"/>
          <w:shd w:fill="FFFFFF" w:val="clear"/>
        </w:rPr>
        <w:t xml:space="preserve"> Luke is ascribing importance to Anna as an individual, introducing her not as the widow of her husband, but as “the daughter of Phanuel, of the tribe of Asher”. As a prophetess, Luke also offers her as a link to other Old Testament prophetesses.</w:t>
      </w:r>
      <w:r>
        <w:rPr>
          <w:rStyle w:val="FootnoteAnchor"/>
          <w:rFonts w:ascii="Arial" w:hAnsi="Arial"/>
          <w:color w:val="000000"/>
          <w:sz w:val="22"/>
          <w:szCs w:val="22"/>
          <w:shd w:fill="FFFFFF" w:val="clear"/>
        </w:rPr>
        <w:footnoteReference w:id="11"/>
      </w:r>
      <w:r>
        <w:rPr>
          <w:rFonts w:ascii="Arial" w:hAnsi="Arial"/>
          <w:color w:val="000000"/>
          <w:sz w:val="22"/>
          <w:szCs w:val="22"/>
          <w:shd w:fill="FFFFFF" w:val="clear"/>
        </w:rPr>
        <w:t xml:space="preserve"> </w:t>
      </w:r>
      <w:r>
        <w:rPr>
          <w:rFonts w:eastAsia="Songti SC" w:cs="Arial Unicode MS" w:ascii="Arial" w:hAnsi="Arial"/>
          <w:color w:val="000000"/>
          <w:kern w:val="2"/>
          <w:sz w:val="22"/>
          <w:szCs w:val="22"/>
          <w:shd w:fill="FFFFFF" w:val="clear"/>
          <w:lang w:val="en-GB" w:eastAsia="zh-CN" w:bidi="hi-IN"/>
        </w:rPr>
        <w:t>Second</w:t>
      </w:r>
      <w:r>
        <w:rPr>
          <w:rFonts w:ascii="Arial" w:hAnsi="Arial"/>
          <w:color w:val="000000"/>
          <w:sz w:val="22"/>
          <w:szCs w:val="22"/>
          <w:shd w:fill="FFFFFF" w:val="clear"/>
        </w:rPr>
        <w:t xml:space="preserve"> is the pairing of the woman who lost a coin, with the man who lost one of his hundred sheep. This pairing contrasts someone who has lost a little, but perhaps all she had, with one who loses something more valuable, but out of an abundance (Lk 15:1-10). This again plays to the idea that Luke is reaching out to everyone, male and female, rich and poor. Hunter describes the parables as “Jesus’ justification of his mission to the last, the least and the lost.”</w:t>
      </w:r>
      <w:r>
        <w:rPr>
          <w:rStyle w:val="FootnoteAnchor"/>
          <w:rFonts w:ascii="Arial" w:hAnsi="Arial"/>
          <w:color w:val="000000"/>
          <w:sz w:val="22"/>
          <w:szCs w:val="22"/>
          <w:shd w:fill="FFFFFF" w:val="clear"/>
        </w:rPr>
        <w:footnoteReference w:id="12"/>
      </w:r>
      <w:r>
        <w:rPr>
          <w:rFonts w:ascii="Arial" w:hAnsi="Arial"/>
          <w:color w:val="000000"/>
          <w:sz w:val="22"/>
          <w:szCs w:val="22"/>
          <w:shd w:fill="FFFFFF" w:val="clear"/>
        </w:rPr>
        <w:t xml:space="preserve"> and so, it is unsurprising that women are the focus of many parables in Luke.  </w:t>
      </w:r>
    </w:p>
    <w:p>
      <w:pPr>
        <w:pStyle w:val="TextBody"/>
        <w:rPr>
          <w:rFonts w:ascii="GillSansMT" w:hAnsi="GillSansMT"/>
          <w:color w:val="222222"/>
          <w:sz w:val="22"/>
          <w:szCs w:val="22"/>
          <w:shd w:fill="FFFFFF" w:val="clear"/>
        </w:rPr>
      </w:pPr>
      <w:r>
        <w:rPr>
          <w:rFonts w:ascii="Arial" w:hAnsi="Arial"/>
          <w:color w:val="222222"/>
          <w:sz w:val="22"/>
          <w:szCs w:val="22"/>
          <w:shd w:fill="FFFFFF" w:val="clear"/>
        </w:rPr>
        <w:t>Yet while men and women are paired by Luke in the gospel, and an emphasis is put on the communal life of the early church in Acts, they were separated by the social norms of a first century patriarchal society. The public world was dominated by men, and so the more the early church began to reach out in mission, the more the women’s activity was restricted.</w:t>
      </w:r>
      <w:r>
        <w:rPr>
          <w:rStyle w:val="FootnoteAnchor"/>
          <w:rFonts w:ascii="Arial" w:hAnsi="Arial"/>
          <w:color w:val="222222"/>
          <w:sz w:val="22"/>
          <w:szCs w:val="22"/>
          <w:shd w:fill="FFFFFF" w:val="clear"/>
        </w:rPr>
        <w:footnoteReference w:id="13"/>
      </w:r>
      <w:r>
        <w:rPr>
          <w:rFonts w:ascii="Arial" w:hAnsi="Arial"/>
          <w:color w:val="222222"/>
          <w:sz w:val="22"/>
          <w:szCs w:val="22"/>
          <w:shd w:fill="FFFFFF" w:val="clear"/>
        </w:rPr>
        <w:t xml:space="preserve"> For women, family was the largest sphere of influence, and this was determined by faithfulness to her husband and domestic responsibilities.  </w:t>
      </w:r>
    </w:p>
    <w:p>
      <w:pPr>
        <w:pStyle w:val="TextBody"/>
        <w:rPr>
          <w:rFonts w:ascii="GillSansMT" w:hAnsi="GillSansMT"/>
          <w:color w:val="222222"/>
          <w:sz w:val="22"/>
          <w:szCs w:val="22"/>
          <w:shd w:fill="FFFFFF" w:val="clear"/>
        </w:rPr>
      </w:pPr>
      <w:r>
        <w:rPr>
          <w:rFonts w:ascii="Arial" w:hAnsi="Arial"/>
          <w:color w:val="222222"/>
          <w:sz w:val="22"/>
          <w:szCs w:val="22"/>
          <w:shd w:fill="FFFFFF" w:val="clear"/>
        </w:rPr>
        <w:t>Respectable women were not heard, and Luke strives to show this respectability through his writing, maintaining a more traditional role for women. D’Angelo states that the women who win the approval of Jesus in Luke are the ones who stay silent.</w:t>
      </w:r>
      <w:r>
        <w:rPr>
          <w:rStyle w:val="FootnoteAnchor"/>
          <w:rFonts w:ascii="Arial" w:hAnsi="Arial"/>
          <w:color w:val="222222"/>
          <w:sz w:val="22"/>
          <w:szCs w:val="22"/>
          <w:shd w:fill="FFFFFF" w:val="clear"/>
        </w:rPr>
        <w:footnoteReference w:id="14"/>
      </w:r>
      <w:r>
        <w:rPr>
          <w:rFonts w:ascii="Arial" w:hAnsi="Arial"/>
          <w:color w:val="222222"/>
          <w:sz w:val="22"/>
          <w:szCs w:val="22"/>
          <w:shd w:fill="FFFFFF" w:val="clear"/>
        </w:rPr>
        <w:t xml:space="preserve"> Women are characterised as passive receivers of miracles, without any prayer or recommendation on their own behalf.</w:t>
      </w:r>
      <w:r>
        <w:rPr>
          <w:rStyle w:val="FootnoteAnchor"/>
          <w:rFonts w:ascii="Arial" w:hAnsi="Arial"/>
          <w:color w:val="222222"/>
          <w:sz w:val="22"/>
          <w:szCs w:val="22"/>
          <w:shd w:fill="FFFFFF" w:val="clear"/>
        </w:rPr>
        <w:footnoteReference w:id="15"/>
      </w:r>
      <w:r>
        <w:rPr>
          <w:rFonts w:ascii="Arial" w:hAnsi="Arial"/>
          <w:color w:val="222222"/>
          <w:sz w:val="22"/>
          <w:szCs w:val="22"/>
          <w:shd w:fill="FFFFFF" w:val="clear"/>
        </w:rPr>
        <w:t xml:space="preserve"> Peter’s mother-in-law (Lk 4:38) and the crippled woman healed on the sabbath (Lk 13:10) both show this. In contrast, in the healing of the woman who touched Jesus’ </w:t>
      </w:r>
      <w:r>
        <w:rPr>
          <w:rFonts w:ascii="Arial" w:hAnsi="Arial"/>
          <w:color w:val="222222"/>
          <w:sz w:val="22"/>
          <w:szCs w:val="22"/>
          <w:shd w:fill="FFFFFF" w:val="clear"/>
        </w:rPr>
        <w:t>garment</w:t>
      </w:r>
      <w:r>
        <w:rPr>
          <w:rFonts w:ascii="Arial" w:hAnsi="Arial"/>
          <w:color w:val="222222"/>
          <w:sz w:val="22"/>
          <w:szCs w:val="22"/>
          <w:shd w:fill="FFFFFF" w:val="clear"/>
        </w:rPr>
        <w:t xml:space="preserve"> (Lk 8:40-48), </w:t>
      </w:r>
      <w:r>
        <w:rPr>
          <w:rFonts w:ascii="Arial" w:hAnsi="Arial"/>
          <w:color w:val="222222"/>
          <w:sz w:val="22"/>
          <w:szCs w:val="22"/>
          <w:shd w:fill="FFFFFF" w:val="clear"/>
        </w:rPr>
        <w:t>when she tries to hide away, she is brought to</w:t>
      </w:r>
      <w:r>
        <w:rPr>
          <w:rFonts w:ascii="Arial" w:hAnsi="Arial"/>
          <w:color w:val="222222"/>
          <w:sz w:val="22"/>
          <w:szCs w:val="22"/>
          <w:shd w:fill="FFFFFF" w:val="clear"/>
        </w:rPr>
        <w:t xml:space="preserve"> publicly confess </w:t>
      </w:r>
      <w:r>
        <w:rPr>
          <w:rFonts w:ascii="Arial" w:hAnsi="Arial"/>
          <w:color w:val="222222"/>
          <w:sz w:val="22"/>
          <w:szCs w:val="22"/>
          <w:shd w:fill="FFFFFF" w:val="clear"/>
        </w:rPr>
        <w:t>what she did.</w:t>
      </w:r>
      <w:r>
        <w:rPr>
          <w:rFonts w:ascii="Arial" w:hAnsi="Arial"/>
          <w:color w:val="222222"/>
          <w:sz w:val="22"/>
          <w:szCs w:val="22"/>
          <w:shd w:fill="FFFFFF" w:val="clear"/>
        </w:rPr>
        <w:t xml:space="preserve"> </w:t>
      </w:r>
      <w:r>
        <w:rPr>
          <w:rFonts w:ascii="Arial" w:hAnsi="Arial"/>
          <w:color w:val="222222"/>
          <w:sz w:val="22"/>
          <w:szCs w:val="22"/>
          <w:shd w:fill="FFFFFF" w:val="clear"/>
        </w:rPr>
        <w:t xml:space="preserve">One interpretation of this is it </w:t>
      </w:r>
      <w:r>
        <w:rPr>
          <w:rFonts w:ascii="Arial" w:hAnsi="Arial"/>
          <w:color w:val="222222"/>
          <w:sz w:val="22"/>
          <w:szCs w:val="22"/>
          <w:shd w:fill="FFFFFF" w:val="clear"/>
        </w:rPr>
        <w:t>i</w:t>
      </w:r>
      <w:r>
        <w:rPr>
          <w:rFonts w:ascii="Arial" w:hAnsi="Arial"/>
          <w:color w:val="222222"/>
          <w:sz w:val="22"/>
          <w:szCs w:val="22"/>
          <w:shd w:fill="FFFFFF" w:val="clear"/>
        </w:rPr>
        <w:t>s</w:t>
      </w:r>
      <w:r>
        <w:rPr>
          <w:rFonts w:ascii="Arial" w:hAnsi="Arial"/>
          <w:color w:val="222222"/>
          <w:sz w:val="22"/>
          <w:szCs w:val="22"/>
          <w:shd w:fill="FFFFFF" w:val="clear"/>
        </w:rPr>
        <w:t xml:space="preserve"> to show disapproval of her behaviour. In addition, the story of a gentile woman who challenges Jesus to be healed is left out of Luke entirely (Mt 15:27-28). Luke therefore promotes the femininity approved of in the ancient Greco-Roman world, </w:t>
      </w:r>
      <w:r>
        <w:rPr>
          <w:rFonts w:ascii="Arial" w:hAnsi="Arial"/>
          <w:color w:val="222222"/>
          <w:sz w:val="22"/>
          <w:szCs w:val="22"/>
          <w:shd w:fill="FFFFFF" w:val="clear"/>
        </w:rPr>
        <w:t xml:space="preserve">a femininity </w:t>
      </w:r>
      <w:r>
        <w:rPr>
          <w:rFonts w:ascii="Arial" w:hAnsi="Arial"/>
          <w:color w:val="222222"/>
          <w:sz w:val="22"/>
          <w:szCs w:val="22"/>
          <w:shd w:fill="FFFFFF" w:val="clear"/>
        </w:rPr>
        <w:t xml:space="preserve">that would not upset </w:t>
      </w:r>
      <w:r>
        <w:rPr>
          <w:rFonts w:eastAsia="Songti SC" w:cs="Arial Unicode MS" w:ascii="Arial" w:hAnsi="Arial"/>
          <w:color w:val="222222"/>
          <w:kern w:val="2"/>
          <w:sz w:val="22"/>
          <w:szCs w:val="22"/>
          <w:shd w:fill="FFFFFF" w:val="clear"/>
          <w:lang w:val="en-GB" w:eastAsia="zh-CN" w:bidi="hi-IN"/>
        </w:rPr>
        <w:t>society</w:t>
      </w:r>
      <w:r>
        <w:rPr>
          <w:rFonts w:ascii="Arial" w:hAnsi="Arial"/>
          <w:color w:val="222222"/>
          <w:sz w:val="22"/>
          <w:szCs w:val="22"/>
          <w:shd w:fill="FFFFFF" w:val="clear"/>
        </w:rPr>
        <w:t>. A femininity that shows self-control, modesty, silence and submissiveness as the most important qualities.</w:t>
      </w:r>
      <w:r>
        <w:rPr>
          <w:rStyle w:val="FootnoteAnchor"/>
          <w:rFonts w:ascii="Arial" w:hAnsi="Arial"/>
          <w:color w:val="222222"/>
          <w:sz w:val="22"/>
          <w:szCs w:val="22"/>
          <w:shd w:fill="FFFFFF" w:val="clear"/>
        </w:rPr>
        <w:footnoteReference w:id="16"/>
      </w:r>
      <w:r>
        <w:rPr>
          <w:rFonts w:ascii="Arial" w:hAnsi="Arial"/>
          <w:color w:val="222222"/>
          <w:sz w:val="22"/>
          <w:szCs w:val="22"/>
          <w:shd w:fill="FFFFFF" w:val="clear"/>
        </w:rPr>
        <w:t xml:space="preserve"> Further examples of this approval of silent behaviour </w:t>
      </w:r>
      <w:r>
        <w:rPr>
          <w:rFonts w:eastAsia="Songti SC" w:ascii="Arial" w:hAnsi="Arial"/>
          <w:color w:val="222222"/>
          <w:sz w:val="22"/>
          <w:szCs w:val="22"/>
          <w:shd w:fill="FFFFFF" w:val="clear"/>
        </w:rPr>
        <w:t>are</w:t>
      </w:r>
      <w:r>
        <w:rPr>
          <w:rFonts w:ascii="Arial" w:hAnsi="Arial"/>
          <w:color w:val="222222"/>
          <w:sz w:val="22"/>
          <w:szCs w:val="22"/>
          <w:shd w:fill="FFFFFF" w:val="clear"/>
        </w:rPr>
        <w:t xml:space="preserve"> in the stories of Mary, the sister of Martha (Lk 10:38-40) and the repentant woman (Lk 7:36-50).</w:t>
      </w:r>
    </w:p>
    <w:p>
      <w:pPr>
        <w:pStyle w:val="TextBody"/>
        <w:rPr/>
      </w:pPr>
      <w:r>
        <w:rPr>
          <w:rFonts w:ascii="Arial" w:hAnsi="Arial"/>
          <w:color w:val="222222"/>
          <w:sz w:val="22"/>
          <w:szCs w:val="22"/>
          <w:shd w:fill="FFFFFF" w:val="clear"/>
        </w:rPr>
        <w:t xml:space="preserve">Martha is distracted by all the preparations she </w:t>
      </w:r>
      <w:r>
        <w:rPr>
          <w:rFonts w:ascii="Arial" w:hAnsi="Arial"/>
          <w:color w:val="222222"/>
          <w:sz w:val="22"/>
          <w:szCs w:val="22"/>
          <w:shd w:fill="FFFFFF" w:val="clear"/>
        </w:rPr>
        <w:t>is</w:t>
      </w:r>
      <w:r>
        <w:rPr>
          <w:rFonts w:ascii="Arial" w:hAnsi="Arial"/>
          <w:color w:val="222222"/>
          <w:sz w:val="22"/>
          <w:szCs w:val="22"/>
          <w:shd w:fill="FFFFFF" w:val="clear"/>
        </w:rPr>
        <w:t xml:space="preserve"> making, asking Jesus to tell Mary to help her, instead of sitting at his feet, listening to his teachings (Lk 10:38-42). While the main point of th</w:t>
      </w:r>
      <w:r>
        <w:rPr>
          <w:rFonts w:ascii="Arial" w:hAnsi="Arial"/>
          <w:color w:val="222222"/>
          <w:sz w:val="22"/>
          <w:szCs w:val="22"/>
          <w:shd w:fill="FFFFFF" w:val="clear"/>
        </w:rPr>
        <w:t>is</w:t>
      </w:r>
      <w:r>
        <w:rPr>
          <w:rFonts w:ascii="Arial" w:hAnsi="Arial"/>
          <w:color w:val="222222"/>
          <w:sz w:val="22"/>
          <w:szCs w:val="22"/>
          <w:shd w:fill="FFFFFF" w:val="clear"/>
        </w:rPr>
        <w:t xml:space="preserve"> passage is that devotion to the word is the priority, even above providing hospitality and service, another example of silence being favoured can be found. While Martha’s service is not stopped, Mary’s quiet discipleship is taken as better. Luke is showing that while hospitality is not something to be set free from, there is a greater worth in Mary’s discipleship. His approval of the silent Mary, while Martha is silenced also, encourages the traditional </w:t>
      </w:r>
      <w:r>
        <w:rPr>
          <w:rFonts w:eastAsia="Songti SC" w:cs="Arial Unicode MS" w:ascii="Arial" w:hAnsi="Arial"/>
          <w:color w:val="222222"/>
          <w:kern w:val="2"/>
          <w:sz w:val="22"/>
          <w:szCs w:val="22"/>
          <w:shd w:fill="FFFFFF" w:val="clear"/>
          <w:lang w:val="en-GB" w:eastAsia="zh-CN" w:bidi="hi-IN"/>
        </w:rPr>
        <w:t>feminine</w:t>
      </w:r>
      <w:r>
        <w:rPr>
          <w:rFonts w:ascii="Arial" w:hAnsi="Arial"/>
          <w:color w:val="222222"/>
          <w:sz w:val="22"/>
          <w:szCs w:val="22"/>
          <w:shd w:fill="FFFFFF" w:val="clear"/>
        </w:rPr>
        <w:t xml:space="preserve"> role.</w:t>
      </w:r>
      <w:r>
        <w:rPr>
          <w:rStyle w:val="FootnoteAnchor"/>
          <w:rFonts w:ascii="Arial" w:hAnsi="Arial"/>
          <w:color w:val="222222"/>
          <w:sz w:val="22"/>
          <w:szCs w:val="22"/>
          <w:shd w:fill="FFFFFF" w:val="clear"/>
        </w:rPr>
        <w:footnoteReference w:id="17"/>
      </w:r>
      <w:r>
        <w:rPr>
          <w:rFonts w:ascii="Arial" w:hAnsi="Arial"/>
          <w:color w:val="222222"/>
          <w:sz w:val="22"/>
          <w:szCs w:val="22"/>
          <w:shd w:fill="FFFFFF" w:val="clear"/>
        </w:rPr>
        <w:t xml:space="preserve"> </w:t>
      </w:r>
    </w:p>
    <w:p>
      <w:pPr>
        <w:pStyle w:val="Normal"/>
        <w:rPr/>
      </w:pPr>
      <w:r>
        <w:rPr>
          <w:rFonts w:ascii="Arial" w:hAnsi="Arial"/>
          <w:color w:val="000000"/>
          <w:sz w:val="22"/>
          <w:szCs w:val="22"/>
          <w:shd w:fill="FFFFFF" w:val="clear"/>
        </w:rPr>
        <w:t xml:space="preserve">Silence is displayed in a less passive way by the repentant woman who anoints Jesus (Lk 7:36-50). Luke presents a different anointing story than the other gospels, and he uses it to illustrate Jesus’ love for sinners and how they reacted to it. He first describes the woman in a way that had negative connotations, painting a picture of a sinful woman, perhaps come to beg or find food, at a Pharisee’s dinner table. Luke then flips the narrative </w:t>
      </w:r>
      <w:r>
        <w:rPr>
          <w:rFonts w:ascii="Arial" w:hAnsi="Arial"/>
          <w:color w:val="202124"/>
          <w:sz w:val="22"/>
          <w:szCs w:val="22"/>
          <w:shd w:fill="FFFFFF" w:val="clear"/>
        </w:rPr>
        <w:t>stating the woman has shown more warm-heartedness than the host, more responsibility, love, and gratitude.</w:t>
      </w:r>
      <w:r>
        <w:rPr>
          <w:rStyle w:val="FootnoteAnchor"/>
          <w:rFonts w:ascii="Arial" w:hAnsi="Arial"/>
          <w:color w:val="202124"/>
          <w:sz w:val="22"/>
          <w:szCs w:val="22"/>
          <w:shd w:fill="FFFFFF" w:val="clear"/>
        </w:rPr>
        <w:footnoteReference w:id="18"/>
      </w:r>
      <w:r>
        <w:rPr>
          <w:rFonts w:ascii="Arial" w:hAnsi="Arial"/>
          <w:color w:val="202124"/>
          <w:sz w:val="22"/>
          <w:szCs w:val="22"/>
          <w:shd w:fill="FFFFFF" w:val="clear"/>
        </w:rPr>
        <w:t xml:space="preserve"> While the woman in this story is silent, she also takes the initiative and Jesus credits this to her as faith, supporting her repentance. She is not the host, but her serving corrects the omissions made by him, and again a woman’s provision of hospitality is praised.</w:t>
      </w:r>
      <w:r>
        <w:rPr>
          <w:rStyle w:val="FootnoteAnchor"/>
          <w:rFonts w:ascii="Arial" w:hAnsi="Arial"/>
          <w:color w:val="202124"/>
          <w:sz w:val="22"/>
          <w:szCs w:val="22"/>
          <w:shd w:fill="FFFFFF" w:val="clear"/>
        </w:rPr>
        <w:footnoteReference w:id="19"/>
      </w:r>
    </w:p>
    <w:p>
      <w:pPr>
        <w:pStyle w:val="Normal"/>
        <w:rPr>
          <w:rFonts w:ascii="Arial" w:hAnsi="Arial"/>
          <w:color w:val="202124"/>
          <w:sz w:val="22"/>
          <w:szCs w:val="22"/>
          <w:shd w:fill="FFFFFF" w:val="clear"/>
        </w:rPr>
      </w:pPr>
      <w:r>
        <w:rPr>
          <w:rFonts w:ascii="Arial" w:hAnsi="Arial"/>
          <w:color w:val="202124"/>
          <w:sz w:val="22"/>
          <w:szCs w:val="22"/>
          <w:shd w:fill="FFFFFF" w:val="clear"/>
        </w:rPr>
      </w:r>
    </w:p>
    <w:p>
      <w:pPr>
        <w:pStyle w:val="Normal"/>
        <w:rPr/>
      </w:pPr>
      <w:r>
        <w:rPr>
          <w:rFonts w:ascii="Arial" w:hAnsi="Arial"/>
          <w:color w:val="202124"/>
          <w:sz w:val="22"/>
          <w:szCs w:val="22"/>
          <w:shd w:fill="FFFFFF" w:val="clear"/>
        </w:rPr>
        <w:t>The perception of the woman hinges on the way she wears, and then uses, her hair. Cosgrove goes into a lot more detail on this, stating that while many have linked her unbound hair to eroticism this is unlikely to be the case, especially as Simon the Pharisee expects Jesus to guess her sinfulness from being a prophet, rather than the woman’s appearance. Instead from Greco-Roman conventions, it is more likely to be a display of grief and devotion,</w:t>
      </w:r>
      <w:r>
        <w:rPr>
          <w:rStyle w:val="FootnoteAnchor"/>
          <w:rFonts w:ascii="Arial" w:hAnsi="Arial"/>
          <w:color w:val="202124"/>
          <w:sz w:val="22"/>
          <w:szCs w:val="22"/>
          <w:shd w:fill="FFFFFF" w:val="clear"/>
        </w:rPr>
        <w:footnoteReference w:id="20"/>
      </w:r>
      <w:r>
        <w:rPr>
          <w:rFonts w:ascii="Arial" w:hAnsi="Arial"/>
          <w:color w:val="202124"/>
          <w:sz w:val="22"/>
          <w:szCs w:val="22"/>
          <w:shd w:fill="FFFFFF" w:val="clear"/>
        </w:rPr>
        <w:t xml:space="preserve"> the kissing of the feet drawing a picture of </w:t>
      </w:r>
      <w:r>
        <w:rPr>
          <w:rFonts w:ascii="Arial" w:hAnsi="Arial"/>
          <w:color w:val="202124"/>
          <w:sz w:val="22"/>
          <w:szCs w:val="22"/>
          <w:shd w:fill="FFFFFF" w:val="clear"/>
        </w:rPr>
        <w:t xml:space="preserve">a </w:t>
      </w:r>
      <w:r>
        <w:rPr>
          <w:rFonts w:ascii="Arial" w:hAnsi="Arial"/>
          <w:color w:val="202124"/>
          <w:sz w:val="22"/>
          <w:szCs w:val="22"/>
          <w:shd w:fill="FFFFFF" w:val="clear"/>
        </w:rPr>
        <w:t>criminal who ha</w:t>
      </w:r>
      <w:r>
        <w:rPr>
          <w:rFonts w:ascii="Arial" w:hAnsi="Arial"/>
          <w:color w:val="202124"/>
          <w:sz w:val="22"/>
          <w:szCs w:val="22"/>
          <w:shd w:fill="FFFFFF" w:val="clear"/>
        </w:rPr>
        <w:t>s</w:t>
      </w:r>
      <w:r>
        <w:rPr>
          <w:rFonts w:ascii="Arial" w:hAnsi="Arial"/>
          <w:color w:val="202124"/>
          <w:sz w:val="22"/>
          <w:szCs w:val="22"/>
          <w:shd w:fill="FFFFFF" w:val="clear"/>
        </w:rPr>
        <w:t xml:space="preserve"> been freed or whose debt ha</w:t>
      </w:r>
      <w:r>
        <w:rPr>
          <w:rFonts w:ascii="Arial" w:hAnsi="Arial"/>
          <w:color w:val="202124"/>
          <w:sz w:val="22"/>
          <w:szCs w:val="22"/>
          <w:shd w:fill="FFFFFF" w:val="clear"/>
        </w:rPr>
        <w:t>s</w:t>
      </w:r>
      <w:r>
        <w:rPr>
          <w:rFonts w:ascii="Arial" w:hAnsi="Arial"/>
          <w:color w:val="202124"/>
          <w:sz w:val="22"/>
          <w:szCs w:val="22"/>
          <w:shd w:fill="FFFFFF" w:val="clear"/>
        </w:rPr>
        <w:t xml:space="preserve"> been forgiven. Therefore, the woman has either previously received forgiveness from Jesus, or is showing a grateful anticipation of acceptance. Witherington highlights the fact that this liberating forgiveness is similar to that found in other gospels, particularly the story of the woman at the well (Jn 4:42).</w:t>
      </w:r>
      <w:r>
        <w:rPr>
          <w:rStyle w:val="FootnoteAnchor"/>
          <w:rFonts w:ascii="Arial" w:hAnsi="Arial"/>
          <w:color w:val="202124"/>
          <w:sz w:val="22"/>
          <w:szCs w:val="22"/>
          <w:shd w:fill="FFFFFF" w:val="clear"/>
        </w:rPr>
        <w:footnoteReference w:id="21"/>
      </w:r>
    </w:p>
    <w:p>
      <w:pPr>
        <w:pStyle w:val="Normal"/>
        <w:rPr>
          <w:rFonts w:ascii="Arial" w:hAnsi="Arial"/>
          <w:color w:val="202124"/>
          <w:sz w:val="22"/>
          <w:szCs w:val="22"/>
          <w:shd w:fill="FFFFFF" w:val="clear"/>
        </w:rPr>
      </w:pPr>
      <w:r>
        <w:rPr>
          <w:rFonts w:ascii="Arial" w:hAnsi="Arial"/>
          <w:color w:val="202124"/>
          <w:sz w:val="22"/>
          <w:szCs w:val="22"/>
          <w:shd w:fill="FFFFFF" w:val="clear"/>
        </w:rPr>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Mary Magdalene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shd w:fill="FFFFFF" w:val="clear"/>
        </w:rPr>
        <w:t>Mary Magdalene is mentioned twelve times across the four gospels,</w:t>
      </w:r>
      <w:r>
        <w:rPr>
          <w:rFonts w:ascii="Arial" w:hAnsi="Arial"/>
          <w:sz w:val="22"/>
          <w:szCs w:val="22"/>
        </w:rPr>
        <w:t xml:space="preserve"> but only twice in the book of Luke. She is first mentioned alongside Joanna the wife of Chuza, Susanna and many others as followers of Jesus, who “helped support the ministry out of their own means” (Lk 8:1-3). Secondly, she appears as the apostle to the apostles, the first witness to the empty tomb of Jesus (Lk 24:1-12). She appears to take her name from the village she was from, therefore she was probably single.</w:t>
      </w:r>
      <w:r>
        <w:rPr>
          <w:rFonts w:ascii="Arial" w:hAnsi="Arial"/>
          <w:sz w:val="22"/>
          <w:szCs w:val="22"/>
          <w:shd w:fill="FFFFFF" w:val="clear"/>
        </w:rPr>
        <w:t xml:space="preserve"> E</w:t>
      </w:r>
      <w:r>
        <w:rPr>
          <w:rFonts w:ascii="Arial" w:hAnsi="Arial"/>
          <w:color w:val="222222"/>
          <w:sz w:val="22"/>
          <w:szCs w:val="22"/>
          <w:shd w:fill="FFFFFF" w:val="clear"/>
        </w:rPr>
        <w:t>arly popes referred to her as a figure of the church, and another Eve announcing life.</w:t>
      </w:r>
      <w:r>
        <w:rPr>
          <w:rStyle w:val="FootnoteAnchor"/>
          <w:rFonts w:ascii="Arial" w:hAnsi="Arial"/>
          <w:color w:val="222222"/>
          <w:sz w:val="22"/>
          <w:szCs w:val="22"/>
          <w:shd w:fill="FFFFFF" w:val="clear"/>
        </w:rPr>
        <w:footnoteReference w:id="22"/>
      </w:r>
      <w:r>
        <w:rPr>
          <w:rFonts w:ascii="Arial" w:hAnsi="Arial"/>
          <w:color w:val="222222"/>
          <w:sz w:val="22"/>
          <w:szCs w:val="22"/>
          <w:shd w:fill="FFFFFF" w:val="clear"/>
        </w:rPr>
        <w:t xml:space="preserve"> </w:t>
      </w:r>
      <w:r>
        <w:rPr>
          <w:rFonts w:ascii="Arial" w:hAnsi="Arial"/>
          <w:sz w:val="22"/>
          <w:szCs w:val="22"/>
        </w:rPr>
        <w:t>Not only is she important in the gospel and early church, but interest has grown in her in popular culture, which Beavis suggests is because “rather than being an impossible ideal, such as Mary, the virgin mother, she has a human story to which women can relate”.</w:t>
      </w:r>
      <w:r>
        <w:rPr>
          <w:rStyle w:val="FootnoteAnchor"/>
          <w:rFonts w:ascii="Arial" w:hAnsi="Arial"/>
          <w:sz w:val="22"/>
          <w:szCs w:val="22"/>
        </w:rPr>
        <w:footnoteReference w:id="23"/>
      </w:r>
      <w:r>
        <w:rPr>
          <w:rFonts w:ascii="Arial" w:hAnsi="Arial"/>
          <w:sz w:val="22"/>
          <w:szCs w:val="22"/>
        </w:rPr>
        <w:t xml:space="preserve"> Beyond this though, there is very little information about her, especially when compared to Peter or Paul</w:t>
      </w:r>
      <w:r>
        <w:rPr>
          <w:rStyle w:val="FootnoteAnchor"/>
          <w:rFonts w:ascii="Arial" w:hAnsi="Arial"/>
          <w:sz w:val="22"/>
          <w:szCs w:val="22"/>
        </w:rPr>
        <w:footnoteReference w:id="24"/>
      </w:r>
      <w:r>
        <w:rPr>
          <w:rFonts w:ascii="Arial" w:hAnsi="Arial"/>
          <w:sz w:val="22"/>
          <w:szCs w:val="22"/>
        </w:rPr>
        <w:t xml:space="preserve"> and this has left room for non-academic research to present unusual theories where Mary Magdalene is the true author of the gospel of John, the same person as Mary of Bethany, and one with God as the wife of Jesus.</w:t>
      </w:r>
      <w:r>
        <w:rPr>
          <w:rStyle w:val="FootnoteAnchor"/>
          <w:rFonts w:ascii="Arial" w:hAnsi="Arial"/>
          <w:sz w:val="22"/>
          <w:szCs w:val="22"/>
        </w:rPr>
        <w:footnoteReference w:id="25"/>
      </w:r>
    </w:p>
    <w:p>
      <w:pPr>
        <w:pStyle w:val="Normal"/>
        <w:rPr>
          <w:rFonts w:ascii="Arial" w:hAnsi="Arial" w:eastAsia="DengXian"/>
          <w:sz w:val="22"/>
          <w:szCs w:val="22"/>
        </w:rPr>
      </w:pPr>
      <w:r>
        <w:rPr>
          <w:rFonts w:eastAsia="DengXian" w:ascii="Arial" w:hAnsi="Arial"/>
          <w:sz w:val="22"/>
          <w:szCs w:val="22"/>
        </w:rPr>
      </w:r>
    </w:p>
    <w:p>
      <w:pPr>
        <w:pStyle w:val="Normal"/>
        <w:rPr>
          <w:rFonts w:ascii="Arial" w:hAnsi="Arial" w:eastAsia="DengXian"/>
          <w:sz w:val="22"/>
          <w:szCs w:val="22"/>
        </w:rPr>
      </w:pPr>
      <w:r>
        <w:rPr>
          <w:rFonts w:eastAsia="DengXian" w:ascii="Arial" w:hAnsi="Arial"/>
          <w:sz w:val="22"/>
          <w:szCs w:val="22"/>
        </w:rPr>
      </w:r>
    </w:p>
    <w:p>
      <w:pPr>
        <w:pStyle w:val="Normal"/>
        <w:rPr>
          <w:rFonts w:ascii="Arial" w:hAnsi="Arial" w:eastAsia="DengXian"/>
          <w:color w:val="222222"/>
          <w:sz w:val="22"/>
          <w:szCs w:val="22"/>
          <w:shd w:fill="FFFFFF" w:val="clear"/>
        </w:rPr>
      </w:pPr>
      <w:r>
        <w:rPr>
          <w:rFonts w:ascii="Arial" w:hAnsi="Arial"/>
          <w:color w:val="222222"/>
          <w:sz w:val="22"/>
          <w:szCs w:val="22"/>
          <w:shd w:fill="FFFFFF" w:val="clear"/>
        </w:rPr>
        <w:t xml:space="preserve">In Luke 8:1-3, the disciples are presented as a mixed group, although having twelve men training to be leaders of the coming church suggests that the mixed group was reforming and not rejecting the patriarchal </w:t>
      </w:r>
      <w:r>
        <w:rPr>
          <w:rFonts w:eastAsia="Songti SC" w:cs="Arial Unicode MS" w:ascii="Arial" w:hAnsi="Arial"/>
          <w:color w:val="222222"/>
          <w:kern w:val="2"/>
          <w:sz w:val="22"/>
          <w:szCs w:val="22"/>
          <w:shd w:fill="FFFFFF" w:val="clear"/>
          <w:lang w:val="en-GB" w:eastAsia="zh-CN" w:bidi="hi-IN"/>
        </w:rPr>
        <w:t>society of that time</w:t>
      </w:r>
      <w:r>
        <w:rPr>
          <w:rFonts w:ascii="Arial" w:hAnsi="Arial"/>
          <w:color w:val="222222"/>
          <w:sz w:val="22"/>
          <w:szCs w:val="22"/>
          <w:shd w:fill="FFFFFF" w:val="clear"/>
        </w:rPr>
        <w:t>.</w:t>
      </w:r>
      <w:r>
        <w:rPr>
          <w:rStyle w:val="FootnoteAnchor"/>
          <w:rFonts w:ascii="Arial" w:hAnsi="Arial"/>
          <w:color w:val="222222"/>
          <w:sz w:val="22"/>
          <w:szCs w:val="22"/>
          <w:shd w:fill="FFFFFF" w:val="clear"/>
        </w:rPr>
        <w:footnoteReference w:id="26"/>
      </w:r>
      <w:r>
        <w:rPr>
          <w:rFonts w:ascii="Arial" w:hAnsi="Arial"/>
          <w:color w:val="222222"/>
          <w:sz w:val="22"/>
          <w:szCs w:val="22"/>
          <w:shd w:fill="FFFFFF" w:val="clear"/>
        </w:rPr>
        <w:t xml:space="preserve"> Mary is named first among a group of women who follow Jesus, perhaps serving out of gratitude for their healing. They provide for Jesus out of their own resources. As Jesus had left everything behind, the women perform different roles to support him, including table service, while listening to his teachings. Mary Magdalene is possibly named first as the one with the most to be thankful for, having been healed of seven demons, or possibly because she will later be the first witness of the risen Lord. Witherington suggests that Luke is giving evidence of “how the gospel breaks down class and economic divisions” as the disciples include not only women, but women of differing social standings. He adds that it would have been thought of as scandalous in Jewish circles, pointing to the fact that Joanna the wife of Chuza had left her husband to follow Jesus.</w:t>
      </w:r>
      <w:r>
        <w:rPr>
          <w:rStyle w:val="FootnoteAnchor"/>
          <w:rFonts w:ascii="Arial" w:hAnsi="Arial"/>
          <w:color w:val="222222"/>
          <w:sz w:val="22"/>
          <w:szCs w:val="22"/>
          <w:shd w:fill="FFFFFF" w:val="clear"/>
        </w:rPr>
        <w:footnoteReference w:id="27"/>
      </w:r>
      <w:r>
        <w:rPr>
          <w:rFonts w:ascii="Arial" w:hAnsi="Arial"/>
          <w:color w:val="222222"/>
          <w:sz w:val="22"/>
          <w:szCs w:val="22"/>
          <w:shd w:fill="FFFFFF" w:val="clear"/>
        </w:rPr>
        <w:t xml:space="preserve"> </w:t>
      </w:r>
    </w:p>
    <w:p>
      <w:pPr>
        <w:pStyle w:val="Normal"/>
        <w:rPr>
          <w:rFonts w:ascii="Arial" w:hAnsi="Arial" w:eastAsia="DengXian"/>
          <w:color w:val="222222"/>
          <w:sz w:val="22"/>
          <w:szCs w:val="22"/>
          <w:shd w:fill="FFFFFF" w:val="clear"/>
        </w:rPr>
      </w:pPr>
      <w:r>
        <w:rPr>
          <w:rFonts w:eastAsia="DengXian" w:ascii="Arial" w:hAnsi="Arial"/>
          <w:color w:val="222222"/>
          <w:sz w:val="22"/>
          <w:szCs w:val="22"/>
          <w:shd w:fill="FFFFFF" w:val="clear"/>
        </w:rPr>
      </w:r>
    </w:p>
    <w:p>
      <w:pPr>
        <w:pStyle w:val="Normal"/>
        <w:rPr/>
      </w:pPr>
      <w:r>
        <w:rPr>
          <w:rFonts w:ascii="Arial" w:hAnsi="Arial"/>
          <w:color w:val="222222"/>
          <w:sz w:val="22"/>
          <w:szCs w:val="22"/>
          <w:shd w:fill="FFFFFF" w:val="clear"/>
        </w:rPr>
        <w:t xml:space="preserve">At the empty tomb, in each of the four gospels Mary Magdalene is named first (Mt 28:1, Mk 16:1, Lk 24:10, Jn 20:1). Yet, she is not expecting to find the resurrected Christ, that the women had spices for the dead body </w:t>
      </w:r>
      <w:r>
        <w:rPr>
          <w:rFonts w:eastAsia="Songti SC" w:cs="Arial Unicode MS" w:ascii="Arial" w:hAnsi="Arial"/>
          <w:color w:val="222222"/>
          <w:kern w:val="2"/>
          <w:sz w:val="22"/>
          <w:szCs w:val="22"/>
          <w:shd w:fill="FFFFFF" w:val="clear"/>
          <w:lang w:val="en-GB" w:eastAsia="zh-CN" w:bidi="hi-IN"/>
        </w:rPr>
        <w:t>shows</w:t>
      </w:r>
      <w:r>
        <w:rPr>
          <w:rFonts w:ascii="Arial" w:hAnsi="Arial"/>
          <w:color w:val="222222"/>
          <w:sz w:val="22"/>
          <w:szCs w:val="22"/>
          <w:shd w:fill="FFFFFF" w:val="clear"/>
        </w:rPr>
        <w:t xml:space="preserve"> this (Lk 24:1). Her </w:t>
      </w:r>
      <w:r>
        <w:rPr>
          <w:rFonts w:eastAsia="Songti SC" w:cs="Arial Unicode MS" w:ascii="Arial" w:hAnsi="Arial"/>
          <w:color w:val="222222"/>
          <w:kern w:val="2"/>
          <w:sz w:val="22"/>
          <w:szCs w:val="22"/>
          <w:shd w:fill="FFFFFF" w:val="clear"/>
          <w:lang w:val="en-GB" w:eastAsia="zh-CN" w:bidi="hi-IN"/>
        </w:rPr>
        <w:t>testimony</w:t>
      </w:r>
      <w:r>
        <w:rPr>
          <w:rFonts w:ascii="Arial" w:hAnsi="Arial"/>
          <w:color w:val="222222"/>
          <w:sz w:val="22"/>
          <w:szCs w:val="22"/>
          <w:shd w:fill="FFFFFF" w:val="clear"/>
        </w:rPr>
        <w:t xml:space="preserve"> is important because she is a witness throughout, it was the women and not the male disciples who stay with Jesus on the cross. Mary </w:t>
      </w:r>
      <w:r>
        <w:rPr>
          <w:rFonts w:eastAsia="Songti SC" w:ascii="Arial" w:hAnsi="Arial"/>
          <w:color w:val="222222"/>
          <w:sz w:val="22"/>
          <w:szCs w:val="22"/>
          <w:shd w:fill="FFFFFF" w:val="clear"/>
        </w:rPr>
        <w:t>is</w:t>
      </w:r>
      <w:r>
        <w:rPr>
          <w:rFonts w:ascii="Arial" w:hAnsi="Arial"/>
          <w:color w:val="222222"/>
          <w:sz w:val="22"/>
          <w:szCs w:val="22"/>
          <w:shd w:fill="FFFFFF" w:val="clear"/>
        </w:rPr>
        <w:t xml:space="preserve"> at the burial, and her subsequent witness that it is empty provides the assurance that it is the correct tomb.</w:t>
      </w:r>
      <w:r>
        <w:rPr>
          <w:rStyle w:val="FootnoteAnchor"/>
          <w:rFonts w:ascii="Arial" w:hAnsi="Arial"/>
          <w:color w:val="222222"/>
          <w:sz w:val="22"/>
          <w:szCs w:val="22"/>
          <w:shd w:fill="FFFFFF" w:val="clear"/>
        </w:rPr>
        <w:footnoteReference w:id="28"/>
      </w:r>
      <w:r>
        <w:rPr>
          <w:rFonts w:ascii="Arial" w:hAnsi="Arial"/>
          <w:color w:val="222222"/>
          <w:sz w:val="22"/>
          <w:szCs w:val="22"/>
          <w:shd w:fill="FFFFFF" w:val="clear"/>
        </w:rPr>
        <w:t xml:space="preserve"> She is almost the perfect witness, yet there was a problem with female</w:t>
      </w:r>
      <w:r>
        <w:rPr>
          <w:rFonts w:ascii="Arial" w:hAnsi="Arial"/>
          <w:color w:val="222222"/>
          <w:sz w:val="22"/>
          <w:szCs w:val="22"/>
          <w:shd w:fill="FFFFFF" w:val="clear"/>
        </w:rPr>
        <w:t>s as</w:t>
      </w:r>
      <w:r>
        <w:rPr>
          <w:rFonts w:ascii="Arial" w:hAnsi="Arial"/>
          <w:color w:val="222222"/>
          <w:sz w:val="22"/>
          <w:szCs w:val="22"/>
          <w:shd w:fill="FFFFFF" w:val="clear"/>
        </w:rPr>
        <w:t xml:space="preserve"> witnesses. In first century Judaism, </w:t>
      </w:r>
      <w:r>
        <w:rPr>
          <w:rFonts w:ascii="Arial" w:hAnsi="Arial"/>
          <w:color w:val="000000"/>
          <w:sz w:val="22"/>
          <w:szCs w:val="22"/>
          <w:shd w:fill="FFFFFF" w:val="clear"/>
        </w:rPr>
        <w:t>Josephus stated that women may not have been able to give evidence in court cases,</w:t>
      </w:r>
      <w:r>
        <w:rPr>
          <w:rStyle w:val="FootnoteAnchor"/>
          <w:rFonts w:ascii="Arial" w:hAnsi="Arial"/>
          <w:color w:val="000000"/>
          <w:sz w:val="22"/>
          <w:szCs w:val="22"/>
          <w:shd w:fill="FFFFFF" w:val="clear"/>
        </w:rPr>
        <w:footnoteReference w:id="29"/>
      </w:r>
      <w:r>
        <w:rPr>
          <w:rFonts w:ascii="Arial" w:hAnsi="Arial"/>
          <w:color w:val="000000"/>
          <w:sz w:val="22"/>
          <w:szCs w:val="22"/>
          <w:shd w:fill="FFFFFF" w:val="clear"/>
        </w:rPr>
        <w:t xml:space="preserve"> though Witherington suggests that a woman’s “oath was generally accepted, and that her word carried more weight than that of gentiles or slaves in some cases.”</w:t>
      </w:r>
      <w:r>
        <w:rPr>
          <w:rStyle w:val="FootnoteAnchor"/>
          <w:rFonts w:ascii="Arial" w:hAnsi="Arial"/>
          <w:color w:val="000000"/>
          <w:sz w:val="22"/>
          <w:szCs w:val="22"/>
          <w:shd w:fill="FFFFFF" w:val="clear"/>
        </w:rPr>
        <w:footnoteReference w:id="30"/>
      </w:r>
    </w:p>
    <w:p>
      <w:pPr>
        <w:pStyle w:val="Normal"/>
        <w:rPr>
          <w:rFonts w:ascii="Arial" w:hAnsi="Arial"/>
          <w:color w:val="000000"/>
          <w:sz w:val="22"/>
          <w:szCs w:val="22"/>
          <w:shd w:fill="FFFFFF" w:val="clear"/>
        </w:rPr>
      </w:pPr>
      <w:r>
        <w:rPr>
          <w:rFonts w:ascii="Arial" w:hAnsi="Arial"/>
          <w:color w:val="000000"/>
          <w:sz w:val="22"/>
          <w:szCs w:val="22"/>
          <w:shd w:fill="FFFFFF" w:val="clear"/>
        </w:rPr>
      </w:r>
    </w:p>
    <w:p>
      <w:pPr>
        <w:pStyle w:val="Normal"/>
        <w:rPr/>
      </w:pPr>
      <w:r>
        <w:rPr>
          <w:rFonts w:ascii="Arial" w:hAnsi="Arial"/>
          <w:color w:val="222222"/>
          <w:sz w:val="22"/>
          <w:szCs w:val="22"/>
          <w:shd w:fill="FFFFFF" w:val="clear"/>
        </w:rPr>
        <w:t>Although having multiple witnesses, both male and female, is important to Luke, that the first witnesses to the resurrection were women provided a problem to some other early writers. O’Collins states that some writers minimize the appearance of Jesus to Mary as simply a prelude to the main event of Jesus returning to the disciples, while others paint the women as hysterical and blinded by love.</w:t>
      </w:r>
      <w:r>
        <w:rPr>
          <w:rStyle w:val="FootnoteAnchor"/>
          <w:rFonts w:ascii="Arial" w:hAnsi="Arial"/>
          <w:color w:val="222222"/>
          <w:sz w:val="22"/>
          <w:szCs w:val="22"/>
          <w:shd w:fill="FFFFFF" w:val="clear"/>
        </w:rPr>
        <w:footnoteReference w:id="31"/>
      </w:r>
      <w:r>
        <w:rPr>
          <w:rFonts w:ascii="Arial" w:hAnsi="Arial"/>
          <w:color w:val="222222"/>
          <w:sz w:val="22"/>
          <w:szCs w:val="22"/>
          <w:shd w:fill="FFFFFF" w:val="clear"/>
        </w:rPr>
        <w:t xml:space="preserve"> In 1 Corinthians, Paul omits the women, focusing on Peter and other leaders of the early church as witnesses of the resurrection instead (1 Cor 15: 5-8), perhaps because some Jews would not accept female testimony.</w:t>
      </w:r>
      <w:r>
        <w:rPr>
          <w:rStyle w:val="FootnoteAnchor"/>
          <w:rFonts w:ascii="Arial" w:hAnsi="Arial"/>
          <w:color w:val="222222"/>
          <w:sz w:val="22"/>
          <w:szCs w:val="22"/>
          <w:shd w:fill="FFFFFF" w:val="clear"/>
        </w:rPr>
        <w:footnoteReference w:id="32"/>
      </w:r>
      <w:r>
        <w:rPr>
          <w:rFonts w:ascii="Arial" w:hAnsi="Arial"/>
          <w:color w:val="222222"/>
          <w:sz w:val="22"/>
          <w:szCs w:val="22"/>
          <w:shd w:fill="FFFFFF" w:val="clear"/>
        </w:rPr>
        <w:t xml:space="preserve"> Setzer </w:t>
      </w:r>
      <w:r>
        <w:rPr>
          <w:rFonts w:eastAsia="Songti SC" w:cs="Arial Unicode MS" w:ascii="Arial" w:hAnsi="Arial"/>
          <w:color w:val="222222"/>
          <w:kern w:val="2"/>
          <w:sz w:val="22"/>
          <w:szCs w:val="22"/>
          <w:shd w:fill="FFFFFF" w:val="clear"/>
          <w:lang w:val="en-GB" w:eastAsia="zh-CN" w:bidi="hi-IN"/>
        </w:rPr>
        <w:t>adds to</w:t>
      </w:r>
      <w:r>
        <w:rPr>
          <w:rFonts w:ascii="Arial" w:hAnsi="Arial"/>
          <w:color w:val="222222"/>
          <w:sz w:val="22"/>
          <w:szCs w:val="22"/>
          <w:shd w:fill="FFFFFF" w:val="clear"/>
        </w:rPr>
        <w:t xml:space="preserve"> this by stating that later tellings of the story by Tertuallian and Justin Martyr also remove the women entirely.</w:t>
      </w:r>
      <w:r>
        <w:rPr>
          <w:rStyle w:val="FootnoteAnchor"/>
          <w:rFonts w:ascii="Arial" w:hAnsi="Arial"/>
          <w:color w:val="222222"/>
          <w:sz w:val="22"/>
          <w:szCs w:val="22"/>
          <w:shd w:fill="FFFFFF" w:val="clear"/>
        </w:rPr>
        <w:footnoteReference w:id="33"/>
      </w:r>
      <w:r>
        <w:rPr>
          <w:rFonts w:ascii="Arial" w:hAnsi="Arial"/>
          <w:color w:val="222222"/>
          <w:sz w:val="22"/>
          <w:szCs w:val="22"/>
          <w:shd w:fill="FFFFFF" w:val="clear"/>
        </w:rPr>
        <w:t xml:space="preserve"> She feels that this led to dangerous ideas of women being “gullible, dangerous, antifamily, and a menace to society”. </w:t>
      </w:r>
    </w:p>
    <w:p>
      <w:pPr>
        <w:pStyle w:val="Normal"/>
        <w:rPr>
          <w:rFonts w:ascii="Arial" w:hAnsi="Arial"/>
          <w:color w:val="222222"/>
          <w:sz w:val="22"/>
          <w:szCs w:val="22"/>
          <w:shd w:fill="FFFFFF" w:val="clear"/>
        </w:rPr>
      </w:pPr>
      <w:r>
        <w:rPr>
          <w:rFonts w:ascii="Arial" w:hAnsi="Arial"/>
          <w:color w:val="222222"/>
          <w:sz w:val="22"/>
          <w:szCs w:val="22"/>
          <w:shd w:fill="FFFFFF" w:val="clear"/>
        </w:rPr>
      </w:r>
    </w:p>
    <w:p>
      <w:pPr>
        <w:pStyle w:val="Normal"/>
        <w:rPr>
          <w:rFonts w:ascii="Arial" w:hAnsi="Arial"/>
          <w:color w:val="222222"/>
          <w:sz w:val="22"/>
          <w:szCs w:val="22"/>
          <w:shd w:fill="FFFFFF" w:val="clear"/>
        </w:rPr>
      </w:pPr>
      <w:r>
        <w:rPr>
          <w:rFonts w:ascii="Arial" w:hAnsi="Arial"/>
          <w:color w:val="222222"/>
          <w:sz w:val="22"/>
          <w:szCs w:val="22"/>
          <w:shd w:fill="FFFFFF" w:val="clear"/>
        </w:rPr>
        <w:t>Yet, despite being silenced, ignored and disbelieved, the women remain as the model disciples and witnesses, there from the beginning to the end. Their act of witness is borne from their service to Jesus, even after death, as they went to his tomb. Their remembrance of what Jesus had told them and belief in it leads them to understanding, and when they t</w:t>
      </w:r>
      <w:r>
        <w:rPr>
          <w:rFonts w:ascii="Arial" w:hAnsi="Arial"/>
          <w:color w:val="222222"/>
          <w:sz w:val="22"/>
          <w:szCs w:val="22"/>
          <w:shd w:fill="FFFFFF" w:val="clear"/>
        </w:rPr>
        <w:t>ake</w:t>
      </w:r>
      <w:r>
        <w:rPr>
          <w:rFonts w:ascii="Arial" w:hAnsi="Arial"/>
          <w:color w:val="222222"/>
          <w:sz w:val="22"/>
          <w:szCs w:val="22"/>
          <w:shd w:fill="FFFFFF" w:val="clear"/>
        </w:rPr>
        <w:t xml:space="preserve"> this message to the male disciples, that the message fail</w:t>
      </w:r>
      <w:r>
        <w:rPr>
          <w:rFonts w:ascii="Arial" w:hAnsi="Arial"/>
          <w:color w:val="222222"/>
          <w:sz w:val="22"/>
          <w:szCs w:val="22"/>
          <w:shd w:fill="FFFFFF" w:val="clear"/>
        </w:rPr>
        <w:t>s</w:t>
      </w:r>
      <w:r>
        <w:rPr>
          <w:rFonts w:ascii="Arial" w:hAnsi="Arial"/>
          <w:color w:val="222222"/>
          <w:sz w:val="22"/>
          <w:szCs w:val="22"/>
          <w:shd w:fill="FFFFFF" w:val="clear"/>
        </w:rPr>
        <w:t xml:space="preserve"> to get across to them, </w:t>
      </w:r>
      <w:r>
        <w:rPr>
          <w:rFonts w:ascii="Arial" w:hAnsi="Arial"/>
          <w:color w:val="222222"/>
          <w:sz w:val="22"/>
          <w:szCs w:val="22"/>
          <w:shd w:fill="FFFFFF" w:val="clear"/>
        </w:rPr>
        <w:t>i</w:t>
      </w:r>
      <w:r>
        <w:rPr>
          <w:rFonts w:ascii="Arial" w:hAnsi="Arial"/>
          <w:color w:val="222222"/>
          <w:sz w:val="22"/>
          <w:szCs w:val="22"/>
          <w:shd w:fill="FFFFFF" w:val="clear"/>
        </w:rPr>
        <w:t>s because of the men’s unbelief.</w:t>
      </w:r>
      <w:r>
        <w:rPr>
          <w:rStyle w:val="FootnoteAnchor"/>
          <w:rFonts w:ascii="Arial" w:hAnsi="Arial"/>
          <w:color w:val="222222"/>
          <w:sz w:val="22"/>
          <w:szCs w:val="22"/>
          <w:shd w:fill="FFFFFF" w:val="clear"/>
        </w:rPr>
        <w:footnoteReference w:id="34"/>
      </w:r>
      <w:r>
        <w:rPr>
          <w:rFonts w:ascii="Arial" w:hAnsi="Arial"/>
          <w:color w:val="222222"/>
          <w:sz w:val="22"/>
          <w:szCs w:val="22"/>
          <w:shd w:fill="FFFFFF" w:val="clear"/>
        </w:rPr>
        <w:t xml:space="preserv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Women in Acts </w:t>
      </w:r>
    </w:p>
    <w:p>
      <w:pPr>
        <w:pStyle w:val="Normal"/>
        <w:rPr>
          <w:rFonts w:ascii="Arial" w:hAnsi="Arial"/>
          <w:sz w:val="22"/>
          <w:szCs w:val="22"/>
        </w:rPr>
      </w:pPr>
      <w:r>
        <w:rPr>
          <w:rFonts w:ascii="Arial" w:hAnsi="Arial"/>
          <w:sz w:val="22"/>
          <w:szCs w:val="22"/>
        </w:rPr>
      </w:r>
    </w:p>
    <w:p>
      <w:pPr>
        <w:pStyle w:val="Normal"/>
        <w:rPr>
          <w:shd w:fill="FFFFFF" w:val="clear"/>
        </w:rPr>
      </w:pPr>
      <w:r>
        <w:rPr>
          <w:rFonts w:ascii="Arial" w:hAnsi="Arial"/>
          <w:color w:val="222222"/>
          <w:sz w:val="22"/>
          <w:szCs w:val="22"/>
          <w:shd w:fill="FFFFFF" w:val="clear"/>
        </w:rPr>
        <w:t>Acts begins with the final appearance of Mary among male and female disciples (Acts 1:14), but women play a less prominent role. This is despite the early promise found in Peter’s speech, where he quotes from Joel, saying “Even on my servants, both men and women, I will pour out my Spirit in those days, and they will prophesy” (Acts 2:18). As Mouton and Manyika, among others, point out, the expectations raised by this never come to fruition in Acts, and that “what begins as an amplified celebration of female voices dwindles to a muffled sound of dissonant notes”.</w:t>
      </w:r>
      <w:r>
        <w:rPr>
          <w:rStyle w:val="FootnoteAnchor"/>
          <w:rFonts w:ascii="Arial" w:hAnsi="Arial"/>
          <w:color w:val="222222"/>
          <w:sz w:val="22"/>
          <w:szCs w:val="22"/>
          <w:shd w:fill="FFFFFF" w:val="clear"/>
        </w:rPr>
        <w:footnoteReference w:id="35"/>
      </w:r>
      <w:r>
        <w:rPr>
          <w:rFonts w:ascii="Arial" w:hAnsi="Arial"/>
          <w:color w:val="222222"/>
          <w:sz w:val="22"/>
          <w:szCs w:val="22"/>
          <w:shd w:fill="FFFFFF" w:val="clear"/>
        </w:rPr>
        <w:t xml:space="preserve"> Rhoda, who </w:t>
      </w:r>
      <w:r>
        <w:rPr>
          <w:rFonts w:eastAsia="Songti SC" w:ascii="Arial" w:hAnsi="Arial"/>
          <w:color w:val="222222"/>
          <w:sz w:val="22"/>
          <w:szCs w:val="22"/>
          <w:shd w:fill="FFFFFF" w:val="clear"/>
        </w:rPr>
        <w:t>is discussed</w:t>
      </w:r>
      <w:r>
        <w:rPr>
          <w:rFonts w:ascii="Arial" w:hAnsi="Arial"/>
          <w:color w:val="222222"/>
          <w:sz w:val="22"/>
          <w:szCs w:val="22"/>
          <w:shd w:fill="FFFFFF" w:val="clear"/>
        </w:rPr>
        <w:t xml:space="preserve"> in more detail later, is first not believed and then silenced (Acts 12:12-17). The daughters of Philip, mentioned as prophetesses, remain silent (Acts 21:9) while males around them in the narrative prophesy (Acts 21:4, 10-12).</w:t>
      </w:r>
      <w:r>
        <w:rPr>
          <w:rStyle w:val="FootnoteAnchor"/>
          <w:rFonts w:ascii="Arial" w:hAnsi="Arial"/>
          <w:color w:val="222222"/>
          <w:sz w:val="22"/>
          <w:szCs w:val="22"/>
          <w:shd w:fill="FFFFFF" w:val="clear"/>
        </w:rPr>
        <w:footnoteReference w:id="36"/>
      </w:r>
      <w:r>
        <w:rPr>
          <w:rFonts w:ascii="Arial" w:hAnsi="Arial"/>
          <w:color w:val="222222"/>
          <w:sz w:val="22"/>
          <w:szCs w:val="22"/>
          <w:shd w:fill="FFFFFF" w:val="clear"/>
        </w:rPr>
        <w:t xml:space="preserve"> Women too are the passive subject of charity in the church, seen through the care for Hellenistic widows (Acts 6:1-7). </w:t>
      </w:r>
    </w:p>
    <w:p>
      <w:pPr>
        <w:pStyle w:val="Normal"/>
        <w:rPr>
          <w:shd w:fill="FFFFFF" w:val="clear"/>
        </w:rPr>
      </w:pPr>
      <w:r>
        <w:rPr>
          <w:shd w:fill="FFFFFF" w:val="clear"/>
        </w:rPr>
      </w:r>
    </w:p>
    <w:p>
      <w:pPr>
        <w:pStyle w:val="Normal"/>
        <w:rPr>
          <w:shd w:fill="FFFFFF" w:val="clear"/>
        </w:rPr>
      </w:pPr>
      <w:r>
        <w:rPr>
          <w:rFonts w:eastAsia="Songti SC" w:ascii="Arial" w:hAnsi="Arial"/>
          <w:color w:val="222222"/>
          <w:sz w:val="22"/>
          <w:szCs w:val="22"/>
          <w:shd w:fill="FFFFFF" w:val="clear"/>
        </w:rPr>
        <w:t xml:space="preserve">The male-female pairing motif, while not as </w:t>
      </w:r>
      <w:r>
        <w:rPr>
          <w:rFonts w:eastAsia="Songti SC" w:cs="Arial Unicode MS" w:ascii="Arial" w:hAnsi="Arial"/>
          <w:color w:val="222222"/>
          <w:kern w:val="2"/>
          <w:sz w:val="22"/>
          <w:szCs w:val="22"/>
          <w:shd w:fill="FFFFFF" w:val="clear"/>
          <w:lang w:val="en-GB" w:eastAsia="zh-CN" w:bidi="hi-IN"/>
        </w:rPr>
        <w:t>common</w:t>
      </w:r>
      <w:r>
        <w:rPr>
          <w:rFonts w:eastAsia="Songti SC" w:ascii="Arial" w:hAnsi="Arial"/>
          <w:color w:val="222222"/>
          <w:sz w:val="22"/>
          <w:szCs w:val="22"/>
          <w:shd w:fill="FFFFFF" w:val="clear"/>
        </w:rPr>
        <w:t xml:space="preserve"> as in Luke, continues in Acts.</w:t>
      </w:r>
      <w:r>
        <w:rPr>
          <w:rFonts w:ascii="Arial" w:hAnsi="Arial"/>
          <w:color w:val="222222"/>
          <w:sz w:val="22"/>
          <w:szCs w:val="22"/>
          <w:shd w:fill="FFFFFF" w:val="clear"/>
        </w:rPr>
        <w:t xml:space="preserve"> Tabitha, is paired with Aeneas, </w:t>
      </w:r>
      <w:r>
        <w:rPr>
          <w:rFonts w:eastAsia="Songti SC" w:ascii="Arial" w:hAnsi="Arial"/>
          <w:color w:val="222222"/>
          <w:sz w:val="22"/>
          <w:szCs w:val="22"/>
          <w:shd w:fill="FFFFFF" w:val="clear"/>
        </w:rPr>
        <w:t>but her</w:t>
      </w:r>
      <w:r>
        <w:rPr>
          <w:rFonts w:ascii="Arial" w:hAnsi="Arial"/>
          <w:color w:val="222222"/>
          <w:sz w:val="22"/>
          <w:szCs w:val="22"/>
          <w:shd w:fill="FFFFFF" w:val="clear"/>
        </w:rPr>
        <w:t xml:space="preserve"> story is told in more detail. She is the only woman in Acts to be named as a disciple and is also praised for hospitality, in her case charity work with widows (Acts 9:36).</w:t>
      </w:r>
      <w:r>
        <w:rPr>
          <w:rStyle w:val="FootnoteAnchor"/>
          <w:rFonts w:ascii="Arial" w:hAnsi="Arial"/>
          <w:color w:val="222222"/>
          <w:sz w:val="22"/>
          <w:szCs w:val="22"/>
          <w:shd w:fill="FFFFFF" w:val="clear"/>
        </w:rPr>
        <w:footnoteReference w:id="37"/>
      </w:r>
      <w:r>
        <w:rPr>
          <w:rFonts w:ascii="Arial" w:hAnsi="Arial"/>
          <w:color w:val="222222"/>
          <w:sz w:val="22"/>
          <w:szCs w:val="22"/>
          <w:shd w:fill="FFFFFF" w:val="clear"/>
        </w:rPr>
        <w:t xml:space="preserve"> Sapphira and Ananais are another pairing, allowing Luke to repeat an important point, that through their punishment, the church is restored and strengthened (Acts 5:1-11).</w:t>
      </w:r>
      <w:r>
        <w:rPr>
          <w:rStyle w:val="FootnoteAnchor"/>
          <w:rFonts w:ascii="Arial" w:hAnsi="Arial"/>
          <w:color w:val="222222"/>
          <w:sz w:val="22"/>
          <w:szCs w:val="22"/>
          <w:shd w:fill="FFFFFF" w:val="clear"/>
        </w:rPr>
        <w:footnoteReference w:id="38"/>
      </w:r>
      <w:r>
        <w:rPr>
          <w:rFonts w:ascii="Arial" w:hAnsi="Arial"/>
          <w:color w:val="222222"/>
          <w:sz w:val="22"/>
          <w:szCs w:val="22"/>
          <w:shd w:fill="FFFFFF" w:val="clear"/>
        </w:rPr>
        <w:t xml:space="preserve"> Luke also continues to include both men and women in groups, particularly when he discusses the baptism of new Christians (Acts 8:12, Acts 17:12). </w:t>
      </w:r>
    </w:p>
    <w:p>
      <w:pPr>
        <w:pStyle w:val="Normal"/>
        <w:rPr>
          <w:shd w:fill="FFFFFF" w:val="clear"/>
        </w:rPr>
      </w:pPr>
      <w:r>
        <w:rPr>
          <w:shd w:fill="FFFFFF" w:val="clear"/>
        </w:rPr>
      </w:r>
    </w:p>
    <w:p>
      <w:pPr>
        <w:pStyle w:val="Normal"/>
        <w:rPr/>
      </w:pPr>
      <w:r>
        <w:rPr>
          <w:rFonts w:ascii="Arial" w:hAnsi="Arial"/>
          <w:color w:val="222222"/>
          <w:sz w:val="22"/>
          <w:szCs w:val="22"/>
          <w:shd w:fill="FFFFFF" w:val="clear"/>
        </w:rPr>
        <w:t xml:space="preserve">Powerful women are mentioned in passing, such as Bernice, the sister of King Agrippa (Acts 25:13) and Candace the Ethiopian Queen (Acts 8:28), perhaps mentioned as Ethiopia was seen as the end of the Earth. Also introduced are leaders of the church, who show discipleship through hospitality to Paul and the early missionaries. Priscilla, </w:t>
      </w:r>
      <w:r>
        <w:rPr>
          <w:rFonts w:eastAsia="Songti SC" w:ascii="Arial" w:hAnsi="Arial"/>
          <w:color w:val="222222"/>
          <w:sz w:val="22"/>
          <w:szCs w:val="22"/>
          <w:shd w:fill="FFFFFF" w:val="clear"/>
        </w:rPr>
        <w:t>a tentmaker</w:t>
      </w:r>
      <w:r>
        <w:rPr>
          <w:rFonts w:ascii="Arial" w:hAnsi="Arial"/>
          <w:color w:val="222222"/>
          <w:sz w:val="22"/>
          <w:szCs w:val="22"/>
          <w:shd w:fill="FFFFFF" w:val="clear"/>
        </w:rPr>
        <w:t xml:space="preserve"> with her husband Aquila (Acts 18:2-3), is usually mentioned with her name first, perhaps showing she was a freeborn Roman, perhaps a Christian of greater standing. Lydia, a dealer in purple cloth, also is shown as another who opened her household to provide hospitality (Acts 16:11-15). </w:t>
      </w:r>
      <w:r>
        <w:rPr>
          <w:rFonts w:eastAsia="Songti SC" w:ascii="Arial" w:hAnsi="Arial"/>
          <w:color w:val="222222"/>
          <w:sz w:val="22"/>
          <w:szCs w:val="22"/>
          <w:shd w:fill="FFFFFF" w:val="clear"/>
        </w:rPr>
        <w:t>These Christian households</w:t>
      </w:r>
      <w:r>
        <w:rPr>
          <w:rFonts w:ascii="Arial" w:hAnsi="Arial"/>
          <w:color w:val="222222"/>
          <w:sz w:val="22"/>
          <w:szCs w:val="22"/>
          <w:shd w:fill="FFFFFF" w:val="clear"/>
        </w:rPr>
        <w:t xml:space="preserve"> in Acts are described by Martin as a discipleship of equals, where patriarchal family bonds are less respected, though she goes on to warn about not viewing Christian households as too equal and Judaic ones a</w:t>
      </w:r>
      <w:r>
        <w:rPr>
          <w:rFonts w:ascii="Arial" w:hAnsi="Arial"/>
          <w:color w:val="222222"/>
          <w:sz w:val="22"/>
          <w:szCs w:val="22"/>
          <w:shd w:fill="FFFFFF" w:val="clear"/>
        </w:rPr>
        <w:t>s</w:t>
      </w:r>
      <w:r>
        <w:rPr>
          <w:rFonts w:ascii="Arial" w:hAnsi="Arial"/>
          <w:color w:val="222222"/>
          <w:sz w:val="22"/>
          <w:szCs w:val="22"/>
          <w:shd w:fill="FFFFFF" w:val="clear"/>
        </w:rPr>
        <w:t xml:space="preserve"> too patriarchal.</w:t>
      </w:r>
      <w:r>
        <w:rPr>
          <w:rStyle w:val="FootnoteAnchor"/>
          <w:rFonts w:ascii="Arial" w:hAnsi="Arial"/>
          <w:color w:val="222222"/>
          <w:sz w:val="22"/>
          <w:szCs w:val="22"/>
          <w:shd w:fill="FFFFFF" w:val="clear"/>
        </w:rPr>
        <w:footnoteReference w:id="39"/>
      </w:r>
      <w:r>
        <w:rPr>
          <w:rFonts w:ascii="Arial" w:hAnsi="Arial"/>
          <w:color w:val="222222"/>
          <w:sz w:val="22"/>
          <w:szCs w:val="22"/>
          <w:shd w:fill="FFFFFF" w:val="clear"/>
        </w:rPr>
        <w:t xml:space="preserve"> One other extended family shown in Acts is the household of Mary, where the slave girl Rhoda is introduced. </w:t>
      </w:r>
    </w:p>
    <w:p>
      <w:pPr>
        <w:pStyle w:val="Normal"/>
        <w:rPr>
          <w:shd w:fill="FFFFFF" w:val="clear"/>
        </w:rPr>
      </w:pPr>
      <w:r>
        <w:rPr>
          <w:shd w:fill="FFFFFF" w:val="clear"/>
        </w:rPr>
      </w:r>
    </w:p>
    <w:p>
      <w:pPr>
        <w:pStyle w:val="Normal"/>
        <w:rPr>
          <w:rFonts w:ascii="Arial" w:hAnsi="Arial"/>
          <w:b/>
          <w:b/>
          <w:bCs/>
          <w:sz w:val="22"/>
          <w:szCs w:val="22"/>
        </w:rPr>
      </w:pPr>
      <w:r>
        <w:rPr>
          <w:rFonts w:ascii="Arial" w:hAnsi="Arial"/>
          <w:b/>
          <w:bCs/>
          <w:sz w:val="22"/>
          <w:szCs w:val="22"/>
        </w:rPr>
        <w:t xml:space="preserve">Rhoda </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shd w:fill="FFFFFF" w:val="clear"/>
        </w:rPr>
        <w:t xml:space="preserve">Rhoda appears only briefly in the book of Acts (Acts 12:12-17), she is a young slave and part of the Christian household of Mary. Before </w:t>
      </w:r>
      <w:r>
        <w:rPr>
          <w:rFonts w:ascii="Arial" w:hAnsi="Arial"/>
          <w:color w:val="000000"/>
          <w:sz w:val="22"/>
          <w:szCs w:val="22"/>
          <w:shd w:fill="FFFFFF" w:val="clear"/>
        </w:rPr>
        <w:t>looking at her in depth, as well</w:t>
      </w:r>
      <w:r>
        <w:rPr>
          <w:rFonts w:ascii="Arial" w:hAnsi="Arial"/>
          <w:sz w:val="22"/>
          <w:szCs w:val="22"/>
          <w:shd w:fill="FFFFFF" w:val="clear"/>
        </w:rPr>
        <w:t xml:space="preserve"> as her role in the narrative, it </w:t>
      </w:r>
      <w:r>
        <w:rPr>
          <w:rFonts w:eastAsia="Songti SC" w:ascii="Arial" w:hAnsi="Arial"/>
          <w:sz w:val="22"/>
          <w:szCs w:val="22"/>
          <w:shd w:fill="FFFFFF" w:val="clear"/>
        </w:rPr>
        <w:t>is</w:t>
      </w:r>
      <w:r>
        <w:rPr>
          <w:rFonts w:ascii="Arial" w:hAnsi="Arial"/>
          <w:sz w:val="22"/>
          <w:szCs w:val="22"/>
          <w:shd w:fill="FFFFFF" w:val="clear"/>
        </w:rPr>
        <w:t xml:space="preserve"> helpful to put </w:t>
      </w:r>
      <w:r>
        <w:rPr>
          <w:rFonts w:ascii="Arial" w:hAnsi="Arial"/>
          <w:color w:val="000000"/>
          <w:sz w:val="22"/>
          <w:szCs w:val="22"/>
          <w:shd w:fill="FFFFFF" w:val="clear"/>
        </w:rPr>
        <w:t>the passage</w:t>
      </w:r>
      <w:r>
        <w:rPr>
          <w:rFonts w:ascii="Arial" w:hAnsi="Arial"/>
          <w:sz w:val="22"/>
          <w:szCs w:val="22"/>
          <w:shd w:fill="FFFFFF" w:val="clear"/>
        </w:rPr>
        <w:t xml:space="preserve"> in context. Acts 12 tells the story of Peter’s miraculous escape from prison. King Herod had recently killed the apostle James, and when he sees that it has met with approval, he imprisons Peter. Before Peter </w:t>
      </w:r>
      <w:r>
        <w:rPr>
          <w:rFonts w:eastAsia="Songti SC" w:ascii="Arial" w:hAnsi="Arial"/>
          <w:sz w:val="22"/>
          <w:szCs w:val="22"/>
          <w:shd w:fill="FFFFFF" w:val="clear"/>
        </w:rPr>
        <w:t>can</w:t>
      </w:r>
      <w:r>
        <w:rPr>
          <w:rFonts w:ascii="Arial" w:hAnsi="Arial"/>
          <w:sz w:val="22"/>
          <w:szCs w:val="22"/>
          <w:shd w:fill="FFFFFF" w:val="clear"/>
        </w:rPr>
        <w:t xml:space="preserve"> be brought to trial however, he </w:t>
      </w:r>
      <w:r>
        <w:rPr>
          <w:rFonts w:eastAsia="Songti SC" w:ascii="Arial" w:hAnsi="Arial"/>
          <w:sz w:val="22"/>
          <w:szCs w:val="22"/>
          <w:shd w:fill="FFFFFF" w:val="clear"/>
        </w:rPr>
        <w:t>is</w:t>
      </w:r>
      <w:r>
        <w:rPr>
          <w:rFonts w:ascii="Arial" w:hAnsi="Arial"/>
          <w:sz w:val="22"/>
          <w:szCs w:val="22"/>
          <w:shd w:fill="FFFFFF" w:val="clear"/>
        </w:rPr>
        <w:t xml:space="preserve"> freed by an angel and </w:t>
      </w:r>
      <w:r>
        <w:rPr>
          <w:rFonts w:eastAsia="Songti SC" w:ascii="Arial" w:hAnsi="Arial"/>
          <w:sz w:val="22"/>
          <w:szCs w:val="22"/>
          <w:shd w:fill="FFFFFF" w:val="clear"/>
        </w:rPr>
        <w:t>goes</w:t>
      </w:r>
      <w:r>
        <w:rPr>
          <w:rFonts w:ascii="Arial" w:hAnsi="Arial"/>
          <w:sz w:val="22"/>
          <w:szCs w:val="22"/>
          <w:shd w:fill="FFFFFF" w:val="clear"/>
        </w:rPr>
        <w:t xml:space="preserve"> to Mary’s house where inside the household are praying for him. He knocks at the outer entrance and this is where </w:t>
      </w:r>
      <w:r>
        <w:rPr>
          <w:rFonts w:ascii="Arial" w:hAnsi="Arial"/>
          <w:color w:val="000000"/>
          <w:sz w:val="22"/>
          <w:szCs w:val="22"/>
          <w:shd w:fill="FFFFFF" w:val="clear"/>
        </w:rPr>
        <w:t xml:space="preserve">Rhoda is introduced as she runs to tell the good news to the others. </w:t>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Rhoda is of the lowest social standing – a young, foreign slave woman. Even her name may not be her own, instead indicating she was from Rhodes.</w:t>
      </w:r>
      <w:r>
        <w:rPr>
          <w:rStyle w:val="FootnoteAnchor"/>
          <w:rFonts w:ascii="Arial" w:hAnsi="Arial"/>
          <w:sz w:val="22"/>
          <w:szCs w:val="22"/>
          <w:shd w:fill="FFFFFF" w:val="clear"/>
        </w:rPr>
        <w:footnoteReference w:id="40"/>
      </w:r>
      <w:r>
        <w:rPr>
          <w:rFonts w:ascii="Arial" w:hAnsi="Arial"/>
          <w:sz w:val="22"/>
          <w:szCs w:val="22"/>
          <w:shd w:fill="FFFFFF" w:val="clear"/>
        </w:rPr>
        <w:t xml:space="preserve"> Her age is estimated to be between 12-15 years.</w:t>
      </w:r>
      <w:r>
        <w:rPr>
          <w:rStyle w:val="FootnoteAnchor"/>
          <w:rFonts w:ascii="Arial" w:hAnsi="Arial"/>
          <w:sz w:val="22"/>
          <w:szCs w:val="22"/>
          <w:shd w:fill="FFFFFF" w:val="clear"/>
        </w:rPr>
        <w:footnoteReference w:id="41"/>
      </w:r>
      <w:r>
        <w:rPr>
          <w:rFonts w:ascii="Arial" w:hAnsi="Arial"/>
          <w:sz w:val="22"/>
          <w:szCs w:val="22"/>
          <w:shd w:fill="FFFFFF" w:val="clear"/>
        </w:rPr>
        <w:t xml:space="preserve"> In society she is not someone that others would take seriously, and even within a Christian household this may have been the case. Effectively she is left voiceless and marginalized through societal conventions, sharing in the life of the household, including religion, but ranked at the bottom of the ladder. Even her hurrying in this story betrays her low social status, those of high status did not run.</w:t>
      </w:r>
      <w:r>
        <w:rPr>
          <w:rStyle w:val="FootnoteAnchor"/>
          <w:rFonts w:ascii="Arial" w:hAnsi="Arial"/>
          <w:sz w:val="22"/>
          <w:szCs w:val="22"/>
          <w:shd w:fill="FFFFFF" w:val="clear"/>
        </w:rPr>
        <w:footnoteReference w:id="42"/>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Harrill brings the idea that Rhoda’s inclusion in the story is that of a running slave. He explains that this is a device used in Roman- Greco comedies, that would be familiar to Luke’s audience at the time, to provide a comic release of pressure after a scene full of suspense. The slave would rush to fulfil a simple task, “</w:t>
      </w:r>
      <w:r>
        <w:rPr>
          <w:rFonts w:ascii="Arial" w:hAnsi="Arial"/>
          <w:color w:val="222222"/>
          <w:sz w:val="22"/>
          <w:szCs w:val="22"/>
          <w:shd w:fill="FFFFFF" w:val="clear"/>
        </w:rPr>
        <w:t>but a protracted delay would occur, caused primarily by the melodramatic antics and backchat of the running slave, who is too frustrated and distracted to notice the business at hand.” He draws comparisons with Rhoda who fails to convince that Peter is waiting outside, daring to lecture her social betters, instead of simply letting Peter in.</w:t>
      </w:r>
      <w:r>
        <w:rPr>
          <w:rStyle w:val="FootnoteAnchor"/>
          <w:rFonts w:ascii="Arial" w:hAnsi="Arial"/>
          <w:color w:val="222222"/>
          <w:sz w:val="22"/>
          <w:szCs w:val="22"/>
          <w:shd w:fill="FFFFFF" w:val="clear"/>
        </w:rPr>
        <w:footnoteReference w:id="43"/>
      </w:r>
      <w:r>
        <w:rPr>
          <w:rFonts w:ascii="Arial" w:hAnsi="Arial"/>
          <w:sz w:val="22"/>
          <w:szCs w:val="22"/>
          <w:shd w:fill="FFFFFF" w:val="clear"/>
        </w:rPr>
        <w:br/>
      </w:r>
    </w:p>
    <w:p>
      <w:pPr>
        <w:pStyle w:val="Normal"/>
        <w:rPr/>
      </w:pPr>
      <w:r>
        <w:rPr>
          <w:rFonts w:ascii="Arial" w:hAnsi="Arial"/>
          <w:sz w:val="22"/>
          <w:szCs w:val="22"/>
          <w:shd w:fill="FFFFFF" w:val="clear"/>
        </w:rPr>
        <w:t>While there are similarities between Rhoda and the running slave character, that it is Luke’s intention to dishonour her by making her a comic character is rejected by writers such as Mouton and Manyika, Lee, and Spencer. Firstly, Mouton and Manyika, while acknowledging that Rhoda is in a hurry, and elated, note the more significant differences, that the message is delivered clearly, and with no indication of a desire for reward.</w:t>
      </w:r>
      <w:r>
        <w:rPr>
          <w:rStyle w:val="FootnoteAnchor"/>
          <w:rFonts w:ascii="Arial" w:hAnsi="Arial"/>
          <w:sz w:val="22"/>
          <w:szCs w:val="22"/>
          <w:shd w:fill="FFFFFF" w:val="clear"/>
        </w:rPr>
        <w:footnoteReference w:id="44"/>
      </w:r>
      <w:r>
        <w:rPr>
          <w:rFonts w:ascii="Arial" w:hAnsi="Arial"/>
          <w:sz w:val="22"/>
          <w:szCs w:val="22"/>
          <w:shd w:fill="FFFFFF" w:val="clear"/>
        </w:rPr>
        <w:t xml:space="preserve"> At first she appears to be a running slave, but her subsequent words and actions erase that image. It is not her who is the fool, but those who have rejected her message. Why does she fail to let Peter into the house? Lee suggests this is simply explained by Rhoda being so overjoyed that she forgets to do so.</w:t>
      </w:r>
      <w:r>
        <w:rPr>
          <w:rStyle w:val="FootnoteAnchor"/>
          <w:rFonts w:ascii="Arial" w:hAnsi="Arial"/>
          <w:sz w:val="22"/>
          <w:szCs w:val="22"/>
          <w:shd w:fill="FFFFFF" w:val="clear"/>
        </w:rPr>
        <w:footnoteReference w:id="45"/>
      </w:r>
      <w:r>
        <w:rPr>
          <w:rFonts w:ascii="Arial" w:hAnsi="Arial"/>
          <w:sz w:val="22"/>
          <w:szCs w:val="22"/>
          <w:shd w:fill="FFFFFF" w:val="clear"/>
        </w:rPr>
        <w:t xml:space="preserve"> </w:t>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Rhoda is steadfastly insistent about the fact that Peter is knocking and is not swayed by the rest of the household’s refusal to believe. They first state that she is mad. Patrick Spencer makes a comparison here with Acts 26, where Festus states that Paul’s great learning has driven him mad, and like Paul, Rhoda is unswayed.</w:t>
      </w:r>
      <w:r>
        <w:rPr>
          <w:rStyle w:val="FootnoteAnchor"/>
          <w:rFonts w:ascii="Arial" w:hAnsi="Arial"/>
          <w:sz w:val="22"/>
          <w:szCs w:val="22"/>
          <w:shd w:fill="FFFFFF" w:val="clear"/>
        </w:rPr>
        <w:footnoteReference w:id="46"/>
      </w:r>
      <w:r>
        <w:rPr>
          <w:rFonts w:ascii="Arial" w:hAnsi="Arial"/>
          <w:sz w:val="22"/>
          <w:szCs w:val="22"/>
          <w:shd w:fill="FFFFFF" w:val="clear"/>
        </w:rPr>
        <w:t xml:space="preserve"> She is the one watching for her master’s return, meeting the standards of the watchful servants in the parable (Lk 12:35-40), while the rest of the household do not. She therefore is the one who is a model disciple, showing spontaneous belief when Peter returns. </w:t>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There are three slave girls found in Luke-Acts, although Rhoda is the only one named. The first is the High Priest’s servant, to whom Peter denies Jesus (Lk 22:56). The third is the fortune teller who follows Paul around, publicising his ministry in Philippi, before Paul expels the spirit in her (Acts 16:16-18). F. Scott Spencer makes the point that while all three slave girls have very different stories, they are united in that they sp</w:t>
      </w:r>
      <w:r>
        <w:rPr>
          <w:rFonts w:ascii="Arial" w:hAnsi="Arial"/>
          <w:sz w:val="22"/>
          <w:szCs w:val="22"/>
          <w:shd w:fill="FFFFFF" w:val="clear"/>
        </w:rPr>
        <w:t>eak</w:t>
      </w:r>
      <w:r>
        <w:rPr>
          <w:rFonts w:ascii="Arial" w:hAnsi="Arial"/>
          <w:sz w:val="22"/>
          <w:szCs w:val="22"/>
          <w:shd w:fill="FFFFFF" w:val="clear"/>
        </w:rPr>
        <w:t xml:space="preserve"> the truth but ha</w:t>
      </w:r>
      <w:r>
        <w:rPr>
          <w:rFonts w:ascii="Arial" w:hAnsi="Arial"/>
          <w:sz w:val="22"/>
          <w:szCs w:val="22"/>
          <w:shd w:fill="FFFFFF" w:val="clear"/>
        </w:rPr>
        <w:t>ve</w:t>
      </w:r>
      <w:r>
        <w:rPr>
          <w:rFonts w:ascii="Arial" w:hAnsi="Arial"/>
          <w:sz w:val="22"/>
          <w:szCs w:val="22"/>
          <w:shd w:fill="FFFFFF" w:val="clear"/>
        </w:rPr>
        <w:t xml:space="preserve"> their word spurned. They </w:t>
      </w:r>
      <w:r>
        <w:rPr>
          <w:rFonts w:ascii="Arial" w:hAnsi="Arial"/>
          <w:sz w:val="22"/>
          <w:szCs w:val="22"/>
          <w:shd w:fill="FFFFFF" w:val="clear"/>
        </w:rPr>
        <w:t>are</w:t>
      </w:r>
      <w:r>
        <w:rPr>
          <w:rFonts w:ascii="Arial" w:hAnsi="Arial"/>
          <w:sz w:val="22"/>
          <w:szCs w:val="22"/>
          <w:shd w:fill="FFFFFF" w:val="clear"/>
        </w:rPr>
        <w:t xml:space="preserve"> silenced rather than celebrated. The church here reflected rather than resist</w:t>
      </w:r>
      <w:r>
        <w:rPr>
          <w:rFonts w:ascii="Arial" w:hAnsi="Arial"/>
          <w:sz w:val="22"/>
          <w:szCs w:val="22"/>
          <w:shd w:fill="FFFFFF" w:val="clear"/>
        </w:rPr>
        <w:t>s</w:t>
      </w:r>
      <w:r>
        <w:rPr>
          <w:rFonts w:ascii="Arial" w:hAnsi="Arial"/>
          <w:sz w:val="22"/>
          <w:szCs w:val="22"/>
          <w:shd w:fill="FFFFFF" w:val="clear"/>
        </w:rPr>
        <w:t xml:space="preserve"> the traditional social structure.</w:t>
      </w:r>
      <w:r>
        <w:rPr>
          <w:rStyle w:val="FootnoteAnchor"/>
          <w:rFonts w:ascii="Arial" w:hAnsi="Arial"/>
          <w:sz w:val="22"/>
          <w:szCs w:val="22"/>
          <w:shd w:fill="FFFFFF" w:val="clear"/>
        </w:rPr>
        <w:footnoteReference w:id="47"/>
      </w:r>
      <w:r>
        <w:rPr>
          <w:rFonts w:ascii="Arial" w:hAnsi="Arial"/>
          <w:sz w:val="22"/>
          <w:szCs w:val="22"/>
          <w:shd w:fill="FFFFFF" w:val="clear"/>
        </w:rPr>
        <w:t xml:space="preserve"> </w:t>
      </w:r>
      <w:r>
        <w:rPr>
          <w:rFonts w:ascii="Arial" w:hAnsi="Arial"/>
          <w:sz w:val="22"/>
          <w:szCs w:val="22"/>
        </w:rPr>
        <w:t xml:space="preserve">In the end Rhoda is silenced when Peter </w:t>
      </w:r>
      <w:r>
        <w:rPr>
          <w:rFonts w:eastAsia="Songti SC" w:cs="Arial Unicode MS" w:ascii="Arial" w:hAnsi="Arial"/>
          <w:color w:val="auto"/>
          <w:kern w:val="2"/>
          <w:sz w:val="22"/>
          <w:szCs w:val="22"/>
          <w:lang w:val="en-GB" w:eastAsia="zh-CN" w:bidi="hi-IN"/>
        </w:rPr>
        <w:t>arrives at</w:t>
      </w:r>
      <w:r>
        <w:rPr>
          <w:rFonts w:ascii="Arial" w:hAnsi="Arial"/>
          <w:sz w:val="22"/>
          <w:szCs w:val="22"/>
        </w:rPr>
        <w:t xml:space="preserve"> the house, and disappears from the text. Lee suggests that this disappearance seems to marginalise Rhoda even more.</w:t>
      </w:r>
      <w:r>
        <w:rPr>
          <w:rStyle w:val="FootnoteAnchor"/>
          <w:rFonts w:ascii="Arial" w:hAnsi="Arial"/>
          <w:sz w:val="22"/>
          <w:szCs w:val="22"/>
        </w:rPr>
        <w:footnoteReference w:id="48"/>
      </w:r>
      <w:r>
        <w:rPr>
          <w:rFonts w:ascii="Arial" w:hAnsi="Arial"/>
          <w:sz w:val="22"/>
          <w:szCs w:val="22"/>
        </w:rPr>
        <w:t xml:space="preserve"> </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 xml:space="preserve">Rhoda and Mary Magdalene are linked by disbelief when they came with good news. Comparisons can be drawn not just between the disbelief their words cause, but </w:t>
      </w:r>
      <w:r>
        <w:rPr>
          <w:rFonts w:eastAsia="Songti SC" w:cs="Arial Unicode MS" w:ascii="Arial" w:hAnsi="Arial"/>
          <w:color w:val="auto"/>
          <w:kern w:val="2"/>
          <w:sz w:val="22"/>
          <w:szCs w:val="22"/>
          <w:lang w:val="en-GB" w:eastAsia="zh-CN" w:bidi="hi-IN"/>
        </w:rPr>
        <w:t>between</w:t>
      </w:r>
      <w:r>
        <w:rPr>
          <w:rFonts w:ascii="Arial" w:hAnsi="Arial"/>
          <w:sz w:val="22"/>
          <w:szCs w:val="22"/>
        </w:rPr>
        <w:t xml:space="preserve"> the whole story of Peter’s escape from prison (Acts 12:1-9), and Jesus’ resurrection (Lk 24:1-12). They both occur during Passover, recalling Israel’s situation before Pharaoh.</w:t>
      </w:r>
      <w:r>
        <w:rPr>
          <w:rStyle w:val="FootnoteAnchor"/>
          <w:rFonts w:ascii="Arial" w:hAnsi="Arial"/>
          <w:sz w:val="22"/>
          <w:szCs w:val="22"/>
        </w:rPr>
        <w:footnoteReference w:id="49"/>
      </w:r>
      <w:r>
        <w:rPr>
          <w:rFonts w:ascii="Arial" w:hAnsi="Arial"/>
          <w:sz w:val="22"/>
          <w:szCs w:val="22"/>
        </w:rPr>
        <w:t xml:space="preserve"> In both stories the disciples are gathered together, but the women’s news is dismissed, both times the women continue to persuade after being told they were mad and finally in both cases the disciples require proof through the appearance of Peter / Jesus before belief, in contrast to the women’s exemplary faith.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Conclusion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Through Luke-Acts there is a strong theme of women in the church serving as disciples. Their commitment to hospitality is acknowledged, and commended, yet often this discipleship is shown by Luke to be done silently, submissively, in accordance with the world that the women lived in. Two prominent of examples where women did speak out were focused on, and despite being met with disbelief showed a faith that marked them as model disciples.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Word Count = 36</w:t>
      </w:r>
      <w:r>
        <w:rPr>
          <w:rFonts w:ascii="Arial" w:hAnsi="Arial"/>
          <w:sz w:val="22"/>
          <w:szCs w:val="22"/>
        </w:rPr>
        <w:t>2</w:t>
      </w:r>
      <w:r>
        <w:rPr>
          <w:rFonts w:ascii="Arial" w:hAnsi="Arial"/>
          <w:sz w:val="22"/>
          <w:szCs w:val="22"/>
        </w:rPr>
        <w:t>0</w:t>
      </w:r>
    </w:p>
    <w:p>
      <w:pPr>
        <w:pStyle w:val="Normal"/>
        <w:rPr>
          <w:rFonts w:ascii="Arial" w:hAnsi="Arial"/>
          <w:sz w:val="22"/>
          <w:szCs w:val="22"/>
        </w:rPr>
      </w:pPr>
      <w:r>
        <w:rPr>
          <w:rFonts w:ascii="Arial" w:hAnsi="Arial"/>
          <w:sz w:val="22"/>
          <w:szCs w:val="22"/>
        </w:rPr>
      </w:r>
    </w:p>
    <w:p>
      <w:pPr>
        <w:pStyle w:val="Footnote"/>
        <w:rPr>
          <w:rFonts w:ascii="Arial" w:hAnsi="Arial"/>
          <w:b/>
          <w:b/>
          <w:bCs/>
          <w:sz w:val="22"/>
          <w:szCs w:val="22"/>
        </w:rPr>
      </w:pPr>
      <w:r>
        <w:rPr>
          <w:rFonts w:ascii="Arial" w:hAnsi="Arial"/>
          <w:b/>
          <w:bCs/>
          <w:sz w:val="22"/>
          <w:szCs w:val="22"/>
        </w:rPr>
      </w:r>
    </w:p>
    <w:p>
      <w:pPr>
        <w:pStyle w:val="Footnote"/>
        <w:rPr>
          <w:rFonts w:ascii="Arial" w:hAnsi="Arial"/>
          <w:b/>
          <w:b/>
          <w:bCs/>
          <w:sz w:val="22"/>
          <w:szCs w:val="22"/>
        </w:rPr>
      </w:pPr>
      <w:r>
        <w:rPr>
          <w:rFonts w:ascii="Arial" w:hAnsi="Arial"/>
          <w:b/>
          <w:bCs/>
          <w:sz w:val="22"/>
          <w:szCs w:val="22"/>
        </w:rPr>
      </w:r>
    </w:p>
    <w:p>
      <w:pPr>
        <w:pStyle w:val="Footnote"/>
        <w:rPr>
          <w:lang w:val="en-US"/>
        </w:rPr>
      </w:pPr>
      <w:r>
        <w:rPr>
          <w:rFonts w:ascii="Arial" w:hAnsi="Arial"/>
          <w:b/>
          <w:bCs/>
          <w:sz w:val="22"/>
          <w:szCs w:val="22"/>
        </w:rPr>
        <w:t xml:space="preserve">Bibliography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Asamoah, Emmanuel Foster., "Was Rhoda Insulted? Re-Reading the Translation of Acts 12: 15 in the Asante-Twi Bible." </w:t>
      </w:r>
      <w:r>
        <w:rPr>
          <w:rFonts w:ascii="Arial" w:hAnsi="Arial"/>
          <w:i/>
          <w:iCs/>
          <w:sz w:val="22"/>
          <w:szCs w:val="22"/>
        </w:rPr>
        <w:t xml:space="preserve">All Nations University Journal of Applied Thought </w:t>
      </w:r>
      <w:r>
        <w:rPr>
          <w:rFonts w:ascii="Arial" w:hAnsi="Arial"/>
          <w:sz w:val="22"/>
          <w:szCs w:val="22"/>
        </w:rPr>
        <w:t>8.1 (2020), 174-185.</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Asikainen, Susanna., "Jesus and Women." in </w:t>
      </w:r>
      <w:r>
        <w:rPr>
          <w:rFonts w:ascii="Arial" w:hAnsi="Arial"/>
          <w:i/>
          <w:color w:val="222222"/>
          <w:sz w:val="22"/>
          <w:szCs w:val="22"/>
        </w:rPr>
        <w:t>Jesus and Other Men</w:t>
      </w:r>
      <w:r>
        <w:rPr>
          <w:rFonts w:ascii="Arial" w:hAnsi="Arial"/>
          <w:color w:val="222222"/>
          <w:sz w:val="22"/>
          <w:szCs w:val="22"/>
        </w:rPr>
        <w:t>. (Brill, 2018), 106-133.</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Bashaw, Jennifer Garcia., "Finding common ground in God’s story: Experiencing Luke 7: 36–50 with the first-century hearers." </w:t>
      </w:r>
      <w:r>
        <w:rPr>
          <w:rFonts w:ascii="Arial" w:hAnsi="Arial"/>
          <w:i/>
          <w:color w:val="222222"/>
          <w:sz w:val="22"/>
          <w:szCs w:val="22"/>
        </w:rPr>
        <w:t xml:space="preserve">Review &amp; Expositor </w:t>
      </w:r>
      <w:r>
        <w:rPr>
          <w:rFonts w:ascii="Arial" w:hAnsi="Arial"/>
          <w:color w:val="222222"/>
          <w:sz w:val="22"/>
          <w:szCs w:val="22"/>
        </w:rPr>
        <w:t>116.2 (2019), 233-239.</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Beavis, Mary Ann., "The Deification of Mary Magdalene." </w:t>
      </w:r>
      <w:r>
        <w:rPr>
          <w:rFonts w:ascii="Arial" w:hAnsi="Arial"/>
          <w:i/>
          <w:color w:val="222222"/>
          <w:sz w:val="22"/>
          <w:szCs w:val="22"/>
        </w:rPr>
        <w:t xml:space="preserve">Feminist theology </w:t>
      </w:r>
      <w:r>
        <w:rPr>
          <w:rFonts w:ascii="Arial" w:hAnsi="Arial"/>
          <w:color w:val="222222"/>
          <w:sz w:val="22"/>
          <w:szCs w:val="22"/>
        </w:rPr>
        <w:t>21.2 (2013), 145-154.</w:t>
      </w:r>
    </w:p>
    <w:p>
      <w:pPr>
        <w:pStyle w:val="Normal"/>
        <w:rPr>
          <w:color w:val="222222"/>
        </w:rPr>
      </w:pPr>
      <w:r>
        <w:rPr>
          <w:color w:val="222222"/>
        </w:rPr>
      </w:r>
    </w:p>
    <w:p>
      <w:pPr>
        <w:pStyle w:val="Normal"/>
        <w:rPr>
          <w:rFonts w:ascii="Arial" w:hAnsi="Arial"/>
          <w:sz w:val="22"/>
          <w:szCs w:val="22"/>
        </w:rPr>
      </w:pPr>
      <w:r>
        <w:rPr>
          <w:rFonts w:ascii="Arial" w:hAnsi="Arial"/>
          <w:color w:val="222222"/>
          <w:sz w:val="22"/>
          <w:szCs w:val="22"/>
        </w:rPr>
        <w:t xml:space="preserve">Carey, Greg., "Luke 7: 1–10." </w:t>
      </w:r>
      <w:r>
        <w:rPr>
          <w:rFonts w:ascii="Arial" w:hAnsi="Arial"/>
          <w:i/>
          <w:color w:val="222222"/>
          <w:sz w:val="22"/>
          <w:szCs w:val="22"/>
        </w:rPr>
        <w:t xml:space="preserve">Interpretation </w:t>
      </w:r>
      <w:r>
        <w:rPr>
          <w:rFonts w:ascii="Arial" w:hAnsi="Arial"/>
          <w:color w:val="222222"/>
          <w:sz w:val="22"/>
          <w:szCs w:val="22"/>
        </w:rPr>
        <w:t>67.2 (2013), 199-201.</w:t>
      </w:r>
    </w:p>
    <w:p>
      <w:pPr>
        <w:pStyle w:val="Normal"/>
        <w:rPr>
          <w:color w:val="222222"/>
        </w:rPr>
      </w:pPr>
      <w:r>
        <w:rPr>
          <w:color w:val="222222"/>
        </w:rPr>
      </w:r>
    </w:p>
    <w:p>
      <w:pPr>
        <w:pStyle w:val="Normal"/>
        <w:rPr>
          <w:rFonts w:ascii="Arial" w:hAnsi="Arial"/>
          <w:sz w:val="22"/>
          <w:szCs w:val="22"/>
        </w:rPr>
      </w:pPr>
      <w:r>
        <w:rPr>
          <w:rFonts w:ascii="Arial" w:hAnsi="Arial"/>
          <w:color w:val="222222"/>
          <w:sz w:val="22"/>
          <w:szCs w:val="22"/>
        </w:rPr>
        <w:t xml:space="preserve">Cosgrove, Charles H., "A woman's unbound hair in the Greco-Roman world, with special reference to the story of the "sinful woman" in Luke 7: 36-50." </w:t>
      </w:r>
      <w:r>
        <w:rPr>
          <w:rFonts w:ascii="Arial" w:hAnsi="Arial"/>
          <w:i/>
          <w:color w:val="222222"/>
          <w:sz w:val="22"/>
          <w:szCs w:val="22"/>
        </w:rPr>
        <w:t xml:space="preserve">Journal of Biblical Literature </w:t>
      </w:r>
      <w:r>
        <w:rPr>
          <w:rFonts w:ascii="Arial" w:hAnsi="Arial"/>
          <w:color w:val="222222"/>
          <w:sz w:val="22"/>
          <w:szCs w:val="22"/>
        </w:rPr>
        <w:t>124.4 (2005), 675-692.</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D'Angelo, Mary Rose., "Women in Luke-Acts: A redactional view." </w:t>
      </w:r>
      <w:r>
        <w:rPr>
          <w:rFonts w:ascii="Arial" w:hAnsi="Arial"/>
          <w:i/>
          <w:color w:val="222222"/>
          <w:sz w:val="22"/>
          <w:szCs w:val="22"/>
        </w:rPr>
        <w:t xml:space="preserve">Journal of Biblical Literature </w:t>
      </w:r>
      <w:r>
        <w:rPr>
          <w:rFonts w:ascii="Arial" w:hAnsi="Arial"/>
          <w:color w:val="222222"/>
          <w:sz w:val="22"/>
          <w:szCs w:val="22"/>
        </w:rPr>
        <w:t>109.3 (1990), 441-461.</w:t>
      </w:r>
    </w:p>
    <w:p>
      <w:pPr>
        <w:pStyle w:val="Normal"/>
        <w:rPr>
          <w:color w:val="222222"/>
        </w:rPr>
      </w:pPr>
      <w:r>
        <w:rPr>
          <w:color w:val="222222"/>
        </w:rPr>
      </w:r>
    </w:p>
    <w:p>
      <w:pPr>
        <w:pStyle w:val="Normal"/>
        <w:rPr>
          <w:rFonts w:ascii="Arial" w:hAnsi="Arial"/>
          <w:sz w:val="22"/>
          <w:szCs w:val="22"/>
        </w:rPr>
      </w:pPr>
      <w:r>
        <w:rPr>
          <w:rFonts w:ascii="Arial" w:hAnsi="Arial"/>
          <w:color w:val="222222"/>
          <w:sz w:val="22"/>
          <w:szCs w:val="22"/>
        </w:rPr>
        <w:t xml:space="preserve">Forbes, Greg W., and Scott D. Harrower., </w:t>
      </w:r>
      <w:r>
        <w:rPr>
          <w:rFonts w:ascii="Arial" w:hAnsi="Arial"/>
          <w:i/>
          <w:color w:val="222222"/>
          <w:sz w:val="22"/>
          <w:szCs w:val="22"/>
        </w:rPr>
        <w:t>Raised from obscurity: A narratival and theological study of the characterization of women in Luke-Acts</w:t>
      </w:r>
      <w:r>
        <w:rPr>
          <w:rFonts w:ascii="Arial" w:hAnsi="Arial"/>
          <w:color w:val="222222"/>
          <w:sz w:val="22"/>
          <w:szCs w:val="22"/>
        </w:rPr>
        <w:t>. (Wipf and Stock Publishers, 2015).</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b w:val="false"/>
          <w:i w:val="false"/>
          <w:caps w:val="false"/>
          <w:smallCaps w:val="false"/>
          <w:color w:val="222222"/>
          <w:spacing w:val="0"/>
          <w:sz w:val="22"/>
          <w:szCs w:val="22"/>
        </w:rPr>
        <w:t xml:space="preserve">Gaventa, Beverly Roberts., </w:t>
      </w:r>
      <w:r>
        <w:rPr>
          <w:rFonts w:ascii="Arial" w:hAnsi="Arial"/>
          <w:b w:val="false"/>
          <w:i/>
          <w:color w:val="222222"/>
          <w:spacing w:val="0"/>
          <w:sz w:val="22"/>
          <w:szCs w:val="22"/>
        </w:rPr>
        <w:t>Abingdon New Testament Commentaries Acts</w:t>
      </w:r>
      <w:r>
        <w:rPr>
          <w:rFonts w:ascii="Arial" w:hAnsi="Arial"/>
          <w:b w:val="false"/>
          <w:i w:val="false"/>
          <w:caps w:val="false"/>
          <w:smallCaps w:val="false"/>
          <w:color w:val="222222"/>
          <w:spacing w:val="0"/>
          <w:sz w:val="22"/>
          <w:szCs w:val="22"/>
        </w:rPr>
        <w:t>. Vol. 5. (Abingdon Press, 2003).</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Harrill, J. Albert., "The dramatic function of the running slave Rhoda (Acts 12.13–16): A piece of Greco-Roman comedy." </w:t>
      </w:r>
      <w:r>
        <w:rPr>
          <w:rFonts w:ascii="Arial" w:hAnsi="Arial"/>
          <w:i/>
          <w:iCs/>
          <w:sz w:val="22"/>
          <w:szCs w:val="22"/>
        </w:rPr>
        <w:t xml:space="preserve">New Testament Studies </w:t>
      </w:r>
      <w:r>
        <w:rPr>
          <w:rFonts w:ascii="Arial" w:hAnsi="Arial"/>
          <w:sz w:val="22"/>
          <w:szCs w:val="22"/>
        </w:rPr>
        <w:t>46.1 (2000), 150-157.</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Harris Jr, O. Morton., "Acts 12: 1–19." </w:t>
      </w:r>
      <w:r>
        <w:rPr>
          <w:rFonts w:ascii="Arial" w:hAnsi="Arial"/>
          <w:i/>
          <w:color w:val="222222"/>
          <w:sz w:val="22"/>
          <w:szCs w:val="22"/>
        </w:rPr>
        <w:t xml:space="preserve">Interpretation </w:t>
      </w:r>
      <w:r>
        <w:rPr>
          <w:rFonts w:ascii="Arial" w:hAnsi="Arial"/>
          <w:color w:val="222222"/>
          <w:sz w:val="22"/>
          <w:szCs w:val="22"/>
        </w:rPr>
        <w:t>72.3 (2018), 323-325.</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Hunter, Archibald MacBride., </w:t>
      </w:r>
      <w:r>
        <w:rPr>
          <w:rFonts w:ascii="Arial" w:hAnsi="Arial"/>
          <w:i/>
          <w:color w:val="222222"/>
          <w:sz w:val="22"/>
          <w:szCs w:val="22"/>
        </w:rPr>
        <w:t>The parables then and now</w:t>
      </w:r>
      <w:r>
        <w:rPr>
          <w:rFonts w:ascii="Arial" w:hAnsi="Arial"/>
          <w:color w:val="222222"/>
          <w:sz w:val="22"/>
          <w:szCs w:val="22"/>
        </w:rPr>
        <w:t>. (Westminster: John Knox Press, 1971).</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Lee, Jesse J., "On Distracting and Disappearing Joy: An Exegetical Comparison of the Ethiopian Eunuch and the Slave-Girl Rhoda in Acts." </w:t>
      </w:r>
      <w:r>
        <w:rPr>
          <w:rFonts w:ascii="Arial" w:hAnsi="Arial"/>
          <w:i/>
          <w:iCs/>
          <w:sz w:val="22"/>
          <w:szCs w:val="22"/>
        </w:rPr>
        <w:t xml:space="preserve">Horizons in biblical theology </w:t>
      </w:r>
      <w:r>
        <w:rPr>
          <w:rFonts w:ascii="Arial" w:hAnsi="Arial"/>
          <w:sz w:val="22"/>
          <w:szCs w:val="22"/>
        </w:rPr>
        <w:t>40.1 (2018), 65-77.</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sz w:val="22"/>
          <w:szCs w:val="22"/>
        </w:rPr>
      </w:pPr>
      <w:r>
        <w:rPr>
          <w:rFonts w:ascii="Arial" w:hAnsi="Arial"/>
          <w:iCs/>
          <w:color w:val="222222"/>
          <w:sz w:val="22"/>
          <w:szCs w:val="22"/>
        </w:rPr>
        <w:t xml:space="preserve">Martin, C. J., “The Acts of the Apostles”, in </w:t>
      </w:r>
      <w:r>
        <w:rPr>
          <w:rFonts w:ascii="Arial" w:hAnsi="Arial"/>
          <w:i/>
          <w:iCs/>
          <w:color w:val="222222"/>
          <w:sz w:val="22"/>
          <w:szCs w:val="22"/>
        </w:rPr>
        <w:t>Searching the Scriptures. Vol. 2: A Feminist Commentary</w:t>
      </w:r>
      <w:r>
        <w:rPr>
          <w:rFonts w:ascii="Arial" w:hAnsi="Arial"/>
          <w:iCs/>
          <w:color w:val="222222"/>
          <w:sz w:val="22"/>
          <w:szCs w:val="22"/>
        </w:rPr>
        <w:t xml:space="preserve">. Edited by Elisabeth Schüssler Fiorenza. (New York: Crossroad, 1994), </w:t>
      </w:r>
      <w:r>
        <w:rPr>
          <w:rFonts w:ascii="Arial" w:hAnsi="Arial"/>
          <w:color w:val="222222"/>
          <w:sz w:val="22"/>
          <w:szCs w:val="22"/>
        </w:rPr>
        <w:t>763-799.</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Matchulat, Sara E., and Walter Bouzard., </w:t>
      </w:r>
      <w:r>
        <w:rPr>
          <w:rFonts w:ascii="Arial" w:hAnsi="Arial"/>
          <w:i/>
          <w:iCs/>
          <w:color w:val="222222"/>
          <w:sz w:val="22"/>
          <w:szCs w:val="22"/>
        </w:rPr>
        <w:t>Anna: Prophetess and Teacher.</w:t>
      </w:r>
      <w:r>
        <w:rPr>
          <w:rFonts w:ascii="Arial" w:hAnsi="Arial"/>
          <w:color w:val="222222"/>
          <w:sz w:val="22"/>
          <w:szCs w:val="22"/>
        </w:rPr>
        <w:t xml:space="preserve"> (Wartburg College, 2006).</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McClure, Jennifer M., "The Structure of Jesus's Social Network: Subgroups, Blockmodeling, and Balance." </w:t>
      </w:r>
      <w:r>
        <w:rPr>
          <w:rFonts w:ascii="Arial" w:hAnsi="Arial"/>
          <w:i/>
          <w:color w:val="222222"/>
          <w:sz w:val="22"/>
          <w:szCs w:val="22"/>
        </w:rPr>
        <w:t xml:space="preserve">Interdisciplinary Journal of Research on Religion </w:t>
      </w:r>
      <w:r>
        <w:rPr>
          <w:rFonts w:ascii="Arial" w:hAnsi="Arial"/>
          <w:color w:val="222222"/>
          <w:sz w:val="22"/>
          <w:szCs w:val="22"/>
        </w:rPr>
        <w:t>14 (2018), 2-38.</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iCs/>
          <w:color w:val="222222"/>
          <w:sz w:val="22"/>
          <w:szCs w:val="22"/>
        </w:rPr>
      </w:pPr>
      <w:r>
        <w:rPr>
          <w:rFonts w:ascii="Arial" w:hAnsi="Arial"/>
          <w:iCs/>
          <w:color w:val="222222"/>
          <w:sz w:val="22"/>
          <w:szCs w:val="22"/>
        </w:rPr>
        <w:t xml:space="preserve">Mouton, Elna, and Batanayi I. Manyika., "When Rhoda opens the door: reimagining ancient households from the perspective of the least for the least." </w:t>
      </w:r>
      <w:r>
        <w:rPr>
          <w:rFonts w:ascii="Arial" w:hAnsi="Arial"/>
          <w:i/>
          <w:iCs/>
          <w:color w:val="222222"/>
          <w:sz w:val="22"/>
          <w:szCs w:val="22"/>
        </w:rPr>
        <w:t>Neotestamentica</w:t>
      </w:r>
      <w:r>
        <w:rPr>
          <w:rFonts w:ascii="Arial" w:hAnsi="Arial"/>
          <w:iCs/>
          <w:color w:val="222222"/>
          <w:sz w:val="22"/>
          <w:szCs w:val="22"/>
        </w:rPr>
        <w:t xml:space="preserve"> 53.2 (2019), 311-337.</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sz w:val="22"/>
          <w:szCs w:val="22"/>
        </w:rPr>
      </w:pPr>
      <w:r>
        <w:rPr>
          <w:rFonts w:ascii="Arial" w:hAnsi="Arial"/>
          <w:iCs/>
          <w:color w:val="222222"/>
          <w:sz w:val="22"/>
          <w:szCs w:val="22"/>
        </w:rPr>
        <w:t xml:space="preserve">O'Collins, Gerald, and Daniel Kendall., "Mary Magdalene as major witness to Jesus' resurrection." </w:t>
      </w:r>
      <w:r>
        <w:rPr>
          <w:rFonts w:ascii="Arial" w:hAnsi="Arial"/>
          <w:i/>
          <w:iCs/>
          <w:color w:val="222222"/>
          <w:sz w:val="22"/>
          <w:szCs w:val="22"/>
        </w:rPr>
        <w:t xml:space="preserve">Theological Studies </w:t>
      </w:r>
      <w:r>
        <w:rPr>
          <w:rFonts w:ascii="Arial" w:hAnsi="Arial"/>
          <w:iCs/>
          <w:color w:val="222222"/>
          <w:sz w:val="22"/>
          <w:szCs w:val="22"/>
        </w:rPr>
        <w:t>48.4 (1987), 631-646.</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color w:val="222222"/>
          <w:sz w:val="22"/>
          <w:szCs w:val="22"/>
        </w:rPr>
      </w:pPr>
      <w:r>
        <w:rPr>
          <w:rFonts w:ascii="Arial" w:hAnsi="Arial"/>
          <w:color w:val="222222"/>
          <w:sz w:val="22"/>
          <w:szCs w:val="22"/>
        </w:rPr>
        <w:t xml:space="preserve">Parvey, Constance F., and Rosemary Radford Ruether. "The theology and leadership of women in the New Testament." </w:t>
      </w:r>
      <w:r>
        <w:rPr>
          <w:rFonts w:ascii="Arial" w:hAnsi="Arial"/>
          <w:i/>
          <w:iCs/>
          <w:color w:val="222222"/>
          <w:sz w:val="22"/>
          <w:szCs w:val="22"/>
        </w:rPr>
        <w:t>Religion and sexism. Images of woman in the Jewish and Christian traditions</w:t>
      </w:r>
      <w:r>
        <w:rPr>
          <w:rFonts w:ascii="Arial" w:hAnsi="Arial"/>
          <w:color w:val="222222"/>
          <w:sz w:val="22"/>
          <w:szCs w:val="22"/>
        </w:rPr>
        <w:t xml:space="preserve"> (1974), 117-149.</w:t>
      </w:r>
    </w:p>
    <w:p>
      <w:pPr>
        <w:pStyle w:val="Normal"/>
        <w:rPr>
          <w:rFonts w:ascii="Arial" w:hAnsi="Arial"/>
          <w:color w:val="222222"/>
          <w:sz w:val="22"/>
          <w:szCs w:val="22"/>
        </w:rPr>
      </w:pPr>
      <w:r>
        <w:rPr>
          <w:rFonts w:ascii="Arial" w:hAnsi="Arial"/>
          <w:color w:val="222222"/>
          <w:sz w:val="22"/>
          <w:szCs w:val="22"/>
        </w:rPr>
      </w:r>
    </w:p>
    <w:p>
      <w:pPr>
        <w:pStyle w:val="TextBody"/>
        <w:rPr>
          <w:sz w:val="22"/>
          <w:szCs w:val="22"/>
        </w:rPr>
      </w:pPr>
      <w:r>
        <w:rPr>
          <w:rFonts w:ascii="Arial;sans-serif" w:hAnsi="Arial;sans-serif"/>
          <w:color w:val="222222"/>
          <w:sz w:val="22"/>
          <w:szCs w:val="22"/>
        </w:rPr>
        <w:t xml:space="preserve">Seim, T. K., </w:t>
      </w:r>
      <w:r>
        <w:rPr>
          <w:rFonts w:ascii="Arial;sans-serif" w:hAnsi="Arial;sans-serif"/>
          <w:i/>
          <w:color w:val="222222"/>
          <w:sz w:val="22"/>
          <w:szCs w:val="22"/>
        </w:rPr>
        <w:t>The Double Message</w:t>
      </w:r>
      <w:r>
        <w:rPr>
          <w:rFonts w:ascii="Arial;sans-serif" w:hAnsi="Arial;sans-serif"/>
          <w:color w:val="222222"/>
          <w:sz w:val="22"/>
          <w:szCs w:val="22"/>
        </w:rPr>
        <w:t>. (A&amp;C Black, 2004).</w:t>
      </w:r>
    </w:p>
    <w:p>
      <w:pPr>
        <w:pStyle w:val="Normal"/>
        <w:rPr>
          <w:rFonts w:ascii="Arial" w:hAnsi="Arial"/>
          <w:color w:val="222222"/>
          <w:sz w:val="22"/>
          <w:szCs w:val="22"/>
        </w:rPr>
      </w:pPr>
      <w:r>
        <w:rPr>
          <w:rFonts w:ascii="Arial" w:hAnsi="Arial"/>
          <w:color w:val="222222"/>
          <w:sz w:val="22"/>
          <w:szCs w:val="22"/>
        </w:rPr>
      </w:r>
    </w:p>
    <w:p>
      <w:pPr>
        <w:pStyle w:val="Normal"/>
        <w:rPr>
          <w:rFonts w:ascii="Arial" w:hAnsi="Arial"/>
          <w:sz w:val="22"/>
          <w:szCs w:val="22"/>
        </w:rPr>
      </w:pPr>
      <w:r>
        <w:rPr>
          <w:rFonts w:ascii="Arial" w:hAnsi="Arial"/>
          <w:iCs/>
          <w:color w:val="222222"/>
          <w:sz w:val="22"/>
          <w:szCs w:val="22"/>
        </w:rPr>
        <w:t xml:space="preserve">Seim, T. K., “The Gospel of Luke”, in </w:t>
      </w:r>
      <w:r>
        <w:rPr>
          <w:rFonts w:ascii="Arial" w:hAnsi="Arial"/>
          <w:i/>
          <w:iCs/>
          <w:color w:val="222222"/>
          <w:sz w:val="22"/>
          <w:szCs w:val="22"/>
        </w:rPr>
        <w:t>Searching the Scriptures. Vol. 2: A Feminist Commentary</w:t>
      </w:r>
      <w:r>
        <w:rPr>
          <w:rFonts w:ascii="Arial" w:hAnsi="Arial"/>
          <w:iCs/>
          <w:color w:val="222222"/>
          <w:sz w:val="22"/>
          <w:szCs w:val="22"/>
        </w:rPr>
        <w:t xml:space="preserve">. Edited by Elisabeth Schüssler Fiorenza. (New York: Crossroad, 1994), </w:t>
      </w:r>
      <w:r>
        <w:rPr>
          <w:rFonts w:ascii="Arial" w:hAnsi="Arial"/>
          <w:color w:val="222222"/>
          <w:sz w:val="22"/>
          <w:szCs w:val="22"/>
        </w:rPr>
        <w:t>728-762.</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Setzer, Claudia., "Excellent women: Female witness to the resurrection." </w:t>
      </w:r>
      <w:r>
        <w:rPr>
          <w:rFonts w:ascii="Arial" w:hAnsi="Arial"/>
          <w:i/>
          <w:color w:val="222222"/>
          <w:sz w:val="22"/>
          <w:szCs w:val="22"/>
        </w:rPr>
        <w:t>Journal of Biblical Literature</w:t>
      </w:r>
      <w:r>
        <w:rPr>
          <w:rFonts w:ascii="Arial" w:hAnsi="Arial"/>
          <w:color w:val="222222"/>
          <w:sz w:val="22"/>
          <w:szCs w:val="22"/>
        </w:rPr>
        <w:t xml:space="preserve"> 116.2 (1997), 259-272.</w:t>
      </w:r>
    </w:p>
    <w:p>
      <w:pPr>
        <w:pStyle w:val="Normal"/>
        <w:rPr>
          <w:rFonts w:ascii="Arial" w:hAnsi="Arial"/>
          <w:color w:val="222222"/>
          <w:sz w:val="22"/>
          <w:szCs w:val="22"/>
        </w:rPr>
      </w:pPr>
      <w:r>
        <w:rPr>
          <w:rFonts w:ascii="Arial" w:hAnsi="Arial"/>
          <w:color w:val="222222"/>
          <w:sz w:val="22"/>
          <w:szCs w:val="22"/>
        </w:rPr>
      </w:r>
    </w:p>
    <w:p>
      <w:pPr>
        <w:pStyle w:val="TextBody"/>
        <w:rPr>
          <w:rFonts w:ascii="Arial" w:hAnsi="Arial"/>
          <w:color w:val="222222"/>
          <w:sz w:val="22"/>
          <w:szCs w:val="22"/>
        </w:rPr>
      </w:pPr>
      <w:r>
        <w:rPr>
          <w:rFonts w:ascii="Arial" w:hAnsi="Arial"/>
          <w:color w:val="222222"/>
          <w:sz w:val="22"/>
          <w:szCs w:val="22"/>
        </w:rPr>
        <w:t xml:space="preserve">Spencer, F. Scott., “Out of Mind, Out of Voice: Slave-Girls and Prophetic Daughters in Luke-Acts. </w:t>
      </w:r>
      <w:r>
        <w:rPr>
          <w:rFonts w:ascii="Arial" w:hAnsi="Arial"/>
          <w:i/>
          <w:color w:val="222222"/>
          <w:sz w:val="22"/>
          <w:szCs w:val="22"/>
        </w:rPr>
        <w:t xml:space="preserve">BibInt </w:t>
      </w:r>
      <w:r>
        <w:rPr>
          <w:rFonts w:ascii="Arial" w:hAnsi="Arial"/>
          <w:color w:val="222222"/>
          <w:sz w:val="22"/>
          <w:szCs w:val="22"/>
        </w:rPr>
        <w:t xml:space="preserve">7, no. 2 (1999), 133-155. </w:t>
      </w:r>
    </w:p>
    <w:p>
      <w:pPr>
        <w:pStyle w:val="Normal"/>
        <w:rPr>
          <w:rFonts w:ascii="Arial" w:hAnsi="Arial"/>
          <w:color w:val="222222"/>
          <w:sz w:val="22"/>
          <w:szCs w:val="22"/>
        </w:rPr>
      </w:pPr>
      <w:r>
        <w:rPr>
          <w:rFonts w:ascii="Arial" w:hAnsi="Arial"/>
          <w:color w:val="222222"/>
          <w:sz w:val="22"/>
          <w:szCs w:val="22"/>
        </w:rPr>
        <w:t>Spencer, Patrick E., "" Mad" Rhoda in Acts 12: 12-17: Disciple Exemplar." The Catholic Biblical Quarterly 79.2 (2017), 282-298.</w:t>
      </w:r>
    </w:p>
    <w:p>
      <w:pPr>
        <w:pStyle w:val="Normal"/>
        <w:rPr>
          <w:rFonts w:ascii="Arial" w:hAnsi="Arial"/>
          <w:color w:val="222222"/>
          <w:sz w:val="22"/>
          <w:szCs w:val="22"/>
        </w:rPr>
      </w:pPr>
      <w:r>
        <w:rPr>
          <w:rFonts w:ascii="Arial" w:hAnsi="Arial"/>
          <w:color w:val="222222"/>
          <w:sz w:val="22"/>
          <w:szCs w:val="22"/>
        </w:rPr>
      </w:r>
    </w:p>
    <w:p>
      <w:pPr>
        <w:pStyle w:val="Normal"/>
        <w:rPr>
          <w:rFonts w:ascii="Arial" w:hAnsi="Arial"/>
          <w:sz w:val="22"/>
          <w:szCs w:val="22"/>
        </w:rPr>
      </w:pPr>
      <w:r>
        <w:rPr>
          <w:rFonts w:ascii="Arial" w:hAnsi="Arial"/>
          <w:color w:val="222222"/>
          <w:sz w:val="22"/>
          <w:szCs w:val="22"/>
        </w:rPr>
        <w:t xml:space="preserve">Witherington, Ben., </w:t>
      </w:r>
      <w:r>
        <w:rPr>
          <w:rFonts w:ascii="Arial" w:hAnsi="Arial"/>
          <w:i/>
          <w:color w:val="222222"/>
          <w:sz w:val="22"/>
          <w:szCs w:val="22"/>
        </w:rPr>
        <w:t>Women in the ministry of Jesus: a study of Jesus' attitudes to women and their roles as reflected in his earthly life</w:t>
      </w:r>
      <w:r>
        <w:rPr>
          <w:rFonts w:ascii="Arial" w:hAnsi="Arial"/>
          <w:color w:val="222222"/>
          <w:sz w:val="22"/>
          <w:szCs w:val="22"/>
        </w:rPr>
        <w:t>. (Cambridge University Press, 1987).</w:t>
      </w:r>
    </w:p>
    <w:p>
      <w:pPr>
        <w:pStyle w:val="Normal"/>
        <w:rPr>
          <w:rFonts w:ascii="Arial" w:hAnsi="Arial" w:eastAsia="DengXian"/>
          <w:sz w:val="22"/>
          <w:szCs w:val="22"/>
        </w:rPr>
      </w:pPr>
      <w:r>
        <w:rPr>
          <w:rFonts w:eastAsia="DengXian"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shd w:fill="FFFFFF" w:val="clear"/>
        </w:rPr>
      </w:pPr>
      <w:r>
        <w:rPr>
          <w:shd w:fill="FFFFFF" w:val="clear"/>
        </w:rPr>
      </w:r>
    </w:p>
    <w:p>
      <w:pPr>
        <w:pStyle w:val="Normal"/>
        <w:rPr>
          <w:rFonts w:ascii="Arial;sans-serif" w:hAnsi="Arial;sans-serif"/>
          <w:color w:val="222222"/>
          <w:sz w:val="15"/>
        </w:rPr>
      </w:pPr>
      <w:r>
        <w:rPr>
          <w:rFonts w:ascii="Arial;sans-serif" w:hAnsi="Arial;sans-serif"/>
          <w:color w:val="222222"/>
          <w:sz w:val="15"/>
        </w:rPr>
      </w:r>
    </w:p>
    <w:p>
      <w:pPr>
        <w:pStyle w:val="Normal"/>
        <w:rPr>
          <w:rFonts w:ascii="Arial;sans-serif" w:hAnsi="Arial;sans-serif"/>
          <w:color w:val="222222"/>
          <w:sz w:val="15"/>
        </w:rPr>
      </w:pPr>
      <w:r>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Liberation Sans">
    <w:altName w:val="Arial"/>
    <w:charset w:val="01"/>
    <w:family w:val="roman"/>
    <w:pitch w:val="variable"/>
  </w:font>
  <w:font w:name="Arial">
    <w:charset w:val="01"/>
    <w:family w:val="roman"/>
    <w:pitch w:val="variable"/>
  </w:font>
  <w:font w:name="GillSansMT">
    <w:charset w:val="01"/>
    <w:family w:val="roman"/>
    <w:pitch w:val="variable"/>
  </w:font>
  <w:font w:name="Arial">
    <w:altName w:val="sans-serif"/>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Normal"/>
        <w:rPr>
          <w:rFonts w:ascii="Arial" w:hAnsi="Arial" w:eastAsia="DengXian" w:cs="Arial"/>
          <w:color w:val="222222"/>
          <w:sz w:val="18"/>
          <w:szCs w:val="18"/>
        </w:rPr>
      </w:pPr>
      <w:r>
        <w:rPr>
          <w:rStyle w:val="FootnoteCharacters"/>
        </w:rPr>
        <w:footnoteRef/>
      </w:r>
      <w:r>
        <w:rPr>
          <w:rFonts w:cs="Arial" w:ascii="Arial" w:hAnsi="Arial"/>
          <w:sz w:val="18"/>
          <w:szCs w:val="18"/>
        </w:rPr>
        <w:t xml:space="preserve"> </w:t>
      </w:r>
      <w:r>
        <w:rPr>
          <w:rFonts w:cs="Arial" w:ascii="Arial" w:hAnsi="Arial"/>
          <w:color w:val="222222"/>
          <w:sz w:val="18"/>
          <w:szCs w:val="18"/>
        </w:rPr>
        <w:t xml:space="preserve">Jennifer M. McClure, "The Structure of Jesus' Social Network: Subgroups, Blockmodeling, and Balance." </w:t>
      </w:r>
      <w:r>
        <w:rPr>
          <w:rFonts w:cs="Arial" w:ascii="Arial" w:hAnsi="Arial"/>
          <w:i/>
          <w:color w:val="222222"/>
          <w:sz w:val="18"/>
          <w:szCs w:val="18"/>
        </w:rPr>
        <w:t xml:space="preserve">Interdisciplinary Journal of Research on Religion </w:t>
      </w:r>
      <w:r>
        <w:rPr>
          <w:rFonts w:cs="Arial" w:ascii="Arial" w:hAnsi="Arial"/>
          <w:color w:val="222222"/>
          <w:sz w:val="18"/>
          <w:szCs w:val="18"/>
        </w:rPr>
        <w:t>14 (2018), p7.</w:t>
      </w:r>
    </w:p>
  </w:footnote>
  <w:footnote w:id="3">
    <w:p>
      <w:pPr>
        <w:pStyle w:val="TextBody"/>
        <w:spacing w:lineRule="auto" w:line="240" w:before="0" w:after="140"/>
        <w:rPr>
          <w:rFonts w:ascii="Arial" w:hAnsi="Arial" w:cs="Arial"/>
          <w:sz w:val="18"/>
          <w:szCs w:val="18"/>
        </w:rPr>
      </w:pPr>
      <w:r>
        <w:rPr>
          <w:rStyle w:val="FootnoteCharacters"/>
        </w:rPr>
        <w:footnoteRef/>
      </w:r>
      <w:r>
        <w:rPr>
          <w:rFonts w:cs="Arial" w:ascii="Arial" w:hAnsi="Arial"/>
          <w:sz w:val="18"/>
          <w:szCs w:val="18"/>
        </w:rPr>
        <w:t xml:space="preserve"> </w:t>
      </w:r>
      <w:r>
        <w:rPr>
          <w:rFonts w:cs="Arial" w:ascii="Arial" w:hAnsi="Arial"/>
          <w:color w:val="222222"/>
          <w:sz w:val="18"/>
          <w:szCs w:val="18"/>
        </w:rPr>
        <w:t xml:space="preserve">T.K. Seim, </w:t>
      </w:r>
      <w:r>
        <w:rPr>
          <w:rFonts w:cs="Arial" w:ascii="Arial" w:hAnsi="Arial"/>
          <w:i/>
          <w:color w:val="222222"/>
          <w:sz w:val="18"/>
          <w:szCs w:val="18"/>
        </w:rPr>
        <w:t>The Double Message</w:t>
      </w:r>
      <w:r>
        <w:rPr>
          <w:rFonts w:cs="Arial" w:ascii="Arial" w:hAnsi="Arial"/>
          <w:color w:val="222222"/>
          <w:sz w:val="18"/>
          <w:szCs w:val="18"/>
        </w:rPr>
        <w:t>. A&amp;C Black, 2004, p249.</w:t>
      </w:r>
    </w:p>
  </w:footnote>
  <w:footnote w:id="4">
    <w:p>
      <w:pPr>
        <w:pStyle w:val="Footnote"/>
        <w:rPr>
          <w:rFonts w:ascii="Arial" w:hAnsi="Arial" w:eastAsia="DengXian"/>
          <w:color w:val="222222"/>
          <w:sz w:val="18"/>
          <w:szCs w:val="18"/>
        </w:rPr>
      </w:pPr>
      <w:r>
        <w:rPr>
          <w:rStyle w:val="FootnoteCharacters"/>
        </w:rPr>
        <w:footnoteRef/>
      </w:r>
      <w:r>
        <w:rPr/>
        <w:t xml:space="preserve"> </w:t>
      </w:r>
      <w:r>
        <w:rPr>
          <w:rFonts w:ascii="Arial" w:hAnsi="Arial"/>
          <w:color w:val="222222"/>
          <w:sz w:val="18"/>
          <w:szCs w:val="18"/>
        </w:rPr>
        <w:t xml:space="preserve">Susanna Asikainen, "Jesus and Women." </w:t>
      </w:r>
      <w:r>
        <w:rPr>
          <w:rFonts w:ascii="Arial" w:hAnsi="Arial"/>
          <w:i/>
          <w:color w:val="222222"/>
          <w:sz w:val="18"/>
          <w:szCs w:val="18"/>
        </w:rPr>
        <w:t>Jesus and Other Men</w:t>
      </w:r>
      <w:r>
        <w:rPr>
          <w:rFonts w:ascii="Arial" w:hAnsi="Arial"/>
          <w:color w:val="222222"/>
          <w:sz w:val="18"/>
          <w:szCs w:val="18"/>
        </w:rPr>
        <w:t>. Brill, 2018.: p130.</w:t>
      </w:r>
    </w:p>
  </w:footnote>
  <w:footnote w:id="5">
    <w:p>
      <w:pPr>
        <w:pStyle w:val="Normal"/>
        <w:rPr>
          <w:rFonts w:ascii="Arial" w:hAnsi="Arial" w:eastAsia="DengXian" w:cs="Arial"/>
          <w:color w:val="222222"/>
          <w:sz w:val="18"/>
          <w:szCs w:val="18"/>
        </w:rPr>
      </w:pPr>
      <w:r>
        <w:rPr>
          <w:rStyle w:val="FootnoteCharacters"/>
        </w:rPr>
        <w:footnoteRef/>
      </w:r>
      <w:r>
        <w:rPr>
          <w:rFonts w:cs="Arial" w:ascii="Arial" w:hAnsi="Arial"/>
          <w:sz w:val="18"/>
          <w:szCs w:val="18"/>
        </w:rPr>
        <w:t xml:space="preserve"> </w:t>
      </w:r>
      <w:r>
        <w:rPr>
          <w:rFonts w:cs="Arial" w:ascii="Arial" w:hAnsi="Arial"/>
          <w:iCs/>
          <w:color w:val="222222"/>
          <w:sz w:val="18"/>
          <w:szCs w:val="18"/>
        </w:rPr>
        <w:t xml:space="preserve">T.K. Seim, ‘The Gospel of Luke’, in </w:t>
      </w:r>
      <w:r>
        <w:rPr>
          <w:rFonts w:cs="Arial" w:ascii="Arial" w:hAnsi="Arial"/>
          <w:i/>
          <w:iCs/>
          <w:color w:val="222222"/>
          <w:sz w:val="18"/>
          <w:szCs w:val="18"/>
        </w:rPr>
        <w:t>Searching the Scriptures. Vol. 2: A Feminist Commentary</w:t>
      </w:r>
      <w:r>
        <w:rPr>
          <w:rFonts w:cs="Arial" w:ascii="Arial" w:hAnsi="Arial"/>
          <w:iCs/>
          <w:color w:val="222222"/>
          <w:sz w:val="18"/>
          <w:szCs w:val="18"/>
        </w:rPr>
        <w:t>. Edited by Elisabeth Schüssler Fiorenza. (New York: Crossroad, 1994), p</w:t>
      </w:r>
      <w:r>
        <w:rPr>
          <w:rFonts w:cs="Arial" w:ascii="Arial" w:hAnsi="Arial"/>
          <w:color w:val="222222"/>
          <w:sz w:val="18"/>
          <w:szCs w:val="18"/>
        </w:rPr>
        <w:t>728.</w:t>
      </w:r>
    </w:p>
  </w:footnote>
  <w:footnote w:id="6">
    <w:p>
      <w:pPr>
        <w:pStyle w:val="Normal"/>
        <w:rPr>
          <w:rFonts w:ascii="Arial" w:hAnsi="Arial" w:eastAsia="DengXian" w:cs="Arial"/>
          <w:color w:val="222222"/>
          <w:sz w:val="18"/>
          <w:szCs w:val="18"/>
        </w:rPr>
      </w:pPr>
      <w:r>
        <w:rPr>
          <w:rStyle w:val="FootnoteCharacters"/>
        </w:rPr>
        <w:footnoteRef/>
      </w:r>
      <w:r>
        <w:rPr>
          <w:rFonts w:cs="Arial" w:ascii="Arial" w:hAnsi="Arial"/>
          <w:sz w:val="18"/>
          <w:szCs w:val="18"/>
        </w:rPr>
        <w:t xml:space="preserve"> </w:t>
      </w:r>
      <w:r>
        <w:rPr>
          <w:rFonts w:cs="Arial" w:ascii="Arial" w:hAnsi="Arial"/>
          <w:color w:val="222222"/>
          <w:sz w:val="18"/>
          <w:szCs w:val="18"/>
        </w:rPr>
        <w:t xml:space="preserve">Ben Witherington, </w:t>
      </w:r>
      <w:r>
        <w:rPr>
          <w:rFonts w:cs="Arial" w:ascii="Arial" w:hAnsi="Arial"/>
          <w:i/>
          <w:color w:val="222222"/>
          <w:sz w:val="18"/>
          <w:szCs w:val="18"/>
        </w:rPr>
        <w:t>Women in the ministry of Jesus: a study of Jesus' attitudes to women and their roles as reflected in his earthly life</w:t>
      </w:r>
      <w:r>
        <w:rPr>
          <w:rFonts w:cs="Arial" w:ascii="Arial" w:hAnsi="Arial"/>
          <w:color w:val="222222"/>
          <w:sz w:val="18"/>
          <w:szCs w:val="18"/>
        </w:rPr>
        <w:t>. (Cambridge University Press, 1987), p18.</w:t>
      </w:r>
    </w:p>
  </w:footnote>
  <w:footnote w:id="7">
    <w:p>
      <w:pPr>
        <w:pStyle w:val="Footnote"/>
        <w:rPr/>
      </w:pPr>
      <w:r>
        <w:rPr>
          <w:rStyle w:val="FootnoteCharacters"/>
        </w:rPr>
        <w:footnoteRef/>
      </w:r>
      <w:r>
        <w:rPr/>
        <w:t xml:space="preserve"> </w:t>
      </w:r>
      <w:r>
        <w:rPr>
          <w:rFonts w:cs="Arial" w:ascii="Arial" w:hAnsi="Arial"/>
          <w:color w:val="222222"/>
          <w:sz w:val="18"/>
          <w:szCs w:val="18"/>
        </w:rPr>
        <w:t xml:space="preserve">Constance F. Parvey, and Rosemary Radford Ruether, "The theology and leadership of women in the New Testament." </w:t>
      </w:r>
      <w:r>
        <w:rPr>
          <w:rFonts w:cs="Arial" w:ascii="Arial" w:hAnsi="Arial"/>
          <w:i/>
          <w:iCs/>
          <w:color w:val="222222"/>
          <w:sz w:val="18"/>
          <w:szCs w:val="18"/>
        </w:rPr>
        <w:t>Religion and sexism. Images of woman in the Jewish and Christian traditions</w:t>
      </w:r>
      <w:r>
        <w:rPr>
          <w:rFonts w:cs="Arial" w:ascii="Arial" w:hAnsi="Arial"/>
          <w:color w:val="222222"/>
          <w:sz w:val="18"/>
          <w:szCs w:val="18"/>
        </w:rPr>
        <w:t xml:space="preserve"> (1974), p117-149.</w:t>
      </w:r>
    </w:p>
  </w:footnote>
  <w:footnote w:id="8">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Mary Rose D'Angelo, "Women in Luke-Acts: A redactional view." </w:t>
      </w:r>
      <w:r>
        <w:rPr>
          <w:rFonts w:cs="Arial" w:ascii="Arial" w:hAnsi="Arial"/>
          <w:i/>
          <w:color w:val="222222"/>
          <w:sz w:val="18"/>
          <w:szCs w:val="18"/>
        </w:rPr>
        <w:t xml:space="preserve">Journal of Biblical Literature </w:t>
      </w:r>
      <w:r>
        <w:rPr>
          <w:rFonts w:cs="Arial" w:ascii="Arial" w:hAnsi="Arial"/>
          <w:color w:val="222222"/>
          <w:sz w:val="18"/>
          <w:szCs w:val="18"/>
        </w:rPr>
        <w:t>109.3 (1990), p443.</w:t>
      </w:r>
    </w:p>
  </w:footnote>
  <w:footnote w:id="9">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D'Angelo, "Women in Luke-Acts: A redactional view”, p444.</w:t>
      </w:r>
    </w:p>
  </w:footnote>
  <w:footnote w:id="10">
    <w:p>
      <w:pPr>
        <w:pStyle w:val="Footnote"/>
        <w:rPr/>
      </w:pPr>
      <w:r>
        <w:rPr>
          <w:rStyle w:val="FootnoteCharacters"/>
        </w:rPr>
        <w:footnoteRef/>
      </w:r>
      <w:r>
        <w:rPr/>
        <w:t xml:space="preserve"> </w:t>
      </w:r>
      <w:r>
        <w:rPr>
          <w:rFonts w:cs="Arial" w:ascii="Arial" w:hAnsi="Arial"/>
          <w:color w:val="222222"/>
          <w:sz w:val="18"/>
          <w:szCs w:val="18"/>
        </w:rPr>
        <w:t xml:space="preserve">F. Scott Spencer, “Out of Mind, Out of Voice: Slave-Girls and Prophetic Daughters in Luke-Acts.” </w:t>
      </w:r>
      <w:r>
        <w:rPr>
          <w:rFonts w:cs="Arial" w:ascii="Arial" w:hAnsi="Arial"/>
          <w:i/>
          <w:color w:val="222222"/>
          <w:sz w:val="18"/>
          <w:szCs w:val="18"/>
        </w:rPr>
        <w:t xml:space="preserve">BibInt </w:t>
      </w:r>
      <w:r>
        <w:rPr>
          <w:rFonts w:cs="Arial" w:ascii="Arial" w:hAnsi="Arial"/>
          <w:color w:val="222222"/>
          <w:sz w:val="18"/>
          <w:szCs w:val="18"/>
        </w:rPr>
        <w:t>7, no. 2 (April 1999), p135.</w:t>
      </w:r>
    </w:p>
  </w:footnote>
  <w:footnote w:id="11">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Sara E Matchulat, and Walter Bouzard. "Anna: Prophetess and Teacher." (Wartburg College, 2006), p3.</w:t>
      </w:r>
    </w:p>
  </w:footnote>
  <w:footnote w:id="12">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Archibald MacBride Hunter, </w:t>
      </w:r>
      <w:r>
        <w:rPr>
          <w:rFonts w:cs="Arial" w:ascii="Arial" w:hAnsi="Arial"/>
          <w:i/>
          <w:color w:val="222222"/>
          <w:sz w:val="18"/>
          <w:szCs w:val="18"/>
        </w:rPr>
        <w:t>The parables then and now</w:t>
      </w:r>
      <w:r>
        <w:rPr>
          <w:rFonts w:cs="Arial" w:ascii="Arial" w:hAnsi="Arial"/>
          <w:color w:val="222222"/>
          <w:sz w:val="18"/>
          <w:szCs w:val="18"/>
        </w:rPr>
        <w:t>. (Westminster: John Knox Press, 1971), p56.</w:t>
      </w:r>
    </w:p>
  </w:footnote>
  <w:footnote w:id="13">
    <w:p>
      <w:pPr>
        <w:pStyle w:val="Footnote"/>
        <w:rPr>
          <w:lang w:val="en-US"/>
        </w:rPr>
      </w:pPr>
      <w:r>
        <w:rPr>
          <w:rStyle w:val="FootnoteCharacters"/>
        </w:rPr>
        <w:footnoteRef/>
      </w:r>
      <w:r>
        <w:rPr/>
        <w:t xml:space="preserve"> </w:t>
      </w:r>
      <w:r>
        <w:rPr>
          <w:rFonts w:cs="Arial" w:ascii="Arial" w:hAnsi="Arial"/>
          <w:color w:val="222222"/>
          <w:sz w:val="18"/>
          <w:szCs w:val="18"/>
        </w:rPr>
        <w:t>Spencer, “Out of Mind, Out of Voice: Slave-Girls and Prophetic Daughters in Luke-Acts.”, p139.</w:t>
      </w:r>
    </w:p>
  </w:footnote>
  <w:footnote w:id="14">
    <w:p>
      <w:pPr>
        <w:pStyle w:val="Footnote"/>
        <w:rPr/>
      </w:pPr>
      <w:r>
        <w:rPr>
          <w:rStyle w:val="FootnoteCharacters"/>
        </w:rPr>
        <w:footnoteRef/>
      </w:r>
      <w:r>
        <w:rPr/>
        <w:t xml:space="preserve"> </w:t>
      </w:r>
      <w:r>
        <w:rPr>
          <w:rFonts w:cs="Arial" w:ascii="Arial" w:hAnsi="Arial"/>
          <w:color w:val="222222"/>
          <w:sz w:val="18"/>
          <w:szCs w:val="18"/>
        </w:rPr>
        <w:t>D'Angelo, "Women in Luke-Acts: A redactional view”, p452.</w:t>
      </w:r>
    </w:p>
  </w:footnote>
  <w:footnote w:id="15">
    <w:p>
      <w:pPr>
        <w:pStyle w:val="Normal"/>
        <w:rPr>
          <w:sz w:val="18"/>
          <w:szCs w:val="18"/>
        </w:rPr>
      </w:pPr>
      <w:r>
        <w:rPr>
          <w:rStyle w:val="FootnoteCharacters"/>
        </w:rPr>
        <w:footnoteRef/>
      </w:r>
      <w:r>
        <w:rPr/>
        <w:t xml:space="preserve"> </w:t>
      </w:r>
      <w:r>
        <w:rPr>
          <w:rFonts w:cs="Arial" w:ascii="Arial" w:hAnsi="Arial"/>
          <w:iCs/>
          <w:color w:val="222222"/>
          <w:sz w:val="18"/>
          <w:szCs w:val="18"/>
        </w:rPr>
        <w:t>Seim, ‘The Gospel of Luke’, p</w:t>
      </w:r>
      <w:r>
        <w:rPr>
          <w:rFonts w:cs="Arial" w:ascii="Arial" w:hAnsi="Arial"/>
          <w:color w:val="222222"/>
          <w:sz w:val="18"/>
          <w:szCs w:val="18"/>
        </w:rPr>
        <w:t>728.</w:t>
      </w:r>
    </w:p>
  </w:footnote>
  <w:footnote w:id="16">
    <w:p>
      <w:pPr>
        <w:pStyle w:val="Footnote"/>
        <w:rPr/>
      </w:pPr>
      <w:r>
        <w:rPr>
          <w:rStyle w:val="FootnoteCharacters"/>
        </w:rPr>
        <w:footnoteRef/>
      </w:r>
      <w:r>
        <w:rPr/>
        <w:t xml:space="preserve"> </w:t>
      </w:r>
      <w:r>
        <w:rPr>
          <w:rFonts w:cs="Arial" w:ascii="Arial" w:hAnsi="Arial"/>
          <w:color w:val="222222"/>
          <w:sz w:val="18"/>
          <w:szCs w:val="18"/>
        </w:rPr>
        <w:t>Asikainen, “Jesus and Women.", p107.</w:t>
      </w:r>
      <w:r>
        <w:rPr/>
        <w:t xml:space="preserve"> </w:t>
      </w:r>
    </w:p>
  </w:footnote>
  <w:footnote w:id="17">
    <w:p>
      <w:pPr>
        <w:pStyle w:val="Footnote"/>
        <w:rPr/>
      </w:pPr>
      <w:r>
        <w:rPr>
          <w:rStyle w:val="FootnoteCharacters"/>
        </w:rPr>
        <w:footnoteRef/>
      </w:r>
      <w:r>
        <w:rPr/>
        <w:t xml:space="preserve"> </w:t>
      </w:r>
      <w:r>
        <w:rPr>
          <w:rFonts w:cs="Arial" w:ascii="Arial" w:hAnsi="Arial"/>
          <w:color w:val="222222"/>
          <w:sz w:val="18"/>
          <w:szCs w:val="18"/>
        </w:rPr>
        <w:t xml:space="preserve">Asikainen, “Jesus and Women.", p121. </w:t>
      </w:r>
    </w:p>
  </w:footnote>
  <w:footnote w:id="18">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Jennifer Garcia Bashaw, "Finding common ground in God’s story: Experiencing Luke 7: 36–50 with the first-century hearers." </w:t>
      </w:r>
      <w:r>
        <w:rPr>
          <w:rFonts w:cs="Arial" w:ascii="Arial" w:hAnsi="Arial"/>
          <w:i/>
          <w:color w:val="222222"/>
          <w:sz w:val="18"/>
          <w:szCs w:val="18"/>
        </w:rPr>
        <w:t xml:space="preserve">Review &amp; Expositor </w:t>
      </w:r>
      <w:r>
        <w:rPr>
          <w:rFonts w:cs="Arial" w:ascii="Arial" w:hAnsi="Arial"/>
          <w:color w:val="222222"/>
          <w:sz w:val="18"/>
          <w:szCs w:val="18"/>
        </w:rPr>
        <w:t>116.2 (2019):,p237.</w:t>
      </w:r>
    </w:p>
  </w:footnote>
  <w:footnote w:id="19">
    <w:p>
      <w:pPr>
        <w:pStyle w:val="Footnote"/>
        <w:rPr/>
      </w:pPr>
      <w:r>
        <w:rPr>
          <w:rStyle w:val="FootnoteCharacters"/>
        </w:rPr>
        <w:footnoteRef/>
      </w:r>
      <w:r>
        <w:rPr/>
        <w:t xml:space="preserve"> </w:t>
      </w:r>
      <w:r>
        <w:rPr>
          <w:rFonts w:cs="Arial" w:ascii="Arial" w:hAnsi="Arial"/>
          <w:iCs/>
          <w:color w:val="222222"/>
          <w:sz w:val="18"/>
          <w:szCs w:val="18"/>
        </w:rPr>
        <w:t>Seim, ‘The Gospel of Luke’, p</w:t>
      </w:r>
      <w:r>
        <w:rPr>
          <w:rFonts w:cs="Arial" w:ascii="Arial" w:hAnsi="Arial"/>
          <w:color w:val="222222"/>
          <w:sz w:val="18"/>
          <w:szCs w:val="18"/>
        </w:rPr>
        <w:t>744.</w:t>
      </w:r>
    </w:p>
  </w:footnote>
  <w:footnote w:id="20">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Charles H. Cosgrove, "A woman's unbound hair in the Greco-Roman world, with special reference to the story of the" sinful woman" in Luke 7: 36-50." </w:t>
      </w:r>
      <w:r>
        <w:rPr>
          <w:rFonts w:cs="Arial" w:ascii="Arial" w:hAnsi="Arial"/>
          <w:i/>
          <w:color w:val="222222"/>
          <w:sz w:val="18"/>
          <w:szCs w:val="18"/>
        </w:rPr>
        <w:t xml:space="preserve">Journal of Biblical Literature </w:t>
      </w:r>
      <w:r>
        <w:rPr>
          <w:rFonts w:cs="Arial" w:ascii="Arial" w:hAnsi="Arial"/>
          <w:color w:val="222222"/>
          <w:sz w:val="18"/>
          <w:szCs w:val="18"/>
        </w:rPr>
        <w:t>124.4 (2005), p691.</w:t>
      </w:r>
    </w:p>
  </w:footnote>
  <w:footnote w:id="21">
    <w:p>
      <w:pPr>
        <w:pStyle w:val="Footnote"/>
        <w:rPr/>
      </w:pPr>
      <w:r>
        <w:rPr>
          <w:rStyle w:val="FootnoteCharacters"/>
        </w:rPr>
        <w:footnoteRef/>
      </w:r>
      <w:r>
        <w:rPr/>
        <w:t xml:space="preserve"> </w:t>
      </w:r>
      <w:r>
        <w:rPr>
          <w:rFonts w:cs="Arial" w:ascii="Arial" w:hAnsi="Arial"/>
          <w:color w:val="222222"/>
          <w:sz w:val="18"/>
          <w:szCs w:val="18"/>
        </w:rPr>
        <w:t xml:space="preserve">Witherington, </w:t>
      </w:r>
      <w:r>
        <w:rPr>
          <w:rFonts w:cs="Arial" w:ascii="Arial" w:hAnsi="Arial"/>
          <w:i/>
          <w:color w:val="222222"/>
          <w:sz w:val="18"/>
          <w:szCs w:val="18"/>
        </w:rPr>
        <w:t xml:space="preserve">Women in the ministry of Jesus, </w:t>
      </w:r>
      <w:r>
        <w:rPr>
          <w:rFonts w:cs="Arial" w:ascii="Arial" w:hAnsi="Arial"/>
          <w:color w:val="222222"/>
          <w:sz w:val="18"/>
          <w:szCs w:val="18"/>
        </w:rPr>
        <w:t>p57.</w:t>
      </w:r>
    </w:p>
  </w:footnote>
  <w:footnote w:id="22">
    <w:p>
      <w:pPr>
        <w:pStyle w:val="Footnote"/>
        <w:rPr/>
      </w:pPr>
      <w:r>
        <w:rPr>
          <w:rStyle w:val="FootnoteCharacters"/>
        </w:rPr>
        <w:footnoteRef/>
      </w:r>
      <w:r>
        <w:rPr/>
        <w:t xml:space="preserve"> </w:t>
      </w:r>
      <w:r>
        <w:rPr>
          <w:rFonts w:cs="Arial" w:ascii="Arial" w:hAnsi="Arial"/>
          <w:iCs/>
          <w:color w:val="222222"/>
          <w:sz w:val="18"/>
          <w:szCs w:val="18"/>
        </w:rPr>
        <w:t xml:space="preserve">Gerald O'Collins, and Daniel Kendall. "Mary Magdalene as major witness to Jesus' resurrection." </w:t>
      </w:r>
      <w:r>
        <w:rPr>
          <w:rFonts w:cs="Arial" w:ascii="Arial" w:hAnsi="Arial"/>
          <w:i/>
          <w:iCs/>
          <w:color w:val="222222"/>
          <w:sz w:val="18"/>
          <w:szCs w:val="18"/>
        </w:rPr>
        <w:t xml:space="preserve">Theological Studies </w:t>
      </w:r>
      <w:r>
        <w:rPr>
          <w:rFonts w:cs="Arial" w:ascii="Arial" w:hAnsi="Arial"/>
          <w:iCs/>
          <w:color w:val="222222"/>
          <w:sz w:val="18"/>
          <w:szCs w:val="18"/>
        </w:rPr>
        <w:t>48.4 (1987), p646.</w:t>
      </w:r>
    </w:p>
  </w:footnote>
  <w:footnote w:id="23">
    <w:p>
      <w:pPr>
        <w:pStyle w:val="Footnote"/>
        <w:rPr>
          <w:lang w:val="en-US"/>
        </w:rPr>
      </w:pPr>
      <w:r>
        <w:rPr>
          <w:rStyle w:val="FootnoteCharacters"/>
        </w:rPr>
        <w:footnoteRef/>
      </w:r>
      <w:r>
        <w:rPr/>
        <w:t xml:space="preserve"> </w:t>
      </w:r>
      <w:r>
        <w:rPr>
          <w:rFonts w:cs="Arial" w:ascii="Arial" w:hAnsi="Arial"/>
          <w:color w:val="222222"/>
          <w:sz w:val="18"/>
          <w:szCs w:val="18"/>
        </w:rPr>
        <w:t xml:space="preserve">Mary Ann Beavis, "The Deification of Mary Magdalene." </w:t>
      </w:r>
      <w:r>
        <w:rPr>
          <w:rFonts w:cs="Arial" w:ascii="Arial" w:hAnsi="Arial"/>
          <w:i/>
          <w:color w:val="222222"/>
          <w:sz w:val="18"/>
          <w:szCs w:val="18"/>
        </w:rPr>
        <w:t xml:space="preserve">Feminist theology </w:t>
      </w:r>
      <w:r>
        <w:rPr>
          <w:rFonts w:cs="Arial" w:ascii="Arial" w:hAnsi="Arial"/>
          <w:color w:val="222222"/>
          <w:sz w:val="18"/>
          <w:szCs w:val="18"/>
        </w:rPr>
        <w:t>21.2 (2013), p151.</w:t>
      </w:r>
    </w:p>
  </w:footnote>
  <w:footnote w:id="24">
    <w:p>
      <w:pPr>
        <w:pStyle w:val="Footnote"/>
        <w:rPr>
          <w:lang w:val="en-US"/>
        </w:rPr>
      </w:pPr>
      <w:r>
        <w:rPr>
          <w:rStyle w:val="FootnoteCharacters"/>
        </w:rPr>
        <w:footnoteRef/>
      </w:r>
      <w:r>
        <w:rPr/>
        <w:t xml:space="preserve"> </w:t>
      </w:r>
      <w:r>
        <w:rPr>
          <w:rFonts w:cs="Arial" w:ascii="Arial" w:hAnsi="Arial"/>
          <w:iCs/>
          <w:color w:val="222222"/>
          <w:sz w:val="18"/>
          <w:szCs w:val="18"/>
        </w:rPr>
        <w:t>O'Collins and Kendall, "Mary Magdalene as major witness to Jesus' resurrection.", p632.</w:t>
      </w:r>
    </w:p>
  </w:footnote>
  <w:footnote w:id="25">
    <w:p>
      <w:pPr>
        <w:pStyle w:val="Footnote"/>
        <w:rPr/>
      </w:pPr>
      <w:r>
        <w:rPr>
          <w:rStyle w:val="FootnoteCharacters"/>
        </w:rPr>
        <w:footnoteRef/>
      </w:r>
      <w:r>
        <w:rPr/>
        <w:t xml:space="preserve"> </w:t>
      </w:r>
      <w:r>
        <w:rPr>
          <w:rFonts w:cs="Arial" w:ascii="Arial" w:hAnsi="Arial"/>
          <w:iCs/>
          <w:color w:val="222222"/>
          <w:sz w:val="18"/>
          <w:szCs w:val="18"/>
        </w:rPr>
        <w:t>Beavis, "The Deification of Mary Magdalene, p151.</w:t>
      </w:r>
    </w:p>
  </w:footnote>
  <w:footnote w:id="26">
    <w:p>
      <w:pPr>
        <w:pStyle w:val="Normal"/>
        <w:rPr>
          <w:sz w:val="18"/>
          <w:szCs w:val="18"/>
        </w:rPr>
      </w:pPr>
      <w:r>
        <w:rPr>
          <w:rStyle w:val="FootnoteCharacters"/>
        </w:rPr>
        <w:footnoteRef/>
      </w:r>
      <w:r>
        <w:rPr>
          <w:rFonts w:cs="Arial" w:ascii="Arial" w:hAnsi="Arial"/>
          <w:iCs/>
          <w:color w:val="222222"/>
          <w:sz w:val="18"/>
          <w:szCs w:val="18"/>
        </w:rPr>
        <w:t xml:space="preserve"> </w:t>
      </w:r>
      <w:r>
        <w:rPr>
          <w:rFonts w:cs="Arial" w:ascii="Arial" w:hAnsi="Arial"/>
          <w:iCs/>
          <w:color w:val="222222"/>
          <w:sz w:val="18"/>
          <w:szCs w:val="18"/>
        </w:rPr>
        <w:t xml:space="preserve">Witherington, </w:t>
      </w:r>
      <w:r>
        <w:rPr>
          <w:rFonts w:cs="Arial" w:ascii="Arial" w:hAnsi="Arial"/>
          <w:i/>
          <w:iCs/>
          <w:color w:val="222222"/>
          <w:sz w:val="18"/>
          <w:szCs w:val="18"/>
        </w:rPr>
        <w:t xml:space="preserve">Women in the ministry of Jesus, </w:t>
      </w:r>
      <w:r>
        <w:rPr>
          <w:rFonts w:cs="Arial" w:ascii="Arial" w:hAnsi="Arial"/>
          <w:iCs/>
          <w:color w:val="222222"/>
          <w:sz w:val="18"/>
          <w:szCs w:val="18"/>
        </w:rPr>
        <w:t>p126.</w:t>
      </w:r>
    </w:p>
  </w:footnote>
  <w:footnote w:id="27">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Witherington, </w:t>
      </w:r>
      <w:r>
        <w:rPr>
          <w:rFonts w:cs="Arial" w:ascii="Arial" w:hAnsi="Arial"/>
          <w:i/>
          <w:color w:val="222222"/>
          <w:sz w:val="18"/>
          <w:szCs w:val="18"/>
        </w:rPr>
        <w:t xml:space="preserve">Women in the ministry of Jesus, </w:t>
      </w:r>
      <w:r>
        <w:rPr>
          <w:rFonts w:cs="Arial" w:ascii="Arial" w:hAnsi="Arial"/>
          <w:color w:val="222222"/>
          <w:sz w:val="18"/>
          <w:szCs w:val="18"/>
        </w:rPr>
        <w:t>p118.</w:t>
      </w:r>
    </w:p>
  </w:footnote>
  <w:footnote w:id="28">
    <w:p>
      <w:pPr>
        <w:pStyle w:val="Footnote"/>
        <w:rPr/>
      </w:pPr>
      <w:r>
        <w:rPr>
          <w:rStyle w:val="FootnoteCharacters"/>
        </w:rPr>
        <w:footnoteRef/>
      </w:r>
      <w:r>
        <w:rPr/>
        <w:t xml:space="preserve"> </w:t>
      </w:r>
      <w:r>
        <w:rPr>
          <w:rFonts w:cs="Arial" w:ascii="Arial" w:hAnsi="Arial"/>
          <w:color w:val="222222"/>
          <w:sz w:val="18"/>
          <w:szCs w:val="18"/>
        </w:rPr>
        <w:t xml:space="preserve">Claudia Setzer, "Excellent women: Female witness to the resurrection." </w:t>
      </w:r>
      <w:r>
        <w:rPr>
          <w:rFonts w:cs="Arial" w:ascii="Arial" w:hAnsi="Arial"/>
          <w:i/>
          <w:color w:val="222222"/>
          <w:sz w:val="18"/>
          <w:szCs w:val="18"/>
        </w:rPr>
        <w:t>Journal of Biblical Literature</w:t>
      </w:r>
      <w:r>
        <w:rPr>
          <w:rFonts w:cs="Arial" w:ascii="Arial" w:hAnsi="Arial"/>
          <w:color w:val="222222"/>
          <w:sz w:val="18"/>
          <w:szCs w:val="18"/>
        </w:rPr>
        <w:t xml:space="preserve"> 116.2 (1997), p261.</w:t>
      </w:r>
    </w:p>
  </w:footnote>
  <w:footnote w:id="29">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Greg W. Forbes, and Scott D. Harrower. </w:t>
      </w:r>
      <w:r>
        <w:rPr>
          <w:rFonts w:cs="Arial" w:ascii="Arial" w:hAnsi="Arial"/>
          <w:i/>
          <w:color w:val="222222"/>
          <w:sz w:val="18"/>
          <w:szCs w:val="18"/>
        </w:rPr>
        <w:t>Raised from obscurity: A narratival and theological study of the characterization of women in Luke-Acts</w:t>
      </w:r>
      <w:r>
        <w:rPr>
          <w:rFonts w:cs="Arial" w:ascii="Arial" w:hAnsi="Arial"/>
          <w:color w:val="222222"/>
          <w:sz w:val="18"/>
          <w:szCs w:val="18"/>
        </w:rPr>
        <w:t>. Wipf and Stock Publishers, 2015: p129.</w:t>
      </w:r>
    </w:p>
  </w:footnote>
  <w:footnote w:id="30">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Witherington, </w:t>
      </w:r>
      <w:r>
        <w:rPr>
          <w:rFonts w:cs="Arial" w:ascii="Arial" w:hAnsi="Arial"/>
          <w:i/>
          <w:color w:val="222222"/>
          <w:sz w:val="18"/>
          <w:szCs w:val="18"/>
        </w:rPr>
        <w:t xml:space="preserve">Women in the ministry of Jesus, </w:t>
      </w:r>
      <w:r>
        <w:rPr>
          <w:rFonts w:cs="Arial" w:ascii="Arial" w:hAnsi="Arial"/>
          <w:color w:val="222222"/>
          <w:sz w:val="18"/>
          <w:szCs w:val="18"/>
        </w:rPr>
        <w:t>p9.</w:t>
      </w:r>
    </w:p>
  </w:footnote>
  <w:footnote w:id="31">
    <w:p>
      <w:pPr>
        <w:pStyle w:val="Normal"/>
        <w:rPr>
          <w:sz w:val="18"/>
          <w:szCs w:val="18"/>
        </w:rPr>
      </w:pPr>
      <w:r>
        <w:rPr>
          <w:rStyle w:val="FootnoteCharacters"/>
        </w:rPr>
        <w:footnoteRef/>
      </w:r>
      <w:r>
        <w:rPr/>
        <w:t xml:space="preserve"> </w:t>
      </w:r>
      <w:r>
        <w:rPr>
          <w:rFonts w:cs="Arial" w:ascii="Arial" w:hAnsi="Arial"/>
          <w:iCs/>
          <w:color w:val="222222"/>
          <w:sz w:val="18"/>
          <w:szCs w:val="18"/>
        </w:rPr>
        <w:t>O'Collins and Kendall, "Mary Magdalene as major witness to Jesus' resurrection.", p631.</w:t>
      </w:r>
    </w:p>
  </w:footnote>
  <w:footnote w:id="32">
    <w:p>
      <w:pPr>
        <w:pStyle w:val="Normal"/>
        <w:rPr>
          <w:rFonts w:eastAsia="DengXian"/>
          <w:sz w:val="18"/>
          <w:szCs w:val="18"/>
        </w:rPr>
      </w:pPr>
      <w:r>
        <w:rPr>
          <w:rStyle w:val="FootnoteCharacters"/>
        </w:rPr>
        <w:footnoteRef/>
      </w:r>
      <w:r>
        <w:rPr/>
        <w:t xml:space="preserve"> </w:t>
      </w:r>
      <w:r>
        <w:rPr>
          <w:rFonts w:cs="Arial" w:ascii="Arial" w:hAnsi="Arial"/>
          <w:iCs/>
          <w:color w:val="222222"/>
          <w:sz w:val="18"/>
          <w:szCs w:val="18"/>
        </w:rPr>
        <w:t>O'Collins and Kendall, "Mary Magdalene as major witness to Jesus' resurrection.", p640.</w:t>
      </w:r>
    </w:p>
  </w:footnote>
  <w:footnote w:id="33">
    <w:p>
      <w:pPr>
        <w:pStyle w:val="Footnote"/>
        <w:rPr/>
      </w:pPr>
      <w:r>
        <w:rPr>
          <w:rStyle w:val="FootnoteCharacters"/>
        </w:rPr>
        <w:footnoteRef/>
      </w:r>
      <w:r>
        <w:rPr/>
        <w:t xml:space="preserve"> </w:t>
      </w:r>
      <w:r>
        <w:rPr>
          <w:rFonts w:cs="Arial" w:ascii="Arial" w:hAnsi="Arial"/>
          <w:color w:val="222222"/>
          <w:sz w:val="18"/>
          <w:szCs w:val="18"/>
        </w:rPr>
        <w:t>Setzer, "Excellent women: Female witness to the resurrection.", p270.</w:t>
      </w:r>
    </w:p>
  </w:footnote>
  <w:footnote w:id="34">
    <w:p>
      <w:pPr>
        <w:pStyle w:val="Normal"/>
        <w:rPr>
          <w:sz w:val="18"/>
          <w:szCs w:val="18"/>
        </w:rPr>
      </w:pPr>
      <w:r>
        <w:rPr>
          <w:rStyle w:val="FootnoteCharacters"/>
        </w:rPr>
        <w:footnoteRef/>
      </w:r>
      <w:r>
        <w:rPr/>
        <w:t xml:space="preserve"> </w:t>
      </w:r>
      <w:r>
        <w:rPr>
          <w:rFonts w:cs="Arial" w:ascii="Arial" w:hAnsi="Arial"/>
          <w:iCs/>
          <w:color w:val="222222"/>
          <w:sz w:val="18"/>
          <w:szCs w:val="18"/>
        </w:rPr>
        <w:t xml:space="preserve"> </w:t>
      </w:r>
      <w:r>
        <w:rPr>
          <w:rFonts w:cs="Arial" w:ascii="Arial" w:hAnsi="Arial"/>
          <w:iCs/>
          <w:color w:val="222222"/>
          <w:sz w:val="18"/>
          <w:szCs w:val="18"/>
        </w:rPr>
        <w:t>Seim, ‘The Gospel of Luke’, p751.</w:t>
      </w:r>
    </w:p>
  </w:footnote>
  <w:footnote w:id="35">
    <w:p>
      <w:pPr>
        <w:pStyle w:val="Footnote"/>
        <w:rPr>
          <w:rFonts w:eastAsia="DengXian"/>
          <w:lang w:val="en-US"/>
        </w:rPr>
      </w:pPr>
      <w:r>
        <w:rPr>
          <w:rStyle w:val="FootnoteCharacters"/>
        </w:rPr>
        <w:footnoteRef/>
      </w:r>
      <w:r>
        <w:rPr/>
        <w:t xml:space="preserve"> </w:t>
      </w:r>
      <w:r>
        <w:rPr>
          <w:rFonts w:cs="Arial" w:ascii="Arial" w:hAnsi="Arial"/>
          <w:iCs/>
          <w:color w:val="222222"/>
          <w:sz w:val="18"/>
          <w:szCs w:val="18"/>
        </w:rPr>
        <w:t xml:space="preserve">Elna Mouton, and Batanayi I. Manyika. "When Rhoda opens the door: reimagining ancient households from the perspective of the least for the least." </w:t>
      </w:r>
      <w:r>
        <w:rPr>
          <w:rFonts w:cs="Arial" w:ascii="Arial" w:hAnsi="Arial"/>
          <w:i/>
          <w:iCs/>
          <w:color w:val="222222"/>
          <w:sz w:val="18"/>
          <w:szCs w:val="18"/>
        </w:rPr>
        <w:t>Neotestamentica</w:t>
      </w:r>
      <w:r>
        <w:rPr>
          <w:rFonts w:cs="Arial" w:ascii="Arial" w:hAnsi="Arial"/>
          <w:iCs/>
          <w:color w:val="222222"/>
          <w:sz w:val="18"/>
          <w:szCs w:val="18"/>
        </w:rPr>
        <w:t xml:space="preserve"> 53.2 (2019), p327.</w:t>
      </w:r>
    </w:p>
  </w:footnote>
  <w:footnote w:id="36">
    <w:p>
      <w:pPr>
        <w:pStyle w:val="Footnote"/>
        <w:rPr>
          <w:rFonts w:eastAsia="DengXian"/>
          <w:lang w:val="en-US"/>
        </w:rPr>
      </w:pPr>
      <w:r>
        <w:rPr>
          <w:rStyle w:val="FootnoteCharacters"/>
        </w:rPr>
        <w:footnoteRef/>
      </w:r>
      <w:r>
        <w:rPr/>
        <w:t xml:space="preserve"> </w:t>
      </w:r>
      <w:r>
        <w:rPr>
          <w:rFonts w:cs="Arial" w:ascii="Arial" w:hAnsi="Arial"/>
          <w:iCs/>
          <w:color w:val="222222"/>
          <w:sz w:val="18"/>
          <w:szCs w:val="18"/>
        </w:rPr>
        <w:t xml:space="preserve">C. J. Martin, “The Acts of the Apostles”, in </w:t>
      </w:r>
      <w:r>
        <w:rPr>
          <w:rFonts w:cs="Arial" w:ascii="Arial" w:hAnsi="Arial"/>
          <w:i/>
          <w:iCs/>
          <w:color w:val="222222"/>
          <w:sz w:val="18"/>
          <w:szCs w:val="18"/>
        </w:rPr>
        <w:t>Searching the Scriptures. Vol. 2: A Feminist Commentary</w:t>
      </w:r>
      <w:r>
        <w:rPr>
          <w:rFonts w:cs="Arial" w:ascii="Arial" w:hAnsi="Arial"/>
          <w:iCs/>
          <w:color w:val="222222"/>
          <w:sz w:val="18"/>
          <w:szCs w:val="18"/>
        </w:rPr>
        <w:t>. Edited by Elisabeth Schüssler Fiorenza. (New York: Crossroad, 1994), p777.</w:t>
      </w:r>
    </w:p>
  </w:footnote>
  <w:footnote w:id="37">
    <w:p>
      <w:pPr>
        <w:pStyle w:val="Footnote"/>
        <w:rPr/>
      </w:pPr>
      <w:r>
        <w:rPr>
          <w:rStyle w:val="FootnoteCharacters"/>
        </w:rPr>
        <w:footnoteRef/>
      </w:r>
      <w:r>
        <w:rPr/>
        <w:t xml:space="preserve"> </w:t>
      </w:r>
      <w:r>
        <w:rPr>
          <w:rFonts w:ascii="Arial" w:hAnsi="Arial"/>
          <w:b w:val="false"/>
          <w:i w:val="false"/>
          <w:caps w:val="false"/>
          <w:smallCaps w:val="false"/>
          <w:color w:val="222222"/>
          <w:spacing w:val="0"/>
          <w:sz w:val="18"/>
          <w:szCs w:val="18"/>
          <w:shd w:fill="FFFFFF" w:val="clear"/>
        </w:rPr>
        <w:t xml:space="preserve">Beverly Roberts Gaventa, </w:t>
      </w:r>
      <w:r>
        <w:rPr>
          <w:rFonts w:ascii="Arial" w:hAnsi="Arial"/>
          <w:b w:val="false"/>
          <w:i/>
          <w:color w:val="222222"/>
          <w:spacing w:val="0"/>
          <w:sz w:val="18"/>
          <w:szCs w:val="18"/>
          <w:shd w:fill="FFFFFF" w:val="clear"/>
        </w:rPr>
        <w:t>Abingdon New Testament Commentaries Acts</w:t>
      </w:r>
      <w:r>
        <w:rPr>
          <w:rFonts w:ascii="Arial" w:hAnsi="Arial"/>
          <w:b w:val="false"/>
          <w:i w:val="false"/>
          <w:caps w:val="false"/>
          <w:smallCaps w:val="false"/>
          <w:color w:val="222222"/>
          <w:spacing w:val="0"/>
          <w:sz w:val="18"/>
          <w:szCs w:val="18"/>
          <w:shd w:fill="FFFFFF" w:val="clear"/>
        </w:rPr>
        <w:t>. Vol. 5. (Abingdon Press, 2003), p261</w:t>
      </w:r>
    </w:p>
  </w:footnote>
  <w:footnote w:id="38">
    <w:p>
      <w:pPr>
        <w:pStyle w:val="Footnote"/>
        <w:rPr/>
      </w:pPr>
      <w:r>
        <w:rPr>
          <w:rStyle w:val="FootnoteCharacters"/>
        </w:rPr>
        <w:footnoteRef/>
      </w:r>
      <w:r>
        <w:rPr/>
        <w:t xml:space="preserve"> </w:t>
      </w:r>
      <w:r>
        <w:rPr>
          <w:rFonts w:ascii="Arial" w:hAnsi="Arial"/>
          <w:b w:val="false"/>
          <w:i w:val="false"/>
          <w:caps w:val="false"/>
          <w:smallCaps w:val="false"/>
          <w:color w:val="222222"/>
          <w:spacing w:val="0"/>
          <w:sz w:val="18"/>
          <w:szCs w:val="18"/>
          <w:shd w:fill="FFFFFF" w:val="clear"/>
        </w:rPr>
        <w:t xml:space="preserve">Gaventa, </w:t>
      </w:r>
      <w:r>
        <w:rPr>
          <w:rFonts w:ascii="Arial" w:hAnsi="Arial"/>
          <w:b w:val="false"/>
          <w:i/>
          <w:color w:val="222222"/>
          <w:spacing w:val="0"/>
          <w:sz w:val="18"/>
          <w:szCs w:val="18"/>
          <w:shd w:fill="FFFFFF" w:val="clear"/>
        </w:rPr>
        <w:t>Abingdon New Testament Commentaries Acts</w:t>
      </w:r>
      <w:r>
        <w:rPr>
          <w:rFonts w:ascii="Arial" w:hAnsi="Arial"/>
          <w:b w:val="false"/>
          <w:i w:val="false"/>
          <w:caps w:val="false"/>
          <w:smallCaps w:val="false"/>
          <w:color w:val="222222"/>
          <w:spacing w:val="0"/>
          <w:sz w:val="18"/>
          <w:szCs w:val="18"/>
          <w:shd w:fill="FFFFFF" w:val="clear"/>
        </w:rPr>
        <w:t>. Vol. 5., p167</w:t>
      </w:r>
    </w:p>
  </w:footnote>
  <w:footnote w:id="39">
    <w:p>
      <w:pPr>
        <w:pStyle w:val="Normal"/>
        <w:rPr>
          <w:rFonts w:eastAsia="DengXian"/>
          <w:shd w:fill="FFFFFF" w:val="clear"/>
        </w:rPr>
      </w:pPr>
      <w:r>
        <w:rPr>
          <w:rStyle w:val="FootnoteCharacters"/>
        </w:rPr>
        <w:footnoteRef/>
      </w:r>
      <w:r>
        <w:rPr/>
        <w:t xml:space="preserve"> </w:t>
      </w:r>
      <w:r>
        <w:rPr>
          <w:rFonts w:cs="Arial" w:ascii="Arial" w:hAnsi="Arial"/>
          <w:iCs/>
          <w:color w:val="222222"/>
          <w:sz w:val="18"/>
          <w:szCs w:val="18"/>
        </w:rPr>
        <w:t>Martin, “The Acts of the Apostles”, p795.</w:t>
      </w:r>
    </w:p>
  </w:footnote>
  <w:footnote w:id="40">
    <w:p>
      <w:pPr>
        <w:pStyle w:val="Footnote"/>
        <w:rPr/>
      </w:pPr>
      <w:r>
        <w:rPr>
          <w:rStyle w:val="FootnoteCharacters"/>
        </w:rPr>
        <w:footnoteRef/>
      </w:r>
      <w:r>
        <w:rPr/>
        <w:t xml:space="preserve"> </w:t>
      </w:r>
      <w:r>
        <w:rPr>
          <w:rFonts w:cs="Arial" w:ascii="Arial" w:hAnsi="Arial"/>
          <w:color w:val="222222"/>
          <w:sz w:val="18"/>
          <w:szCs w:val="18"/>
        </w:rPr>
        <w:t xml:space="preserve">Jesse J. Lee, "On Distracting and Disappearing Joy: An Exegetical Comparison of the Ethiopian Eunuch and the Slave-Girl Rhoda in Acts." </w:t>
      </w:r>
      <w:r>
        <w:rPr>
          <w:rFonts w:cs="Arial" w:ascii="Arial" w:hAnsi="Arial"/>
          <w:i/>
          <w:iCs/>
          <w:color w:val="222222"/>
          <w:sz w:val="18"/>
          <w:szCs w:val="18"/>
        </w:rPr>
        <w:t>Horizons in biblical theology</w:t>
      </w:r>
      <w:r>
        <w:rPr>
          <w:rFonts w:cs="Arial" w:ascii="Arial" w:hAnsi="Arial"/>
          <w:color w:val="222222"/>
          <w:sz w:val="18"/>
          <w:szCs w:val="18"/>
        </w:rPr>
        <w:t xml:space="preserve"> 40.1 (2018), p69.</w:t>
      </w:r>
    </w:p>
  </w:footnote>
  <w:footnote w:id="41">
    <w:p>
      <w:pPr>
        <w:pStyle w:val="Footnote"/>
        <w:rPr>
          <w:lang w:val="en-US"/>
        </w:rPr>
      </w:pPr>
      <w:r>
        <w:rPr>
          <w:rStyle w:val="FootnoteCharacters"/>
        </w:rPr>
        <w:footnoteRef/>
      </w:r>
      <w:r>
        <w:rPr/>
        <w:t xml:space="preserve"> </w:t>
      </w:r>
      <w:r>
        <w:rPr>
          <w:rFonts w:cs="Arial" w:ascii="Arial" w:hAnsi="Arial"/>
          <w:color w:val="222222"/>
          <w:sz w:val="18"/>
          <w:szCs w:val="18"/>
        </w:rPr>
        <w:t xml:space="preserve">Emmanuel Foster Asamoah, "Was Rhoda Insulted? Re-Reading the Translation of Acts 12: 15 in the Asante-Twi Bible." </w:t>
      </w:r>
      <w:r>
        <w:rPr>
          <w:rFonts w:cs="Arial" w:ascii="Arial" w:hAnsi="Arial"/>
          <w:i/>
          <w:iCs/>
          <w:color w:val="222222"/>
          <w:sz w:val="18"/>
          <w:szCs w:val="18"/>
        </w:rPr>
        <w:t>All Nations University Journal of Applied Thought</w:t>
      </w:r>
      <w:r>
        <w:rPr>
          <w:rFonts w:cs="Arial" w:ascii="Arial" w:hAnsi="Arial"/>
          <w:color w:val="222222"/>
          <w:sz w:val="18"/>
          <w:szCs w:val="18"/>
        </w:rPr>
        <w:t xml:space="preserve"> 8.1 (2020), p178.</w:t>
      </w:r>
    </w:p>
  </w:footnote>
  <w:footnote w:id="42">
    <w:p>
      <w:pPr>
        <w:pStyle w:val="Footnote"/>
        <w:rPr>
          <w:lang w:val="en-US"/>
        </w:rPr>
      </w:pPr>
      <w:r>
        <w:rPr>
          <w:rStyle w:val="FootnoteCharacters"/>
        </w:rPr>
        <w:footnoteRef/>
      </w:r>
      <w:r>
        <w:rPr/>
        <w:t xml:space="preserve"> </w:t>
      </w:r>
      <w:r>
        <w:rPr>
          <w:rFonts w:cs="Arial" w:ascii="Arial" w:hAnsi="Arial"/>
          <w:iCs/>
          <w:color w:val="222222"/>
          <w:sz w:val="18"/>
          <w:szCs w:val="18"/>
        </w:rPr>
        <w:t>Mouton and Manyika, "When Rhoda opens the door.", p318.</w:t>
      </w:r>
    </w:p>
  </w:footnote>
  <w:footnote w:id="43">
    <w:p>
      <w:pPr>
        <w:pStyle w:val="Footnote"/>
        <w:rPr>
          <w:lang w:val="en-US"/>
        </w:rPr>
      </w:pPr>
      <w:r>
        <w:rPr>
          <w:rStyle w:val="FootnoteCharacters"/>
        </w:rPr>
        <w:footnoteRef/>
      </w:r>
      <w:r>
        <w:rPr/>
        <w:t xml:space="preserve"> </w:t>
      </w:r>
      <w:r>
        <w:rPr>
          <w:rFonts w:cs="Arial" w:ascii="Arial" w:hAnsi="Arial"/>
          <w:color w:val="222222"/>
          <w:sz w:val="18"/>
          <w:szCs w:val="18"/>
        </w:rPr>
        <w:t xml:space="preserve">J. Albert Harrill, “The dramatic function of the running slave Rhoda (Acts 12.13–16): A piece of Greco-Roman comedy." </w:t>
      </w:r>
      <w:r>
        <w:rPr>
          <w:rFonts w:cs="Arial" w:ascii="Arial" w:hAnsi="Arial"/>
          <w:i/>
          <w:iCs/>
          <w:color w:val="222222"/>
          <w:sz w:val="18"/>
          <w:szCs w:val="18"/>
        </w:rPr>
        <w:t>New Testament Studies</w:t>
      </w:r>
      <w:r>
        <w:rPr>
          <w:rFonts w:cs="Arial" w:ascii="Arial" w:hAnsi="Arial"/>
          <w:color w:val="222222"/>
          <w:sz w:val="18"/>
          <w:szCs w:val="18"/>
        </w:rPr>
        <w:t xml:space="preserve"> 46.1 (2000), p156.</w:t>
      </w:r>
    </w:p>
  </w:footnote>
  <w:footnote w:id="44">
    <w:p>
      <w:pPr>
        <w:pStyle w:val="Normal"/>
        <w:rPr>
          <w:sz w:val="18"/>
          <w:szCs w:val="18"/>
        </w:rPr>
      </w:pPr>
      <w:r>
        <w:rPr>
          <w:rStyle w:val="FootnoteCharacters"/>
        </w:rPr>
        <w:footnoteRef/>
      </w:r>
      <w:r>
        <w:rPr/>
        <w:t xml:space="preserve"> </w:t>
      </w:r>
      <w:r>
        <w:rPr>
          <w:rFonts w:cs="Arial" w:ascii="Arial" w:hAnsi="Arial"/>
          <w:iCs/>
          <w:color w:val="222222"/>
          <w:sz w:val="18"/>
          <w:szCs w:val="18"/>
        </w:rPr>
        <w:t>Mouton and Manyika, "When Rhoda opens the door.", p324.</w:t>
      </w:r>
    </w:p>
  </w:footnote>
  <w:footnote w:id="45">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Lee, "On Distracting and Disappearing Joy,” p72.</w:t>
      </w:r>
    </w:p>
  </w:footnote>
  <w:footnote w:id="46">
    <w:p>
      <w:pPr>
        <w:pStyle w:val="Normal"/>
        <w:rPr>
          <w:sz w:val="18"/>
          <w:szCs w:val="18"/>
        </w:rPr>
      </w:pPr>
      <w:r>
        <w:rPr>
          <w:rStyle w:val="FootnoteCharacters"/>
        </w:rPr>
        <w:footnoteRef/>
      </w:r>
      <w:r>
        <w:rPr/>
        <w:t xml:space="preserve"> </w:t>
      </w:r>
      <w:r>
        <w:rPr>
          <w:rFonts w:cs="Arial" w:ascii="Arial" w:hAnsi="Arial"/>
          <w:iCs/>
          <w:color w:val="222222"/>
          <w:sz w:val="18"/>
          <w:szCs w:val="18"/>
        </w:rPr>
        <w:t>Patrick E. Spencer, "" Mad" Rhoda in Acts 12: 12-17: Disciple Exemplar." The Catholic Biblical Quarterly 79.2 (2017): p294.</w:t>
      </w:r>
    </w:p>
  </w:footnote>
  <w:footnote w:id="47">
    <w:p>
      <w:pPr>
        <w:pStyle w:val="Footnote"/>
        <w:rPr/>
      </w:pPr>
      <w:r>
        <w:rPr>
          <w:rStyle w:val="FootnoteCharacters"/>
        </w:rPr>
        <w:footnoteRef/>
      </w:r>
      <w:r>
        <w:rPr/>
        <w:t xml:space="preserve"> </w:t>
      </w:r>
      <w:r>
        <w:rPr>
          <w:rFonts w:cs="Arial" w:ascii="Arial" w:hAnsi="Arial"/>
          <w:color w:val="222222"/>
          <w:sz w:val="18"/>
          <w:szCs w:val="18"/>
        </w:rPr>
        <w:t>F. Scott Spencer, “Out of Mind, Out of Voice: Slave-Girls and Prophetic Daughters in Luke-Acts.”, p150.</w:t>
      </w:r>
    </w:p>
  </w:footnote>
  <w:footnote w:id="48">
    <w:p>
      <w:pPr>
        <w:pStyle w:val="Normal"/>
        <w:rPr>
          <w:sz w:val="18"/>
          <w:szCs w:val="18"/>
        </w:rPr>
      </w:pPr>
      <w:r>
        <w:rPr>
          <w:rStyle w:val="FootnoteCharacters"/>
        </w:rPr>
        <w:footnoteRef/>
      </w:r>
      <w:r>
        <w:rPr/>
        <w:t xml:space="preserve"> </w:t>
      </w:r>
      <w:r>
        <w:rPr>
          <w:rFonts w:cs="Arial" w:ascii="Arial" w:hAnsi="Arial"/>
          <w:iCs/>
          <w:color w:val="222222"/>
          <w:sz w:val="18"/>
          <w:szCs w:val="18"/>
        </w:rPr>
        <w:t>Lee, "On Distracting and Disappearing Joy,” p75.</w:t>
      </w:r>
    </w:p>
  </w:footnote>
  <w:footnote w:id="49">
    <w:p>
      <w:pPr>
        <w:pStyle w:val="Footnote"/>
        <w:rPr/>
      </w:pPr>
      <w:r>
        <w:rPr>
          <w:rStyle w:val="FootnoteCharacters"/>
        </w:rPr>
        <w:footnoteRef/>
      </w:r>
      <w:r>
        <w:rPr/>
        <w:t xml:space="preserve"> </w:t>
      </w:r>
      <w:r>
        <w:rPr>
          <w:rFonts w:ascii="Arial" w:hAnsi="Arial"/>
          <w:b w:val="false"/>
          <w:i w:val="false"/>
          <w:caps w:val="false"/>
          <w:smallCaps w:val="false"/>
          <w:color w:val="222222"/>
          <w:spacing w:val="0"/>
          <w:sz w:val="18"/>
          <w:szCs w:val="18"/>
          <w:shd w:fill="FFFFFF" w:val="clear"/>
        </w:rPr>
        <w:t xml:space="preserve">Gaventa, </w:t>
      </w:r>
      <w:r>
        <w:rPr>
          <w:rFonts w:ascii="Arial" w:hAnsi="Arial"/>
          <w:b w:val="false"/>
          <w:i/>
          <w:color w:val="222222"/>
          <w:spacing w:val="0"/>
          <w:sz w:val="18"/>
          <w:szCs w:val="18"/>
          <w:shd w:fill="FFFFFF" w:val="clear"/>
        </w:rPr>
        <w:t>Abingdon New Testament Commentaries Acts</w:t>
      </w:r>
      <w:r>
        <w:rPr>
          <w:rFonts w:ascii="Arial" w:hAnsi="Arial"/>
          <w:b w:val="false"/>
          <w:i w:val="false"/>
          <w:caps w:val="false"/>
          <w:smallCaps w:val="false"/>
          <w:color w:val="222222"/>
          <w:spacing w:val="0"/>
          <w:sz w:val="18"/>
          <w:szCs w:val="18"/>
          <w:shd w:fill="FFFFFF" w:val="clear"/>
        </w:rPr>
        <w:t>. Vol. 5., p299</w:t>
      </w:r>
    </w:p>
  </w:footnote>
</w:footnotes>
</file>

<file path=word/settings.xml><?xml version="1.0" encoding="utf-8"?>
<w:settings xmlns:w="http://schemas.openxmlformats.org/wordprocessingml/2006/main">
  <w:zoom w:percent="100"/>
  <w:defaultTabStop w:val="408"/>
  <w:autoHyphenation w:val="true"/>
  <w:footnotePr>
    <w:numFmt w:val="decimal"/>
    <w:footnote w:id="0"/>
    <w:footnote w:id="1"/>
  </w:footnotePr>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 w:cs="Arial Unicode MS" w:eastAsiaTheme="minorEastAsia"/>
        <w:kern w:val="2"/>
        <w:sz w:val="24"/>
        <w:szCs w:val="24"/>
        <w:lang w:val="en-GB" w:eastAsia="zh-CN" w:bidi="hi-IN"/>
      </w:rPr>
    </w:rPrDefault>
    <w:pPrDefault>
      <w:pPr>
        <w:suppressAutoHyphens w:val="true"/>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suppressAutoHyphens w:val="true"/>
      <w:bidi w:val="0"/>
      <w:spacing w:before="0" w:after="0"/>
      <w:jc w:val="left"/>
    </w:pPr>
    <w:rPr>
      <w:rFonts w:ascii="Liberation Serif" w:hAnsi="Liberation Serif" w:eastAsia="Songti SC" w:cs="Arial Unicode MS"/>
      <w:color w:val="auto"/>
      <w:kern w:val="2"/>
      <w:sz w:val="24"/>
      <w:szCs w:val="24"/>
      <w:lang w:val="en-GB" w:eastAsia="zh-CN" w:bidi="hi-IN"/>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rPr>
  </w:style>
  <w:style w:type="character" w:styleId="Emphasis">
    <w:name w:val="Emphasis"/>
    <w:qFormat/>
    <w:rPr>
      <w:i/>
      <w:iCs/>
    </w:rPr>
  </w:style>
  <w:style w:type="character" w:styleId="FootnoteTextChar" w:customStyle="1">
    <w:name w:val="Footnote Text Char"/>
    <w:basedOn w:val="DefaultParagraphFont"/>
    <w:link w:val="FootnoteText"/>
    <w:uiPriority w:val="99"/>
    <w:qFormat/>
    <w:rsid w:val="006907bc"/>
    <w:rPr>
      <w:rFonts w:eastAsia="Songti SC" w:cs="Mangal"/>
      <w:szCs w:val="21"/>
    </w:rPr>
  </w:style>
  <w:style w:type="character" w:styleId="FootnoteCharacters">
    <w:name w:val="Footnote Characters"/>
    <w:basedOn w:val="DefaultParagraphFont"/>
    <w:uiPriority w:val="99"/>
    <w:semiHidden/>
    <w:unhideWhenUsed/>
    <w:qFormat/>
    <w:rsid w:val="008f359e"/>
    <w:rPr>
      <w:vertAlign w:val="superscript"/>
    </w:rPr>
  </w:style>
  <w:style w:type="character" w:styleId="FootnoteAnchor" w:customStyle="1">
    <w:name w:val="Footnote Anchor"/>
    <w:rPr>
      <w:vertAlign w:val="superscript"/>
    </w:rPr>
  </w:style>
  <w:style w:type="character" w:styleId="EndnoteTextChar" w:customStyle="1">
    <w:name w:val="Endnote Text Char"/>
    <w:basedOn w:val="DefaultParagraphFont"/>
    <w:link w:val="EndnoteText"/>
    <w:uiPriority w:val="99"/>
    <w:semiHidden/>
    <w:qFormat/>
    <w:rsid w:val="00c43f61"/>
    <w:rPr>
      <w:rFonts w:eastAsia="Songti SC" w:cs="Mangal"/>
      <w:szCs w:val="21"/>
    </w:rPr>
  </w:style>
  <w:style w:type="character" w:styleId="EndnoteCharacters" w:customStyle="1">
    <w:name w:val="Endnote Characters"/>
    <w:basedOn w:val="DefaultParagraphFont"/>
    <w:uiPriority w:val="99"/>
    <w:semiHidden/>
    <w:unhideWhenUsed/>
    <w:qFormat/>
    <w:rsid w:val="00c43f61"/>
    <w:rPr>
      <w:vertAlign w:val="superscript"/>
    </w:rPr>
  </w:style>
  <w:style w:type="character" w:styleId="EndnoteAnchor" w:customStyle="1">
    <w:name w:val="Endnote Anchor"/>
    <w:rPr>
      <w:vertAlign w:val="superscript"/>
    </w:rPr>
  </w:style>
  <w:style w:type="paragraph" w:styleId="Heading" w:customStyle="1">
    <w:name w:val="Heading"/>
    <w:basedOn w:val="Normal"/>
    <w:next w:val="TextBody"/>
    <w:qFormat/>
    <w:pPr>
      <w:keepNext w:val="true"/>
      <w:spacing w:before="240" w:after="120"/>
    </w:pPr>
    <w:rPr>
      <w:rFonts w:ascii="Liberation Sans" w:hAnsi="Liberation Sans" w:eastAsia="PingFang SC"/>
      <w:sz w:val="28"/>
      <w:szCs w:val="28"/>
    </w:rPr>
  </w:style>
  <w:style w:type="paragraph" w:styleId="TextBody">
    <w:name w:val="Body Text"/>
    <w:basedOn w:val="Normal"/>
    <w:pPr>
      <w:spacing w:lineRule="auto" w:line="276"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Unicode MS"/>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Footnote">
    <w:name w:val="Footnote Text"/>
    <w:basedOn w:val="Normal"/>
    <w:link w:val="FootnoteTextChar"/>
    <w:uiPriority w:val="99"/>
    <w:unhideWhenUsed/>
    <w:rsid w:val="006907bc"/>
    <w:pPr>
      <w:snapToGrid w:val="false"/>
    </w:pPr>
    <w:rPr>
      <w:rFonts w:cs="Mangal"/>
      <w:szCs w:val="21"/>
    </w:rPr>
  </w:style>
  <w:style w:type="paragraph" w:styleId="Endnote">
    <w:name w:val="Endnote Text"/>
    <w:basedOn w:val="Normal"/>
    <w:link w:val="EndnoteTextChar"/>
    <w:uiPriority w:val="99"/>
    <w:semiHidden/>
    <w:unhideWhenUsed/>
    <w:rsid w:val="00c43f61"/>
    <w:pPr>
      <w:snapToGrid w:val="false"/>
    </w:pPr>
    <w:rPr>
      <w:rFonts w:cs="Mangal"/>
      <w:szCs w:val="21"/>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맑은 고딕"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맑은 고딕"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E8A6C-D04B-4D31-BF8E-2269F71F4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Application>LibreOffice/7.0.2.2$MacOSX_X86_64 LibreOffice_project/8349ace3c3162073abd90d81fd06dcfb6b36b994</Application>
  <Pages>8</Pages>
  <Words>4841</Words>
  <Characters>24716</Characters>
  <CharactersWithSpaces>29526</CharactersWithSpaces>
  <Paragraphs>109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2022-04-12T18:06:00Z</dcterms:created>
  <dc:creator/>
  <dc:description/>
  <dc:language>en-GB</dc:language>
  <cp:lastModifiedBy/>
  <dcterms:modified xsi:type="dcterms:W3CDTF">2022-05-01T21:02:45Z</dcterms:modified>
  <cp:revision>71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