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1A12" w:rsidRDefault="00270930">
      <w:pPr>
        <w:jc w:val="both"/>
        <w:rPr>
          <w:sz w:val="20"/>
          <w:szCs w:val="20"/>
          <w:lang w:val="en-GB"/>
        </w:rPr>
      </w:pPr>
      <w:r>
        <w:rPr>
          <w:noProof/>
        </w:rPr>
        <w:drawing>
          <wp:anchor distT="0" distB="0" distL="114300" distR="114300" simplePos="0" relativeHeight="251658240" behindDoc="0" locked="0" layoutInCell="1" allowOverlap="1">
            <wp:simplePos x="0" y="0"/>
            <wp:positionH relativeFrom="column">
              <wp:posOffset>114300</wp:posOffset>
            </wp:positionH>
            <wp:positionV relativeFrom="paragraph">
              <wp:posOffset>60960</wp:posOffset>
            </wp:positionV>
            <wp:extent cx="2000250" cy="8001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pic:cNvPicPr>
                  </pic:nvPicPr>
                  <pic:blipFill>
                    <a:blip r:embed="rId9" r:link="rId10"/>
                    <a:stretch>
                      <a:fillRect/>
                    </a:stretch>
                  </pic:blipFill>
                  <pic:spPr>
                    <a:xfrm>
                      <a:off x="0" y="0"/>
                      <a:ext cx="2000250" cy="800100"/>
                    </a:xfrm>
                    <a:prstGeom prst="rect">
                      <a:avLst/>
                    </a:prstGeom>
                    <a:noFill/>
                    <a:ln w="9525">
                      <a:noFill/>
                    </a:ln>
                  </pic:spPr>
                </pic:pic>
              </a:graphicData>
            </a:graphic>
          </wp:anchor>
        </w:drawing>
      </w:r>
      <w:r>
        <w:rPr>
          <w:b/>
          <w:sz w:val="40"/>
          <w:szCs w:val="40"/>
          <w:lang w:val="en-GB"/>
        </w:rPr>
        <w:br/>
      </w:r>
    </w:p>
    <w:p w:rsidR="006E1A12" w:rsidRDefault="006E1A12">
      <w:pPr>
        <w:adjustRightInd w:val="0"/>
        <w:snapToGrid w:val="0"/>
        <w:jc w:val="center"/>
        <w:rPr>
          <w:sz w:val="20"/>
          <w:szCs w:val="20"/>
          <w:lang w:val="en-GB"/>
        </w:rPr>
      </w:pPr>
    </w:p>
    <w:p w:rsidR="006E1A12" w:rsidRDefault="006E1A12">
      <w:pPr>
        <w:adjustRightInd w:val="0"/>
        <w:snapToGrid w:val="0"/>
        <w:rPr>
          <w:sz w:val="20"/>
          <w:szCs w:val="20"/>
          <w:lang w:val="en-GB"/>
        </w:rPr>
      </w:pPr>
    </w:p>
    <w:p w:rsidR="006E1A12" w:rsidRDefault="006E1A12">
      <w:pPr>
        <w:adjustRightInd w:val="0"/>
        <w:snapToGrid w:val="0"/>
        <w:rPr>
          <w:sz w:val="20"/>
          <w:szCs w:val="20"/>
          <w:lang w:val="en-GB"/>
        </w:rPr>
      </w:pPr>
    </w:p>
    <w:p w:rsidR="006E1A12" w:rsidRDefault="006E1A12">
      <w:pPr>
        <w:adjustRightInd w:val="0"/>
        <w:snapToGrid w:val="0"/>
        <w:rPr>
          <w:sz w:val="20"/>
          <w:szCs w:val="20"/>
          <w:lang w:val="en-GB"/>
        </w:rPr>
      </w:pPr>
    </w:p>
    <w:tbl>
      <w:tblPr>
        <w:tblpPr w:leftFromText="180" w:rightFromText="180" w:vertAnchor="text" w:horzAnchor="margin" w:tblpXSpec="center" w:tblpY="28"/>
        <w:tblW w:w="90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4A0" w:firstRow="1" w:lastRow="0" w:firstColumn="1" w:lastColumn="0" w:noHBand="0" w:noVBand="1"/>
      </w:tblPr>
      <w:tblGrid>
        <w:gridCol w:w="9056"/>
      </w:tblGrid>
      <w:tr w:rsidR="006E1A12">
        <w:trPr>
          <w:trHeight w:val="606"/>
        </w:trPr>
        <w:tc>
          <w:tcPr>
            <w:tcW w:w="9056" w:type="dxa"/>
            <w:shd w:val="clear" w:color="auto" w:fill="C0C0C0"/>
            <w:vAlign w:val="center"/>
          </w:tcPr>
          <w:p w:rsidR="006E1A12" w:rsidRDefault="00270930">
            <w:pPr>
              <w:pStyle w:val="4"/>
              <w:adjustRightInd w:val="0"/>
              <w:snapToGrid w:val="0"/>
              <w:spacing w:line="240" w:lineRule="auto"/>
              <w:jc w:val="center"/>
              <w:rPr>
                <w:rFonts w:ascii="Times New Roman" w:hAnsi="Times New Roman"/>
                <w:b/>
              </w:rPr>
            </w:pPr>
            <w:r>
              <w:rPr>
                <w:rFonts w:ascii="Times New Roman" w:hAnsi="Times New Roman"/>
                <w:b/>
              </w:rPr>
              <w:t>LEVEL 7 ASSESSMENT SPECIFICATION</w:t>
            </w:r>
          </w:p>
        </w:tc>
      </w:tr>
    </w:tbl>
    <w:p w:rsidR="006E1A12" w:rsidRDefault="006E1A12">
      <w:pPr>
        <w:adjustRightInd w:val="0"/>
        <w:snapToGrid w:val="0"/>
        <w:jc w:val="center"/>
        <w:rPr>
          <w:sz w:val="20"/>
          <w:szCs w:val="20"/>
          <w:lang w:val="en-GB"/>
        </w:rPr>
      </w:pPr>
    </w:p>
    <w:p w:rsidR="006E1A12" w:rsidRDefault="006E1A12">
      <w:pPr>
        <w:adjustRightInd w:val="0"/>
        <w:snapToGrid w:val="0"/>
        <w:jc w:val="center"/>
        <w:rPr>
          <w:sz w:val="20"/>
          <w:szCs w:val="20"/>
          <w:lang w:val="en-GB"/>
        </w:rPr>
      </w:pPr>
    </w:p>
    <w:p w:rsidR="006E1A12" w:rsidRDefault="006E1A12">
      <w:pPr>
        <w:adjustRightInd w:val="0"/>
        <w:snapToGrid w:val="0"/>
        <w:rPr>
          <w:sz w:val="20"/>
          <w:szCs w:val="20"/>
          <w:lang w:val="en-GB"/>
        </w:rPr>
      </w:pPr>
    </w:p>
    <w:tbl>
      <w:tblPr>
        <w:tblW w:w="9922" w:type="dxa"/>
        <w:jc w:val="center"/>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5"/>
        <w:gridCol w:w="3401"/>
        <w:gridCol w:w="2694"/>
        <w:gridCol w:w="1842"/>
      </w:tblGrid>
      <w:tr w:rsidR="006E1A12">
        <w:trPr>
          <w:trHeight w:val="617"/>
          <w:jc w:val="center"/>
        </w:trPr>
        <w:tc>
          <w:tcPr>
            <w:tcW w:w="1985" w:type="dxa"/>
            <w:shd w:val="pct10" w:color="auto" w:fill="auto"/>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Student name:</w:t>
            </w:r>
          </w:p>
        </w:tc>
        <w:tc>
          <w:tcPr>
            <w:tcW w:w="3401" w:type="dxa"/>
            <w:shd w:val="clear" w:color="auto" w:fill="auto"/>
          </w:tcPr>
          <w:p w:rsidR="006E1A12" w:rsidRDefault="00270930">
            <w:pPr>
              <w:widowControl/>
              <w:adjustRightInd w:val="0"/>
              <w:snapToGrid w:val="0"/>
              <w:jc w:val="both"/>
              <w:rPr>
                <w:b/>
                <w:kern w:val="0"/>
                <w:szCs w:val="24"/>
                <w:lang w:val="en-GB"/>
              </w:rPr>
            </w:pPr>
            <w:r>
              <w:rPr>
                <w:b/>
                <w:kern w:val="0"/>
                <w:szCs w:val="24"/>
                <w:lang w:val="en-GB"/>
              </w:rPr>
              <w:t xml:space="preserve">Sin </w:t>
            </w:r>
            <w:proofErr w:type="spellStart"/>
            <w:r>
              <w:rPr>
                <w:b/>
                <w:kern w:val="0"/>
                <w:szCs w:val="24"/>
                <w:lang w:val="en-GB"/>
              </w:rPr>
              <w:t>Yik</w:t>
            </w:r>
            <w:proofErr w:type="spellEnd"/>
            <w:r>
              <w:rPr>
                <w:b/>
                <w:kern w:val="0"/>
                <w:szCs w:val="24"/>
                <w:lang w:val="en-GB"/>
              </w:rPr>
              <w:t xml:space="preserve"> Ngan, </w:t>
            </w:r>
            <w:proofErr w:type="spellStart"/>
            <w:r>
              <w:rPr>
                <w:b/>
                <w:kern w:val="0"/>
                <w:szCs w:val="24"/>
                <w:lang w:val="en-GB"/>
              </w:rPr>
              <w:t>winnie</w:t>
            </w:r>
            <w:proofErr w:type="spellEnd"/>
          </w:p>
        </w:tc>
        <w:tc>
          <w:tcPr>
            <w:tcW w:w="2694" w:type="dxa"/>
            <w:shd w:val="clear" w:color="auto" w:fill="D9D9D9"/>
            <w:vAlign w:val="center"/>
          </w:tcPr>
          <w:p w:rsidR="006E1A12" w:rsidRDefault="00270930">
            <w:pPr>
              <w:widowControl/>
              <w:adjustRightInd w:val="0"/>
              <w:snapToGrid w:val="0"/>
              <w:rPr>
                <w:b/>
                <w:kern w:val="0"/>
                <w:szCs w:val="24"/>
                <w:lang w:val="en-GB" w:eastAsia="en-GB"/>
              </w:rPr>
            </w:pPr>
            <w:r>
              <w:rPr>
                <w:b/>
                <w:kern w:val="0"/>
                <w:szCs w:val="24"/>
                <w:lang w:val="en-GB" w:eastAsia="en-GB"/>
              </w:rPr>
              <w:t>Student ID number:</w:t>
            </w:r>
          </w:p>
        </w:tc>
        <w:tc>
          <w:tcPr>
            <w:tcW w:w="1842" w:type="dxa"/>
          </w:tcPr>
          <w:p w:rsidR="006E1A12" w:rsidRDefault="00270930">
            <w:pPr>
              <w:widowControl/>
              <w:adjustRightInd w:val="0"/>
              <w:snapToGrid w:val="0"/>
              <w:rPr>
                <w:b/>
                <w:kern w:val="0"/>
                <w:szCs w:val="24"/>
                <w:lang w:val="en-GB"/>
              </w:rPr>
            </w:pPr>
            <w:r>
              <w:rPr>
                <w:b/>
                <w:kern w:val="0"/>
                <w:szCs w:val="24"/>
                <w:lang w:val="en-GB"/>
              </w:rPr>
              <w:t>1812212</w:t>
            </w:r>
          </w:p>
        </w:tc>
      </w:tr>
      <w:tr w:rsidR="006E1A12">
        <w:trPr>
          <w:trHeight w:val="520"/>
          <w:jc w:val="center"/>
        </w:trPr>
        <w:tc>
          <w:tcPr>
            <w:tcW w:w="1985" w:type="dxa"/>
            <w:shd w:val="pct10" w:color="auto" w:fill="auto"/>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Programme:</w:t>
            </w:r>
          </w:p>
        </w:tc>
        <w:tc>
          <w:tcPr>
            <w:tcW w:w="7937" w:type="dxa"/>
            <w:gridSpan w:val="3"/>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MBA</w:t>
            </w:r>
          </w:p>
        </w:tc>
      </w:tr>
      <w:tr w:rsidR="006E1A12">
        <w:trPr>
          <w:trHeight w:val="542"/>
          <w:jc w:val="center"/>
        </w:trPr>
        <w:tc>
          <w:tcPr>
            <w:tcW w:w="1985" w:type="dxa"/>
            <w:shd w:val="pct10" w:color="auto" w:fill="auto"/>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Module:</w:t>
            </w:r>
          </w:p>
        </w:tc>
        <w:tc>
          <w:tcPr>
            <w:tcW w:w="7937" w:type="dxa"/>
            <w:gridSpan w:val="3"/>
            <w:shd w:val="clear" w:color="auto" w:fill="auto"/>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Managerial Economics</w:t>
            </w:r>
          </w:p>
        </w:tc>
      </w:tr>
      <w:tr w:rsidR="006E1A12">
        <w:trPr>
          <w:trHeight w:val="1002"/>
          <w:jc w:val="center"/>
        </w:trPr>
        <w:tc>
          <w:tcPr>
            <w:tcW w:w="1985" w:type="dxa"/>
            <w:shd w:val="pct10" w:color="auto" w:fill="auto"/>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Module code:</w:t>
            </w:r>
          </w:p>
        </w:tc>
        <w:tc>
          <w:tcPr>
            <w:tcW w:w="3401" w:type="dxa"/>
            <w:shd w:val="clear" w:color="auto" w:fill="auto"/>
            <w:vAlign w:val="center"/>
          </w:tcPr>
          <w:p w:rsidR="006E1A12" w:rsidRDefault="00270930">
            <w:pPr>
              <w:widowControl/>
              <w:adjustRightInd w:val="0"/>
              <w:snapToGrid w:val="0"/>
              <w:jc w:val="both"/>
              <w:rPr>
                <w:b/>
                <w:kern w:val="0"/>
                <w:szCs w:val="24"/>
                <w:lang w:val="en-GB" w:eastAsia="zh-HK"/>
              </w:rPr>
            </w:pPr>
            <w:r>
              <w:rPr>
                <w:b/>
                <w:kern w:val="0"/>
                <w:szCs w:val="24"/>
                <w:lang w:val="en-GB" w:eastAsia="zh-HK"/>
              </w:rPr>
              <w:t>SBMA7133</w:t>
            </w:r>
          </w:p>
        </w:tc>
        <w:tc>
          <w:tcPr>
            <w:tcW w:w="2694" w:type="dxa"/>
            <w:shd w:val="clear" w:color="auto" w:fill="D9D9D9"/>
            <w:vAlign w:val="center"/>
          </w:tcPr>
          <w:p w:rsidR="006E1A12" w:rsidRDefault="00270930">
            <w:pPr>
              <w:keepNext/>
              <w:widowControl/>
              <w:adjustRightInd w:val="0"/>
              <w:snapToGrid w:val="0"/>
              <w:outlineLvl w:val="1"/>
              <w:rPr>
                <w:b/>
                <w:kern w:val="0"/>
                <w:szCs w:val="24"/>
                <w:lang w:val="en-GB" w:eastAsia="en-GB"/>
              </w:rPr>
            </w:pPr>
            <w:r>
              <w:rPr>
                <w:b/>
                <w:kern w:val="0"/>
                <w:szCs w:val="24"/>
                <w:lang w:val="en-GB" w:eastAsia="en-GB"/>
              </w:rPr>
              <w:t>Contribution to Overall Module Assessment (%):</w:t>
            </w:r>
          </w:p>
        </w:tc>
        <w:tc>
          <w:tcPr>
            <w:tcW w:w="1842" w:type="dxa"/>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100%</w:t>
            </w:r>
          </w:p>
        </w:tc>
      </w:tr>
      <w:tr w:rsidR="006E1A12">
        <w:trPr>
          <w:trHeight w:val="549"/>
          <w:jc w:val="center"/>
        </w:trPr>
        <w:tc>
          <w:tcPr>
            <w:tcW w:w="1985" w:type="dxa"/>
            <w:shd w:val="pct10" w:color="auto" w:fill="auto"/>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Lecturer:</w:t>
            </w:r>
          </w:p>
        </w:tc>
        <w:tc>
          <w:tcPr>
            <w:tcW w:w="3401" w:type="dxa"/>
            <w:shd w:val="clear" w:color="auto" w:fill="auto"/>
            <w:vAlign w:val="center"/>
          </w:tcPr>
          <w:p w:rsidR="006E1A12" w:rsidRDefault="00270930">
            <w:pPr>
              <w:widowControl/>
              <w:adjustRightInd w:val="0"/>
              <w:snapToGrid w:val="0"/>
              <w:jc w:val="both"/>
              <w:rPr>
                <w:b/>
                <w:kern w:val="0"/>
                <w:szCs w:val="24"/>
                <w:lang w:val="en-GB" w:eastAsia="en-GB"/>
              </w:rPr>
            </w:pPr>
            <w:proofErr w:type="spellStart"/>
            <w:r>
              <w:rPr>
                <w:b/>
                <w:kern w:val="0"/>
                <w:szCs w:val="24"/>
                <w:lang w:val="en-GB" w:eastAsia="en-GB"/>
              </w:rPr>
              <w:t>Dr.</w:t>
            </w:r>
            <w:proofErr w:type="spellEnd"/>
            <w:r>
              <w:rPr>
                <w:b/>
                <w:kern w:val="0"/>
                <w:szCs w:val="24"/>
                <w:lang w:val="en-GB" w:eastAsia="en-GB"/>
              </w:rPr>
              <w:t xml:space="preserve">  </w:t>
            </w:r>
            <w:proofErr w:type="spellStart"/>
            <w:r>
              <w:rPr>
                <w:b/>
                <w:kern w:val="0"/>
                <w:szCs w:val="24"/>
                <w:lang w:val="en-GB" w:eastAsia="en-GB"/>
              </w:rPr>
              <w:t>Che</w:t>
            </w:r>
            <w:proofErr w:type="spellEnd"/>
            <w:r>
              <w:rPr>
                <w:b/>
                <w:kern w:val="0"/>
                <w:szCs w:val="24"/>
                <w:lang w:val="en-GB" w:eastAsia="en-GB"/>
              </w:rPr>
              <w:t xml:space="preserve"> Cheong </w:t>
            </w:r>
            <w:r>
              <w:rPr>
                <w:b/>
                <w:kern w:val="0"/>
                <w:szCs w:val="24"/>
                <w:lang w:val="en-GB" w:eastAsia="en-GB"/>
              </w:rPr>
              <w:t>Poon</w:t>
            </w:r>
          </w:p>
        </w:tc>
        <w:tc>
          <w:tcPr>
            <w:tcW w:w="2694" w:type="dxa"/>
            <w:shd w:val="clear" w:color="auto" w:fill="D9D9D9"/>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Internal Verifier:</w:t>
            </w:r>
          </w:p>
        </w:tc>
        <w:tc>
          <w:tcPr>
            <w:tcW w:w="1842" w:type="dxa"/>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Joe Leung</w:t>
            </w:r>
          </w:p>
        </w:tc>
      </w:tr>
      <w:tr w:rsidR="006E1A12">
        <w:trPr>
          <w:trHeight w:val="1295"/>
          <w:jc w:val="center"/>
        </w:trPr>
        <w:tc>
          <w:tcPr>
            <w:tcW w:w="1985" w:type="dxa"/>
            <w:shd w:val="pct10" w:color="auto" w:fill="auto"/>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Assignment Title:</w:t>
            </w:r>
          </w:p>
        </w:tc>
        <w:tc>
          <w:tcPr>
            <w:tcW w:w="3401" w:type="dxa"/>
            <w:shd w:val="clear" w:color="auto" w:fill="auto"/>
            <w:vAlign w:val="center"/>
          </w:tcPr>
          <w:p w:rsidR="006E1A12" w:rsidRDefault="00270930">
            <w:pPr>
              <w:widowControl/>
              <w:adjustRightInd w:val="0"/>
              <w:snapToGrid w:val="0"/>
              <w:rPr>
                <w:b/>
                <w:kern w:val="0"/>
                <w:szCs w:val="24"/>
                <w:lang w:val="en-GB" w:eastAsia="en-GB"/>
              </w:rPr>
            </w:pPr>
            <w:r>
              <w:rPr>
                <w:b/>
                <w:kern w:val="0"/>
                <w:szCs w:val="24"/>
                <w:lang w:val="en-GB" w:eastAsia="en-GB"/>
              </w:rPr>
              <w:t xml:space="preserve">Price Discrimination Strategy by </w:t>
            </w:r>
            <w:r>
              <w:rPr>
                <w:b/>
                <w:szCs w:val="24"/>
              </w:rPr>
              <w:t>Orange Sky Golden Harvest Entertainment (Holdings) Limited</w:t>
            </w:r>
            <w:r>
              <w:rPr>
                <w:b/>
                <w:kern w:val="0"/>
                <w:szCs w:val="24"/>
                <w:lang w:val="en-GB" w:eastAsia="en-GB"/>
              </w:rPr>
              <w:t>: An integrative case study”</w:t>
            </w:r>
          </w:p>
        </w:tc>
        <w:tc>
          <w:tcPr>
            <w:tcW w:w="2694" w:type="dxa"/>
            <w:shd w:val="pct10" w:color="auto" w:fill="auto"/>
            <w:vAlign w:val="center"/>
          </w:tcPr>
          <w:p w:rsidR="006E1A12" w:rsidRDefault="00270930">
            <w:pPr>
              <w:widowControl/>
              <w:adjustRightInd w:val="0"/>
              <w:snapToGrid w:val="0"/>
              <w:rPr>
                <w:b/>
                <w:kern w:val="0"/>
                <w:szCs w:val="24"/>
                <w:lang w:val="en-GB" w:eastAsia="en-GB"/>
              </w:rPr>
            </w:pPr>
            <w:r>
              <w:rPr>
                <w:b/>
                <w:kern w:val="0"/>
                <w:szCs w:val="24"/>
                <w:lang w:val="en-GB" w:eastAsia="en-GB"/>
              </w:rPr>
              <w:t>Word count (or equivalent):</w:t>
            </w:r>
          </w:p>
        </w:tc>
        <w:tc>
          <w:tcPr>
            <w:tcW w:w="1842" w:type="dxa"/>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5,000 words</w:t>
            </w:r>
          </w:p>
        </w:tc>
      </w:tr>
      <w:tr w:rsidR="006E1A12">
        <w:trPr>
          <w:trHeight w:val="1275"/>
          <w:jc w:val="center"/>
        </w:trPr>
        <w:tc>
          <w:tcPr>
            <w:tcW w:w="1985" w:type="dxa"/>
            <w:shd w:val="pct10" w:color="auto" w:fill="auto"/>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Submission deadline:</w:t>
            </w:r>
          </w:p>
        </w:tc>
        <w:tc>
          <w:tcPr>
            <w:tcW w:w="3401" w:type="dxa"/>
            <w:shd w:val="clear" w:color="auto" w:fill="auto"/>
            <w:vAlign w:val="center"/>
          </w:tcPr>
          <w:p w:rsidR="006E1A12" w:rsidRDefault="00270930">
            <w:pPr>
              <w:widowControl/>
              <w:adjustRightInd w:val="0"/>
              <w:snapToGrid w:val="0"/>
              <w:jc w:val="both"/>
              <w:rPr>
                <w:b/>
                <w:kern w:val="0"/>
                <w:szCs w:val="24"/>
                <w:lang w:val="en-GB" w:eastAsia="en-GB"/>
              </w:rPr>
            </w:pPr>
            <w:r>
              <w:rPr>
                <w:b/>
                <w:kern w:val="0"/>
                <w:szCs w:val="24"/>
                <w:lang w:val="en-GB" w:eastAsia="zh-HK"/>
              </w:rPr>
              <w:t xml:space="preserve">4 March </w:t>
            </w:r>
            <w:r>
              <w:rPr>
                <w:b/>
                <w:kern w:val="0"/>
                <w:szCs w:val="24"/>
                <w:lang w:val="en-GB" w:eastAsia="en-GB"/>
              </w:rPr>
              <w:t>2019</w:t>
            </w:r>
          </w:p>
        </w:tc>
        <w:tc>
          <w:tcPr>
            <w:tcW w:w="2694" w:type="dxa"/>
            <w:shd w:val="pct10" w:color="auto" w:fill="auto"/>
            <w:vAlign w:val="center"/>
          </w:tcPr>
          <w:p w:rsidR="006E1A12" w:rsidRDefault="00270930">
            <w:pPr>
              <w:widowControl/>
              <w:adjustRightInd w:val="0"/>
              <w:snapToGrid w:val="0"/>
              <w:rPr>
                <w:b/>
                <w:kern w:val="0"/>
                <w:szCs w:val="24"/>
                <w:lang w:val="en-GB" w:eastAsia="en-GB"/>
              </w:rPr>
            </w:pPr>
            <w:r>
              <w:rPr>
                <w:b/>
                <w:kern w:val="0"/>
                <w:szCs w:val="24"/>
                <w:lang w:val="en-GB" w:eastAsia="en-GB"/>
              </w:rPr>
              <w:t xml:space="preserve">Return </w:t>
            </w:r>
            <w:r>
              <w:rPr>
                <w:b/>
                <w:kern w:val="0"/>
                <w:szCs w:val="24"/>
                <w:lang w:val="en-GB" w:eastAsia="en-GB"/>
              </w:rPr>
              <w:t>date of provisional marks &amp; written feedback:</w:t>
            </w:r>
          </w:p>
        </w:tc>
        <w:tc>
          <w:tcPr>
            <w:tcW w:w="1842" w:type="dxa"/>
            <w:vAlign w:val="center"/>
          </w:tcPr>
          <w:p w:rsidR="006E1A12" w:rsidRDefault="00270930">
            <w:pPr>
              <w:widowControl/>
              <w:adjustRightInd w:val="0"/>
              <w:snapToGrid w:val="0"/>
              <w:rPr>
                <w:b/>
                <w:kern w:val="0"/>
                <w:szCs w:val="24"/>
                <w:lang w:val="en-GB" w:eastAsia="en-GB"/>
              </w:rPr>
            </w:pPr>
            <w:r>
              <w:rPr>
                <w:b/>
                <w:kern w:val="0"/>
                <w:szCs w:val="24"/>
                <w:lang w:val="en-GB" w:eastAsia="zh-HK"/>
              </w:rPr>
              <w:t xml:space="preserve">Within </w:t>
            </w:r>
            <w:r>
              <w:rPr>
                <w:b/>
                <w:kern w:val="0"/>
                <w:szCs w:val="24"/>
                <w:lang w:val="en-GB" w:eastAsia="en-GB"/>
              </w:rPr>
              <w:t>20 days after submission</w:t>
            </w:r>
          </w:p>
        </w:tc>
      </w:tr>
      <w:tr w:rsidR="006E1A12">
        <w:trPr>
          <w:trHeight w:val="2737"/>
          <w:jc w:val="center"/>
        </w:trPr>
        <w:tc>
          <w:tcPr>
            <w:tcW w:w="1985" w:type="dxa"/>
            <w:shd w:val="pct10" w:color="auto" w:fill="auto"/>
            <w:vAlign w:val="center"/>
          </w:tcPr>
          <w:p w:rsidR="006E1A12" w:rsidRDefault="00270930">
            <w:pPr>
              <w:widowControl/>
              <w:adjustRightInd w:val="0"/>
              <w:snapToGrid w:val="0"/>
              <w:jc w:val="both"/>
              <w:rPr>
                <w:b/>
                <w:kern w:val="0"/>
                <w:szCs w:val="24"/>
                <w:lang w:val="en-GB" w:eastAsia="en-GB"/>
              </w:rPr>
            </w:pPr>
            <w:r>
              <w:rPr>
                <w:b/>
                <w:kern w:val="0"/>
                <w:szCs w:val="24"/>
                <w:lang w:val="en-GB" w:eastAsia="en-GB"/>
              </w:rPr>
              <w:t>Submission method:</w:t>
            </w:r>
          </w:p>
        </w:tc>
        <w:tc>
          <w:tcPr>
            <w:tcW w:w="7937" w:type="dxa"/>
            <w:gridSpan w:val="3"/>
            <w:shd w:val="clear" w:color="auto" w:fill="auto"/>
            <w:vAlign w:val="center"/>
          </w:tcPr>
          <w:p w:rsidR="006E1A12" w:rsidRDefault="00270930">
            <w:pPr>
              <w:widowControl/>
              <w:adjustRightInd w:val="0"/>
              <w:snapToGrid w:val="0"/>
              <w:jc w:val="both"/>
              <w:rPr>
                <w:kern w:val="0"/>
                <w:szCs w:val="24"/>
                <w:lang w:val="en-GB" w:eastAsia="en-GB"/>
              </w:rPr>
            </w:pPr>
            <w:r>
              <w:rPr>
                <w:kern w:val="0"/>
                <w:szCs w:val="24"/>
                <w:lang w:val="en-GB" w:eastAsia="en-GB"/>
              </w:rPr>
              <w:t xml:space="preserve">All written assessments, where practical and possible, must be submitted via </w:t>
            </w:r>
            <w:proofErr w:type="spellStart"/>
            <w:r>
              <w:rPr>
                <w:kern w:val="0"/>
                <w:szCs w:val="24"/>
                <w:lang w:val="en-GB" w:eastAsia="en-GB"/>
              </w:rPr>
              <w:t>Turnitin</w:t>
            </w:r>
            <w:proofErr w:type="spellEnd"/>
            <w:r>
              <w:rPr>
                <w:kern w:val="0"/>
                <w:szCs w:val="24"/>
                <w:lang w:val="en-GB" w:eastAsia="en-GB"/>
              </w:rPr>
              <w:t xml:space="preserve"> unless otherwise instructed by the Lecturer. (Please DO NOT put this </w:t>
            </w:r>
            <w:r>
              <w:rPr>
                <w:kern w:val="0"/>
                <w:szCs w:val="24"/>
                <w:lang w:val="en-GB" w:eastAsia="en-GB"/>
              </w:rPr>
              <w:t xml:space="preserve">assessment specification into </w:t>
            </w:r>
            <w:proofErr w:type="spellStart"/>
            <w:r>
              <w:rPr>
                <w:kern w:val="0"/>
                <w:szCs w:val="24"/>
                <w:lang w:val="en-GB" w:eastAsia="en-GB"/>
              </w:rPr>
              <w:t>Turnitin</w:t>
            </w:r>
            <w:proofErr w:type="spellEnd"/>
            <w:r>
              <w:rPr>
                <w:kern w:val="0"/>
                <w:szCs w:val="24"/>
                <w:lang w:val="en-GB" w:eastAsia="en-GB"/>
              </w:rPr>
              <w:t xml:space="preserve"> or it will match many similarities with other students’ submissions.)</w:t>
            </w:r>
          </w:p>
          <w:p w:rsidR="006E1A12" w:rsidRDefault="006E1A12">
            <w:pPr>
              <w:widowControl/>
              <w:adjustRightInd w:val="0"/>
              <w:snapToGrid w:val="0"/>
              <w:jc w:val="both"/>
              <w:rPr>
                <w:b/>
                <w:kern w:val="0"/>
                <w:szCs w:val="24"/>
                <w:lang w:val="en-GB" w:eastAsia="en-GB"/>
              </w:rPr>
            </w:pPr>
          </w:p>
          <w:p w:rsidR="006E1A12" w:rsidRDefault="00270930">
            <w:pPr>
              <w:widowControl/>
              <w:adjustRightInd w:val="0"/>
              <w:snapToGrid w:val="0"/>
              <w:jc w:val="both"/>
              <w:rPr>
                <w:b/>
                <w:kern w:val="0"/>
                <w:szCs w:val="24"/>
                <w:lang w:val="en-GB" w:eastAsia="en-GB"/>
              </w:rPr>
            </w:pPr>
            <w:r>
              <w:rPr>
                <w:b/>
                <w:kern w:val="0"/>
                <w:szCs w:val="24"/>
                <w:lang w:val="en-GB" w:eastAsia="en-GB"/>
              </w:rPr>
              <w:t xml:space="preserve">Late submission of the assessment will result in a late penalty mark.  </w:t>
            </w:r>
            <w:r>
              <w:rPr>
                <w:kern w:val="0"/>
                <w:szCs w:val="24"/>
                <w:lang w:val="en-GB" w:eastAsia="en-GB"/>
              </w:rPr>
              <w:t>Penalties for late submission: Up to one week late, maximum mark of 50%.  O</w:t>
            </w:r>
            <w:r>
              <w:rPr>
                <w:kern w:val="0"/>
                <w:szCs w:val="24"/>
                <w:lang w:val="en-GB" w:eastAsia="en-GB"/>
              </w:rPr>
              <w:t>ver one week late, 0%.  Only the Extenuating Circumstances Panel may approve a change to submission dates.</w:t>
            </w:r>
          </w:p>
        </w:tc>
      </w:tr>
      <w:tr w:rsidR="006E1A12">
        <w:trPr>
          <w:trHeight w:val="1688"/>
          <w:jc w:val="center"/>
        </w:trPr>
        <w:tc>
          <w:tcPr>
            <w:tcW w:w="1985" w:type="dxa"/>
            <w:shd w:val="pct10" w:color="auto" w:fill="auto"/>
            <w:vAlign w:val="center"/>
          </w:tcPr>
          <w:p w:rsidR="006E1A12" w:rsidRDefault="00270930">
            <w:pPr>
              <w:widowControl/>
              <w:adjustRightInd w:val="0"/>
              <w:snapToGrid w:val="0"/>
              <w:rPr>
                <w:b/>
                <w:kern w:val="0"/>
                <w:szCs w:val="24"/>
                <w:lang w:val="en-GB" w:eastAsia="en-GB"/>
              </w:rPr>
            </w:pPr>
            <w:r>
              <w:rPr>
                <w:b/>
                <w:kern w:val="0"/>
                <w:szCs w:val="24"/>
                <w:lang w:val="en-GB" w:eastAsia="en-GB"/>
              </w:rPr>
              <w:t>Academic honesty / referencing:</w:t>
            </w:r>
          </w:p>
        </w:tc>
        <w:tc>
          <w:tcPr>
            <w:tcW w:w="7937" w:type="dxa"/>
            <w:gridSpan w:val="3"/>
            <w:shd w:val="clear" w:color="auto" w:fill="auto"/>
            <w:vAlign w:val="center"/>
          </w:tcPr>
          <w:p w:rsidR="006E1A12" w:rsidRDefault="00270930">
            <w:pPr>
              <w:widowControl/>
              <w:adjustRightInd w:val="0"/>
              <w:snapToGrid w:val="0"/>
              <w:jc w:val="both"/>
              <w:rPr>
                <w:kern w:val="0"/>
                <w:szCs w:val="24"/>
                <w:lang w:val="en-GB" w:eastAsia="en-GB"/>
              </w:rPr>
            </w:pPr>
            <w:r>
              <w:rPr>
                <w:kern w:val="0"/>
                <w:szCs w:val="24"/>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w:t>
            </w:r>
            <w:r>
              <w:rPr>
                <w:kern w:val="0"/>
                <w:szCs w:val="24"/>
                <w:lang w:val="en-GB" w:eastAsia="en-GB"/>
              </w:rPr>
              <w:t xml:space="preserve">or quoted in order to complete this assessment.  </w:t>
            </w:r>
          </w:p>
        </w:tc>
      </w:tr>
    </w:tbl>
    <w:p w:rsidR="006E1A12" w:rsidRDefault="006E1A12">
      <w:pPr>
        <w:jc w:val="both"/>
        <w:rPr>
          <w:rFonts w:eastAsia="標楷體"/>
          <w:b/>
          <w:smallCaps/>
          <w:sz w:val="22"/>
          <w:u w:val="single"/>
          <w:lang w:val="en-GB"/>
        </w:rPr>
        <w:sectPr w:rsidR="006E1A12">
          <w:footerReference w:type="even" r:id="rId11"/>
          <w:footerReference w:type="default" r:id="rId12"/>
          <w:pgSz w:w="11906" w:h="16838"/>
          <w:pgMar w:top="1134" w:right="1134" w:bottom="1134" w:left="1134" w:header="851" w:footer="992" w:gutter="0"/>
          <w:pgNumType w:fmt="lowerRoman" w:start="1"/>
          <w:cols w:space="425"/>
          <w:titlePg/>
          <w:docGrid w:type="lines" w:linePitch="360"/>
        </w:sectPr>
      </w:pPr>
    </w:p>
    <w:p w:rsidR="006E1A12" w:rsidRDefault="006E1A12">
      <w:pPr>
        <w:jc w:val="both"/>
        <w:rPr>
          <w:b/>
          <w:sz w:val="20"/>
          <w:szCs w:val="20"/>
          <w:u w:val="single"/>
        </w:rPr>
      </w:pPr>
    </w:p>
    <w:p w:rsidR="006E1A12" w:rsidRDefault="00270930">
      <w:pPr>
        <w:adjustRightInd w:val="0"/>
        <w:jc w:val="center"/>
        <w:rPr>
          <w:b/>
          <w:sz w:val="26"/>
          <w:szCs w:val="26"/>
          <w:u w:val="single"/>
        </w:rPr>
      </w:pPr>
      <w:r>
        <w:rPr>
          <w:color w:val="000000"/>
          <w:sz w:val="26"/>
          <w:szCs w:val="26"/>
        </w:rPr>
        <w:t xml:space="preserve">UWTSD MBA (Nov 2018 intake) </w:t>
      </w:r>
      <w:r>
        <w:rPr>
          <w:color w:val="000000"/>
          <w:sz w:val="26"/>
          <w:szCs w:val="26"/>
        </w:rPr>
        <w:br/>
        <w:t>SBMA7133 Managerial Economics</w:t>
      </w:r>
    </w:p>
    <w:p w:rsidR="006E1A12" w:rsidRDefault="006E1A12">
      <w:pPr>
        <w:adjustRightInd w:val="0"/>
        <w:jc w:val="center"/>
        <w:rPr>
          <w:b/>
          <w:sz w:val="26"/>
          <w:szCs w:val="26"/>
          <w:u w:val="single"/>
        </w:rPr>
      </w:pPr>
    </w:p>
    <w:p w:rsidR="006E1A12" w:rsidRDefault="00270930">
      <w:pPr>
        <w:rPr>
          <w:sz w:val="26"/>
          <w:szCs w:val="26"/>
        </w:rPr>
      </w:pPr>
      <w:r>
        <w:rPr>
          <w:sz w:val="26"/>
          <w:szCs w:val="26"/>
        </w:rPr>
        <w:t xml:space="preserve">Assignment </w:t>
      </w:r>
      <w:r>
        <w:rPr>
          <w:sz w:val="26"/>
          <w:szCs w:val="26"/>
        </w:rPr>
        <w:t>Title:</w:t>
      </w:r>
    </w:p>
    <w:p w:rsidR="006E1A12" w:rsidRDefault="00270930">
      <w:pPr>
        <w:rPr>
          <w:sz w:val="26"/>
          <w:szCs w:val="26"/>
        </w:rPr>
      </w:pPr>
      <w:r>
        <w:rPr>
          <w:sz w:val="26"/>
          <w:szCs w:val="26"/>
        </w:rPr>
        <w:t>Price Discrimination Strategy by Orange Sky Golden Harvest Entertainment (Holdings) Limited: An integrative case study”</w:t>
      </w:r>
    </w:p>
    <w:p w:rsidR="006E1A12" w:rsidRDefault="006E1A12">
      <w:pPr>
        <w:jc w:val="both"/>
        <w:rPr>
          <w:b/>
          <w:sz w:val="20"/>
          <w:szCs w:val="20"/>
          <w:u w:val="single"/>
        </w:rPr>
      </w:pPr>
    </w:p>
    <w:p w:rsidR="006E1A12" w:rsidRDefault="006E1A12">
      <w:pPr>
        <w:jc w:val="both"/>
        <w:rPr>
          <w:b/>
          <w:sz w:val="20"/>
          <w:szCs w:val="20"/>
          <w:u w:val="single"/>
        </w:rPr>
      </w:pPr>
    </w:p>
    <w:p w:rsidR="006E1A12" w:rsidRDefault="006E1A12">
      <w:pPr>
        <w:jc w:val="both"/>
        <w:rPr>
          <w:szCs w:val="21"/>
        </w:rPr>
      </w:pPr>
    </w:p>
    <w:p w:rsidR="006E1A12" w:rsidRDefault="006E1A12">
      <w:pPr>
        <w:jc w:val="both"/>
        <w:rPr>
          <w:szCs w:val="21"/>
        </w:rPr>
      </w:pPr>
    </w:p>
    <w:p w:rsidR="006E1A12" w:rsidRDefault="00270930">
      <w:pPr>
        <w:jc w:val="both"/>
        <w:rPr>
          <w:sz w:val="36"/>
          <w:szCs w:val="36"/>
        </w:rPr>
      </w:pPr>
      <w:r>
        <w:rPr>
          <w:sz w:val="36"/>
          <w:szCs w:val="36"/>
        </w:rPr>
        <w:t xml:space="preserve">“I, Sin </w:t>
      </w:r>
      <w:proofErr w:type="spellStart"/>
      <w:r>
        <w:rPr>
          <w:sz w:val="36"/>
          <w:szCs w:val="36"/>
        </w:rPr>
        <w:t>Yik</w:t>
      </w:r>
      <w:proofErr w:type="spellEnd"/>
      <w:r>
        <w:rPr>
          <w:sz w:val="36"/>
          <w:szCs w:val="36"/>
        </w:rPr>
        <w:t xml:space="preserve"> Ngan (student number 1812212), certify this work is the result of my own investigations, except where otherwise </w:t>
      </w:r>
      <w:r>
        <w:rPr>
          <w:sz w:val="36"/>
          <w:szCs w:val="36"/>
        </w:rPr>
        <w:t>stated.  All references have been duly cited”</w:t>
      </w:r>
    </w:p>
    <w:p w:rsidR="006E1A12" w:rsidRDefault="006E1A12">
      <w:pPr>
        <w:jc w:val="both"/>
        <w:rPr>
          <w:sz w:val="36"/>
          <w:szCs w:val="36"/>
        </w:rPr>
      </w:pPr>
    </w:p>
    <w:p w:rsidR="006E1A12" w:rsidRDefault="006E1A12">
      <w:pPr>
        <w:jc w:val="both"/>
      </w:pPr>
    </w:p>
    <w:p w:rsidR="006E1A12" w:rsidRDefault="006E1A12">
      <w:pPr>
        <w:jc w:val="both"/>
      </w:pPr>
    </w:p>
    <w:p w:rsidR="006E1A12" w:rsidRDefault="006E1A12">
      <w:pPr>
        <w:jc w:val="both"/>
      </w:pPr>
    </w:p>
    <w:p w:rsidR="006E1A12" w:rsidRDefault="006E1A12">
      <w:pPr>
        <w:jc w:val="both"/>
      </w:pPr>
    </w:p>
    <w:p w:rsidR="006E1A12" w:rsidRDefault="006E1A12">
      <w:pPr>
        <w:jc w:val="both"/>
        <w:rPr>
          <w:b/>
        </w:rPr>
      </w:pPr>
    </w:p>
    <w:p w:rsidR="006E1A12" w:rsidRDefault="00270930">
      <w:pPr>
        <w:jc w:val="both"/>
        <w:rPr>
          <w:b/>
        </w:rPr>
      </w:pPr>
      <w:r>
        <w:rPr>
          <w:b/>
        </w:rPr>
        <w:t>Signed: ………………………………………………………</w:t>
      </w:r>
    </w:p>
    <w:p w:rsidR="006E1A12" w:rsidRDefault="00270930">
      <w:pPr>
        <w:rPr>
          <w:b/>
          <w:sz w:val="26"/>
        </w:rPr>
      </w:pPr>
      <w:r>
        <w:rPr>
          <w:b/>
          <w:sz w:val="26"/>
        </w:rPr>
        <w:t>Date:</w:t>
      </w:r>
    </w:p>
    <w:p w:rsidR="006E1A12" w:rsidRDefault="006E1A12">
      <w:pPr>
        <w:jc w:val="center"/>
        <w:rPr>
          <w:sz w:val="26"/>
        </w:rPr>
      </w:pPr>
    </w:p>
    <w:p w:rsidR="006E1A12" w:rsidRDefault="00270930">
      <w:pPr>
        <w:widowControl/>
        <w:adjustRightInd w:val="0"/>
        <w:snapToGrid w:val="0"/>
        <w:jc w:val="center"/>
        <w:rPr>
          <w:sz w:val="26"/>
        </w:rPr>
      </w:pPr>
      <w:r>
        <w:rPr>
          <w:sz w:val="26"/>
        </w:rPr>
        <w:br w:type="page"/>
      </w:r>
    </w:p>
    <w:p w:rsidR="006E1A12" w:rsidRDefault="00270930">
      <w:pPr>
        <w:widowControl/>
        <w:adjustRightInd w:val="0"/>
        <w:snapToGrid w:val="0"/>
        <w:jc w:val="center"/>
        <w:rPr>
          <w:rFonts w:eastAsia="新細明體" w:hint="eastAsia"/>
          <w:b/>
          <w:sz w:val="26"/>
          <w:szCs w:val="26"/>
        </w:rPr>
      </w:pPr>
      <w:r>
        <w:rPr>
          <w:b/>
          <w:sz w:val="26"/>
          <w:szCs w:val="26"/>
        </w:rPr>
        <w:lastRenderedPageBreak/>
        <w:t>Case Synopsis</w:t>
      </w:r>
    </w:p>
    <w:p w:rsidR="008E78CF" w:rsidRPr="008E78CF" w:rsidRDefault="008E78CF">
      <w:pPr>
        <w:widowControl/>
        <w:adjustRightInd w:val="0"/>
        <w:snapToGrid w:val="0"/>
        <w:jc w:val="center"/>
        <w:rPr>
          <w:rFonts w:eastAsia="新細明體" w:hint="eastAsia"/>
          <w:b/>
          <w:sz w:val="26"/>
          <w:szCs w:val="26"/>
        </w:rPr>
      </w:pPr>
    </w:p>
    <w:p w:rsidR="006E1A12" w:rsidRDefault="006E1A12">
      <w:pPr>
        <w:widowControl/>
        <w:adjustRightInd w:val="0"/>
        <w:snapToGrid w:val="0"/>
        <w:jc w:val="center"/>
        <w:rPr>
          <w:b/>
          <w:szCs w:val="24"/>
        </w:rPr>
      </w:pPr>
    </w:p>
    <w:p w:rsidR="006E1A12" w:rsidRDefault="00270930">
      <w:pPr>
        <w:widowControl/>
        <w:adjustRightInd w:val="0"/>
        <w:snapToGrid w:val="0"/>
        <w:spacing w:line="360" w:lineRule="auto"/>
        <w:jc w:val="both"/>
        <w:rPr>
          <w:szCs w:val="24"/>
        </w:rPr>
      </w:pPr>
      <w:r>
        <w:rPr>
          <w:rFonts w:hint="eastAsia"/>
          <w:szCs w:val="24"/>
        </w:rPr>
        <w:t xml:space="preserve">There </w:t>
      </w:r>
      <w:proofErr w:type="gramStart"/>
      <w:r>
        <w:rPr>
          <w:rFonts w:hint="eastAsia"/>
          <w:szCs w:val="24"/>
        </w:rPr>
        <w:t>are</w:t>
      </w:r>
      <w:proofErr w:type="gramEnd"/>
      <w:r>
        <w:rPr>
          <w:rFonts w:hint="eastAsia"/>
          <w:szCs w:val="24"/>
        </w:rPr>
        <w:t xml:space="preserve"> various kind of industries delimiting different movie ticket price according to different kind of customers and one of the example is Cinema</w:t>
      </w:r>
      <w:r>
        <w:rPr>
          <w:rFonts w:hint="eastAsia"/>
          <w:szCs w:val="24"/>
        </w:rPr>
        <w:t xml:space="preserve">. </w:t>
      </w:r>
      <w:r w:rsidR="0015333A">
        <w:rPr>
          <w:rFonts w:eastAsia="新細明體" w:hint="eastAsia"/>
          <w:szCs w:val="24"/>
        </w:rPr>
        <w:t>Cinemas used to</w:t>
      </w:r>
      <w:r>
        <w:rPr>
          <w:szCs w:val="24"/>
        </w:rPr>
        <w:t xml:space="preserve"> set up different prices for the same movie in order to </w:t>
      </w:r>
      <w:r w:rsidR="0015333A">
        <w:rPr>
          <w:rFonts w:eastAsia="新細明體" w:hint="eastAsia"/>
          <w:szCs w:val="24"/>
        </w:rPr>
        <w:t>gain</w:t>
      </w:r>
      <w:r>
        <w:rPr>
          <w:szCs w:val="24"/>
        </w:rPr>
        <w:t xml:space="preserve"> a </w:t>
      </w:r>
      <w:r w:rsidR="0015333A">
        <w:rPr>
          <w:rFonts w:eastAsia="新細明體" w:hint="eastAsia"/>
          <w:szCs w:val="24"/>
        </w:rPr>
        <w:t xml:space="preserve">higher </w:t>
      </w:r>
      <w:r>
        <w:rPr>
          <w:szCs w:val="24"/>
        </w:rPr>
        <w:t xml:space="preserve">profit. </w:t>
      </w:r>
      <w:r>
        <w:rPr>
          <w:rFonts w:eastAsia="新細明體"/>
          <w:szCs w:val="24"/>
          <w:shd w:val="clear" w:color="auto" w:fill="FFFFFF"/>
        </w:rPr>
        <w:t>They</w:t>
      </w:r>
      <w:r>
        <w:rPr>
          <w:rFonts w:eastAsia="Georgia"/>
          <w:szCs w:val="24"/>
          <w:shd w:val="clear" w:color="auto" w:fill="FFFFFF"/>
        </w:rPr>
        <w:t xml:space="preserve"> use a variety of </w:t>
      </w:r>
      <w:r w:rsidR="0015333A">
        <w:rPr>
          <w:rFonts w:eastAsia="新細明體" w:hint="eastAsia"/>
          <w:szCs w:val="24"/>
          <w:shd w:val="clear" w:color="auto" w:fill="FFFFFF"/>
        </w:rPr>
        <w:t xml:space="preserve">pricing </w:t>
      </w:r>
      <w:r>
        <w:rPr>
          <w:rFonts w:eastAsia="Georgia"/>
          <w:szCs w:val="24"/>
          <w:shd w:val="clear" w:color="auto" w:fill="FFFFFF"/>
        </w:rPr>
        <w:t xml:space="preserve">strategies </w:t>
      </w:r>
      <w:r w:rsidR="0015333A">
        <w:rPr>
          <w:rFonts w:eastAsia="新細明體" w:hint="eastAsia"/>
          <w:szCs w:val="24"/>
          <w:shd w:val="clear" w:color="auto" w:fill="FFFFFF"/>
        </w:rPr>
        <w:t>trying</w:t>
      </w:r>
      <w:r>
        <w:rPr>
          <w:rFonts w:eastAsia="Georgia"/>
          <w:szCs w:val="24"/>
          <w:shd w:val="clear" w:color="auto" w:fill="FFFFFF"/>
        </w:rPr>
        <w:t xml:space="preserve"> to ensure that the seats are sold to those </w:t>
      </w:r>
      <w:r w:rsidR="0015333A">
        <w:rPr>
          <w:rFonts w:eastAsia="新細明體" w:hint="eastAsia"/>
          <w:szCs w:val="24"/>
          <w:shd w:val="clear" w:color="auto" w:fill="FFFFFF"/>
        </w:rPr>
        <w:t xml:space="preserve">groups of people </w:t>
      </w:r>
      <w:r>
        <w:rPr>
          <w:rFonts w:eastAsia="Georgia"/>
          <w:szCs w:val="24"/>
          <w:shd w:val="clear" w:color="auto" w:fill="FFFFFF"/>
        </w:rPr>
        <w:t>who are willing to pay the most.</w:t>
      </w:r>
      <w:r w:rsidR="0015333A">
        <w:rPr>
          <w:rFonts w:eastAsia="新細明體" w:hint="eastAsia"/>
          <w:szCs w:val="24"/>
          <w:shd w:val="clear" w:color="auto" w:fill="FFFFFF"/>
        </w:rPr>
        <w:t xml:space="preserve"> </w:t>
      </w:r>
      <w:r>
        <w:rPr>
          <w:szCs w:val="24"/>
        </w:rPr>
        <w:t>The economic principle behind this phenomenon is</w:t>
      </w:r>
      <w:r>
        <w:rPr>
          <w:szCs w:val="24"/>
        </w:rPr>
        <w:t xml:space="preserve"> </w:t>
      </w:r>
      <w:r w:rsidR="0015333A">
        <w:rPr>
          <w:rFonts w:eastAsia="新細明體" w:hint="eastAsia"/>
          <w:szCs w:val="24"/>
        </w:rPr>
        <w:t>called</w:t>
      </w:r>
      <w:r w:rsidR="0015333A">
        <w:rPr>
          <w:szCs w:val="24"/>
        </w:rPr>
        <w:t xml:space="preserve"> </w:t>
      </w:r>
      <w:r w:rsidR="0015333A">
        <w:rPr>
          <w:rFonts w:eastAsia="新細明體" w:hint="eastAsia"/>
          <w:szCs w:val="24"/>
        </w:rPr>
        <w:t>t</w:t>
      </w:r>
      <w:r>
        <w:rPr>
          <w:szCs w:val="24"/>
        </w:rPr>
        <w:t>he price discrimination</w:t>
      </w:r>
      <w:r w:rsidR="0015333A">
        <w:rPr>
          <w:rFonts w:eastAsia="新細明體" w:hint="eastAsia"/>
          <w:szCs w:val="24"/>
        </w:rPr>
        <w:t>.</w:t>
      </w:r>
      <w:r>
        <w:rPr>
          <w:szCs w:val="24"/>
        </w:rPr>
        <w:t xml:space="preserve"> </w:t>
      </w:r>
      <w:r w:rsidR="0015333A">
        <w:rPr>
          <w:rFonts w:eastAsia="新細明體" w:hint="eastAsia"/>
          <w:szCs w:val="24"/>
        </w:rPr>
        <w:t xml:space="preserve">It </w:t>
      </w:r>
      <w:r w:rsidR="0015333A">
        <w:rPr>
          <w:szCs w:val="24"/>
        </w:rPr>
        <w:t>provid</w:t>
      </w:r>
      <w:r w:rsidR="0015333A">
        <w:rPr>
          <w:rFonts w:eastAsia="新細明體" w:hint="eastAsia"/>
          <w:szCs w:val="24"/>
        </w:rPr>
        <w:t>es</w:t>
      </w:r>
      <w:r>
        <w:rPr>
          <w:szCs w:val="24"/>
        </w:rPr>
        <w:t xml:space="preserve"> same goods or services to </w:t>
      </w:r>
      <w:r w:rsidR="0015333A">
        <w:rPr>
          <w:rFonts w:eastAsia="新細明體" w:hint="eastAsia"/>
          <w:szCs w:val="24"/>
        </w:rPr>
        <w:t>consumers by charging them</w:t>
      </w:r>
      <w:r>
        <w:rPr>
          <w:szCs w:val="24"/>
        </w:rPr>
        <w:t xml:space="preserve"> different prices. Air ti</w:t>
      </w:r>
      <w:r>
        <w:rPr>
          <w:szCs w:val="24"/>
        </w:rPr>
        <w:t>cket and movie ticket are the most common example of price discrimination happening.</w:t>
      </w:r>
      <w:r w:rsidR="0015333A">
        <w:rPr>
          <w:rFonts w:eastAsia="新細明體" w:hint="eastAsia"/>
          <w:szCs w:val="24"/>
        </w:rPr>
        <w:t xml:space="preserve"> </w:t>
      </w:r>
      <w:r>
        <w:rPr>
          <w:szCs w:val="24"/>
        </w:rPr>
        <w:t xml:space="preserve">Price discrimination allows </w:t>
      </w:r>
      <w:r w:rsidR="0015333A">
        <w:rPr>
          <w:rFonts w:eastAsia="新細明體" w:hint="eastAsia"/>
          <w:szCs w:val="24"/>
        </w:rPr>
        <w:t>companies</w:t>
      </w:r>
      <w:r>
        <w:rPr>
          <w:szCs w:val="24"/>
        </w:rPr>
        <w:t xml:space="preserve"> to increase their revenu</w:t>
      </w:r>
      <w:r>
        <w:rPr>
          <w:szCs w:val="24"/>
        </w:rPr>
        <w:t xml:space="preserve">e </w:t>
      </w:r>
      <w:r>
        <w:rPr>
          <w:szCs w:val="24"/>
        </w:rPr>
        <w:t xml:space="preserve">what may be obtained from uniform pricing. </w:t>
      </w:r>
      <w:r w:rsidR="0015333A">
        <w:rPr>
          <w:rFonts w:eastAsia="新細明體" w:hint="eastAsia"/>
          <w:szCs w:val="24"/>
        </w:rPr>
        <w:t>In general, t</w:t>
      </w:r>
      <w:r>
        <w:rPr>
          <w:szCs w:val="24"/>
        </w:rPr>
        <w:t>he relative impact on consumers is</w:t>
      </w:r>
      <w:r>
        <w:rPr>
          <w:szCs w:val="24"/>
        </w:rPr>
        <w:t xml:space="preserve"> ambiguous. Although non</w:t>
      </w:r>
      <w:r w:rsidR="0015333A">
        <w:rPr>
          <w:rFonts w:eastAsia="新細明體" w:hint="eastAsia"/>
          <w:szCs w:val="24"/>
        </w:rPr>
        <w:t>-</w:t>
      </w:r>
      <w:r>
        <w:rPr>
          <w:szCs w:val="24"/>
        </w:rPr>
        <w:t xml:space="preserve">uniform pricing is </w:t>
      </w:r>
      <w:r w:rsidR="0015333A">
        <w:rPr>
          <w:rFonts w:eastAsia="新細明體" w:hint="eastAsia"/>
          <w:szCs w:val="24"/>
        </w:rPr>
        <w:t xml:space="preserve">very </w:t>
      </w:r>
      <w:r>
        <w:rPr>
          <w:szCs w:val="24"/>
        </w:rPr>
        <w:t>common, its welfare implications are an empirical issue about which little is known.</w:t>
      </w:r>
      <w:r>
        <w:rPr>
          <w:rFonts w:eastAsia="新細明體" w:hint="eastAsia"/>
          <w:szCs w:val="24"/>
        </w:rPr>
        <w:t xml:space="preserve"> </w:t>
      </w:r>
      <w:r>
        <w:rPr>
          <w:szCs w:val="24"/>
        </w:rPr>
        <w:t>Orange Sky Golden Harvest Ent</w:t>
      </w:r>
      <w:r>
        <w:rPr>
          <w:szCs w:val="24"/>
        </w:rPr>
        <w:t xml:space="preserve">ertainment (Holdings) Limited is one of the </w:t>
      </w:r>
      <w:r>
        <w:rPr>
          <w:rFonts w:hint="eastAsia"/>
          <w:szCs w:val="24"/>
        </w:rPr>
        <w:t xml:space="preserve">film producer that operating a </w:t>
      </w:r>
      <w:r>
        <w:rPr>
          <w:szCs w:val="24"/>
        </w:rPr>
        <w:t xml:space="preserve">cinema chain </w:t>
      </w:r>
      <w:r>
        <w:rPr>
          <w:rFonts w:hint="eastAsia"/>
          <w:szCs w:val="24"/>
        </w:rPr>
        <w:t>and</w:t>
      </w:r>
      <w:r>
        <w:rPr>
          <w:szCs w:val="24"/>
        </w:rPr>
        <w:t xml:space="preserve"> listed in 1994 in Hong Kong. In this case study, </w:t>
      </w:r>
      <w:r>
        <w:rPr>
          <w:rFonts w:hint="eastAsia"/>
          <w:szCs w:val="24"/>
        </w:rPr>
        <w:t xml:space="preserve">we are </w:t>
      </w:r>
      <w:r>
        <w:rPr>
          <w:szCs w:val="24"/>
        </w:rPr>
        <w:t>going to further study</w:t>
      </w:r>
      <w:r>
        <w:rPr>
          <w:rFonts w:hint="eastAsia"/>
          <w:szCs w:val="24"/>
        </w:rPr>
        <w:t xml:space="preserve"> and discuss</w:t>
      </w:r>
      <w:r>
        <w:rPr>
          <w:szCs w:val="24"/>
        </w:rPr>
        <w:t xml:space="preserve"> the price discrimination strategy that Golden Harvest is now using </w:t>
      </w:r>
      <w:r>
        <w:rPr>
          <w:rFonts w:hint="eastAsia"/>
          <w:szCs w:val="24"/>
        </w:rPr>
        <w:t xml:space="preserve">and </w:t>
      </w:r>
      <w:r>
        <w:rPr>
          <w:rFonts w:hint="eastAsia"/>
          <w:szCs w:val="24"/>
        </w:rPr>
        <w:t>it</w:t>
      </w:r>
      <w:r>
        <w:rPr>
          <w:rFonts w:hint="eastAsia"/>
          <w:szCs w:val="24"/>
        </w:rPr>
        <w:t xml:space="preserve">s </w:t>
      </w:r>
      <w:r>
        <w:rPr>
          <w:rFonts w:hint="eastAsia"/>
          <w:szCs w:val="24"/>
        </w:rPr>
        <w:t xml:space="preserve">effectiveness </w:t>
      </w:r>
      <w:r>
        <w:rPr>
          <w:szCs w:val="24"/>
        </w:rPr>
        <w:t xml:space="preserve">through existing </w:t>
      </w:r>
      <w:r>
        <w:rPr>
          <w:rFonts w:hint="eastAsia"/>
          <w:szCs w:val="24"/>
        </w:rPr>
        <w:t>strategy</w:t>
      </w:r>
      <w:r>
        <w:rPr>
          <w:szCs w:val="24"/>
        </w:rPr>
        <w:t xml:space="preserve">. </w:t>
      </w:r>
    </w:p>
    <w:p w:rsidR="006E1A12" w:rsidRDefault="006E1A12">
      <w:pPr>
        <w:widowControl/>
        <w:adjustRightInd w:val="0"/>
        <w:snapToGrid w:val="0"/>
        <w:jc w:val="both"/>
        <w:rPr>
          <w:b/>
          <w:szCs w:val="24"/>
        </w:rPr>
      </w:pPr>
    </w:p>
    <w:p w:rsidR="006E1A12" w:rsidRDefault="006E1A12">
      <w:pPr>
        <w:widowControl/>
        <w:adjustRightInd w:val="0"/>
        <w:snapToGrid w:val="0"/>
        <w:jc w:val="both"/>
        <w:rPr>
          <w:b/>
          <w:szCs w:val="24"/>
        </w:rPr>
      </w:pPr>
    </w:p>
    <w:p w:rsidR="006E1A12" w:rsidRDefault="006E1A12">
      <w:pPr>
        <w:widowControl/>
        <w:adjustRightInd w:val="0"/>
        <w:snapToGrid w:val="0"/>
        <w:jc w:val="both"/>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6E1A12">
      <w:pPr>
        <w:widowControl/>
        <w:adjustRightInd w:val="0"/>
        <w:snapToGrid w:val="0"/>
        <w:rPr>
          <w:b/>
          <w:sz w:val="26"/>
          <w:szCs w:val="26"/>
        </w:rPr>
      </w:pPr>
    </w:p>
    <w:p w:rsidR="006E1A12" w:rsidRDefault="00270930">
      <w:pPr>
        <w:jc w:val="center"/>
        <w:rPr>
          <w:b/>
          <w:sz w:val="26"/>
        </w:rPr>
      </w:pPr>
      <w:r>
        <w:rPr>
          <w:b/>
          <w:sz w:val="26"/>
        </w:rPr>
        <w:lastRenderedPageBreak/>
        <w:t>Table of Contents</w:t>
      </w:r>
    </w:p>
    <w:p w:rsidR="006E1A12" w:rsidRDefault="006E1A12">
      <w:pPr>
        <w:jc w:val="center"/>
        <w:rPr>
          <w:b/>
          <w:sz w:val="26"/>
        </w:rPr>
      </w:pPr>
    </w:p>
    <w:p w:rsidR="006E1A12" w:rsidRDefault="006E1A12">
      <w:pPr>
        <w:jc w:val="center"/>
        <w:rPr>
          <w:b/>
          <w:sz w:val="26"/>
        </w:rPr>
      </w:pPr>
    </w:p>
    <w:p w:rsidR="006E1A12" w:rsidRDefault="006E1A12">
      <w:pPr>
        <w:pStyle w:val="a8"/>
        <w:adjustRightInd w:val="0"/>
        <w:snapToGrid w:val="0"/>
        <w:rPr>
          <w:b w:val="0"/>
          <w:bCs w:val="0"/>
          <w:sz w:val="24"/>
          <w:lang w:eastAsia="zh-TW"/>
        </w:rPr>
      </w:pPr>
    </w:p>
    <w:tbl>
      <w:tblPr>
        <w:tblW w:w="9126" w:type="dxa"/>
        <w:tblLayout w:type="fixed"/>
        <w:tblCellMar>
          <w:left w:w="28" w:type="dxa"/>
          <w:right w:w="28" w:type="dxa"/>
        </w:tblCellMar>
        <w:tblLook w:val="04A0" w:firstRow="1" w:lastRow="0" w:firstColumn="1" w:lastColumn="0" w:noHBand="0" w:noVBand="1"/>
      </w:tblPr>
      <w:tblGrid>
        <w:gridCol w:w="546"/>
        <w:gridCol w:w="510"/>
        <w:gridCol w:w="10"/>
        <w:gridCol w:w="35"/>
        <w:gridCol w:w="10"/>
        <w:gridCol w:w="7323"/>
        <w:gridCol w:w="692"/>
      </w:tblGrid>
      <w:tr w:rsidR="006E1A12">
        <w:tc>
          <w:tcPr>
            <w:tcW w:w="546" w:type="dxa"/>
          </w:tcPr>
          <w:p w:rsidR="006E1A12" w:rsidRDefault="006E1A12">
            <w:pPr>
              <w:pStyle w:val="a0"/>
              <w:adjustRightInd w:val="0"/>
              <w:snapToGrid w:val="0"/>
              <w:spacing w:after="0"/>
              <w:rPr>
                <w:sz w:val="24"/>
                <w:lang w:eastAsia="zh-TW"/>
              </w:rPr>
            </w:pPr>
          </w:p>
        </w:tc>
        <w:tc>
          <w:tcPr>
            <w:tcW w:w="7888" w:type="dxa"/>
            <w:gridSpan w:val="5"/>
          </w:tcPr>
          <w:p w:rsidR="006E1A12" w:rsidRDefault="006E1A12">
            <w:pPr>
              <w:pStyle w:val="a0"/>
              <w:adjustRightInd w:val="0"/>
              <w:snapToGrid w:val="0"/>
              <w:spacing w:after="0"/>
              <w:rPr>
                <w:sz w:val="24"/>
                <w:lang w:eastAsia="zh-TW"/>
              </w:rPr>
            </w:pPr>
          </w:p>
        </w:tc>
        <w:tc>
          <w:tcPr>
            <w:tcW w:w="692" w:type="dxa"/>
          </w:tcPr>
          <w:p w:rsidR="006E1A12" w:rsidRDefault="00270930">
            <w:pPr>
              <w:pStyle w:val="a0"/>
              <w:adjustRightInd w:val="0"/>
              <w:snapToGrid w:val="0"/>
              <w:spacing w:after="0"/>
              <w:jc w:val="center"/>
              <w:rPr>
                <w:sz w:val="24"/>
                <w:u w:val="single"/>
                <w:lang w:eastAsia="zh-TW"/>
              </w:rPr>
            </w:pPr>
            <w:r>
              <w:rPr>
                <w:sz w:val="24"/>
                <w:u w:val="single"/>
                <w:lang w:eastAsia="zh-TW"/>
              </w:rPr>
              <w:t>Page</w:t>
            </w:r>
          </w:p>
          <w:p w:rsidR="006E1A12" w:rsidRDefault="006E1A12">
            <w:pPr>
              <w:pStyle w:val="a0"/>
              <w:adjustRightInd w:val="0"/>
              <w:snapToGrid w:val="0"/>
              <w:spacing w:after="0"/>
              <w:jc w:val="center"/>
              <w:rPr>
                <w:sz w:val="24"/>
                <w:u w:val="single"/>
                <w:lang w:eastAsia="zh-TW"/>
              </w:rPr>
            </w:pPr>
          </w:p>
        </w:tc>
      </w:tr>
      <w:tr w:rsidR="006E1A12">
        <w:tc>
          <w:tcPr>
            <w:tcW w:w="546" w:type="dxa"/>
          </w:tcPr>
          <w:p w:rsidR="006E1A12" w:rsidRDefault="00270930">
            <w:pPr>
              <w:pStyle w:val="a0"/>
              <w:adjustRightInd w:val="0"/>
              <w:snapToGrid w:val="0"/>
              <w:spacing w:after="0"/>
              <w:rPr>
                <w:sz w:val="24"/>
                <w:lang w:eastAsia="zh-TW"/>
              </w:rPr>
            </w:pPr>
            <w:r>
              <w:rPr>
                <w:sz w:val="24"/>
                <w:lang w:eastAsia="zh-TW"/>
              </w:rPr>
              <w:t>1</w:t>
            </w:r>
          </w:p>
        </w:tc>
        <w:tc>
          <w:tcPr>
            <w:tcW w:w="7888" w:type="dxa"/>
            <w:gridSpan w:val="5"/>
          </w:tcPr>
          <w:p w:rsidR="006E1A12" w:rsidRDefault="00270930">
            <w:pPr>
              <w:pStyle w:val="a0"/>
              <w:adjustRightInd w:val="0"/>
              <w:snapToGrid w:val="0"/>
              <w:spacing w:after="0"/>
              <w:rPr>
                <w:rFonts w:eastAsia="標楷體"/>
                <w:color w:val="0000FF"/>
                <w:sz w:val="24"/>
              </w:rPr>
            </w:pPr>
            <w:r>
              <w:rPr>
                <w:sz w:val="24"/>
                <w:lang w:eastAsia="zh-TW"/>
              </w:rPr>
              <w:t>Introduction</w:t>
            </w:r>
          </w:p>
        </w:tc>
        <w:tc>
          <w:tcPr>
            <w:tcW w:w="692" w:type="dxa"/>
          </w:tcPr>
          <w:p w:rsidR="006E1A12" w:rsidRDefault="00270930">
            <w:pPr>
              <w:pStyle w:val="a0"/>
              <w:adjustRightInd w:val="0"/>
              <w:snapToGrid w:val="0"/>
              <w:spacing w:after="0"/>
              <w:jc w:val="center"/>
              <w:rPr>
                <w:sz w:val="24"/>
                <w:lang w:eastAsia="zh-TW"/>
              </w:rPr>
            </w:pPr>
            <w:r>
              <w:rPr>
                <w:sz w:val="24"/>
                <w:lang w:eastAsia="zh-TW"/>
              </w:rPr>
              <w:t>1</w:t>
            </w:r>
          </w:p>
        </w:tc>
      </w:tr>
      <w:tr w:rsidR="006E1A12">
        <w:tc>
          <w:tcPr>
            <w:tcW w:w="546" w:type="dxa"/>
          </w:tcPr>
          <w:p w:rsidR="006E1A12" w:rsidRDefault="006E1A12">
            <w:pPr>
              <w:pStyle w:val="a0"/>
              <w:adjustRightInd w:val="0"/>
              <w:snapToGrid w:val="0"/>
              <w:spacing w:after="0"/>
              <w:rPr>
                <w:sz w:val="24"/>
                <w:lang w:eastAsia="zh-TW"/>
              </w:rPr>
            </w:pPr>
          </w:p>
        </w:tc>
        <w:tc>
          <w:tcPr>
            <w:tcW w:w="510" w:type="dxa"/>
          </w:tcPr>
          <w:p w:rsidR="006E1A12" w:rsidRDefault="00270930">
            <w:pPr>
              <w:pStyle w:val="a0"/>
              <w:adjustRightInd w:val="0"/>
              <w:snapToGrid w:val="0"/>
              <w:spacing w:after="0"/>
              <w:rPr>
                <w:sz w:val="24"/>
                <w:lang w:eastAsia="zh-TW"/>
              </w:rPr>
            </w:pPr>
            <w:r>
              <w:rPr>
                <w:sz w:val="24"/>
                <w:lang w:eastAsia="zh-TW"/>
              </w:rPr>
              <w:t>1.1</w:t>
            </w:r>
          </w:p>
        </w:tc>
        <w:tc>
          <w:tcPr>
            <w:tcW w:w="7378" w:type="dxa"/>
            <w:gridSpan w:val="4"/>
          </w:tcPr>
          <w:p w:rsidR="006E1A12" w:rsidRDefault="00270930">
            <w:pPr>
              <w:pStyle w:val="a0"/>
              <w:adjustRightInd w:val="0"/>
              <w:snapToGrid w:val="0"/>
              <w:spacing w:after="0"/>
              <w:rPr>
                <w:sz w:val="24"/>
                <w:lang w:eastAsia="zh-TW"/>
              </w:rPr>
            </w:pPr>
            <w:r>
              <w:rPr>
                <w:sz w:val="24"/>
                <w:lang w:eastAsia="zh-TW"/>
              </w:rPr>
              <w:t>The company’s product/service portfolio</w:t>
            </w:r>
          </w:p>
        </w:tc>
        <w:tc>
          <w:tcPr>
            <w:tcW w:w="692" w:type="dxa"/>
          </w:tcPr>
          <w:p w:rsidR="006E1A12" w:rsidRPr="00600D3A" w:rsidRDefault="00600D3A">
            <w:pPr>
              <w:pStyle w:val="a0"/>
              <w:adjustRightInd w:val="0"/>
              <w:snapToGrid w:val="0"/>
              <w:spacing w:after="0"/>
              <w:jc w:val="center"/>
              <w:rPr>
                <w:rFonts w:eastAsia="新細明體" w:hint="eastAsia"/>
                <w:sz w:val="24"/>
                <w:lang w:eastAsia="zh-TW"/>
              </w:rPr>
            </w:pPr>
            <w:r>
              <w:rPr>
                <w:rFonts w:eastAsia="新細明體" w:hint="eastAsia"/>
                <w:sz w:val="24"/>
                <w:lang w:eastAsia="zh-TW"/>
              </w:rPr>
              <w:t>1</w:t>
            </w:r>
          </w:p>
        </w:tc>
      </w:tr>
      <w:tr w:rsidR="006E1A12">
        <w:tc>
          <w:tcPr>
            <w:tcW w:w="546" w:type="dxa"/>
          </w:tcPr>
          <w:p w:rsidR="006E1A12" w:rsidRDefault="006E1A12">
            <w:pPr>
              <w:pStyle w:val="a0"/>
              <w:adjustRightInd w:val="0"/>
              <w:snapToGrid w:val="0"/>
              <w:spacing w:after="0"/>
              <w:rPr>
                <w:sz w:val="24"/>
                <w:lang w:eastAsia="zh-TW"/>
              </w:rPr>
            </w:pPr>
          </w:p>
        </w:tc>
        <w:tc>
          <w:tcPr>
            <w:tcW w:w="510" w:type="dxa"/>
          </w:tcPr>
          <w:p w:rsidR="006E1A12" w:rsidRDefault="00270930">
            <w:pPr>
              <w:pStyle w:val="a0"/>
              <w:adjustRightInd w:val="0"/>
              <w:snapToGrid w:val="0"/>
              <w:spacing w:after="0"/>
              <w:rPr>
                <w:sz w:val="24"/>
                <w:lang w:eastAsia="zh-TW"/>
              </w:rPr>
            </w:pPr>
            <w:r>
              <w:rPr>
                <w:sz w:val="24"/>
                <w:lang w:eastAsia="zh-TW"/>
              </w:rPr>
              <w:t>1.2</w:t>
            </w:r>
          </w:p>
        </w:tc>
        <w:tc>
          <w:tcPr>
            <w:tcW w:w="7378" w:type="dxa"/>
            <w:gridSpan w:val="4"/>
          </w:tcPr>
          <w:p w:rsidR="006E1A12" w:rsidRDefault="00270930">
            <w:pPr>
              <w:pStyle w:val="a0"/>
              <w:adjustRightInd w:val="0"/>
              <w:snapToGrid w:val="0"/>
              <w:spacing w:after="0"/>
              <w:rPr>
                <w:sz w:val="24"/>
                <w:lang w:eastAsia="zh-TW"/>
              </w:rPr>
            </w:pPr>
            <w:r>
              <w:rPr>
                <w:sz w:val="24"/>
                <w:lang w:eastAsia="zh-TW"/>
              </w:rPr>
              <w:t>The market for this product/service</w:t>
            </w:r>
          </w:p>
        </w:tc>
        <w:tc>
          <w:tcPr>
            <w:tcW w:w="692" w:type="dxa"/>
          </w:tcPr>
          <w:p w:rsidR="006E1A12" w:rsidRPr="00600D3A" w:rsidRDefault="00600D3A">
            <w:pPr>
              <w:pStyle w:val="a0"/>
              <w:adjustRightInd w:val="0"/>
              <w:snapToGrid w:val="0"/>
              <w:spacing w:after="0"/>
              <w:jc w:val="center"/>
              <w:rPr>
                <w:rFonts w:eastAsia="新細明體" w:hint="eastAsia"/>
                <w:sz w:val="24"/>
                <w:lang w:eastAsia="zh-TW"/>
              </w:rPr>
            </w:pPr>
            <w:r>
              <w:rPr>
                <w:rFonts w:eastAsia="新細明體" w:hint="eastAsia"/>
                <w:sz w:val="24"/>
                <w:lang w:eastAsia="zh-TW"/>
              </w:rPr>
              <w:t>2</w:t>
            </w:r>
          </w:p>
        </w:tc>
      </w:tr>
      <w:tr w:rsidR="006E1A12">
        <w:tc>
          <w:tcPr>
            <w:tcW w:w="546" w:type="dxa"/>
          </w:tcPr>
          <w:p w:rsidR="006E1A12" w:rsidRDefault="006E1A12">
            <w:pPr>
              <w:pStyle w:val="a0"/>
              <w:adjustRightInd w:val="0"/>
              <w:snapToGrid w:val="0"/>
              <w:spacing w:after="0"/>
              <w:rPr>
                <w:sz w:val="24"/>
                <w:lang w:eastAsia="zh-TW"/>
              </w:rPr>
            </w:pPr>
          </w:p>
        </w:tc>
        <w:tc>
          <w:tcPr>
            <w:tcW w:w="7888" w:type="dxa"/>
            <w:gridSpan w:val="5"/>
          </w:tcPr>
          <w:p w:rsidR="006E1A12" w:rsidRDefault="006E1A12">
            <w:pPr>
              <w:pStyle w:val="a0"/>
              <w:adjustRightInd w:val="0"/>
              <w:snapToGrid w:val="0"/>
              <w:spacing w:after="0"/>
              <w:rPr>
                <w:sz w:val="24"/>
                <w:lang w:eastAsia="zh-TW"/>
              </w:rPr>
            </w:pPr>
          </w:p>
        </w:tc>
        <w:tc>
          <w:tcPr>
            <w:tcW w:w="692" w:type="dxa"/>
          </w:tcPr>
          <w:p w:rsidR="006E1A12" w:rsidRDefault="006E1A12">
            <w:pPr>
              <w:pStyle w:val="a0"/>
              <w:adjustRightInd w:val="0"/>
              <w:snapToGrid w:val="0"/>
              <w:spacing w:after="0"/>
              <w:jc w:val="center"/>
              <w:rPr>
                <w:sz w:val="24"/>
                <w:lang w:eastAsia="zh-TW"/>
              </w:rPr>
            </w:pPr>
          </w:p>
        </w:tc>
      </w:tr>
      <w:tr w:rsidR="006E1A12">
        <w:tc>
          <w:tcPr>
            <w:tcW w:w="546" w:type="dxa"/>
          </w:tcPr>
          <w:p w:rsidR="006E1A12" w:rsidRDefault="00270930">
            <w:pPr>
              <w:pStyle w:val="a0"/>
              <w:adjustRightInd w:val="0"/>
              <w:snapToGrid w:val="0"/>
              <w:spacing w:after="0"/>
              <w:rPr>
                <w:sz w:val="24"/>
                <w:lang w:eastAsia="zh-TW"/>
              </w:rPr>
            </w:pPr>
            <w:r>
              <w:rPr>
                <w:sz w:val="24"/>
                <w:lang w:eastAsia="zh-TW"/>
              </w:rPr>
              <w:t>2</w:t>
            </w:r>
          </w:p>
        </w:tc>
        <w:tc>
          <w:tcPr>
            <w:tcW w:w="7888" w:type="dxa"/>
            <w:gridSpan w:val="5"/>
          </w:tcPr>
          <w:p w:rsidR="006E1A12" w:rsidRDefault="00270930">
            <w:pPr>
              <w:pStyle w:val="a0"/>
              <w:adjustRightInd w:val="0"/>
              <w:snapToGrid w:val="0"/>
              <w:spacing w:after="0"/>
              <w:rPr>
                <w:rFonts w:eastAsia="標楷體"/>
                <w:sz w:val="24"/>
              </w:rPr>
            </w:pPr>
            <w:r>
              <w:rPr>
                <w:rFonts w:eastAsia="標楷體"/>
                <w:sz w:val="24"/>
              </w:rPr>
              <w:t>Case study design and planning</w:t>
            </w:r>
          </w:p>
        </w:tc>
        <w:tc>
          <w:tcPr>
            <w:tcW w:w="692" w:type="dxa"/>
          </w:tcPr>
          <w:p w:rsidR="006E1A12" w:rsidRDefault="00270930">
            <w:pPr>
              <w:pStyle w:val="a0"/>
              <w:adjustRightInd w:val="0"/>
              <w:snapToGrid w:val="0"/>
              <w:spacing w:after="0"/>
              <w:jc w:val="center"/>
              <w:rPr>
                <w:sz w:val="24"/>
                <w:lang w:eastAsia="zh-TW"/>
              </w:rPr>
            </w:pPr>
            <w:r>
              <w:rPr>
                <w:sz w:val="24"/>
                <w:lang w:eastAsia="zh-TW"/>
              </w:rPr>
              <w:t>XX</w:t>
            </w:r>
          </w:p>
        </w:tc>
      </w:tr>
      <w:tr w:rsidR="006E1A12">
        <w:tc>
          <w:tcPr>
            <w:tcW w:w="546" w:type="dxa"/>
          </w:tcPr>
          <w:p w:rsidR="006E1A12" w:rsidRDefault="006E1A12">
            <w:pPr>
              <w:pStyle w:val="a0"/>
              <w:adjustRightInd w:val="0"/>
              <w:snapToGrid w:val="0"/>
              <w:spacing w:after="0"/>
              <w:rPr>
                <w:sz w:val="24"/>
                <w:lang w:eastAsia="zh-TW"/>
              </w:rPr>
            </w:pPr>
          </w:p>
        </w:tc>
        <w:tc>
          <w:tcPr>
            <w:tcW w:w="520" w:type="dxa"/>
            <w:gridSpan w:val="2"/>
          </w:tcPr>
          <w:p w:rsidR="006E1A12" w:rsidRDefault="00270930">
            <w:pPr>
              <w:pStyle w:val="a0"/>
              <w:adjustRightInd w:val="0"/>
              <w:snapToGrid w:val="0"/>
              <w:spacing w:after="0"/>
              <w:rPr>
                <w:sz w:val="24"/>
                <w:lang w:eastAsia="zh-TW"/>
              </w:rPr>
            </w:pPr>
            <w:r>
              <w:rPr>
                <w:sz w:val="24"/>
                <w:lang w:eastAsia="zh-TW"/>
              </w:rPr>
              <w:t>2.1</w:t>
            </w:r>
          </w:p>
        </w:tc>
        <w:tc>
          <w:tcPr>
            <w:tcW w:w="7368" w:type="dxa"/>
            <w:gridSpan w:val="3"/>
          </w:tcPr>
          <w:p w:rsidR="006E1A12" w:rsidRDefault="00270930">
            <w:pPr>
              <w:pStyle w:val="a0"/>
              <w:adjustRightInd w:val="0"/>
              <w:snapToGrid w:val="0"/>
              <w:spacing w:after="0"/>
              <w:rPr>
                <w:sz w:val="24"/>
                <w:lang w:eastAsia="zh-TW"/>
              </w:rPr>
            </w:pPr>
            <w:r>
              <w:rPr>
                <w:sz w:val="24"/>
                <w:lang w:eastAsia="zh-TW"/>
              </w:rPr>
              <w:t>Objectives and research questions</w:t>
            </w:r>
          </w:p>
        </w:tc>
        <w:tc>
          <w:tcPr>
            <w:tcW w:w="692" w:type="dxa"/>
          </w:tcPr>
          <w:p w:rsidR="006E1A12" w:rsidRDefault="006E1A12">
            <w:pPr>
              <w:pStyle w:val="a0"/>
              <w:adjustRightInd w:val="0"/>
              <w:snapToGrid w:val="0"/>
              <w:spacing w:after="0"/>
              <w:jc w:val="center"/>
              <w:rPr>
                <w:sz w:val="24"/>
                <w:lang w:eastAsia="zh-TW"/>
              </w:rPr>
            </w:pPr>
          </w:p>
        </w:tc>
      </w:tr>
      <w:tr w:rsidR="006E1A12">
        <w:tc>
          <w:tcPr>
            <w:tcW w:w="546" w:type="dxa"/>
          </w:tcPr>
          <w:p w:rsidR="006E1A12" w:rsidRDefault="006E1A12">
            <w:pPr>
              <w:pStyle w:val="a0"/>
              <w:adjustRightInd w:val="0"/>
              <w:snapToGrid w:val="0"/>
              <w:spacing w:after="0"/>
              <w:rPr>
                <w:sz w:val="24"/>
                <w:lang w:eastAsia="zh-TW"/>
              </w:rPr>
            </w:pPr>
          </w:p>
        </w:tc>
        <w:tc>
          <w:tcPr>
            <w:tcW w:w="520" w:type="dxa"/>
            <w:gridSpan w:val="2"/>
          </w:tcPr>
          <w:p w:rsidR="006E1A12" w:rsidRDefault="00270930">
            <w:pPr>
              <w:pStyle w:val="a0"/>
              <w:adjustRightInd w:val="0"/>
              <w:snapToGrid w:val="0"/>
              <w:spacing w:after="0"/>
              <w:rPr>
                <w:sz w:val="24"/>
                <w:lang w:eastAsia="zh-TW"/>
              </w:rPr>
            </w:pPr>
            <w:r>
              <w:rPr>
                <w:sz w:val="24"/>
                <w:lang w:eastAsia="zh-TW"/>
              </w:rPr>
              <w:t>2.2</w:t>
            </w:r>
          </w:p>
        </w:tc>
        <w:tc>
          <w:tcPr>
            <w:tcW w:w="7368" w:type="dxa"/>
            <w:gridSpan w:val="3"/>
          </w:tcPr>
          <w:p w:rsidR="006E1A12" w:rsidRDefault="00270930">
            <w:pPr>
              <w:pStyle w:val="a0"/>
              <w:adjustRightInd w:val="0"/>
              <w:snapToGrid w:val="0"/>
              <w:spacing w:after="0"/>
              <w:rPr>
                <w:sz w:val="24"/>
                <w:lang w:eastAsia="zh-TW"/>
              </w:rPr>
            </w:pPr>
            <w:r>
              <w:rPr>
                <w:sz w:val="24"/>
                <w:lang w:eastAsia="zh-TW"/>
              </w:rPr>
              <w:t>Quantitative data collection method</w:t>
            </w:r>
          </w:p>
        </w:tc>
        <w:tc>
          <w:tcPr>
            <w:tcW w:w="692" w:type="dxa"/>
          </w:tcPr>
          <w:p w:rsidR="006E1A12" w:rsidRDefault="006E1A12">
            <w:pPr>
              <w:pStyle w:val="a0"/>
              <w:adjustRightInd w:val="0"/>
              <w:snapToGrid w:val="0"/>
              <w:spacing w:after="0"/>
              <w:jc w:val="center"/>
              <w:rPr>
                <w:sz w:val="24"/>
                <w:lang w:eastAsia="zh-TW"/>
              </w:rPr>
            </w:pPr>
          </w:p>
        </w:tc>
      </w:tr>
      <w:tr w:rsidR="006E1A12">
        <w:tc>
          <w:tcPr>
            <w:tcW w:w="546" w:type="dxa"/>
          </w:tcPr>
          <w:p w:rsidR="006E1A12" w:rsidRDefault="006E1A12">
            <w:pPr>
              <w:pStyle w:val="a0"/>
              <w:adjustRightInd w:val="0"/>
              <w:snapToGrid w:val="0"/>
              <w:spacing w:after="0"/>
              <w:rPr>
                <w:sz w:val="24"/>
                <w:lang w:eastAsia="zh-TW"/>
              </w:rPr>
            </w:pPr>
          </w:p>
        </w:tc>
        <w:tc>
          <w:tcPr>
            <w:tcW w:w="520" w:type="dxa"/>
            <w:gridSpan w:val="2"/>
          </w:tcPr>
          <w:p w:rsidR="006E1A12" w:rsidRDefault="00270930">
            <w:pPr>
              <w:pStyle w:val="a0"/>
              <w:adjustRightInd w:val="0"/>
              <w:snapToGrid w:val="0"/>
              <w:spacing w:after="0"/>
              <w:rPr>
                <w:sz w:val="24"/>
                <w:lang w:eastAsia="zh-TW"/>
              </w:rPr>
            </w:pPr>
            <w:r>
              <w:rPr>
                <w:sz w:val="24"/>
                <w:lang w:eastAsia="zh-TW"/>
              </w:rPr>
              <w:t>2.3</w:t>
            </w:r>
          </w:p>
        </w:tc>
        <w:tc>
          <w:tcPr>
            <w:tcW w:w="7368" w:type="dxa"/>
            <w:gridSpan w:val="3"/>
          </w:tcPr>
          <w:p w:rsidR="006E1A12" w:rsidRDefault="00270930">
            <w:pPr>
              <w:pStyle w:val="a0"/>
              <w:adjustRightInd w:val="0"/>
              <w:snapToGrid w:val="0"/>
              <w:spacing w:after="0"/>
              <w:rPr>
                <w:sz w:val="24"/>
                <w:lang w:eastAsia="zh-TW"/>
              </w:rPr>
            </w:pPr>
            <w:r>
              <w:rPr>
                <w:sz w:val="24"/>
                <w:lang w:eastAsia="zh-TW"/>
              </w:rPr>
              <w:t>Quantitative data analysis method</w:t>
            </w:r>
          </w:p>
        </w:tc>
        <w:tc>
          <w:tcPr>
            <w:tcW w:w="692" w:type="dxa"/>
          </w:tcPr>
          <w:p w:rsidR="006E1A12" w:rsidRDefault="006E1A12">
            <w:pPr>
              <w:pStyle w:val="a0"/>
              <w:adjustRightInd w:val="0"/>
              <w:snapToGrid w:val="0"/>
              <w:spacing w:after="0"/>
              <w:jc w:val="center"/>
              <w:rPr>
                <w:sz w:val="24"/>
                <w:lang w:eastAsia="zh-TW"/>
              </w:rPr>
            </w:pPr>
          </w:p>
        </w:tc>
      </w:tr>
      <w:tr w:rsidR="006E1A12">
        <w:tc>
          <w:tcPr>
            <w:tcW w:w="546" w:type="dxa"/>
          </w:tcPr>
          <w:p w:rsidR="006E1A12" w:rsidRDefault="006E1A12">
            <w:pPr>
              <w:pStyle w:val="a0"/>
              <w:adjustRightInd w:val="0"/>
              <w:snapToGrid w:val="0"/>
              <w:spacing w:after="0"/>
              <w:rPr>
                <w:sz w:val="24"/>
                <w:lang w:eastAsia="zh-TW"/>
              </w:rPr>
            </w:pPr>
          </w:p>
        </w:tc>
        <w:tc>
          <w:tcPr>
            <w:tcW w:w="7888" w:type="dxa"/>
            <w:gridSpan w:val="5"/>
          </w:tcPr>
          <w:p w:rsidR="006E1A12" w:rsidRDefault="006E1A12">
            <w:pPr>
              <w:pStyle w:val="a0"/>
              <w:adjustRightInd w:val="0"/>
              <w:snapToGrid w:val="0"/>
              <w:spacing w:after="0"/>
              <w:rPr>
                <w:sz w:val="24"/>
                <w:lang w:eastAsia="zh-TW"/>
              </w:rPr>
            </w:pPr>
          </w:p>
        </w:tc>
        <w:tc>
          <w:tcPr>
            <w:tcW w:w="692" w:type="dxa"/>
          </w:tcPr>
          <w:p w:rsidR="006E1A12" w:rsidRDefault="006E1A12">
            <w:pPr>
              <w:pStyle w:val="a0"/>
              <w:adjustRightInd w:val="0"/>
              <w:snapToGrid w:val="0"/>
              <w:spacing w:after="0"/>
              <w:jc w:val="center"/>
              <w:rPr>
                <w:sz w:val="24"/>
                <w:lang w:eastAsia="zh-TW"/>
              </w:rPr>
            </w:pPr>
          </w:p>
        </w:tc>
      </w:tr>
      <w:tr w:rsidR="006E1A12">
        <w:tc>
          <w:tcPr>
            <w:tcW w:w="546" w:type="dxa"/>
          </w:tcPr>
          <w:p w:rsidR="006E1A12" w:rsidRDefault="00270930">
            <w:pPr>
              <w:pStyle w:val="a0"/>
              <w:adjustRightInd w:val="0"/>
              <w:snapToGrid w:val="0"/>
              <w:spacing w:after="0"/>
              <w:rPr>
                <w:sz w:val="24"/>
                <w:lang w:eastAsia="zh-TW"/>
              </w:rPr>
            </w:pPr>
            <w:r>
              <w:rPr>
                <w:sz w:val="24"/>
                <w:lang w:eastAsia="zh-TW"/>
              </w:rPr>
              <w:t>3</w:t>
            </w:r>
          </w:p>
        </w:tc>
        <w:tc>
          <w:tcPr>
            <w:tcW w:w="7888" w:type="dxa"/>
            <w:gridSpan w:val="5"/>
          </w:tcPr>
          <w:p w:rsidR="006E1A12" w:rsidRDefault="00270930">
            <w:pPr>
              <w:pStyle w:val="a0"/>
              <w:adjustRightInd w:val="0"/>
              <w:snapToGrid w:val="0"/>
              <w:spacing w:after="0"/>
              <w:rPr>
                <w:sz w:val="24"/>
                <w:lang w:eastAsia="zh-TW"/>
              </w:rPr>
            </w:pPr>
            <w:r>
              <w:rPr>
                <w:sz w:val="24"/>
                <w:lang w:eastAsia="zh-TW"/>
              </w:rPr>
              <w:t>Analysis and discussion</w:t>
            </w:r>
          </w:p>
        </w:tc>
        <w:tc>
          <w:tcPr>
            <w:tcW w:w="692" w:type="dxa"/>
          </w:tcPr>
          <w:p w:rsidR="006E1A12" w:rsidRDefault="00270930">
            <w:pPr>
              <w:pStyle w:val="a0"/>
              <w:adjustRightInd w:val="0"/>
              <w:snapToGrid w:val="0"/>
              <w:spacing w:after="0"/>
              <w:jc w:val="center"/>
              <w:rPr>
                <w:sz w:val="24"/>
                <w:lang w:eastAsia="zh-TW"/>
              </w:rPr>
            </w:pPr>
            <w:r>
              <w:rPr>
                <w:sz w:val="24"/>
                <w:lang w:eastAsia="zh-TW"/>
              </w:rPr>
              <w:t>XX</w:t>
            </w:r>
          </w:p>
        </w:tc>
      </w:tr>
      <w:tr w:rsidR="006E1A12">
        <w:tc>
          <w:tcPr>
            <w:tcW w:w="546" w:type="dxa"/>
          </w:tcPr>
          <w:p w:rsidR="006E1A12" w:rsidRDefault="006E1A12">
            <w:pPr>
              <w:pStyle w:val="a0"/>
              <w:adjustRightInd w:val="0"/>
              <w:snapToGrid w:val="0"/>
              <w:spacing w:after="0"/>
              <w:rPr>
                <w:sz w:val="24"/>
                <w:lang w:eastAsia="zh-TW"/>
              </w:rPr>
            </w:pPr>
          </w:p>
        </w:tc>
        <w:tc>
          <w:tcPr>
            <w:tcW w:w="565" w:type="dxa"/>
            <w:gridSpan w:val="4"/>
          </w:tcPr>
          <w:p w:rsidR="006E1A12" w:rsidRDefault="00270930">
            <w:pPr>
              <w:pStyle w:val="a0"/>
              <w:adjustRightInd w:val="0"/>
              <w:snapToGrid w:val="0"/>
              <w:spacing w:after="0"/>
              <w:rPr>
                <w:sz w:val="24"/>
                <w:lang w:eastAsia="zh-TW"/>
              </w:rPr>
            </w:pPr>
            <w:r>
              <w:rPr>
                <w:sz w:val="24"/>
                <w:lang w:eastAsia="zh-TW"/>
              </w:rPr>
              <w:t>3.1</w:t>
            </w:r>
          </w:p>
        </w:tc>
        <w:tc>
          <w:tcPr>
            <w:tcW w:w="7323" w:type="dxa"/>
          </w:tcPr>
          <w:p w:rsidR="006E1A12" w:rsidRDefault="00270930">
            <w:pPr>
              <w:adjustRightInd w:val="0"/>
              <w:snapToGrid w:val="0"/>
              <w:jc w:val="both"/>
            </w:pPr>
            <w:r>
              <w:t>The price discrimination technique used by the company.</w:t>
            </w:r>
          </w:p>
        </w:tc>
        <w:tc>
          <w:tcPr>
            <w:tcW w:w="692" w:type="dxa"/>
          </w:tcPr>
          <w:p w:rsidR="006E1A12" w:rsidRDefault="006E1A12">
            <w:pPr>
              <w:pStyle w:val="a0"/>
              <w:adjustRightInd w:val="0"/>
              <w:snapToGrid w:val="0"/>
              <w:spacing w:after="0"/>
              <w:jc w:val="center"/>
              <w:rPr>
                <w:sz w:val="24"/>
                <w:lang w:eastAsia="zh-TW"/>
              </w:rPr>
            </w:pPr>
          </w:p>
        </w:tc>
      </w:tr>
      <w:tr w:rsidR="006E1A12">
        <w:tc>
          <w:tcPr>
            <w:tcW w:w="546" w:type="dxa"/>
          </w:tcPr>
          <w:p w:rsidR="006E1A12" w:rsidRDefault="006E1A12">
            <w:pPr>
              <w:pStyle w:val="a0"/>
              <w:adjustRightInd w:val="0"/>
              <w:snapToGrid w:val="0"/>
              <w:spacing w:after="0"/>
              <w:rPr>
                <w:sz w:val="24"/>
                <w:lang w:eastAsia="zh-TW"/>
              </w:rPr>
            </w:pPr>
          </w:p>
        </w:tc>
        <w:tc>
          <w:tcPr>
            <w:tcW w:w="565" w:type="dxa"/>
            <w:gridSpan w:val="4"/>
          </w:tcPr>
          <w:p w:rsidR="006E1A12" w:rsidRDefault="00270930">
            <w:pPr>
              <w:pStyle w:val="a0"/>
              <w:adjustRightInd w:val="0"/>
              <w:snapToGrid w:val="0"/>
              <w:spacing w:after="0"/>
              <w:rPr>
                <w:sz w:val="24"/>
                <w:lang w:eastAsia="zh-TW"/>
              </w:rPr>
            </w:pPr>
            <w:r>
              <w:rPr>
                <w:sz w:val="24"/>
                <w:lang w:eastAsia="zh-TW"/>
              </w:rPr>
              <w:t>3.2</w:t>
            </w:r>
          </w:p>
        </w:tc>
        <w:tc>
          <w:tcPr>
            <w:tcW w:w="7323" w:type="dxa"/>
          </w:tcPr>
          <w:p w:rsidR="006E1A12" w:rsidRDefault="00270930">
            <w:pPr>
              <w:pStyle w:val="a0"/>
              <w:adjustRightInd w:val="0"/>
              <w:snapToGrid w:val="0"/>
              <w:spacing w:after="0"/>
              <w:rPr>
                <w:sz w:val="24"/>
                <w:szCs w:val="24"/>
                <w:lang w:eastAsia="zh-TW"/>
              </w:rPr>
            </w:pPr>
            <w:r>
              <w:rPr>
                <w:sz w:val="24"/>
                <w:szCs w:val="24"/>
                <w:lang w:eastAsia="zh-TW"/>
              </w:rPr>
              <w:t xml:space="preserve">An evaluation of the price </w:t>
            </w:r>
            <w:r>
              <w:rPr>
                <w:sz w:val="24"/>
                <w:szCs w:val="24"/>
                <w:lang w:eastAsia="zh-TW"/>
              </w:rPr>
              <w:t>discrimination technique used by the company</w:t>
            </w:r>
          </w:p>
        </w:tc>
        <w:tc>
          <w:tcPr>
            <w:tcW w:w="692" w:type="dxa"/>
          </w:tcPr>
          <w:p w:rsidR="006E1A12" w:rsidRDefault="006E1A12">
            <w:pPr>
              <w:pStyle w:val="a0"/>
              <w:adjustRightInd w:val="0"/>
              <w:snapToGrid w:val="0"/>
              <w:spacing w:after="0"/>
              <w:jc w:val="center"/>
              <w:rPr>
                <w:sz w:val="24"/>
                <w:lang w:eastAsia="zh-TW"/>
              </w:rPr>
            </w:pPr>
          </w:p>
        </w:tc>
      </w:tr>
      <w:tr w:rsidR="006E1A12">
        <w:tc>
          <w:tcPr>
            <w:tcW w:w="546" w:type="dxa"/>
          </w:tcPr>
          <w:p w:rsidR="006E1A12" w:rsidRDefault="006E1A12">
            <w:pPr>
              <w:pStyle w:val="a0"/>
              <w:adjustRightInd w:val="0"/>
              <w:snapToGrid w:val="0"/>
              <w:spacing w:after="0"/>
              <w:rPr>
                <w:sz w:val="24"/>
                <w:lang w:eastAsia="zh-TW"/>
              </w:rPr>
            </w:pPr>
          </w:p>
        </w:tc>
        <w:tc>
          <w:tcPr>
            <w:tcW w:w="7888" w:type="dxa"/>
            <w:gridSpan w:val="5"/>
          </w:tcPr>
          <w:p w:rsidR="006E1A12" w:rsidRDefault="006E1A12">
            <w:pPr>
              <w:pStyle w:val="a0"/>
              <w:adjustRightInd w:val="0"/>
              <w:snapToGrid w:val="0"/>
              <w:spacing w:after="0"/>
              <w:rPr>
                <w:rFonts w:eastAsia="標楷體"/>
                <w:sz w:val="24"/>
              </w:rPr>
            </w:pPr>
          </w:p>
        </w:tc>
        <w:tc>
          <w:tcPr>
            <w:tcW w:w="692" w:type="dxa"/>
          </w:tcPr>
          <w:p w:rsidR="006E1A12" w:rsidRDefault="006E1A12">
            <w:pPr>
              <w:pStyle w:val="a0"/>
              <w:adjustRightInd w:val="0"/>
              <w:snapToGrid w:val="0"/>
              <w:spacing w:after="0"/>
              <w:jc w:val="center"/>
              <w:rPr>
                <w:sz w:val="24"/>
                <w:lang w:eastAsia="zh-TW"/>
              </w:rPr>
            </w:pPr>
          </w:p>
        </w:tc>
      </w:tr>
      <w:tr w:rsidR="006E1A12">
        <w:tc>
          <w:tcPr>
            <w:tcW w:w="546" w:type="dxa"/>
          </w:tcPr>
          <w:p w:rsidR="006E1A12" w:rsidRDefault="00270930">
            <w:pPr>
              <w:pStyle w:val="a0"/>
              <w:adjustRightInd w:val="0"/>
              <w:snapToGrid w:val="0"/>
              <w:spacing w:after="0"/>
              <w:rPr>
                <w:sz w:val="24"/>
                <w:lang w:eastAsia="zh-TW"/>
              </w:rPr>
            </w:pPr>
            <w:r>
              <w:rPr>
                <w:sz w:val="24"/>
                <w:lang w:eastAsia="zh-TW"/>
              </w:rPr>
              <w:t>4</w:t>
            </w:r>
          </w:p>
        </w:tc>
        <w:tc>
          <w:tcPr>
            <w:tcW w:w="7888" w:type="dxa"/>
            <w:gridSpan w:val="5"/>
          </w:tcPr>
          <w:p w:rsidR="006E1A12" w:rsidRDefault="00270930">
            <w:pPr>
              <w:pStyle w:val="a0"/>
              <w:adjustRightInd w:val="0"/>
              <w:snapToGrid w:val="0"/>
              <w:spacing w:after="0"/>
              <w:rPr>
                <w:rFonts w:eastAsia="標楷體"/>
                <w:sz w:val="24"/>
              </w:rPr>
            </w:pPr>
            <w:r>
              <w:rPr>
                <w:rFonts w:eastAsia="標楷體"/>
                <w:sz w:val="24"/>
              </w:rPr>
              <w:t>Conclusion and recommendation</w:t>
            </w:r>
          </w:p>
        </w:tc>
        <w:tc>
          <w:tcPr>
            <w:tcW w:w="692" w:type="dxa"/>
          </w:tcPr>
          <w:p w:rsidR="006E1A12" w:rsidRDefault="00270930">
            <w:pPr>
              <w:pStyle w:val="a0"/>
              <w:adjustRightInd w:val="0"/>
              <w:snapToGrid w:val="0"/>
              <w:spacing w:after="0"/>
              <w:jc w:val="center"/>
              <w:rPr>
                <w:sz w:val="24"/>
                <w:lang w:eastAsia="zh-TW"/>
              </w:rPr>
            </w:pPr>
            <w:r>
              <w:rPr>
                <w:sz w:val="24"/>
                <w:lang w:eastAsia="zh-TW"/>
              </w:rPr>
              <w:t>XX</w:t>
            </w:r>
          </w:p>
        </w:tc>
      </w:tr>
      <w:tr w:rsidR="006E1A12">
        <w:tc>
          <w:tcPr>
            <w:tcW w:w="546" w:type="dxa"/>
          </w:tcPr>
          <w:p w:rsidR="006E1A12" w:rsidRDefault="006E1A12">
            <w:pPr>
              <w:pStyle w:val="a0"/>
              <w:adjustRightInd w:val="0"/>
              <w:snapToGrid w:val="0"/>
              <w:spacing w:after="0"/>
              <w:rPr>
                <w:sz w:val="24"/>
                <w:lang w:eastAsia="zh-TW"/>
              </w:rPr>
            </w:pPr>
          </w:p>
        </w:tc>
        <w:tc>
          <w:tcPr>
            <w:tcW w:w="555" w:type="dxa"/>
            <w:gridSpan w:val="3"/>
          </w:tcPr>
          <w:p w:rsidR="006E1A12" w:rsidRDefault="00270930">
            <w:pPr>
              <w:pStyle w:val="a0"/>
              <w:adjustRightInd w:val="0"/>
              <w:snapToGrid w:val="0"/>
              <w:spacing w:after="0"/>
              <w:rPr>
                <w:sz w:val="24"/>
                <w:lang w:eastAsia="zh-TW"/>
              </w:rPr>
            </w:pPr>
            <w:r>
              <w:rPr>
                <w:sz w:val="24"/>
                <w:lang w:eastAsia="zh-TW"/>
              </w:rPr>
              <w:t>4.1</w:t>
            </w:r>
          </w:p>
        </w:tc>
        <w:tc>
          <w:tcPr>
            <w:tcW w:w="7333" w:type="dxa"/>
            <w:gridSpan w:val="2"/>
          </w:tcPr>
          <w:p w:rsidR="006E1A12" w:rsidRDefault="00270930">
            <w:pPr>
              <w:pStyle w:val="a0"/>
              <w:adjustRightInd w:val="0"/>
              <w:snapToGrid w:val="0"/>
              <w:spacing w:after="0"/>
              <w:rPr>
                <w:sz w:val="24"/>
                <w:lang w:eastAsia="zh-TW"/>
              </w:rPr>
            </w:pPr>
            <w:r>
              <w:rPr>
                <w:sz w:val="24"/>
                <w:lang w:eastAsia="zh-TW"/>
              </w:rPr>
              <w:t>Conclusion</w:t>
            </w:r>
          </w:p>
        </w:tc>
        <w:tc>
          <w:tcPr>
            <w:tcW w:w="692" w:type="dxa"/>
          </w:tcPr>
          <w:p w:rsidR="006E1A12" w:rsidRDefault="006E1A12">
            <w:pPr>
              <w:pStyle w:val="a0"/>
              <w:adjustRightInd w:val="0"/>
              <w:snapToGrid w:val="0"/>
              <w:spacing w:after="0"/>
              <w:jc w:val="center"/>
              <w:rPr>
                <w:sz w:val="24"/>
                <w:lang w:eastAsia="zh-TW"/>
              </w:rPr>
            </w:pPr>
          </w:p>
        </w:tc>
      </w:tr>
      <w:tr w:rsidR="006E1A12">
        <w:tc>
          <w:tcPr>
            <w:tcW w:w="546" w:type="dxa"/>
          </w:tcPr>
          <w:p w:rsidR="006E1A12" w:rsidRDefault="006E1A12">
            <w:pPr>
              <w:pStyle w:val="a0"/>
              <w:adjustRightInd w:val="0"/>
              <w:snapToGrid w:val="0"/>
              <w:spacing w:after="0"/>
              <w:rPr>
                <w:sz w:val="24"/>
                <w:lang w:eastAsia="zh-TW"/>
              </w:rPr>
            </w:pPr>
          </w:p>
        </w:tc>
        <w:tc>
          <w:tcPr>
            <w:tcW w:w="555" w:type="dxa"/>
            <w:gridSpan w:val="3"/>
          </w:tcPr>
          <w:p w:rsidR="006E1A12" w:rsidRDefault="00270930">
            <w:pPr>
              <w:pStyle w:val="a0"/>
              <w:adjustRightInd w:val="0"/>
              <w:snapToGrid w:val="0"/>
              <w:spacing w:after="0"/>
              <w:rPr>
                <w:sz w:val="24"/>
                <w:lang w:eastAsia="zh-TW"/>
              </w:rPr>
            </w:pPr>
            <w:r>
              <w:rPr>
                <w:sz w:val="24"/>
                <w:lang w:eastAsia="zh-TW"/>
              </w:rPr>
              <w:t>4.2</w:t>
            </w:r>
          </w:p>
        </w:tc>
        <w:tc>
          <w:tcPr>
            <w:tcW w:w="7333" w:type="dxa"/>
            <w:gridSpan w:val="2"/>
          </w:tcPr>
          <w:p w:rsidR="006E1A12" w:rsidRDefault="00270930">
            <w:pPr>
              <w:pStyle w:val="a0"/>
              <w:adjustRightInd w:val="0"/>
              <w:snapToGrid w:val="0"/>
              <w:spacing w:after="0"/>
              <w:rPr>
                <w:sz w:val="24"/>
                <w:lang w:eastAsia="zh-TW"/>
              </w:rPr>
            </w:pPr>
            <w:r>
              <w:rPr>
                <w:sz w:val="24"/>
                <w:lang w:eastAsia="zh-TW"/>
              </w:rPr>
              <w:t>Recommendation</w:t>
            </w:r>
          </w:p>
        </w:tc>
        <w:tc>
          <w:tcPr>
            <w:tcW w:w="692" w:type="dxa"/>
          </w:tcPr>
          <w:p w:rsidR="006E1A12" w:rsidRDefault="006E1A12">
            <w:pPr>
              <w:pStyle w:val="a0"/>
              <w:adjustRightInd w:val="0"/>
              <w:snapToGrid w:val="0"/>
              <w:spacing w:after="0"/>
              <w:jc w:val="center"/>
              <w:rPr>
                <w:sz w:val="24"/>
                <w:lang w:eastAsia="zh-TW"/>
              </w:rPr>
            </w:pPr>
          </w:p>
        </w:tc>
      </w:tr>
      <w:tr w:rsidR="006E1A12">
        <w:tc>
          <w:tcPr>
            <w:tcW w:w="546" w:type="dxa"/>
          </w:tcPr>
          <w:p w:rsidR="006E1A12" w:rsidRDefault="006E1A12">
            <w:pPr>
              <w:pStyle w:val="a0"/>
              <w:adjustRightInd w:val="0"/>
              <w:snapToGrid w:val="0"/>
              <w:spacing w:after="0"/>
              <w:rPr>
                <w:sz w:val="24"/>
                <w:lang w:eastAsia="zh-TW"/>
              </w:rPr>
            </w:pPr>
          </w:p>
        </w:tc>
        <w:tc>
          <w:tcPr>
            <w:tcW w:w="7888" w:type="dxa"/>
            <w:gridSpan w:val="5"/>
          </w:tcPr>
          <w:p w:rsidR="006E1A12" w:rsidRDefault="006E1A12">
            <w:pPr>
              <w:pStyle w:val="a0"/>
              <w:adjustRightInd w:val="0"/>
              <w:snapToGrid w:val="0"/>
              <w:spacing w:after="0"/>
              <w:rPr>
                <w:sz w:val="24"/>
                <w:lang w:eastAsia="zh-TW"/>
              </w:rPr>
            </w:pPr>
          </w:p>
        </w:tc>
        <w:tc>
          <w:tcPr>
            <w:tcW w:w="692" w:type="dxa"/>
          </w:tcPr>
          <w:p w:rsidR="006E1A12" w:rsidRDefault="006E1A12">
            <w:pPr>
              <w:pStyle w:val="a0"/>
              <w:adjustRightInd w:val="0"/>
              <w:snapToGrid w:val="0"/>
              <w:spacing w:after="0"/>
              <w:jc w:val="center"/>
              <w:rPr>
                <w:sz w:val="24"/>
                <w:lang w:eastAsia="zh-TW"/>
              </w:rPr>
            </w:pPr>
          </w:p>
        </w:tc>
      </w:tr>
      <w:tr w:rsidR="006E1A12">
        <w:tc>
          <w:tcPr>
            <w:tcW w:w="8434" w:type="dxa"/>
            <w:gridSpan w:val="6"/>
          </w:tcPr>
          <w:p w:rsidR="006E1A12" w:rsidRDefault="00270930">
            <w:pPr>
              <w:pStyle w:val="a0"/>
              <w:adjustRightInd w:val="0"/>
              <w:snapToGrid w:val="0"/>
              <w:spacing w:after="0"/>
              <w:rPr>
                <w:sz w:val="24"/>
                <w:lang w:eastAsia="zh-TW"/>
              </w:rPr>
            </w:pPr>
            <w:r>
              <w:rPr>
                <w:sz w:val="24"/>
                <w:lang w:eastAsia="zh-TW"/>
              </w:rPr>
              <w:t>References</w:t>
            </w:r>
          </w:p>
        </w:tc>
        <w:tc>
          <w:tcPr>
            <w:tcW w:w="692" w:type="dxa"/>
          </w:tcPr>
          <w:p w:rsidR="006E1A12" w:rsidRDefault="00270930">
            <w:pPr>
              <w:pStyle w:val="a0"/>
              <w:adjustRightInd w:val="0"/>
              <w:snapToGrid w:val="0"/>
              <w:spacing w:after="0"/>
              <w:jc w:val="center"/>
              <w:rPr>
                <w:sz w:val="24"/>
                <w:lang w:eastAsia="zh-TW"/>
              </w:rPr>
            </w:pPr>
            <w:r>
              <w:rPr>
                <w:sz w:val="24"/>
                <w:lang w:eastAsia="zh-TW"/>
              </w:rPr>
              <w:t>XX</w:t>
            </w:r>
          </w:p>
        </w:tc>
      </w:tr>
      <w:tr w:rsidR="006E1A12">
        <w:tc>
          <w:tcPr>
            <w:tcW w:w="8434" w:type="dxa"/>
            <w:gridSpan w:val="6"/>
          </w:tcPr>
          <w:p w:rsidR="006E1A12" w:rsidRDefault="006E1A12">
            <w:pPr>
              <w:pStyle w:val="a0"/>
              <w:adjustRightInd w:val="0"/>
              <w:snapToGrid w:val="0"/>
              <w:spacing w:after="0"/>
              <w:rPr>
                <w:color w:val="0000FF"/>
                <w:sz w:val="24"/>
                <w:lang w:eastAsia="zh-TW"/>
              </w:rPr>
            </w:pPr>
          </w:p>
        </w:tc>
        <w:tc>
          <w:tcPr>
            <w:tcW w:w="692" w:type="dxa"/>
          </w:tcPr>
          <w:p w:rsidR="006E1A12" w:rsidRDefault="006E1A12">
            <w:pPr>
              <w:pStyle w:val="a0"/>
              <w:adjustRightInd w:val="0"/>
              <w:snapToGrid w:val="0"/>
              <w:spacing w:after="0"/>
              <w:jc w:val="center"/>
              <w:rPr>
                <w:sz w:val="24"/>
                <w:lang w:eastAsia="zh-TW"/>
              </w:rPr>
            </w:pPr>
          </w:p>
        </w:tc>
      </w:tr>
      <w:tr w:rsidR="006E1A12">
        <w:tc>
          <w:tcPr>
            <w:tcW w:w="8434" w:type="dxa"/>
            <w:gridSpan w:val="6"/>
          </w:tcPr>
          <w:p w:rsidR="006E1A12" w:rsidRDefault="006E1A12">
            <w:pPr>
              <w:pStyle w:val="a0"/>
              <w:adjustRightInd w:val="0"/>
              <w:snapToGrid w:val="0"/>
              <w:spacing w:after="0"/>
              <w:rPr>
                <w:sz w:val="24"/>
                <w:lang w:eastAsia="zh-TW"/>
              </w:rPr>
            </w:pPr>
          </w:p>
        </w:tc>
        <w:tc>
          <w:tcPr>
            <w:tcW w:w="692" w:type="dxa"/>
          </w:tcPr>
          <w:p w:rsidR="006E1A12" w:rsidRDefault="006E1A12">
            <w:pPr>
              <w:pStyle w:val="a0"/>
              <w:adjustRightInd w:val="0"/>
              <w:snapToGrid w:val="0"/>
              <w:spacing w:after="0"/>
              <w:jc w:val="center"/>
              <w:rPr>
                <w:sz w:val="24"/>
                <w:lang w:eastAsia="zh-TW"/>
              </w:rPr>
            </w:pPr>
          </w:p>
        </w:tc>
      </w:tr>
    </w:tbl>
    <w:p w:rsidR="006E1A12" w:rsidRDefault="006E1A12">
      <w:pPr>
        <w:widowControl/>
        <w:adjustRightInd w:val="0"/>
        <w:snapToGrid w:val="0"/>
        <w:jc w:val="both"/>
        <w:rPr>
          <w:b/>
          <w:bCs/>
          <w:sz w:val="26"/>
          <w:lang w:val="en-GB"/>
        </w:rPr>
      </w:pPr>
    </w:p>
    <w:p w:rsidR="006E1A12" w:rsidRDefault="006E1A12">
      <w:pPr>
        <w:widowControl/>
        <w:adjustRightInd w:val="0"/>
        <w:snapToGrid w:val="0"/>
        <w:jc w:val="both"/>
      </w:pPr>
    </w:p>
    <w:p w:rsidR="006E1A12" w:rsidRDefault="006E1A12">
      <w:pPr>
        <w:widowControl/>
        <w:adjustRightInd w:val="0"/>
        <w:snapToGrid w:val="0"/>
        <w:jc w:val="both"/>
      </w:pPr>
    </w:p>
    <w:p w:rsidR="006E1A12" w:rsidRDefault="006E1A12">
      <w:pPr>
        <w:widowControl/>
        <w:adjustRightInd w:val="0"/>
        <w:snapToGrid w:val="0"/>
        <w:jc w:val="both"/>
      </w:pPr>
    </w:p>
    <w:p w:rsidR="006E1A12" w:rsidRDefault="006E1A12">
      <w:pPr>
        <w:widowControl/>
        <w:adjustRightInd w:val="0"/>
        <w:snapToGrid w:val="0"/>
        <w:jc w:val="both"/>
      </w:pPr>
    </w:p>
    <w:p w:rsidR="006E1A12" w:rsidRDefault="006E1A12">
      <w:pPr>
        <w:widowControl/>
        <w:adjustRightInd w:val="0"/>
        <w:snapToGrid w:val="0"/>
        <w:jc w:val="both"/>
        <w:sectPr w:rsidR="006E1A12">
          <w:pgSz w:w="11906" w:h="16838"/>
          <w:pgMar w:top="1134" w:right="1418" w:bottom="1134" w:left="1418" w:header="851" w:footer="992" w:gutter="0"/>
          <w:pgNumType w:fmt="lowerRoman" w:start="1"/>
          <w:cols w:space="425"/>
          <w:docGrid w:type="linesAndChars" w:linePitch="360"/>
        </w:sectPr>
      </w:pPr>
    </w:p>
    <w:p w:rsidR="006E1A12" w:rsidRPr="00600D3A" w:rsidRDefault="00270930" w:rsidP="00600D3A">
      <w:pPr>
        <w:pStyle w:val="af"/>
        <w:widowControl/>
        <w:numPr>
          <w:ilvl w:val="0"/>
          <w:numId w:val="5"/>
        </w:numPr>
        <w:adjustRightInd w:val="0"/>
        <w:snapToGrid w:val="0"/>
        <w:spacing w:line="360" w:lineRule="auto"/>
        <w:ind w:leftChars="0"/>
        <w:jc w:val="both"/>
        <w:rPr>
          <w:b/>
          <w:bCs/>
          <w:sz w:val="26"/>
        </w:rPr>
      </w:pPr>
      <w:r w:rsidRPr="00600D3A">
        <w:rPr>
          <w:b/>
          <w:bCs/>
          <w:sz w:val="26"/>
        </w:rPr>
        <w:lastRenderedPageBreak/>
        <w:t xml:space="preserve">Introduction  </w:t>
      </w:r>
    </w:p>
    <w:p w:rsidR="006E1A12" w:rsidRDefault="006E1A12">
      <w:pPr>
        <w:adjustRightInd w:val="0"/>
        <w:snapToGrid w:val="0"/>
        <w:spacing w:line="360" w:lineRule="auto"/>
        <w:jc w:val="both"/>
        <w:rPr>
          <w:szCs w:val="24"/>
          <w:shd w:val="clear" w:color="auto" w:fill="FFFFFF"/>
        </w:rPr>
      </w:pPr>
    </w:p>
    <w:p w:rsidR="006E1A12" w:rsidRDefault="00270930">
      <w:pPr>
        <w:adjustRightInd w:val="0"/>
        <w:snapToGrid w:val="0"/>
        <w:spacing w:line="360" w:lineRule="auto"/>
        <w:jc w:val="both"/>
        <w:rPr>
          <w:szCs w:val="24"/>
          <w:shd w:val="clear" w:color="auto" w:fill="FFFFFF"/>
        </w:rPr>
      </w:pPr>
      <w:r>
        <w:rPr>
          <w:szCs w:val="24"/>
          <w:shd w:val="clear" w:color="auto" w:fill="FFFFFF"/>
        </w:rPr>
        <w:t xml:space="preserve">Orange Sky Golden Harvest </w:t>
      </w:r>
      <w:r>
        <w:rPr>
          <w:szCs w:val="24"/>
          <w:shd w:val="clear" w:color="auto" w:fill="FFFFFF"/>
        </w:rPr>
        <w:t>Entertainment (Holdings) Limited</w:t>
      </w:r>
      <w:r>
        <w:rPr>
          <w:rFonts w:hint="eastAsia"/>
          <w:szCs w:val="24"/>
          <w:shd w:val="clear" w:color="auto" w:fill="FFFFFF"/>
        </w:rPr>
        <w:t xml:space="preserve"> (</w:t>
      </w:r>
      <w:r>
        <w:rPr>
          <w:szCs w:val="24"/>
          <w:shd w:val="clear" w:color="auto" w:fill="FFFFFF"/>
        </w:rPr>
        <w:t>“</w:t>
      </w:r>
      <w:r>
        <w:rPr>
          <w:rFonts w:hint="eastAsia"/>
          <w:szCs w:val="24"/>
          <w:shd w:val="clear" w:color="auto" w:fill="FFFFFF"/>
        </w:rPr>
        <w:t>Golden Harvest</w:t>
      </w:r>
      <w:r>
        <w:rPr>
          <w:szCs w:val="24"/>
          <w:shd w:val="clear" w:color="auto" w:fill="FFFFFF"/>
        </w:rPr>
        <w:t>”</w:t>
      </w:r>
      <w:r>
        <w:rPr>
          <w:rFonts w:hint="eastAsia"/>
          <w:szCs w:val="24"/>
          <w:shd w:val="clear" w:color="auto" w:fill="FFFFFF"/>
        </w:rPr>
        <w:t>)</w:t>
      </w:r>
      <w:r>
        <w:rPr>
          <w:szCs w:val="24"/>
          <w:shd w:val="clear" w:color="auto" w:fill="FFFFFF"/>
        </w:rPr>
        <w:t xml:space="preserve"> is one of the film </w:t>
      </w:r>
      <w:r w:rsidR="000A67A3">
        <w:rPr>
          <w:rFonts w:eastAsia="新細明體" w:hint="eastAsia"/>
          <w:szCs w:val="24"/>
          <w:shd w:val="clear" w:color="auto" w:fill="FFFFFF"/>
        </w:rPr>
        <w:t>production</w:t>
      </w:r>
      <w:r w:rsidR="000A67A3">
        <w:rPr>
          <w:szCs w:val="24"/>
          <w:shd w:val="clear" w:color="auto" w:fill="FFFFFF"/>
        </w:rPr>
        <w:t xml:space="preserve"> company</w:t>
      </w:r>
      <w:r w:rsidR="000A67A3">
        <w:rPr>
          <w:rFonts w:eastAsia="新細明體" w:hint="eastAsia"/>
          <w:szCs w:val="24"/>
          <w:shd w:val="clear" w:color="auto" w:fill="FFFFFF"/>
        </w:rPr>
        <w:t xml:space="preserve">. Their business includes </w:t>
      </w:r>
      <w:r>
        <w:rPr>
          <w:szCs w:val="24"/>
          <w:shd w:val="clear" w:color="auto" w:fill="FFFFFF"/>
        </w:rPr>
        <w:t>film production, financing, distribution and exhibition in Hong Kong. U</w:t>
      </w:r>
      <w:r>
        <w:rPr>
          <w:rFonts w:eastAsia="新細明體" w:hint="eastAsia"/>
          <w:szCs w:val="24"/>
          <w:shd w:val="clear" w:color="auto" w:fill="FFFFFF"/>
        </w:rPr>
        <w:t>nti</w:t>
      </w:r>
      <w:r>
        <w:rPr>
          <w:szCs w:val="24"/>
          <w:shd w:val="clear" w:color="auto" w:fill="FFFFFF"/>
        </w:rPr>
        <w:t xml:space="preserve">l now, the Group operates 30 multiplexes with collectively 241 </w:t>
      </w:r>
      <w:r>
        <w:rPr>
          <w:szCs w:val="24"/>
          <w:shd w:val="clear" w:color="auto" w:fill="FFFFFF"/>
        </w:rPr>
        <w:t>screen</w:t>
      </w:r>
      <w:r>
        <w:rPr>
          <w:szCs w:val="24"/>
          <w:shd w:val="clear" w:color="auto" w:fill="FFFFFF"/>
        </w:rPr>
        <w:t>s across Hong Kong, Taiwan and Singapore and is a leading distributor in its operating territories.</w:t>
      </w:r>
      <w:r>
        <w:rPr>
          <w:szCs w:val="24"/>
          <w:shd w:val="clear" w:color="auto" w:fill="FFFFFF"/>
        </w:rPr>
        <w:t xml:space="preserve"> </w:t>
      </w:r>
      <w:r>
        <w:rPr>
          <w:rFonts w:eastAsia="新細明體"/>
          <w:szCs w:val="24"/>
          <w:shd w:val="clear" w:color="auto" w:fill="FFFFFF"/>
        </w:rPr>
        <w:t>Golden Harvest</w:t>
      </w:r>
      <w:r>
        <w:rPr>
          <w:szCs w:val="24"/>
          <w:shd w:val="clear" w:color="auto" w:fill="FFFFFF"/>
        </w:rPr>
        <w:t xml:space="preserve"> was the first </w:t>
      </w:r>
      <w:r w:rsidR="000A67A3">
        <w:rPr>
          <w:rFonts w:eastAsia="新細明體" w:hint="eastAsia"/>
          <w:szCs w:val="24"/>
          <w:shd w:val="clear" w:color="auto" w:fill="FFFFFF"/>
        </w:rPr>
        <w:t>cinema who starts</w:t>
      </w:r>
      <w:r>
        <w:rPr>
          <w:szCs w:val="24"/>
          <w:shd w:val="clear" w:color="auto" w:fill="FFFFFF"/>
        </w:rPr>
        <w:t xml:space="preserve"> the cinema industry </w:t>
      </w:r>
      <w:r w:rsidR="000A67A3">
        <w:rPr>
          <w:szCs w:val="24"/>
          <w:shd w:val="clear" w:color="auto" w:fill="FFFFFF"/>
        </w:rPr>
        <w:t xml:space="preserve">in Singapore as a pioneer and </w:t>
      </w:r>
      <w:r w:rsidR="000A67A3">
        <w:rPr>
          <w:rFonts w:eastAsia="新細明體" w:hint="eastAsia"/>
          <w:szCs w:val="24"/>
          <w:shd w:val="clear" w:color="auto" w:fill="FFFFFF"/>
        </w:rPr>
        <w:t>also was the first cinema to use</w:t>
      </w:r>
      <w:r>
        <w:rPr>
          <w:szCs w:val="24"/>
          <w:shd w:val="clear" w:color="auto" w:fill="FFFFFF"/>
        </w:rPr>
        <w:t xml:space="preserve"> Multiplex concept with the openin</w:t>
      </w:r>
      <w:r w:rsidR="000A67A3">
        <w:rPr>
          <w:szCs w:val="24"/>
          <w:shd w:val="clear" w:color="auto" w:fill="FFFFFF"/>
        </w:rPr>
        <w:t>g of Singapore</w:t>
      </w:r>
      <w:r>
        <w:rPr>
          <w:szCs w:val="24"/>
          <w:shd w:val="clear" w:color="auto" w:fill="FFFFFF"/>
        </w:rPr>
        <w:t>'s first 10-screen multiplex in 1992.</w:t>
      </w:r>
    </w:p>
    <w:p w:rsidR="006E1A12" w:rsidRPr="000A67A3" w:rsidRDefault="006E1A12">
      <w:pPr>
        <w:adjustRightInd w:val="0"/>
        <w:snapToGrid w:val="0"/>
        <w:spacing w:line="360" w:lineRule="auto"/>
        <w:jc w:val="both"/>
        <w:rPr>
          <w:szCs w:val="24"/>
          <w:shd w:val="clear" w:color="auto" w:fill="FFFFFF"/>
        </w:rPr>
      </w:pPr>
    </w:p>
    <w:p w:rsidR="006E1A12" w:rsidRDefault="00270930">
      <w:pPr>
        <w:adjustRightInd w:val="0"/>
        <w:snapToGrid w:val="0"/>
        <w:spacing w:line="360" w:lineRule="auto"/>
        <w:jc w:val="both"/>
        <w:rPr>
          <w:szCs w:val="24"/>
          <w:shd w:val="clear" w:color="auto" w:fill="FFFFFF"/>
        </w:rPr>
      </w:pPr>
      <w:r>
        <w:rPr>
          <w:szCs w:val="24"/>
          <w:shd w:val="clear" w:color="auto" w:fill="FFFFFF"/>
        </w:rPr>
        <w:t>Previously known as “Golden Harvest”, the legendary Asian filmmaker was co-founded by Mr. Raymond Chow, Mr. Leonard Ho Koon-</w:t>
      </w:r>
      <w:proofErr w:type="spellStart"/>
      <w:r>
        <w:rPr>
          <w:szCs w:val="24"/>
          <w:shd w:val="clear" w:color="auto" w:fill="FFFFFF"/>
        </w:rPr>
        <w:t>cheung</w:t>
      </w:r>
      <w:proofErr w:type="spellEnd"/>
      <w:r>
        <w:rPr>
          <w:szCs w:val="24"/>
          <w:shd w:val="clear" w:color="auto" w:fill="FFFFFF"/>
        </w:rPr>
        <w:t xml:space="preserve"> and Mr. Leung Fung in 1970. In 1977, the Group opened its first cinema</w:t>
      </w:r>
      <w:r>
        <w:rPr>
          <w:szCs w:val="24"/>
          <w:shd w:val="clear" w:color="auto" w:fill="FFFFFF"/>
        </w:rPr>
        <w:t xml:space="preserve"> in Hong Kong and has been listing on the Stock Exchange of Hong Kong (HKSE: 1132) since 1994. </w:t>
      </w:r>
      <w:r>
        <w:rPr>
          <w:rFonts w:hint="eastAsia"/>
          <w:szCs w:val="24"/>
          <w:shd w:val="clear" w:color="auto" w:fill="FFFFFF"/>
        </w:rPr>
        <w:t>Up to December 2018, Golden Harvest operates 6 cinemas located in Hong Kong Island, Kowloon and New Territories. Being the top 4 of Hong Kong film production com</w:t>
      </w:r>
      <w:r>
        <w:rPr>
          <w:rFonts w:hint="eastAsia"/>
          <w:szCs w:val="24"/>
          <w:shd w:val="clear" w:color="auto" w:fill="FFFFFF"/>
        </w:rPr>
        <w:t>pany now.</w:t>
      </w:r>
    </w:p>
    <w:p w:rsidR="006E1A12" w:rsidRDefault="006E1A12">
      <w:pPr>
        <w:adjustRightInd w:val="0"/>
        <w:snapToGrid w:val="0"/>
        <w:spacing w:line="360" w:lineRule="auto"/>
        <w:jc w:val="both"/>
        <w:rPr>
          <w:szCs w:val="24"/>
          <w:shd w:val="clear" w:color="auto" w:fill="FFFFFF"/>
        </w:rPr>
      </w:pPr>
    </w:p>
    <w:p w:rsidR="006E1A12" w:rsidRDefault="00270930">
      <w:pPr>
        <w:adjustRightInd w:val="0"/>
        <w:snapToGrid w:val="0"/>
        <w:spacing w:line="360" w:lineRule="auto"/>
        <w:jc w:val="both"/>
        <w:rPr>
          <w:b/>
          <w:bCs/>
          <w:szCs w:val="24"/>
        </w:rPr>
      </w:pPr>
      <w:r>
        <w:rPr>
          <w:b/>
          <w:bCs/>
          <w:szCs w:val="24"/>
        </w:rPr>
        <w:t>1.1 The company’s product/service portfolio</w:t>
      </w:r>
    </w:p>
    <w:p w:rsidR="006E1A12" w:rsidRDefault="00270930">
      <w:pPr>
        <w:adjustRightInd w:val="0"/>
        <w:snapToGrid w:val="0"/>
        <w:spacing w:line="360" w:lineRule="auto"/>
        <w:jc w:val="both"/>
        <w:rPr>
          <w:szCs w:val="24"/>
        </w:rPr>
      </w:pPr>
      <w:r>
        <w:rPr>
          <w:szCs w:val="24"/>
          <w:shd w:val="clear" w:color="auto" w:fill="FFFFFF"/>
        </w:rPr>
        <w:t xml:space="preserve">Orange Sky Golden Harvest Entertainment (Holdings) Limited providing a </w:t>
      </w:r>
      <w:proofErr w:type="gramStart"/>
      <w:r>
        <w:rPr>
          <w:szCs w:val="24"/>
          <w:shd w:val="clear" w:color="auto" w:fill="FFFFFF"/>
        </w:rPr>
        <w:t>vari</w:t>
      </w:r>
      <w:r w:rsidR="000A67A3">
        <w:rPr>
          <w:szCs w:val="24"/>
          <w:shd w:val="clear" w:color="auto" w:fill="FFFFFF"/>
        </w:rPr>
        <w:t>ous</w:t>
      </w:r>
      <w:proofErr w:type="gramEnd"/>
      <w:r w:rsidR="000A67A3">
        <w:rPr>
          <w:szCs w:val="24"/>
          <w:shd w:val="clear" w:color="auto" w:fill="FFFFFF"/>
        </w:rPr>
        <w:t xml:space="preserve"> of products and services. </w:t>
      </w:r>
      <w:r w:rsidR="000A67A3">
        <w:rPr>
          <w:rFonts w:eastAsia="新細明體" w:hint="eastAsia"/>
          <w:szCs w:val="24"/>
          <w:shd w:val="clear" w:color="auto" w:fill="FFFFFF"/>
        </w:rPr>
        <w:t>Their</w:t>
      </w:r>
      <w:r>
        <w:rPr>
          <w:szCs w:val="24"/>
          <w:shd w:val="clear" w:color="auto" w:fill="FFFFFF"/>
        </w:rPr>
        <w:t xml:space="preserve"> </w:t>
      </w:r>
      <w:r>
        <w:rPr>
          <w:szCs w:val="24"/>
        </w:rPr>
        <w:t>revenue represents the</w:t>
      </w:r>
      <w:r w:rsidR="000A67A3">
        <w:rPr>
          <w:rFonts w:eastAsia="新細明體" w:hint="eastAsia"/>
          <w:szCs w:val="24"/>
        </w:rPr>
        <w:t>ir</w:t>
      </w:r>
      <w:r>
        <w:rPr>
          <w:szCs w:val="24"/>
        </w:rPr>
        <w:t xml:space="preserve"> income from the sale of film, video and television rights, film and television drama distribution, theatre operation, food and beverage, promotion and advertising services, agency and consultancy services and proceeds from the sale o</w:t>
      </w:r>
      <w:r>
        <w:rPr>
          <w:szCs w:val="24"/>
        </w:rPr>
        <w:t xml:space="preserve">f audio visual products. </w:t>
      </w:r>
    </w:p>
    <w:p w:rsidR="006E1A12" w:rsidRDefault="006E1A12">
      <w:pPr>
        <w:adjustRightInd w:val="0"/>
        <w:snapToGrid w:val="0"/>
        <w:spacing w:line="360" w:lineRule="auto"/>
        <w:jc w:val="both"/>
        <w:rPr>
          <w:szCs w:val="24"/>
        </w:rPr>
      </w:pPr>
    </w:p>
    <w:p w:rsidR="006E1A12" w:rsidRDefault="00270930">
      <w:pPr>
        <w:adjustRightInd w:val="0"/>
        <w:snapToGrid w:val="0"/>
        <w:spacing w:line="360" w:lineRule="auto"/>
        <w:jc w:val="both"/>
      </w:pPr>
      <w:r>
        <w:rPr>
          <w:rFonts w:eastAsia="新細明體" w:hint="eastAsia"/>
          <w:szCs w:val="24"/>
        </w:rPr>
        <w:t>According to its 2018 interim annual report, t</w:t>
      </w:r>
      <w:r>
        <w:rPr>
          <w:szCs w:val="24"/>
        </w:rPr>
        <w:t>he company has total 5 cinemas with 18 screens in Hong Kong up to 30 June 2018</w:t>
      </w:r>
      <w:r>
        <w:rPr>
          <w:rFonts w:hint="eastAsia"/>
          <w:szCs w:val="24"/>
        </w:rPr>
        <w:t xml:space="preserve"> (There are 2 new cinemas opened in late 2018/ early 2019 where located in Kai </w:t>
      </w:r>
      <w:proofErr w:type="spellStart"/>
      <w:r>
        <w:rPr>
          <w:rFonts w:hint="eastAsia"/>
          <w:szCs w:val="24"/>
        </w:rPr>
        <w:t>Tak</w:t>
      </w:r>
      <w:proofErr w:type="spellEnd"/>
      <w:r>
        <w:rPr>
          <w:rFonts w:hint="eastAsia"/>
          <w:szCs w:val="24"/>
        </w:rPr>
        <w:t xml:space="preserve"> and </w:t>
      </w:r>
      <w:proofErr w:type="spellStart"/>
      <w:r>
        <w:rPr>
          <w:rFonts w:hint="eastAsia"/>
          <w:szCs w:val="24"/>
        </w:rPr>
        <w:t>Tuen</w:t>
      </w:r>
      <w:proofErr w:type="spellEnd"/>
      <w:r>
        <w:rPr>
          <w:rFonts w:hint="eastAsia"/>
          <w:szCs w:val="24"/>
        </w:rPr>
        <w:t xml:space="preserve"> </w:t>
      </w:r>
      <w:proofErr w:type="spellStart"/>
      <w:r>
        <w:rPr>
          <w:rFonts w:hint="eastAsia"/>
          <w:szCs w:val="24"/>
        </w:rPr>
        <w:t>Mun</w:t>
      </w:r>
      <w:proofErr w:type="spellEnd"/>
      <w:r>
        <w:rPr>
          <w:rFonts w:hint="eastAsia"/>
          <w:szCs w:val="24"/>
        </w:rPr>
        <w:t>)</w:t>
      </w:r>
      <w:r>
        <w:rPr>
          <w:szCs w:val="24"/>
        </w:rPr>
        <w:t>.</w:t>
      </w:r>
      <w:r>
        <w:t xml:space="preserve"> It is d</w:t>
      </w:r>
      <w:r>
        <w:t xml:space="preserve">edicated to the provision of a diversified video and audio experience for its audiences. All screens in other cinemas of the </w:t>
      </w:r>
      <w:r>
        <w:rPr>
          <w:rFonts w:eastAsia="新細明體" w:hint="eastAsia"/>
        </w:rPr>
        <w:t>company</w:t>
      </w:r>
      <w:r>
        <w:t xml:space="preserve"> are equipped with advanced digital equipment and are 3D compatible. </w:t>
      </w:r>
    </w:p>
    <w:p w:rsidR="006E1A12" w:rsidRDefault="006E1A12">
      <w:pPr>
        <w:adjustRightInd w:val="0"/>
        <w:snapToGrid w:val="0"/>
        <w:spacing w:line="360" w:lineRule="auto"/>
        <w:jc w:val="both"/>
        <w:rPr>
          <w:rFonts w:eastAsia="新細明體" w:hint="eastAsia"/>
        </w:rPr>
      </w:pPr>
    </w:p>
    <w:p w:rsidR="008E78CF" w:rsidRDefault="008E78CF">
      <w:pPr>
        <w:adjustRightInd w:val="0"/>
        <w:snapToGrid w:val="0"/>
        <w:spacing w:line="360" w:lineRule="auto"/>
        <w:jc w:val="both"/>
        <w:rPr>
          <w:rFonts w:eastAsia="新細明體" w:hint="eastAsia"/>
        </w:rPr>
      </w:pPr>
    </w:p>
    <w:p w:rsidR="008E78CF" w:rsidRDefault="008E78CF">
      <w:pPr>
        <w:adjustRightInd w:val="0"/>
        <w:snapToGrid w:val="0"/>
        <w:spacing w:line="360" w:lineRule="auto"/>
        <w:jc w:val="both"/>
        <w:rPr>
          <w:rFonts w:eastAsia="新細明體" w:hint="eastAsia"/>
        </w:rPr>
      </w:pPr>
    </w:p>
    <w:p w:rsidR="008E78CF" w:rsidRDefault="008E78CF">
      <w:pPr>
        <w:adjustRightInd w:val="0"/>
        <w:snapToGrid w:val="0"/>
        <w:spacing w:line="360" w:lineRule="auto"/>
        <w:jc w:val="both"/>
        <w:rPr>
          <w:rFonts w:eastAsia="新細明體" w:hint="eastAsia"/>
        </w:rPr>
      </w:pPr>
    </w:p>
    <w:p w:rsidR="008E78CF" w:rsidRPr="008E78CF" w:rsidRDefault="008E78CF">
      <w:pPr>
        <w:adjustRightInd w:val="0"/>
        <w:snapToGrid w:val="0"/>
        <w:spacing w:line="360" w:lineRule="auto"/>
        <w:jc w:val="both"/>
        <w:rPr>
          <w:rFonts w:eastAsia="新細明體" w:hint="eastAsia"/>
        </w:rPr>
      </w:pPr>
    </w:p>
    <w:tbl>
      <w:tblPr>
        <w:tblpPr w:leftFromText="180" w:rightFromText="180" w:vertAnchor="text" w:horzAnchor="margin" w:tblpY="154"/>
        <w:tblW w:w="8900" w:type="dxa"/>
        <w:tblLayout w:type="fixed"/>
        <w:tblCellMar>
          <w:left w:w="28" w:type="dxa"/>
          <w:right w:w="28" w:type="dxa"/>
        </w:tblCellMar>
        <w:tblLook w:val="04A0" w:firstRow="1" w:lastRow="0" w:firstColumn="1" w:lastColumn="0" w:noHBand="0" w:noVBand="1"/>
      </w:tblPr>
      <w:tblGrid>
        <w:gridCol w:w="4240"/>
        <w:gridCol w:w="1080"/>
        <w:gridCol w:w="1080"/>
        <w:gridCol w:w="1420"/>
        <w:gridCol w:w="1080"/>
      </w:tblGrid>
      <w:tr w:rsidR="006E1A12">
        <w:trPr>
          <w:trHeight w:val="330"/>
        </w:trPr>
        <w:tc>
          <w:tcPr>
            <w:tcW w:w="4240" w:type="dxa"/>
            <w:tcBorders>
              <w:top w:val="single" w:sz="4" w:space="0" w:color="auto"/>
              <w:left w:val="single" w:sz="4" w:space="0" w:color="auto"/>
              <w:bottom w:val="single" w:sz="4" w:space="0" w:color="auto"/>
              <w:right w:val="single" w:sz="4" w:space="0" w:color="auto"/>
            </w:tcBorders>
            <w:shd w:val="clear" w:color="auto" w:fill="auto"/>
            <w:noWrap/>
            <w:vAlign w:val="center"/>
          </w:tcPr>
          <w:p w:rsidR="006E1A12" w:rsidRDefault="00270930">
            <w:pPr>
              <w:widowControl/>
              <w:rPr>
                <w:rFonts w:ascii="新細明體" w:hAnsi="新細明體"/>
                <w:b/>
                <w:color w:val="000000"/>
                <w:kern w:val="0"/>
                <w:szCs w:val="24"/>
                <w:highlight w:val="yellow"/>
              </w:rPr>
            </w:pPr>
            <w:r>
              <w:rPr>
                <w:rFonts w:ascii="新細明體" w:hAnsi="新細明體" w:hint="eastAsia"/>
                <w:b/>
                <w:color w:val="000000"/>
                <w:kern w:val="0"/>
                <w:szCs w:val="24"/>
                <w:highlight w:val="yellow"/>
              </w:rPr>
              <w:lastRenderedPageBreak/>
              <w:t>Golden Harvest</w:t>
            </w:r>
          </w:p>
        </w:tc>
        <w:tc>
          <w:tcPr>
            <w:tcW w:w="1080" w:type="dxa"/>
            <w:tcBorders>
              <w:top w:val="single" w:sz="4" w:space="0" w:color="auto"/>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b/>
                <w:bCs/>
                <w:color w:val="000000"/>
                <w:kern w:val="0"/>
                <w:szCs w:val="24"/>
              </w:rPr>
            </w:pPr>
            <w:r>
              <w:rPr>
                <w:rFonts w:ascii="新細明體" w:hAnsi="新細明體" w:hint="eastAsia"/>
                <w:b/>
                <w:bCs/>
                <w:color w:val="000000"/>
                <w:kern w:val="0"/>
                <w:szCs w:val="24"/>
              </w:rPr>
              <w:t>2018</w:t>
            </w:r>
          </w:p>
        </w:tc>
        <w:tc>
          <w:tcPr>
            <w:tcW w:w="1080" w:type="dxa"/>
            <w:tcBorders>
              <w:top w:val="single" w:sz="4" w:space="0" w:color="auto"/>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b/>
                <w:bCs/>
                <w:color w:val="000000"/>
                <w:kern w:val="0"/>
                <w:szCs w:val="24"/>
              </w:rPr>
            </w:pPr>
            <w:r>
              <w:rPr>
                <w:rFonts w:ascii="新細明體" w:hAnsi="新細明體" w:hint="eastAsia"/>
                <w:b/>
                <w:bCs/>
                <w:color w:val="000000"/>
                <w:kern w:val="0"/>
                <w:szCs w:val="24"/>
              </w:rPr>
              <w:t>2017</w:t>
            </w:r>
          </w:p>
        </w:tc>
        <w:tc>
          <w:tcPr>
            <w:tcW w:w="1420" w:type="dxa"/>
            <w:tcBorders>
              <w:top w:val="single" w:sz="4" w:space="0" w:color="auto"/>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b/>
                <w:bCs/>
                <w:color w:val="000000"/>
                <w:kern w:val="0"/>
                <w:szCs w:val="24"/>
              </w:rPr>
            </w:pPr>
            <w:r>
              <w:rPr>
                <w:rFonts w:ascii="新細明體" w:hAnsi="新細明體" w:hint="eastAsia"/>
                <w:b/>
                <w:bCs/>
                <w:color w:val="000000"/>
                <w:kern w:val="0"/>
                <w:szCs w:val="24"/>
              </w:rPr>
              <w:t>2016</w:t>
            </w:r>
          </w:p>
        </w:tc>
        <w:tc>
          <w:tcPr>
            <w:tcW w:w="1080" w:type="dxa"/>
            <w:tcBorders>
              <w:top w:val="single" w:sz="4" w:space="0" w:color="auto"/>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b/>
                <w:bCs/>
                <w:color w:val="000000"/>
                <w:kern w:val="0"/>
                <w:szCs w:val="24"/>
              </w:rPr>
            </w:pPr>
            <w:r>
              <w:rPr>
                <w:rFonts w:ascii="新細明體" w:hAnsi="新細明體" w:hint="eastAsia"/>
                <w:b/>
                <w:bCs/>
                <w:color w:val="000000"/>
                <w:kern w:val="0"/>
                <w:szCs w:val="24"/>
              </w:rPr>
              <w:t>2015</w:t>
            </w:r>
          </w:p>
        </w:tc>
      </w:tr>
      <w:tr w:rsidR="006E1A12">
        <w:trPr>
          <w:trHeight w:val="330"/>
        </w:trPr>
        <w:tc>
          <w:tcPr>
            <w:tcW w:w="4240" w:type="dxa"/>
            <w:tcBorders>
              <w:top w:val="nil"/>
              <w:left w:val="single" w:sz="4" w:space="0" w:color="auto"/>
              <w:bottom w:val="single" w:sz="4" w:space="0" w:color="auto"/>
              <w:right w:val="single" w:sz="4" w:space="0" w:color="auto"/>
            </w:tcBorders>
            <w:shd w:val="clear" w:color="auto" w:fill="auto"/>
            <w:noWrap/>
            <w:vAlign w:val="center"/>
          </w:tcPr>
          <w:p w:rsidR="006E1A12" w:rsidRDefault="00270930">
            <w:pPr>
              <w:widowControl/>
              <w:rPr>
                <w:rFonts w:ascii="新細明體" w:hAnsi="新細明體"/>
                <w:bCs/>
                <w:color w:val="000000"/>
                <w:kern w:val="0"/>
                <w:szCs w:val="24"/>
              </w:rPr>
            </w:pPr>
            <w:r>
              <w:rPr>
                <w:rFonts w:ascii="新細明體" w:hAnsi="新細明體" w:hint="eastAsia"/>
                <w:bCs/>
                <w:color w:val="000000"/>
                <w:kern w:val="0"/>
                <w:szCs w:val="24"/>
              </w:rPr>
              <w:t>Number of cinema</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5</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6</w:t>
            </w:r>
          </w:p>
        </w:tc>
        <w:tc>
          <w:tcPr>
            <w:tcW w:w="142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5</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6</w:t>
            </w:r>
          </w:p>
        </w:tc>
      </w:tr>
      <w:tr w:rsidR="006E1A12">
        <w:trPr>
          <w:trHeight w:val="330"/>
        </w:trPr>
        <w:tc>
          <w:tcPr>
            <w:tcW w:w="4240" w:type="dxa"/>
            <w:tcBorders>
              <w:top w:val="nil"/>
              <w:left w:val="single" w:sz="4" w:space="0" w:color="auto"/>
              <w:bottom w:val="single" w:sz="4" w:space="0" w:color="auto"/>
              <w:right w:val="single" w:sz="4" w:space="0" w:color="auto"/>
            </w:tcBorders>
            <w:shd w:val="clear" w:color="auto" w:fill="auto"/>
            <w:noWrap/>
            <w:vAlign w:val="center"/>
          </w:tcPr>
          <w:p w:rsidR="006E1A12" w:rsidRDefault="00270930">
            <w:pPr>
              <w:widowControl/>
              <w:rPr>
                <w:rFonts w:ascii="新細明體" w:hAnsi="新細明體"/>
                <w:bCs/>
                <w:color w:val="000000"/>
                <w:kern w:val="0"/>
                <w:szCs w:val="24"/>
              </w:rPr>
            </w:pPr>
            <w:r>
              <w:rPr>
                <w:rFonts w:ascii="新細明體" w:hAnsi="新細明體" w:hint="eastAsia"/>
                <w:bCs/>
                <w:color w:val="000000"/>
                <w:kern w:val="0"/>
                <w:szCs w:val="24"/>
              </w:rPr>
              <w:t>Number of screen</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18</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23</w:t>
            </w:r>
          </w:p>
        </w:tc>
        <w:tc>
          <w:tcPr>
            <w:tcW w:w="142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21</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24</w:t>
            </w:r>
          </w:p>
        </w:tc>
      </w:tr>
      <w:tr w:rsidR="006E1A12">
        <w:trPr>
          <w:trHeight w:val="330"/>
        </w:trPr>
        <w:tc>
          <w:tcPr>
            <w:tcW w:w="4240" w:type="dxa"/>
            <w:tcBorders>
              <w:top w:val="nil"/>
              <w:left w:val="single" w:sz="4" w:space="0" w:color="auto"/>
              <w:bottom w:val="single" w:sz="4" w:space="0" w:color="auto"/>
              <w:right w:val="single" w:sz="4" w:space="0" w:color="auto"/>
            </w:tcBorders>
            <w:shd w:val="clear" w:color="auto" w:fill="auto"/>
            <w:noWrap/>
            <w:vAlign w:val="center"/>
          </w:tcPr>
          <w:p w:rsidR="006E1A12" w:rsidRDefault="00270930">
            <w:pPr>
              <w:widowControl/>
              <w:rPr>
                <w:rFonts w:ascii="新細明體" w:hAnsi="新細明體"/>
                <w:bCs/>
                <w:color w:val="000000"/>
                <w:kern w:val="0"/>
                <w:szCs w:val="24"/>
              </w:rPr>
            </w:pPr>
            <w:r>
              <w:rPr>
                <w:rFonts w:ascii="新細明體" w:hAnsi="新細明體" w:hint="eastAsia"/>
                <w:bCs/>
                <w:color w:val="000000"/>
                <w:kern w:val="0"/>
                <w:szCs w:val="24"/>
              </w:rPr>
              <w:t>Number of attendance (million)</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0.9</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1.3</w:t>
            </w:r>
          </w:p>
        </w:tc>
        <w:tc>
          <w:tcPr>
            <w:tcW w:w="142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1.2</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1.4</w:t>
            </w:r>
          </w:p>
        </w:tc>
      </w:tr>
      <w:tr w:rsidR="006E1A12">
        <w:trPr>
          <w:trHeight w:val="330"/>
        </w:trPr>
        <w:tc>
          <w:tcPr>
            <w:tcW w:w="4240" w:type="dxa"/>
            <w:tcBorders>
              <w:top w:val="nil"/>
              <w:left w:val="single" w:sz="4" w:space="0" w:color="auto"/>
              <w:bottom w:val="single" w:sz="4" w:space="0" w:color="auto"/>
              <w:right w:val="single" w:sz="4" w:space="0" w:color="auto"/>
            </w:tcBorders>
            <w:shd w:val="clear" w:color="auto" w:fill="auto"/>
            <w:noWrap/>
            <w:vAlign w:val="center"/>
          </w:tcPr>
          <w:p w:rsidR="006E1A12" w:rsidRDefault="00270930">
            <w:pPr>
              <w:widowControl/>
              <w:rPr>
                <w:rFonts w:ascii="新細明體" w:hAnsi="新細明體"/>
                <w:bCs/>
                <w:color w:val="000000"/>
                <w:kern w:val="0"/>
                <w:szCs w:val="24"/>
              </w:rPr>
            </w:pPr>
            <w:r>
              <w:rPr>
                <w:rFonts w:ascii="新細明體" w:hAnsi="新細明體" w:hint="eastAsia"/>
                <w:bCs/>
                <w:color w:val="000000"/>
                <w:kern w:val="0"/>
                <w:szCs w:val="24"/>
              </w:rPr>
              <w:t>Average ticket price (Hong Kong Dollar)</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90</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85</w:t>
            </w:r>
          </w:p>
        </w:tc>
        <w:tc>
          <w:tcPr>
            <w:tcW w:w="142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87</w:t>
            </w:r>
          </w:p>
        </w:tc>
        <w:tc>
          <w:tcPr>
            <w:tcW w:w="1080"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80</w:t>
            </w:r>
          </w:p>
        </w:tc>
      </w:tr>
    </w:tbl>
    <w:p w:rsidR="006E1A12" w:rsidRDefault="00270930">
      <w:pPr>
        <w:adjustRightInd w:val="0"/>
        <w:snapToGrid w:val="0"/>
        <w:spacing w:line="360" w:lineRule="auto"/>
        <w:jc w:val="both"/>
        <w:rPr>
          <w:i/>
        </w:rPr>
      </w:pPr>
      <w:r>
        <w:rPr>
          <w:rFonts w:hint="eastAsia"/>
          <w:i/>
        </w:rPr>
        <w:t>Table 1</w:t>
      </w:r>
    </w:p>
    <w:p w:rsidR="006E1A12" w:rsidRDefault="006E1A12">
      <w:pPr>
        <w:adjustRightInd w:val="0"/>
        <w:snapToGrid w:val="0"/>
        <w:spacing w:line="360" w:lineRule="auto"/>
        <w:jc w:val="both"/>
        <w:rPr>
          <w:i/>
        </w:rPr>
      </w:pPr>
    </w:p>
    <w:p w:rsidR="006E1A12" w:rsidRDefault="00270930">
      <w:pPr>
        <w:adjustRightInd w:val="0"/>
        <w:snapToGrid w:val="0"/>
        <w:spacing w:line="360" w:lineRule="auto"/>
        <w:jc w:val="both"/>
        <w:rPr>
          <w:rFonts w:eastAsia="新細明體"/>
        </w:rPr>
      </w:pPr>
      <w:r>
        <w:rPr>
          <w:rFonts w:hint="eastAsia"/>
        </w:rPr>
        <w:t>Golden Harvest</w:t>
      </w:r>
      <w:r>
        <w:t>’</w:t>
      </w:r>
      <w:r>
        <w:rPr>
          <w:rFonts w:hint="eastAsia"/>
        </w:rPr>
        <w:t xml:space="preserve">s flagship cinema in </w:t>
      </w:r>
      <w:proofErr w:type="spellStart"/>
      <w:r>
        <w:rPr>
          <w:rFonts w:hint="eastAsia"/>
        </w:rPr>
        <w:t>Olymplian</w:t>
      </w:r>
      <w:proofErr w:type="spellEnd"/>
      <w:r>
        <w:rPr>
          <w:rFonts w:hint="eastAsia"/>
        </w:rPr>
        <w:t xml:space="preserve"> City was opened in 2014, called </w:t>
      </w:r>
      <w:r>
        <w:t>“</w:t>
      </w:r>
      <w:r>
        <w:rPr>
          <w:rFonts w:hint="eastAsia"/>
        </w:rPr>
        <w:t>The Sky</w:t>
      </w:r>
      <w:r>
        <w:t>”</w:t>
      </w:r>
      <w:r>
        <w:rPr>
          <w:rFonts w:hint="eastAsia"/>
        </w:rPr>
        <w:t xml:space="preserve">. </w:t>
      </w:r>
      <w:r>
        <w:t xml:space="preserve">The Sky is a </w:t>
      </w:r>
      <w:r>
        <w:t xml:space="preserve">six-house, 951-seat multiplex on a ground area of 65,000 square feet. Vivo (Deluxe House) boasts D-BOX VIP motion lounger seats, which cater to demanding moviegoers. Three houses in The Sky feature altogether over 80 D-BOX motion seats. Each </w:t>
      </w:r>
      <w:r w:rsidR="000A67A3">
        <w:rPr>
          <w:rFonts w:eastAsia="新細明體" w:hint="eastAsia"/>
        </w:rPr>
        <w:t>seat installed</w:t>
      </w:r>
      <w:r>
        <w:t xml:space="preserve"> wi</w:t>
      </w:r>
      <w:r>
        <w:t>th D-BOX Motion code</w:t>
      </w:r>
      <w:r w:rsidR="000A67A3">
        <w:rPr>
          <w:rFonts w:eastAsia="新細明體" w:hint="eastAsia"/>
        </w:rPr>
        <w:t xml:space="preserve"> </w:t>
      </w:r>
      <w:proofErr w:type="gramStart"/>
      <w:r w:rsidR="000A67A3">
        <w:rPr>
          <w:rFonts w:eastAsia="新細明體" w:hint="eastAsia"/>
        </w:rPr>
        <w:t>It</w:t>
      </w:r>
      <w:proofErr w:type="gramEnd"/>
      <w:r w:rsidR="000A67A3">
        <w:t xml:space="preserve"> makes </w:t>
      </w:r>
      <w:r w:rsidR="000A67A3">
        <w:rPr>
          <w:rFonts w:eastAsia="新細明體" w:hint="eastAsia"/>
        </w:rPr>
        <w:t>the</w:t>
      </w:r>
      <w:r>
        <w:t xml:space="preserve"> motion perfectly synchronized with all onscreen actions, creating an unmatched realistic and immersive experience. The multiplex is also equipped with Dolby </w:t>
      </w:r>
      <w:proofErr w:type="spellStart"/>
      <w:r>
        <w:t>Atmos</w:t>
      </w:r>
      <w:proofErr w:type="spellEnd"/>
      <w:r>
        <w:t xml:space="preserve"> immersive sound systems and state-of-the-art 4k project</w:t>
      </w:r>
      <w:r>
        <w:t>ion technology in all auditoriums for stunning audio and visual quality.</w:t>
      </w:r>
      <w:r>
        <w:rPr>
          <w:rFonts w:hint="eastAsia"/>
        </w:rPr>
        <w:t xml:space="preserve"> Golden Harvest is the cinema in HK first introduce D-BOX and now all their cinemas have this technology except </w:t>
      </w:r>
      <w:proofErr w:type="spellStart"/>
      <w:r>
        <w:rPr>
          <w:rFonts w:hint="eastAsia"/>
        </w:rPr>
        <w:t>Fanling</w:t>
      </w:r>
      <w:proofErr w:type="spellEnd"/>
      <w:r>
        <w:rPr>
          <w:rFonts w:hint="eastAsia"/>
        </w:rPr>
        <w:t xml:space="preserve"> and Kai </w:t>
      </w:r>
      <w:proofErr w:type="spellStart"/>
      <w:r>
        <w:rPr>
          <w:rFonts w:hint="eastAsia"/>
        </w:rPr>
        <w:t>Tak</w:t>
      </w:r>
      <w:proofErr w:type="spellEnd"/>
      <w:r>
        <w:rPr>
          <w:rFonts w:eastAsia="新細明體" w:hint="eastAsia"/>
        </w:rPr>
        <w:t xml:space="preserve"> cinema.</w:t>
      </w:r>
    </w:p>
    <w:p w:rsidR="006E1A12" w:rsidRDefault="006E1A12">
      <w:pPr>
        <w:adjustRightInd w:val="0"/>
        <w:snapToGrid w:val="0"/>
        <w:spacing w:line="360" w:lineRule="auto"/>
        <w:jc w:val="both"/>
      </w:pPr>
    </w:p>
    <w:p w:rsidR="006E1A12" w:rsidRDefault="00270930">
      <w:pPr>
        <w:adjustRightInd w:val="0"/>
        <w:snapToGrid w:val="0"/>
        <w:spacing w:line="360" w:lineRule="auto"/>
        <w:jc w:val="both"/>
        <w:rPr>
          <w:b/>
          <w:bCs/>
          <w:szCs w:val="24"/>
        </w:rPr>
      </w:pPr>
      <w:r>
        <w:rPr>
          <w:b/>
          <w:bCs/>
          <w:szCs w:val="24"/>
        </w:rPr>
        <w:t>1.2 The market for this product/service</w:t>
      </w:r>
    </w:p>
    <w:p w:rsidR="006E1A12" w:rsidRDefault="00270930">
      <w:pPr>
        <w:widowControl/>
        <w:shd w:val="clear" w:color="auto" w:fill="FFFFFF"/>
        <w:spacing w:line="384" w:lineRule="atLeast"/>
        <w:jc w:val="both"/>
        <w:rPr>
          <w:color w:val="000000"/>
          <w:szCs w:val="24"/>
          <w:shd w:val="clear" w:color="auto" w:fill="FFFFFF"/>
        </w:rPr>
      </w:pPr>
      <w:r>
        <w:rPr>
          <w:rFonts w:eastAsia="Times New Roman"/>
          <w:color w:val="000000"/>
          <w:kern w:val="0"/>
          <w:szCs w:val="24"/>
        </w:rPr>
        <w:t xml:space="preserve">Hong Kong </w:t>
      </w:r>
      <w:r w:rsidR="000A67A3">
        <w:rPr>
          <w:rFonts w:eastAsia="新細明體" w:hint="eastAsia"/>
          <w:color w:val="000000"/>
          <w:kern w:val="0"/>
          <w:szCs w:val="24"/>
        </w:rPr>
        <w:t xml:space="preserve">is </w:t>
      </w:r>
      <w:r>
        <w:rPr>
          <w:rFonts w:eastAsia="Times New Roman"/>
          <w:color w:val="000000"/>
          <w:kern w:val="0"/>
          <w:szCs w:val="24"/>
        </w:rPr>
        <w:t>one of the largest and most dynamic film entertainment industries in the world. As one of the world's largest film and television content exporters, Hong Kong has captured a fair share of the regional market, in particular the market on the C</w:t>
      </w:r>
      <w:r>
        <w:rPr>
          <w:rFonts w:eastAsia="Times New Roman"/>
          <w:color w:val="000000"/>
          <w:kern w:val="0"/>
          <w:szCs w:val="24"/>
        </w:rPr>
        <w:t>hinese mainland.</w:t>
      </w:r>
      <w:r>
        <w:rPr>
          <w:color w:val="000000"/>
          <w:kern w:val="0"/>
          <w:szCs w:val="24"/>
        </w:rPr>
        <w:t xml:space="preserve"> </w:t>
      </w:r>
      <w:r>
        <w:rPr>
          <w:color w:val="000000"/>
          <w:szCs w:val="24"/>
          <w:shd w:val="clear" w:color="auto" w:fill="FFFFFF"/>
        </w:rPr>
        <w:t>Theatrical </w:t>
      </w:r>
      <w:r>
        <w:rPr>
          <w:szCs w:val="24"/>
          <w:shd w:val="clear" w:color="auto" w:fill="FFFFFF"/>
        </w:rPr>
        <w:t>box office</w:t>
      </w:r>
      <w:r>
        <w:rPr>
          <w:color w:val="000000"/>
          <w:szCs w:val="24"/>
          <w:shd w:val="clear" w:color="auto" w:fill="FFFFFF"/>
        </w:rPr>
        <w:t> in </w:t>
      </w:r>
      <w:r>
        <w:rPr>
          <w:szCs w:val="24"/>
          <w:shd w:val="clear" w:color="auto" w:fill="FFFFFF"/>
        </w:rPr>
        <w:t>Hong Kong</w:t>
      </w:r>
      <w:r>
        <w:rPr>
          <w:color w:val="000000"/>
          <w:szCs w:val="24"/>
          <w:shd w:val="clear" w:color="auto" w:fill="FFFFFF"/>
        </w:rPr>
        <w:t> grew by nearly 6% in 2018. Gross takings hit HK$1.96 billion, compared with HK$1.85 billion in 2017, according to data from </w:t>
      </w:r>
      <w:r>
        <w:rPr>
          <w:szCs w:val="24"/>
          <w:shd w:val="clear" w:color="auto" w:fill="FFFFFF"/>
        </w:rPr>
        <w:t>Hong Kong</w:t>
      </w:r>
      <w:r>
        <w:rPr>
          <w:color w:val="000000"/>
          <w:szCs w:val="24"/>
          <w:shd w:val="clear" w:color="auto" w:fill="FFFFFF"/>
        </w:rPr>
        <w:t> Box Office Ltd.</w:t>
      </w:r>
    </w:p>
    <w:p w:rsidR="006E1A12" w:rsidRDefault="006E1A12">
      <w:pPr>
        <w:widowControl/>
        <w:shd w:val="clear" w:color="auto" w:fill="FFFFFF"/>
        <w:spacing w:line="384" w:lineRule="atLeast"/>
        <w:jc w:val="both"/>
        <w:rPr>
          <w:color w:val="000000"/>
          <w:szCs w:val="24"/>
          <w:shd w:val="clear" w:color="auto" w:fill="FFFFFF"/>
        </w:rPr>
      </w:pPr>
    </w:p>
    <w:p w:rsidR="006E1A12" w:rsidRDefault="00270930">
      <w:pPr>
        <w:widowControl/>
        <w:shd w:val="clear" w:color="auto" w:fill="FFFFFF"/>
        <w:spacing w:line="384" w:lineRule="atLeast"/>
        <w:jc w:val="both"/>
        <w:rPr>
          <w:color w:val="000000"/>
          <w:szCs w:val="24"/>
          <w:shd w:val="clear" w:color="auto" w:fill="FFFFFF"/>
        </w:rPr>
      </w:pPr>
      <w:r>
        <w:rPr>
          <w:color w:val="000000"/>
          <w:szCs w:val="24"/>
          <w:shd w:val="clear" w:color="auto" w:fill="FFFFFF"/>
        </w:rPr>
        <w:t>As of December 2018, there are 57 cinemas in Hong Kon</w:t>
      </w:r>
      <w:r>
        <w:rPr>
          <w:color w:val="000000"/>
          <w:szCs w:val="24"/>
          <w:shd w:val="clear" w:color="auto" w:fill="FFFFFF"/>
        </w:rPr>
        <w:t>g, offering a total of 249 screens with nearly 40,000 seats. It is mainly composed of nine cinemas chain. The seven major cinemas in Hong Kong include Golden Harvest, Broadway, MCL, UA, Cinema City, Newport Circuit and Emperor. The total market share is cl</w:t>
      </w:r>
      <w:r>
        <w:rPr>
          <w:color w:val="000000"/>
          <w:szCs w:val="24"/>
          <w:shd w:val="clear" w:color="auto" w:fill="FFFFFF"/>
        </w:rPr>
        <w:t xml:space="preserve">ose to 90%, while AMC and </w:t>
      </w:r>
      <w:proofErr w:type="spellStart"/>
      <w:r>
        <w:rPr>
          <w:color w:val="000000"/>
          <w:szCs w:val="24"/>
          <w:shd w:val="clear" w:color="auto" w:fill="FFFFFF"/>
        </w:rPr>
        <w:t>Chinachem</w:t>
      </w:r>
      <w:proofErr w:type="spellEnd"/>
      <w:r>
        <w:rPr>
          <w:color w:val="000000"/>
          <w:szCs w:val="24"/>
          <w:shd w:val="clear" w:color="auto" w:fill="FFFFFF"/>
        </w:rPr>
        <w:t xml:space="preserve"> have only one cinema now.</w:t>
      </w:r>
    </w:p>
    <w:p w:rsidR="006E1A12" w:rsidRDefault="008E78CF">
      <w:pPr>
        <w:widowControl/>
        <w:shd w:val="clear" w:color="auto" w:fill="FFFFFF"/>
        <w:jc w:val="both"/>
        <w:rPr>
          <w:color w:val="000000"/>
          <w:szCs w:val="24"/>
          <w:shd w:val="clear" w:color="auto" w:fill="FFFFFF"/>
        </w:rPr>
      </w:pPr>
      <w:r>
        <w:rPr>
          <w:noProof/>
        </w:rPr>
        <w:lastRenderedPageBreak/>
        <w:drawing>
          <wp:inline distT="0" distB="0" distL="0" distR="0" wp14:anchorId="302F99F7" wp14:editId="03F795FD">
            <wp:extent cx="5067300" cy="3981449"/>
            <wp:effectExtent l="0" t="0" r="19050" b="19685"/>
            <wp:docPr id="4" name="圖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E1A12" w:rsidRDefault="00270930">
      <w:pPr>
        <w:widowControl/>
        <w:shd w:val="clear" w:color="auto" w:fill="FFFFFF"/>
        <w:jc w:val="both"/>
        <w:rPr>
          <w:i/>
          <w:color w:val="000000"/>
          <w:szCs w:val="24"/>
          <w:shd w:val="clear" w:color="auto" w:fill="FFFFFF"/>
        </w:rPr>
      </w:pPr>
      <w:r>
        <w:rPr>
          <w:rFonts w:hint="eastAsia"/>
          <w:i/>
          <w:color w:val="000000"/>
          <w:szCs w:val="24"/>
          <w:shd w:val="clear" w:color="auto" w:fill="FFFFFF"/>
        </w:rPr>
        <w:t>Chart 1 (data up to D</w:t>
      </w:r>
      <w:r>
        <w:rPr>
          <w:i/>
          <w:color w:val="000000"/>
          <w:szCs w:val="24"/>
          <w:shd w:val="clear" w:color="auto" w:fill="FFFFFF"/>
        </w:rPr>
        <w:t>e</w:t>
      </w:r>
      <w:r>
        <w:rPr>
          <w:rFonts w:hint="eastAsia"/>
          <w:i/>
          <w:color w:val="000000"/>
          <w:szCs w:val="24"/>
          <w:shd w:val="clear" w:color="auto" w:fill="FFFFFF"/>
        </w:rPr>
        <w:t>c 2018)</w:t>
      </w:r>
    </w:p>
    <w:p w:rsidR="006E1A12" w:rsidRDefault="006E1A12">
      <w:pPr>
        <w:widowControl/>
        <w:shd w:val="clear" w:color="auto" w:fill="FFFFFF"/>
        <w:spacing w:line="384" w:lineRule="atLeast"/>
        <w:jc w:val="both"/>
        <w:rPr>
          <w:color w:val="000000"/>
          <w:szCs w:val="24"/>
          <w:shd w:val="clear" w:color="auto" w:fill="FFFFFF"/>
        </w:rPr>
      </w:pPr>
    </w:p>
    <w:p w:rsidR="006E1A12" w:rsidRDefault="00270930" w:rsidP="00600D3A">
      <w:pPr>
        <w:widowControl/>
        <w:shd w:val="clear" w:color="auto" w:fill="FFFFFF"/>
        <w:spacing w:line="360" w:lineRule="auto"/>
        <w:jc w:val="both"/>
        <w:rPr>
          <w:rFonts w:eastAsia="新細明體"/>
        </w:rPr>
      </w:pPr>
      <w:r>
        <w:rPr>
          <w:color w:val="000000"/>
          <w:szCs w:val="24"/>
          <w:shd w:val="clear" w:color="auto" w:fill="FFFFFF"/>
        </w:rPr>
        <w:t>In 2017, the average market share of Golden Harvest remained at around 10.8%. However, its market share has been lower than 8.2% after the clos</w:t>
      </w:r>
      <w:r w:rsidR="008E78CF">
        <w:rPr>
          <w:rFonts w:eastAsia="新細明體" w:hint="eastAsia"/>
          <w:color w:val="000000"/>
          <w:szCs w:val="24"/>
          <w:shd w:val="clear" w:color="auto" w:fill="FFFFFF"/>
        </w:rPr>
        <w:t>ure</w:t>
      </w:r>
      <w:r>
        <w:rPr>
          <w:color w:val="000000"/>
          <w:szCs w:val="24"/>
          <w:shd w:val="clear" w:color="auto" w:fill="FFFFFF"/>
        </w:rPr>
        <w:t xml:space="preserve"> of Tsing Yi cine</w:t>
      </w:r>
      <w:r>
        <w:rPr>
          <w:color w:val="000000"/>
          <w:szCs w:val="24"/>
          <w:shd w:val="clear" w:color="auto" w:fill="FFFFFF"/>
        </w:rPr>
        <w:t xml:space="preserve">ma. It has been grown up a little bit when taking over the Tsuen </w:t>
      </w:r>
      <w:proofErr w:type="spellStart"/>
      <w:r>
        <w:rPr>
          <w:color w:val="000000"/>
          <w:szCs w:val="24"/>
          <w:shd w:val="clear" w:color="auto" w:fill="FFFFFF"/>
        </w:rPr>
        <w:t>Mun</w:t>
      </w:r>
      <w:proofErr w:type="spellEnd"/>
      <w:r>
        <w:rPr>
          <w:color w:val="000000"/>
          <w:szCs w:val="24"/>
          <w:shd w:val="clear" w:color="auto" w:fill="FFFFFF"/>
        </w:rPr>
        <w:t xml:space="preserve"> Square cinema </w:t>
      </w:r>
      <w:r>
        <w:rPr>
          <w:rFonts w:eastAsia="新細明體" w:hint="eastAsia"/>
          <w:color w:val="000000"/>
          <w:szCs w:val="24"/>
          <w:shd w:val="clear" w:color="auto" w:fill="FFFFFF"/>
        </w:rPr>
        <w:t>so it can still</w:t>
      </w:r>
      <w:r>
        <w:rPr>
          <w:color w:val="000000"/>
          <w:szCs w:val="24"/>
          <w:shd w:val="clear" w:color="auto" w:fill="FFFFFF"/>
        </w:rPr>
        <w:t xml:space="preserve"> maintain</w:t>
      </w:r>
      <w:r>
        <w:rPr>
          <w:rFonts w:eastAsia="新細明體" w:hint="eastAsia"/>
          <w:color w:val="000000"/>
          <w:szCs w:val="24"/>
          <w:shd w:val="clear" w:color="auto" w:fill="FFFFFF"/>
        </w:rPr>
        <w:t xml:space="preserve"> about</w:t>
      </w:r>
      <w:r>
        <w:rPr>
          <w:color w:val="000000"/>
          <w:szCs w:val="24"/>
          <w:shd w:val="clear" w:color="auto" w:fill="FFFFFF"/>
        </w:rPr>
        <w:t xml:space="preserve"> 10% in the market</w:t>
      </w:r>
      <w:r>
        <w:rPr>
          <w:rFonts w:eastAsia="新細明體" w:hint="eastAsia"/>
          <w:color w:val="000000"/>
          <w:szCs w:val="24"/>
          <w:shd w:val="clear" w:color="auto" w:fill="FFFFFF"/>
        </w:rPr>
        <w:t xml:space="preserve"> share</w:t>
      </w:r>
      <w:r>
        <w:rPr>
          <w:color w:val="000000"/>
          <w:szCs w:val="24"/>
          <w:shd w:val="clear" w:color="auto" w:fill="FFFFFF"/>
        </w:rPr>
        <w:t xml:space="preserve">. </w:t>
      </w:r>
      <w:r>
        <w:t>During the period under review, the Hong Kong market as a whole recorded gross box office receipts of HK$988 million,</w:t>
      </w:r>
      <w:r>
        <w:t xml:space="preserve"> a slight increase of 0.5% from HK$983 million in the same period last year.</w:t>
      </w:r>
      <w:r>
        <w:rPr>
          <w:rFonts w:eastAsia="新細明體" w:hint="eastAsia"/>
        </w:rPr>
        <w:t xml:space="preserve"> Golden Harvest</w:t>
      </w:r>
      <w:r>
        <w:t>’s cinemas in Hong Kong recorded box office receipts of HK$81 million in this period (30 June 2017</w:t>
      </w:r>
      <w:r>
        <w:rPr>
          <w:rFonts w:eastAsia="新細明體" w:hint="eastAsia"/>
        </w:rPr>
        <w:t xml:space="preserve"> was</w:t>
      </w:r>
      <w:r>
        <w:t xml:space="preserve"> HK$106 million), representing a decrease of 24%. The decrease </w:t>
      </w:r>
      <w:r>
        <w:t xml:space="preserve">was primarily attributable to the closure of Tsing Yi cinema with 5 screens in January 2018. Net average ticket price of the </w:t>
      </w:r>
      <w:r>
        <w:rPr>
          <w:rFonts w:eastAsia="新細明體" w:hint="eastAsia"/>
        </w:rPr>
        <w:t>company</w:t>
      </w:r>
      <w:r>
        <w:t xml:space="preserve"> grew 6% to HK$90 in Hong Kong since more alternative content shows with higher average ticket price were held and the gener</w:t>
      </w:r>
      <w:r>
        <w:t>al increase in the average ticket prices for the period</w:t>
      </w:r>
      <w:r>
        <w:rPr>
          <w:rFonts w:eastAsia="新細明體" w:hint="eastAsia"/>
        </w:rPr>
        <w:t>.</w:t>
      </w:r>
    </w:p>
    <w:p w:rsidR="006E1A12" w:rsidRDefault="006E1A12">
      <w:pPr>
        <w:widowControl/>
        <w:shd w:val="clear" w:color="auto" w:fill="FFFFFF"/>
        <w:spacing w:line="384" w:lineRule="atLeast"/>
        <w:jc w:val="both"/>
        <w:rPr>
          <w:rFonts w:eastAsia="新細明體" w:hint="eastAsia"/>
          <w:b/>
          <w:bCs/>
          <w:szCs w:val="24"/>
        </w:rPr>
      </w:pPr>
    </w:p>
    <w:tbl>
      <w:tblPr>
        <w:tblW w:w="8900" w:type="dxa"/>
        <w:tblInd w:w="13" w:type="dxa"/>
        <w:tblLayout w:type="fixed"/>
        <w:tblCellMar>
          <w:left w:w="28" w:type="dxa"/>
          <w:right w:w="28" w:type="dxa"/>
        </w:tblCellMar>
        <w:tblLook w:val="04A0" w:firstRow="1" w:lastRow="0" w:firstColumn="1" w:lastColumn="0" w:noHBand="0" w:noVBand="1"/>
      </w:tblPr>
      <w:tblGrid>
        <w:gridCol w:w="4586"/>
        <w:gridCol w:w="948"/>
        <w:gridCol w:w="1122"/>
        <w:gridCol w:w="1122"/>
        <w:gridCol w:w="1122"/>
      </w:tblGrid>
      <w:tr w:rsidR="006E1A12">
        <w:trPr>
          <w:trHeight w:val="330"/>
        </w:trPr>
        <w:tc>
          <w:tcPr>
            <w:tcW w:w="8900" w:type="dxa"/>
            <w:gridSpan w:val="5"/>
            <w:tcBorders>
              <w:top w:val="single" w:sz="4" w:space="0" w:color="auto"/>
              <w:left w:val="single" w:sz="4" w:space="0" w:color="auto"/>
              <w:bottom w:val="single" w:sz="4" w:space="0" w:color="auto"/>
              <w:right w:val="single" w:sz="4" w:space="0" w:color="auto"/>
            </w:tcBorders>
            <w:shd w:val="clear" w:color="auto" w:fill="auto"/>
            <w:noWrap/>
            <w:vAlign w:val="center"/>
          </w:tcPr>
          <w:p w:rsidR="006E1A12" w:rsidRDefault="00270930">
            <w:pPr>
              <w:widowControl/>
              <w:jc w:val="center"/>
              <w:rPr>
                <w:rFonts w:ascii="新細明體" w:hAnsi="新細明體"/>
                <w:b/>
                <w:bCs/>
                <w:color w:val="000000"/>
                <w:kern w:val="0"/>
                <w:szCs w:val="24"/>
              </w:rPr>
            </w:pPr>
            <w:r>
              <w:rPr>
                <w:rFonts w:ascii="新細明體" w:hAnsi="新細明體" w:hint="eastAsia"/>
                <w:b/>
                <w:bCs/>
                <w:color w:val="000000"/>
                <w:kern w:val="0"/>
                <w:szCs w:val="24"/>
              </w:rPr>
              <w:lastRenderedPageBreak/>
              <w:t>Gross box office receipts (HKD million)</w:t>
            </w:r>
          </w:p>
        </w:tc>
      </w:tr>
      <w:tr w:rsidR="006E1A12">
        <w:trPr>
          <w:trHeight w:val="330"/>
        </w:trPr>
        <w:tc>
          <w:tcPr>
            <w:tcW w:w="4586" w:type="dxa"/>
            <w:tcBorders>
              <w:top w:val="nil"/>
              <w:left w:val="single" w:sz="4" w:space="0" w:color="auto"/>
              <w:bottom w:val="single" w:sz="4" w:space="0" w:color="auto"/>
              <w:right w:val="single" w:sz="4" w:space="0" w:color="auto"/>
            </w:tcBorders>
            <w:shd w:val="clear" w:color="auto" w:fill="auto"/>
            <w:noWrap/>
            <w:vAlign w:val="center"/>
          </w:tcPr>
          <w:p w:rsidR="006E1A12" w:rsidRDefault="00270930">
            <w:pPr>
              <w:widowControl/>
              <w:jc w:val="center"/>
              <w:rPr>
                <w:rFonts w:ascii="新細明體" w:hAnsi="新細明體"/>
                <w:b/>
                <w:bCs/>
                <w:color w:val="000000"/>
                <w:kern w:val="0"/>
                <w:szCs w:val="24"/>
              </w:rPr>
            </w:pPr>
            <w:r>
              <w:rPr>
                <w:rFonts w:ascii="新細明體" w:hAnsi="新細明體" w:hint="eastAsia"/>
                <w:b/>
                <w:bCs/>
                <w:color w:val="000000"/>
                <w:kern w:val="0"/>
                <w:szCs w:val="24"/>
              </w:rPr>
              <w:t xml:space="preserve">　</w:t>
            </w:r>
          </w:p>
        </w:tc>
        <w:tc>
          <w:tcPr>
            <w:tcW w:w="948"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b/>
                <w:bCs/>
                <w:color w:val="000000"/>
                <w:kern w:val="0"/>
                <w:szCs w:val="24"/>
              </w:rPr>
            </w:pPr>
            <w:r>
              <w:rPr>
                <w:rFonts w:ascii="新細明體" w:hAnsi="新細明體" w:hint="eastAsia"/>
                <w:b/>
                <w:bCs/>
                <w:color w:val="000000"/>
                <w:kern w:val="0"/>
                <w:szCs w:val="24"/>
              </w:rPr>
              <w:t>2018</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b/>
                <w:bCs/>
                <w:color w:val="000000"/>
                <w:kern w:val="0"/>
                <w:szCs w:val="24"/>
              </w:rPr>
            </w:pPr>
            <w:r>
              <w:rPr>
                <w:rFonts w:ascii="新細明體" w:hAnsi="新細明體" w:hint="eastAsia"/>
                <w:b/>
                <w:bCs/>
                <w:color w:val="000000"/>
                <w:kern w:val="0"/>
                <w:szCs w:val="24"/>
              </w:rPr>
              <w:t>2017</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b/>
                <w:bCs/>
                <w:color w:val="000000"/>
                <w:kern w:val="0"/>
                <w:szCs w:val="24"/>
              </w:rPr>
            </w:pPr>
            <w:r>
              <w:rPr>
                <w:rFonts w:ascii="新細明體" w:hAnsi="新細明體" w:hint="eastAsia"/>
                <w:b/>
                <w:bCs/>
                <w:color w:val="000000"/>
                <w:kern w:val="0"/>
                <w:szCs w:val="24"/>
              </w:rPr>
              <w:t>2016</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b/>
                <w:bCs/>
                <w:color w:val="000000"/>
                <w:kern w:val="0"/>
                <w:szCs w:val="24"/>
              </w:rPr>
            </w:pPr>
            <w:r>
              <w:rPr>
                <w:rFonts w:ascii="新細明體" w:hAnsi="新細明體" w:hint="eastAsia"/>
                <w:b/>
                <w:bCs/>
                <w:color w:val="000000"/>
                <w:kern w:val="0"/>
                <w:szCs w:val="24"/>
              </w:rPr>
              <w:t>2015</w:t>
            </w:r>
          </w:p>
        </w:tc>
      </w:tr>
      <w:tr w:rsidR="006E1A12">
        <w:trPr>
          <w:trHeight w:val="330"/>
        </w:trPr>
        <w:tc>
          <w:tcPr>
            <w:tcW w:w="4586" w:type="dxa"/>
            <w:tcBorders>
              <w:top w:val="nil"/>
              <w:left w:val="single" w:sz="4" w:space="0" w:color="auto"/>
              <w:bottom w:val="single" w:sz="4" w:space="0" w:color="auto"/>
              <w:right w:val="single" w:sz="4" w:space="0" w:color="auto"/>
            </w:tcBorders>
            <w:shd w:val="clear" w:color="auto" w:fill="auto"/>
            <w:noWrap/>
            <w:vAlign w:val="center"/>
          </w:tcPr>
          <w:p w:rsidR="006E1A12" w:rsidRDefault="00270930">
            <w:pPr>
              <w:widowControl/>
              <w:rPr>
                <w:rFonts w:ascii="新細明體" w:hAnsi="新細明體"/>
                <w:b/>
                <w:bCs/>
                <w:color w:val="000000"/>
                <w:kern w:val="0"/>
                <w:szCs w:val="24"/>
              </w:rPr>
            </w:pPr>
            <w:r>
              <w:rPr>
                <w:b/>
                <w:bCs/>
                <w:szCs w:val="24"/>
                <w:shd w:val="clear" w:color="auto" w:fill="FFFFFF"/>
              </w:rPr>
              <w:t>Orange Sky Golden Harvest Entertainment</w:t>
            </w:r>
          </w:p>
        </w:tc>
        <w:tc>
          <w:tcPr>
            <w:tcW w:w="948"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81</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106</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106</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110</w:t>
            </w:r>
          </w:p>
        </w:tc>
      </w:tr>
      <w:tr w:rsidR="006E1A12">
        <w:trPr>
          <w:trHeight w:val="330"/>
        </w:trPr>
        <w:tc>
          <w:tcPr>
            <w:tcW w:w="4586" w:type="dxa"/>
            <w:tcBorders>
              <w:top w:val="nil"/>
              <w:left w:val="single" w:sz="4" w:space="0" w:color="auto"/>
              <w:bottom w:val="single" w:sz="4" w:space="0" w:color="auto"/>
              <w:right w:val="single" w:sz="4" w:space="0" w:color="auto"/>
            </w:tcBorders>
            <w:shd w:val="clear" w:color="auto" w:fill="auto"/>
            <w:noWrap/>
            <w:vAlign w:val="center"/>
          </w:tcPr>
          <w:p w:rsidR="006E1A12" w:rsidRDefault="00270930">
            <w:pPr>
              <w:widowControl/>
              <w:rPr>
                <w:rFonts w:ascii="新細明體" w:hAnsi="新細明體"/>
                <w:b/>
                <w:bCs/>
                <w:color w:val="000000"/>
                <w:kern w:val="0"/>
                <w:szCs w:val="24"/>
              </w:rPr>
            </w:pPr>
            <w:r>
              <w:rPr>
                <w:rFonts w:ascii="新細明體" w:hAnsi="新細明體" w:hint="eastAsia"/>
                <w:b/>
                <w:bCs/>
                <w:color w:val="000000"/>
                <w:kern w:val="0"/>
                <w:szCs w:val="24"/>
              </w:rPr>
              <w:t>Whole film market</w:t>
            </w:r>
          </w:p>
        </w:tc>
        <w:tc>
          <w:tcPr>
            <w:tcW w:w="948"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988</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983</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1023</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985</w:t>
            </w:r>
          </w:p>
        </w:tc>
      </w:tr>
      <w:tr w:rsidR="006E1A12">
        <w:trPr>
          <w:trHeight w:val="330"/>
        </w:trPr>
        <w:tc>
          <w:tcPr>
            <w:tcW w:w="4586" w:type="dxa"/>
            <w:tcBorders>
              <w:top w:val="nil"/>
              <w:left w:val="single" w:sz="4" w:space="0" w:color="auto"/>
              <w:bottom w:val="single" w:sz="4" w:space="0" w:color="auto"/>
              <w:right w:val="single" w:sz="4" w:space="0" w:color="auto"/>
            </w:tcBorders>
            <w:shd w:val="clear" w:color="auto" w:fill="auto"/>
            <w:noWrap/>
            <w:vAlign w:val="center"/>
          </w:tcPr>
          <w:p w:rsidR="006E1A12" w:rsidRDefault="00270930">
            <w:pPr>
              <w:widowControl/>
              <w:rPr>
                <w:rFonts w:ascii="新細明體" w:hAnsi="新細明體"/>
                <w:b/>
                <w:bCs/>
                <w:color w:val="000000"/>
                <w:kern w:val="0"/>
                <w:szCs w:val="24"/>
              </w:rPr>
            </w:pPr>
            <w:r>
              <w:rPr>
                <w:rFonts w:ascii="新細明體" w:hAnsi="新細明體" w:hint="eastAsia"/>
                <w:b/>
                <w:bCs/>
                <w:color w:val="000000"/>
                <w:kern w:val="0"/>
                <w:szCs w:val="24"/>
              </w:rPr>
              <w:t>Market share of Golden Harvest</w:t>
            </w:r>
          </w:p>
        </w:tc>
        <w:tc>
          <w:tcPr>
            <w:tcW w:w="948"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8.20%</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10.78%</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10.36%</w:t>
            </w:r>
          </w:p>
        </w:tc>
        <w:tc>
          <w:tcPr>
            <w:tcW w:w="1122" w:type="dxa"/>
            <w:tcBorders>
              <w:top w:val="nil"/>
              <w:left w:val="nil"/>
              <w:bottom w:val="single" w:sz="4" w:space="0" w:color="auto"/>
              <w:right w:val="single" w:sz="4" w:space="0" w:color="auto"/>
            </w:tcBorders>
            <w:shd w:val="clear" w:color="auto" w:fill="auto"/>
            <w:noWrap/>
            <w:vAlign w:val="center"/>
          </w:tcPr>
          <w:p w:rsidR="006E1A12" w:rsidRDefault="00270930">
            <w:pPr>
              <w:widowControl/>
              <w:jc w:val="right"/>
              <w:rPr>
                <w:rFonts w:ascii="新細明體" w:hAnsi="新細明體"/>
                <w:color w:val="000000"/>
                <w:kern w:val="0"/>
                <w:szCs w:val="24"/>
              </w:rPr>
            </w:pPr>
            <w:r>
              <w:rPr>
                <w:rFonts w:ascii="新細明體" w:hAnsi="新細明體" w:hint="eastAsia"/>
                <w:color w:val="000000"/>
                <w:kern w:val="0"/>
                <w:szCs w:val="24"/>
              </w:rPr>
              <w:t>11.17%</w:t>
            </w:r>
          </w:p>
        </w:tc>
      </w:tr>
    </w:tbl>
    <w:p w:rsidR="006E1A12" w:rsidRDefault="00270930">
      <w:pPr>
        <w:adjustRightInd w:val="0"/>
        <w:snapToGrid w:val="0"/>
        <w:spacing w:line="360" w:lineRule="auto"/>
        <w:jc w:val="both"/>
        <w:rPr>
          <w:rFonts w:eastAsia="新細明體"/>
          <w:bCs/>
          <w:i/>
          <w:szCs w:val="24"/>
        </w:rPr>
      </w:pPr>
      <w:r>
        <w:rPr>
          <w:rFonts w:hint="eastAsia"/>
          <w:bCs/>
          <w:i/>
          <w:szCs w:val="24"/>
        </w:rPr>
        <w:t>Table 2</w:t>
      </w:r>
      <w:r>
        <w:rPr>
          <w:rFonts w:eastAsia="新細明體" w:hint="eastAsia"/>
          <w:bCs/>
          <w:i/>
          <w:szCs w:val="24"/>
        </w:rPr>
        <w:t xml:space="preserve"> (Golden Harvest Interim Annual Report 2015 to 2018)</w:t>
      </w:r>
    </w:p>
    <w:p w:rsidR="006E1A12" w:rsidRDefault="006E1A12">
      <w:pPr>
        <w:adjustRightInd w:val="0"/>
        <w:snapToGrid w:val="0"/>
        <w:jc w:val="both"/>
        <w:rPr>
          <w:b/>
          <w:bCs/>
          <w:sz w:val="26"/>
        </w:rPr>
      </w:pPr>
    </w:p>
    <w:p w:rsidR="006E1A12" w:rsidRDefault="006E1A12">
      <w:pPr>
        <w:adjustRightInd w:val="0"/>
        <w:snapToGrid w:val="0"/>
        <w:jc w:val="both"/>
        <w:rPr>
          <w:bCs/>
          <w:szCs w:val="24"/>
        </w:rPr>
      </w:pPr>
    </w:p>
    <w:p w:rsidR="006E1A12" w:rsidRDefault="00600D3A">
      <w:pPr>
        <w:widowControl/>
        <w:adjustRightInd w:val="0"/>
        <w:snapToGrid w:val="0"/>
        <w:spacing w:line="360" w:lineRule="auto"/>
        <w:jc w:val="both"/>
        <w:rPr>
          <w:b/>
          <w:bCs/>
          <w:sz w:val="26"/>
        </w:rPr>
      </w:pPr>
      <w:r>
        <w:rPr>
          <w:b/>
          <w:bCs/>
          <w:sz w:val="26"/>
        </w:rPr>
        <w:t>2</w:t>
      </w:r>
      <w:r>
        <w:rPr>
          <w:rFonts w:eastAsia="新細明體" w:hint="eastAsia"/>
          <w:b/>
          <w:bCs/>
          <w:sz w:val="26"/>
        </w:rPr>
        <w:t>.</w:t>
      </w:r>
      <w:r>
        <w:rPr>
          <w:rFonts w:eastAsia="新細明體" w:hint="eastAsia"/>
          <w:b/>
          <w:bCs/>
          <w:sz w:val="26"/>
        </w:rPr>
        <w:tab/>
      </w:r>
      <w:r w:rsidR="00270930">
        <w:rPr>
          <w:b/>
          <w:bCs/>
          <w:sz w:val="26"/>
        </w:rPr>
        <w:t xml:space="preserve">Case study design and planning  </w:t>
      </w:r>
    </w:p>
    <w:p w:rsidR="006E1A12" w:rsidRDefault="00270930" w:rsidP="00600D3A">
      <w:pPr>
        <w:adjustRightInd w:val="0"/>
        <w:snapToGrid w:val="0"/>
        <w:spacing w:line="360" w:lineRule="auto"/>
        <w:jc w:val="both"/>
        <w:rPr>
          <w:bCs/>
          <w:sz w:val="26"/>
        </w:rPr>
      </w:pPr>
      <w:r>
        <w:rPr>
          <w:rFonts w:hint="eastAsia"/>
          <w:bCs/>
          <w:sz w:val="26"/>
        </w:rPr>
        <w:t xml:space="preserve">The design of this case study is to present the current </w:t>
      </w:r>
      <w:r>
        <w:rPr>
          <w:bCs/>
          <w:sz w:val="26"/>
        </w:rPr>
        <w:t>company</w:t>
      </w:r>
      <w:r>
        <w:rPr>
          <w:rFonts w:hint="eastAsia"/>
          <w:bCs/>
          <w:sz w:val="26"/>
        </w:rPr>
        <w:t xml:space="preserve"> financial situation through </w:t>
      </w:r>
      <w:r>
        <w:rPr>
          <w:bCs/>
          <w:sz w:val="26"/>
        </w:rPr>
        <w:t>developing</w:t>
      </w:r>
      <w:r>
        <w:rPr>
          <w:rFonts w:hint="eastAsia"/>
          <w:bCs/>
          <w:sz w:val="26"/>
        </w:rPr>
        <w:t xml:space="preserve"> research questions as well as gather financial figures from annual reports, site observation in person and information from public sources. </w:t>
      </w:r>
      <w:r w:rsidR="00600D3A">
        <w:rPr>
          <w:rFonts w:eastAsia="新細明體" w:hint="eastAsia"/>
          <w:bCs/>
          <w:sz w:val="26"/>
        </w:rPr>
        <w:t xml:space="preserve">To make </w:t>
      </w:r>
      <w:r w:rsidR="00600D3A">
        <w:rPr>
          <w:rFonts w:eastAsia="新細明體"/>
          <w:bCs/>
          <w:sz w:val="26"/>
        </w:rPr>
        <w:t>comparison</w:t>
      </w:r>
      <w:r w:rsidR="00600D3A">
        <w:rPr>
          <w:rFonts w:eastAsia="新細明體" w:hint="eastAsia"/>
          <w:bCs/>
          <w:sz w:val="26"/>
        </w:rPr>
        <w:t xml:space="preserve"> between Golden Harvest and its competitors, let readers to have a good understanding about the price discrimination strategy of Golden Harvest but also its financial situation and position. </w:t>
      </w:r>
      <w:r>
        <w:rPr>
          <w:rFonts w:hint="eastAsia"/>
          <w:bCs/>
          <w:sz w:val="26"/>
        </w:rPr>
        <w:t xml:space="preserve">After that, we are going to analyze and discuss whether the current price </w:t>
      </w:r>
      <w:r>
        <w:rPr>
          <w:bCs/>
          <w:sz w:val="26"/>
        </w:rPr>
        <w:t>discrimination</w:t>
      </w:r>
      <w:r>
        <w:rPr>
          <w:rFonts w:hint="eastAsia"/>
          <w:bCs/>
          <w:sz w:val="26"/>
        </w:rPr>
        <w:t xml:space="preserve"> strategy is </w:t>
      </w:r>
      <w:r>
        <w:rPr>
          <w:bCs/>
          <w:sz w:val="26"/>
        </w:rPr>
        <w:t>effective</w:t>
      </w:r>
      <w:r>
        <w:rPr>
          <w:rFonts w:hint="eastAsia"/>
          <w:bCs/>
          <w:sz w:val="26"/>
        </w:rPr>
        <w:t xml:space="preserve"> or not.</w:t>
      </w:r>
    </w:p>
    <w:p w:rsidR="006E1A12" w:rsidRDefault="006E1A12">
      <w:pPr>
        <w:adjustRightInd w:val="0"/>
        <w:snapToGrid w:val="0"/>
        <w:spacing w:line="360" w:lineRule="auto"/>
        <w:jc w:val="both"/>
        <w:rPr>
          <w:bCs/>
          <w:sz w:val="26"/>
        </w:rPr>
      </w:pPr>
    </w:p>
    <w:p w:rsidR="006E1A12" w:rsidRDefault="00270930">
      <w:pPr>
        <w:adjustRightInd w:val="0"/>
        <w:snapToGrid w:val="0"/>
        <w:spacing w:line="360" w:lineRule="auto"/>
        <w:jc w:val="both"/>
        <w:rPr>
          <w:b/>
          <w:bCs/>
          <w:szCs w:val="24"/>
        </w:rPr>
      </w:pPr>
      <w:r>
        <w:rPr>
          <w:b/>
          <w:bCs/>
          <w:szCs w:val="24"/>
        </w:rPr>
        <w:t>2.1 Objectives and research questions</w:t>
      </w:r>
    </w:p>
    <w:p w:rsidR="006E1A12" w:rsidRDefault="00270930" w:rsidP="00600D3A">
      <w:pPr>
        <w:adjustRightInd w:val="0"/>
        <w:snapToGrid w:val="0"/>
        <w:spacing w:line="360" w:lineRule="auto"/>
        <w:jc w:val="both"/>
        <w:rPr>
          <w:szCs w:val="24"/>
          <w:shd w:val="clear" w:color="auto" w:fill="FFFFFF"/>
        </w:rPr>
      </w:pPr>
      <w:r>
        <w:rPr>
          <w:szCs w:val="24"/>
          <w:shd w:val="clear" w:color="auto" w:fill="FFFFFF"/>
        </w:rPr>
        <w:t>Price discrimination is the practice of charging a different price for the same good or service. There are three of types of price discrimination – first-degree, second-degree, and third-degree price discrimi</w:t>
      </w:r>
      <w:r>
        <w:rPr>
          <w:szCs w:val="24"/>
          <w:shd w:val="clear" w:color="auto" w:fill="FFFFFF"/>
        </w:rPr>
        <w:t>nation.</w:t>
      </w:r>
      <w:r>
        <w:rPr>
          <w:rFonts w:hint="eastAsia"/>
          <w:szCs w:val="24"/>
          <w:shd w:val="clear" w:color="auto" w:fill="FFFFFF"/>
        </w:rPr>
        <w:t xml:space="preserve"> Golden Harvest is now using third-degree of price discrimination strategy.</w:t>
      </w:r>
    </w:p>
    <w:p w:rsidR="006E1A12" w:rsidRDefault="006E1A12">
      <w:pPr>
        <w:adjustRightInd w:val="0"/>
        <w:snapToGrid w:val="0"/>
        <w:spacing w:line="360" w:lineRule="auto"/>
        <w:jc w:val="both"/>
        <w:rPr>
          <w:szCs w:val="24"/>
          <w:shd w:val="clear" w:color="auto" w:fill="FFFFFF"/>
        </w:rPr>
      </w:pPr>
    </w:p>
    <w:p w:rsidR="006E1A12" w:rsidRDefault="00270930">
      <w:pPr>
        <w:adjustRightInd w:val="0"/>
        <w:snapToGrid w:val="0"/>
        <w:spacing w:line="360" w:lineRule="auto"/>
        <w:jc w:val="both"/>
        <w:rPr>
          <w:szCs w:val="24"/>
          <w:shd w:val="clear" w:color="auto" w:fill="FFFFFF"/>
        </w:rPr>
      </w:pPr>
      <w:r>
        <w:rPr>
          <w:rFonts w:hint="eastAsia"/>
          <w:szCs w:val="24"/>
          <w:shd w:val="clear" w:color="auto" w:fill="FFFFFF"/>
        </w:rPr>
        <w:t xml:space="preserve">The objective of this case study is to let us through the process of developing research questions to investigate and </w:t>
      </w:r>
      <w:proofErr w:type="spellStart"/>
      <w:r>
        <w:rPr>
          <w:rFonts w:hint="eastAsia"/>
          <w:szCs w:val="24"/>
          <w:shd w:val="clear" w:color="auto" w:fill="FFFFFF"/>
        </w:rPr>
        <w:t>analyse</w:t>
      </w:r>
      <w:proofErr w:type="spellEnd"/>
      <w:r>
        <w:rPr>
          <w:rFonts w:hint="eastAsia"/>
          <w:szCs w:val="24"/>
          <w:shd w:val="clear" w:color="auto" w:fill="FFFFFF"/>
        </w:rPr>
        <w:t xml:space="preserve"> the effectiveness of price strategy that Golde</w:t>
      </w:r>
      <w:r>
        <w:rPr>
          <w:rFonts w:hint="eastAsia"/>
          <w:szCs w:val="24"/>
          <w:shd w:val="clear" w:color="auto" w:fill="FFFFFF"/>
        </w:rPr>
        <w:t xml:space="preserve">n Harvest is now using. </w:t>
      </w:r>
    </w:p>
    <w:p w:rsidR="006E1A12" w:rsidRDefault="006E1A12">
      <w:pPr>
        <w:adjustRightInd w:val="0"/>
        <w:snapToGrid w:val="0"/>
        <w:spacing w:line="360" w:lineRule="auto"/>
        <w:jc w:val="both"/>
        <w:rPr>
          <w:szCs w:val="24"/>
          <w:shd w:val="clear" w:color="auto" w:fill="FFFFFF"/>
        </w:rPr>
      </w:pPr>
    </w:p>
    <w:p w:rsidR="008E78CF" w:rsidRPr="008E78CF" w:rsidRDefault="00270930" w:rsidP="00600D3A">
      <w:pPr>
        <w:numPr>
          <w:ilvl w:val="0"/>
          <w:numId w:val="1"/>
        </w:numPr>
        <w:adjustRightInd w:val="0"/>
        <w:snapToGrid w:val="0"/>
        <w:spacing w:line="360" w:lineRule="auto"/>
        <w:ind w:left="426" w:hanging="318"/>
        <w:jc w:val="both"/>
        <w:rPr>
          <w:rFonts w:hint="eastAsia"/>
          <w:szCs w:val="24"/>
          <w:shd w:val="clear" w:color="auto" w:fill="FFFFFF"/>
        </w:rPr>
      </w:pPr>
      <w:r>
        <w:rPr>
          <w:rFonts w:hint="eastAsia"/>
          <w:szCs w:val="24"/>
          <w:shd w:val="clear" w:color="auto" w:fill="FFFFFF"/>
        </w:rPr>
        <w:t xml:space="preserve">Firstly, </w:t>
      </w:r>
      <w:r w:rsidR="008E78CF">
        <w:rPr>
          <w:rFonts w:eastAsia="新細明體" w:hint="eastAsia"/>
          <w:szCs w:val="24"/>
          <w:shd w:val="clear" w:color="auto" w:fill="FFFFFF"/>
        </w:rPr>
        <w:t>this case study will find out what type of price discrimination strategy is used by Golden Harvest now?</w:t>
      </w:r>
    </w:p>
    <w:p w:rsidR="006E1A12" w:rsidRDefault="008E78CF" w:rsidP="00600D3A">
      <w:pPr>
        <w:numPr>
          <w:ilvl w:val="0"/>
          <w:numId w:val="1"/>
        </w:numPr>
        <w:adjustRightInd w:val="0"/>
        <w:snapToGrid w:val="0"/>
        <w:spacing w:line="360" w:lineRule="auto"/>
        <w:ind w:left="426" w:hanging="318"/>
        <w:jc w:val="both"/>
        <w:rPr>
          <w:szCs w:val="24"/>
          <w:shd w:val="clear" w:color="auto" w:fill="FFFFFF"/>
        </w:rPr>
      </w:pPr>
      <w:r>
        <w:rPr>
          <w:rFonts w:eastAsia="新細明體" w:hint="eastAsia"/>
          <w:szCs w:val="24"/>
          <w:shd w:val="clear" w:color="auto" w:fill="FFFFFF"/>
        </w:rPr>
        <w:t>Then, we</w:t>
      </w:r>
      <w:r w:rsidR="00270930">
        <w:rPr>
          <w:rFonts w:hint="eastAsia"/>
          <w:szCs w:val="24"/>
          <w:shd w:val="clear" w:color="auto" w:fill="FFFFFF"/>
        </w:rPr>
        <w:t xml:space="preserve"> will analyze the reasons why </w:t>
      </w:r>
      <w:r>
        <w:rPr>
          <w:rFonts w:eastAsia="新細明體" w:hint="eastAsia"/>
          <w:szCs w:val="24"/>
          <w:shd w:val="clear" w:color="auto" w:fill="FFFFFF"/>
        </w:rPr>
        <w:t>Golden Harvest</w:t>
      </w:r>
      <w:r w:rsidR="00270930">
        <w:rPr>
          <w:rFonts w:hint="eastAsia"/>
          <w:szCs w:val="24"/>
          <w:shd w:val="clear" w:color="auto" w:fill="FFFFFF"/>
        </w:rPr>
        <w:t xml:space="preserve"> charges different pries for its customers from the perspective of price discrimination. </w:t>
      </w:r>
    </w:p>
    <w:p w:rsidR="008E78CF" w:rsidRPr="008E78CF" w:rsidRDefault="008E78CF" w:rsidP="00600D3A">
      <w:pPr>
        <w:numPr>
          <w:ilvl w:val="0"/>
          <w:numId w:val="1"/>
        </w:numPr>
        <w:adjustRightInd w:val="0"/>
        <w:snapToGrid w:val="0"/>
        <w:spacing w:line="360" w:lineRule="auto"/>
        <w:ind w:left="426" w:hanging="318"/>
        <w:jc w:val="both"/>
        <w:rPr>
          <w:szCs w:val="24"/>
          <w:shd w:val="clear" w:color="auto" w:fill="FFFFFF"/>
        </w:rPr>
      </w:pPr>
      <w:r>
        <w:rPr>
          <w:rFonts w:eastAsia="新細明體" w:hint="eastAsia"/>
          <w:szCs w:val="24"/>
          <w:shd w:val="clear" w:color="auto" w:fill="FFFFFF"/>
        </w:rPr>
        <w:t>Finally, we will summarize and make recommendation to Golden Harvest and see if there is any room for revenue improvement by capturing more consumer surplus.</w:t>
      </w:r>
    </w:p>
    <w:p w:rsidR="006E1A12" w:rsidRDefault="006E1A12">
      <w:pPr>
        <w:adjustRightInd w:val="0"/>
        <w:snapToGrid w:val="0"/>
        <w:spacing w:line="360" w:lineRule="auto"/>
        <w:jc w:val="both"/>
        <w:rPr>
          <w:rFonts w:eastAsia="新細明體" w:hint="eastAsia"/>
          <w:bCs/>
          <w:szCs w:val="24"/>
        </w:rPr>
      </w:pPr>
    </w:p>
    <w:p w:rsidR="0015333A" w:rsidRPr="0015333A" w:rsidRDefault="0015333A">
      <w:pPr>
        <w:adjustRightInd w:val="0"/>
        <w:snapToGrid w:val="0"/>
        <w:spacing w:line="360" w:lineRule="auto"/>
        <w:jc w:val="both"/>
        <w:rPr>
          <w:rFonts w:eastAsia="新細明體" w:hint="eastAsia"/>
          <w:bCs/>
          <w:szCs w:val="24"/>
        </w:rPr>
      </w:pPr>
    </w:p>
    <w:p w:rsidR="006E1A12" w:rsidRDefault="00270930">
      <w:pPr>
        <w:adjustRightInd w:val="0"/>
        <w:snapToGrid w:val="0"/>
        <w:spacing w:line="360" w:lineRule="auto"/>
        <w:jc w:val="both"/>
        <w:rPr>
          <w:b/>
          <w:bCs/>
          <w:szCs w:val="24"/>
        </w:rPr>
      </w:pPr>
      <w:r>
        <w:rPr>
          <w:b/>
          <w:bCs/>
          <w:szCs w:val="24"/>
        </w:rPr>
        <w:lastRenderedPageBreak/>
        <w:t>2.2 Quantitative data collection method</w:t>
      </w:r>
    </w:p>
    <w:p w:rsidR="006E1A12" w:rsidRDefault="00270930">
      <w:pPr>
        <w:adjustRightInd w:val="0"/>
        <w:snapToGrid w:val="0"/>
        <w:spacing w:line="360" w:lineRule="auto"/>
        <w:jc w:val="both"/>
        <w:rPr>
          <w:rFonts w:eastAsia="新細明體" w:hint="eastAsia"/>
          <w:szCs w:val="24"/>
          <w:shd w:val="clear" w:color="auto" w:fill="FFFFFF"/>
        </w:rPr>
      </w:pPr>
      <w:r>
        <w:rPr>
          <w:rFonts w:hint="eastAsia"/>
          <w:bCs/>
          <w:szCs w:val="24"/>
        </w:rPr>
        <w:t>Quantitative data collection will be done through site observation and document review from different sources of</w:t>
      </w:r>
      <w:r>
        <w:rPr>
          <w:rFonts w:hint="eastAsia"/>
          <w:bCs/>
          <w:szCs w:val="24"/>
        </w:rPr>
        <w:t xml:space="preserve"> secondary data including annual reports, newspaper articles, publications and websites. </w:t>
      </w:r>
      <w:r>
        <w:rPr>
          <w:rFonts w:hint="eastAsia"/>
          <w:szCs w:val="24"/>
          <w:shd w:val="clear" w:color="auto" w:fill="FFFFFF"/>
        </w:rPr>
        <w:t>To collect</w:t>
      </w:r>
      <w:r>
        <w:rPr>
          <w:szCs w:val="24"/>
          <w:shd w:val="clear" w:color="auto" w:fill="FFFFFF"/>
        </w:rPr>
        <w:t xml:space="preserve"> different forms of data through the above </w:t>
      </w:r>
      <w:r>
        <w:rPr>
          <w:rFonts w:hint="eastAsia"/>
          <w:szCs w:val="24"/>
          <w:shd w:val="clear" w:color="auto" w:fill="FFFFFF"/>
        </w:rPr>
        <w:t xml:space="preserve">sources, </w:t>
      </w:r>
      <w:r>
        <w:rPr>
          <w:szCs w:val="24"/>
          <w:shd w:val="clear" w:color="auto" w:fill="FFFFFF"/>
        </w:rPr>
        <w:t>graphically present the company's previous and current financial position and operation</w:t>
      </w:r>
      <w:r>
        <w:rPr>
          <w:rFonts w:hint="eastAsia"/>
          <w:szCs w:val="24"/>
          <w:shd w:val="clear" w:color="auto" w:fill="FFFFFF"/>
        </w:rPr>
        <w:t xml:space="preserve"> situation. </w:t>
      </w:r>
    </w:p>
    <w:p w:rsidR="008F3FC9" w:rsidRPr="008F3FC9" w:rsidRDefault="008F3FC9">
      <w:pPr>
        <w:adjustRightInd w:val="0"/>
        <w:snapToGrid w:val="0"/>
        <w:spacing w:line="360" w:lineRule="auto"/>
        <w:jc w:val="both"/>
        <w:rPr>
          <w:rFonts w:eastAsia="新細明體" w:hint="eastAsia"/>
          <w:szCs w:val="24"/>
          <w:shd w:val="clear" w:color="auto" w:fill="FFFFFF"/>
        </w:rPr>
      </w:pPr>
    </w:p>
    <w:p w:rsidR="008F3FC9" w:rsidRDefault="008F3FC9">
      <w:pPr>
        <w:adjustRightInd w:val="0"/>
        <w:snapToGrid w:val="0"/>
        <w:spacing w:line="360" w:lineRule="auto"/>
        <w:jc w:val="both"/>
        <w:rPr>
          <w:rFonts w:eastAsia="新細明體" w:hint="eastAsia"/>
          <w:szCs w:val="24"/>
          <w:shd w:val="clear" w:color="auto" w:fill="FFFFFF"/>
        </w:rPr>
      </w:pPr>
      <w:r>
        <w:rPr>
          <w:rFonts w:eastAsia="新細明體" w:hint="eastAsia"/>
          <w:szCs w:val="24"/>
          <w:shd w:val="clear" w:color="auto" w:fill="FFFFFF"/>
        </w:rPr>
        <w:t xml:space="preserve">We collected financial figures from previous year </w:t>
      </w:r>
      <w:r>
        <w:rPr>
          <w:rFonts w:eastAsia="新細明體"/>
          <w:szCs w:val="24"/>
          <w:shd w:val="clear" w:color="auto" w:fill="FFFFFF"/>
        </w:rPr>
        <w:t>annual</w:t>
      </w:r>
      <w:r>
        <w:rPr>
          <w:rFonts w:eastAsia="新細明體" w:hint="eastAsia"/>
          <w:szCs w:val="24"/>
          <w:shd w:val="clear" w:color="auto" w:fill="FFFFFF"/>
        </w:rPr>
        <w:t xml:space="preserve"> reports to compare and review the past performance of Golden Harvest. Second, we collected the different type of ticket price information from Golden Harvest website, so that we can easily understand the whole pricing structure of their movie ticket for </w:t>
      </w:r>
      <w:r>
        <w:rPr>
          <w:rFonts w:eastAsia="新細明體"/>
          <w:szCs w:val="24"/>
          <w:shd w:val="clear" w:color="auto" w:fill="FFFFFF"/>
        </w:rPr>
        <w:t>different</w:t>
      </w:r>
      <w:r>
        <w:rPr>
          <w:rFonts w:eastAsia="新細明體" w:hint="eastAsia"/>
          <w:szCs w:val="24"/>
          <w:shd w:val="clear" w:color="auto" w:fill="FFFFFF"/>
        </w:rPr>
        <w:t xml:space="preserve"> group of people, time and location. </w:t>
      </w:r>
    </w:p>
    <w:p w:rsidR="008F3FC9" w:rsidRPr="008F3FC9" w:rsidRDefault="008F3FC9">
      <w:pPr>
        <w:adjustRightInd w:val="0"/>
        <w:snapToGrid w:val="0"/>
        <w:spacing w:line="360" w:lineRule="auto"/>
        <w:jc w:val="both"/>
        <w:rPr>
          <w:rFonts w:eastAsia="新細明體"/>
          <w:szCs w:val="24"/>
          <w:shd w:val="clear" w:color="auto" w:fill="FFFFFF"/>
        </w:rPr>
      </w:pPr>
    </w:p>
    <w:p w:rsidR="006E1A12" w:rsidRDefault="00270930">
      <w:pPr>
        <w:adjustRightInd w:val="0"/>
        <w:snapToGrid w:val="0"/>
        <w:spacing w:line="360" w:lineRule="auto"/>
        <w:jc w:val="both"/>
        <w:rPr>
          <w:rFonts w:eastAsia="新細明體" w:hint="eastAsia"/>
          <w:szCs w:val="24"/>
          <w:shd w:val="clear" w:color="auto" w:fill="FFFFFF"/>
        </w:rPr>
      </w:pPr>
      <w:r>
        <w:rPr>
          <w:rFonts w:hint="eastAsia"/>
          <w:szCs w:val="24"/>
          <w:shd w:val="clear" w:color="auto" w:fill="FFFFFF"/>
        </w:rPr>
        <w:t xml:space="preserve">Site </w:t>
      </w:r>
      <w:r>
        <w:rPr>
          <w:rFonts w:hint="eastAsia"/>
          <w:szCs w:val="24"/>
          <w:shd w:val="clear" w:color="auto" w:fill="FFFFFF"/>
        </w:rPr>
        <w:t xml:space="preserve">observation was done by spending 5 hours from 1pm to 6pm on </w:t>
      </w:r>
      <w:r w:rsidR="008F3FC9">
        <w:rPr>
          <w:rFonts w:eastAsia="新細明體" w:hint="eastAsia"/>
          <w:szCs w:val="24"/>
          <w:shd w:val="clear" w:color="auto" w:fill="FFFFFF"/>
        </w:rPr>
        <w:t>24</w:t>
      </w:r>
      <w:r w:rsidR="008F3FC9" w:rsidRPr="008F3FC9">
        <w:rPr>
          <w:rFonts w:eastAsia="新細明體" w:hint="eastAsia"/>
          <w:szCs w:val="24"/>
          <w:shd w:val="clear" w:color="auto" w:fill="FFFFFF"/>
          <w:vertAlign w:val="superscript"/>
        </w:rPr>
        <w:t>th</w:t>
      </w:r>
      <w:r w:rsidR="008F3FC9">
        <w:rPr>
          <w:rFonts w:eastAsia="新細明體" w:hint="eastAsia"/>
          <w:szCs w:val="24"/>
          <w:shd w:val="clear" w:color="auto" w:fill="FFFFFF"/>
        </w:rPr>
        <w:t xml:space="preserve"> February 2019</w:t>
      </w:r>
      <w:r>
        <w:rPr>
          <w:rFonts w:hint="eastAsia"/>
          <w:szCs w:val="24"/>
          <w:shd w:val="clear" w:color="auto" w:fill="FFFFFF"/>
        </w:rPr>
        <w:t xml:space="preserve"> in Golden Harvest</w:t>
      </w:r>
      <w:r>
        <w:rPr>
          <w:szCs w:val="24"/>
          <w:shd w:val="clear" w:color="auto" w:fill="FFFFFF"/>
        </w:rPr>
        <w:t>’</w:t>
      </w:r>
      <w:r w:rsidR="008E78CF">
        <w:rPr>
          <w:rFonts w:hint="eastAsia"/>
          <w:szCs w:val="24"/>
          <w:shd w:val="clear" w:color="auto" w:fill="FFFFFF"/>
        </w:rPr>
        <w:t>s flagship cinema, The Sky</w:t>
      </w:r>
      <w:r w:rsidR="008F3FC9">
        <w:rPr>
          <w:rFonts w:eastAsia="新細明體" w:hint="eastAsia"/>
          <w:szCs w:val="24"/>
          <w:shd w:val="clear" w:color="auto" w:fill="FFFFFF"/>
        </w:rPr>
        <w:t xml:space="preserve"> located in Olympian City Phase 2. I was</w:t>
      </w:r>
      <w:r w:rsidR="008E78CF">
        <w:rPr>
          <w:rFonts w:eastAsia="新細明體" w:hint="eastAsia"/>
          <w:szCs w:val="24"/>
          <w:shd w:val="clear" w:color="auto" w:fill="FFFFFF"/>
        </w:rPr>
        <w:t xml:space="preserve"> standing nex</w:t>
      </w:r>
      <w:r w:rsidR="008F3FC9">
        <w:rPr>
          <w:rFonts w:eastAsia="新細明體" w:hint="eastAsia"/>
          <w:szCs w:val="24"/>
          <w:shd w:val="clear" w:color="auto" w:fill="FFFFFF"/>
        </w:rPr>
        <w:t xml:space="preserve">t to the box office counter. Observe, listen and take record for every people who visit the box office counter. </w:t>
      </w:r>
    </w:p>
    <w:p w:rsidR="008F3FC9" w:rsidRDefault="008F3FC9">
      <w:pPr>
        <w:adjustRightInd w:val="0"/>
        <w:snapToGrid w:val="0"/>
        <w:spacing w:line="360" w:lineRule="auto"/>
        <w:jc w:val="both"/>
        <w:rPr>
          <w:bCs/>
          <w:szCs w:val="24"/>
        </w:rPr>
      </w:pPr>
    </w:p>
    <w:p w:rsidR="006E1A12" w:rsidRDefault="00270930">
      <w:pPr>
        <w:adjustRightInd w:val="0"/>
        <w:snapToGrid w:val="0"/>
        <w:spacing w:line="360" w:lineRule="auto"/>
        <w:jc w:val="both"/>
        <w:rPr>
          <w:b/>
          <w:bCs/>
          <w:szCs w:val="24"/>
        </w:rPr>
      </w:pPr>
      <w:r>
        <w:rPr>
          <w:b/>
          <w:bCs/>
          <w:szCs w:val="24"/>
        </w:rPr>
        <w:t>2.3 Quantitative data analysis method</w:t>
      </w:r>
    </w:p>
    <w:p w:rsidR="006E1A12" w:rsidRPr="008E78CF" w:rsidRDefault="00270930">
      <w:pPr>
        <w:adjustRightInd w:val="0"/>
        <w:snapToGrid w:val="0"/>
        <w:spacing w:line="360" w:lineRule="auto"/>
        <w:jc w:val="both"/>
        <w:rPr>
          <w:rFonts w:eastAsia="新細明體" w:hint="eastAsia"/>
          <w:bCs/>
          <w:szCs w:val="24"/>
        </w:rPr>
      </w:pPr>
      <w:r>
        <w:rPr>
          <w:rFonts w:hint="eastAsia"/>
          <w:bCs/>
          <w:szCs w:val="24"/>
        </w:rPr>
        <w:t xml:space="preserve">There are two </w:t>
      </w:r>
      <w:r>
        <w:rPr>
          <w:bCs/>
          <w:szCs w:val="24"/>
        </w:rPr>
        <w:t>most common quantitative data analysis methods which are descriptive statistics and infere</w:t>
      </w:r>
      <w:r>
        <w:rPr>
          <w:bCs/>
          <w:szCs w:val="24"/>
        </w:rPr>
        <w:t xml:space="preserve">ntial statistics. Descriptive statistics will be used in this case study through collected research and observation data. </w:t>
      </w:r>
      <w:r>
        <w:rPr>
          <w:szCs w:val="24"/>
        </w:rPr>
        <w:t xml:space="preserve">We can use statistics to </w:t>
      </w:r>
      <w:proofErr w:type="spellStart"/>
      <w:r>
        <w:rPr>
          <w:szCs w:val="24"/>
        </w:rPr>
        <w:t>summarise</w:t>
      </w:r>
      <w:proofErr w:type="spellEnd"/>
      <w:r>
        <w:rPr>
          <w:szCs w:val="24"/>
        </w:rPr>
        <w:t xml:space="preserve"> our data, describing patterns, relationships and connections. </w:t>
      </w:r>
      <w:r w:rsidR="008E78CF">
        <w:rPr>
          <w:rFonts w:eastAsia="新細明體" w:hint="eastAsia"/>
          <w:szCs w:val="24"/>
        </w:rPr>
        <w:t>Also</w:t>
      </w:r>
      <w:r>
        <w:rPr>
          <w:bCs/>
          <w:szCs w:val="24"/>
        </w:rPr>
        <w:t xml:space="preserve">, by using these research </w:t>
      </w:r>
      <w:r w:rsidR="008E78CF">
        <w:rPr>
          <w:bCs/>
          <w:szCs w:val="24"/>
        </w:rPr>
        <w:t>data</w:t>
      </w:r>
      <w:r>
        <w:rPr>
          <w:bCs/>
          <w:szCs w:val="24"/>
        </w:rPr>
        <w:t xml:space="preserve"> to analysis the possibility of</w:t>
      </w:r>
      <w:r w:rsidR="008E78CF">
        <w:rPr>
          <w:rFonts w:eastAsia="新細明體" w:hint="eastAsia"/>
          <w:bCs/>
          <w:szCs w:val="24"/>
        </w:rPr>
        <w:t xml:space="preserve"> capturing higher</w:t>
      </w:r>
      <w:r>
        <w:rPr>
          <w:bCs/>
          <w:szCs w:val="24"/>
        </w:rPr>
        <w:t xml:space="preserve"> </w:t>
      </w:r>
      <w:r w:rsidR="008E78CF">
        <w:rPr>
          <w:rFonts w:eastAsia="新細明體" w:hint="eastAsia"/>
          <w:bCs/>
          <w:szCs w:val="24"/>
        </w:rPr>
        <w:t>consumer surplus.</w:t>
      </w:r>
    </w:p>
    <w:p w:rsidR="006E1A12" w:rsidRDefault="006E1A12">
      <w:pPr>
        <w:adjustRightInd w:val="0"/>
        <w:snapToGrid w:val="0"/>
        <w:spacing w:line="360" w:lineRule="auto"/>
        <w:jc w:val="both"/>
        <w:rPr>
          <w:rFonts w:eastAsia="新細明體" w:hint="eastAsia"/>
          <w:szCs w:val="24"/>
        </w:rPr>
      </w:pPr>
    </w:p>
    <w:p w:rsidR="001137C7" w:rsidRDefault="001137C7">
      <w:pPr>
        <w:adjustRightInd w:val="0"/>
        <w:snapToGrid w:val="0"/>
        <w:spacing w:line="360" w:lineRule="auto"/>
        <w:jc w:val="both"/>
        <w:rPr>
          <w:rFonts w:eastAsia="新細明體" w:hint="eastAsia"/>
          <w:szCs w:val="24"/>
        </w:rPr>
      </w:pPr>
      <w:r w:rsidRPr="001137C7">
        <w:rPr>
          <w:rFonts w:hint="eastAsia"/>
        </w:rPr>
        <w:drawing>
          <wp:inline distT="0" distB="0" distL="0" distR="0">
            <wp:extent cx="4306186" cy="2639019"/>
            <wp:effectExtent l="0" t="0" r="0" b="9525"/>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06056" cy="2638939"/>
                    </a:xfrm>
                    <a:prstGeom prst="rect">
                      <a:avLst/>
                    </a:prstGeom>
                    <a:noFill/>
                    <a:ln>
                      <a:noFill/>
                    </a:ln>
                  </pic:spPr>
                </pic:pic>
              </a:graphicData>
            </a:graphic>
          </wp:inline>
        </w:drawing>
      </w:r>
    </w:p>
    <w:p w:rsidR="001137C7" w:rsidRPr="001137C7" w:rsidRDefault="001137C7">
      <w:pPr>
        <w:adjustRightInd w:val="0"/>
        <w:snapToGrid w:val="0"/>
        <w:spacing w:line="360" w:lineRule="auto"/>
        <w:jc w:val="both"/>
        <w:rPr>
          <w:rFonts w:eastAsia="新細明體" w:hint="eastAsia"/>
          <w:i/>
          <w:szCs w:val="24"/>
        </w:rPr>
      </w:pPr>
      <w:r w:rsidRPr="001137C7">
        <w:rPr>
          <w:rFonts w:eastAsia="新細明體" w:hint="eastAsia"/>
          <w:i/>
          <w:szCs w:val="24"/>
        </w:rPr>
        <w:t>Chart 2</w:t>
      </w:r>
    </w:p>
    <w:p w:rsidR="00600D3A" w:rsidRPr="00600D3A" w:rsidRDefault="00600D3A">
      <w:pPr>
        <w:adjustRightInd w:val="0"/>
        <w:snapToGrid w:val="0"/>
        <w:spacing w:line="360" w:lineRule="auto"/>
        <w:jc w:val="both"/>
        <w:rPr>
          <w:rFonts w:eastAsia="新細明體" w:hint="eastAsia"/>
          <w:szCs w:val="24"/>
        </w:rPr>
      </w:pPr>
      <w:r w:rsidRPr="00600D3A">
        <w:rPr>
          <w:szCs w:val="24"/>
        </w:rPr>
        <w:lastRenderedPageBreak/>
        <w:t xml:space="preserve">Data collected from questionnaires or other instruments in quantitative research methods have </w:t>
      </w:r>
      <w:r>
        <w:rPr>
          <w:szCs w:val="24"/>
        </w:rPr>
        <w:t>to be analy</w:t>
      </w:r>
      <w:r>
        <w:rPr>
          <w:rFonts w:eastAsia="新細明體" w:hint="eastAsia"/>
          <w:szCs w:val="24"/>
        </w:rPr>
        <w:t>z</w:t>
      </w:r>
      <w:r w:rsidRPr="00600D3A">
        <w:rPr>
          <w:szCs w:val="24"/>
        </w:rPr>
        <w:t xml:space="preserve">ed and interpreted. Generally, </w:t>
      </w:r>
      <w:r w:rsidRPr="00600D3A">
        <w:rPr>
          <w:szCs w:val="24"/>
        </w:rPr>
        <w:t>statistical</w:t>
      </w:r>
      <w:r w:rsidRPr="00600D3A">
        <w:rPr>
          <w:szCs w:val="24"/>
        </w:rPr>
        <w:t xml:space="preserve"> procedures are quantitative data approaches.</w:t>
      </w:r>
    </w:p>
    <w:p w:rsidR="00600D3A" w:rsidRDefault="00600D3A">
      <w:pPr>
        <w:adjustRightInd w:val="0"/>
        <w:snapToGrid w:val="0"/>
        <w:spacing w:line="360" w:lineRule="auto"/>
        <w:jc w:val="both"/>
        <w:rPr>
          <w:rFonts w:eastAsia="新細明體" w:hint="eastAsia"/>
          <w:szCs w:val="24"/>
        </w:rPr>
      </w:pPr>
    </w:p>
    <w:p w:rsidR="00600D3A" w:rsidRDefault="00600D3A">
      <w:pPr>
        <w:adjustRightInd w:val="0"/>
        <w:snapToGrid w:val="0"/>
        <w:spacing w:line="360" w:lineRule="auto"/>
        <w:jc w:val="both"/>
        <w:rPr>
          <w:rFonts w:eastAsia="新細明體" w:hint="eastAsia"/>
          <w:szCs w:val="24"/>
        </w:rPr>
      </w:pPr>
      <w:r>
        <w:rPr>
          <w:rFonts w:eastAsia="新細明體" w:hint="eastAsia"/>
          <w:szCs w:val="24"/>
        </w:rPr>
        <w:t xml:space="preserve">We collected data and information from different sources. Study and analyze the collected numerical data and put it into a graph. On another side, try to convert the collected </w:t>
      </w:r>
      <w:r>
        <w:rPr>
          <w:rFonts w:eastAsia="新細明體"/>
          <w:szCs w:val="24"/>
        </w:rPr>
        <w:t>numerical</w:t>
      </w:r>
      <w:r>
        <w:rPr>
          <w:rFonts w:eastAsia="新細明體" w:hint="eastAsia"/>
          <w:szCs w:val="24"/>
        </w:rPr>
        <w:t xml:space="preserve"> data into an easy understanding message to participants. To test hypotheses, look at the cause and make </w:t>
      </w:r>
      <w:r>
        <w:rPr>
          <w:rFonts w:eastAsia="新細明體"/>
          <w:szCs w:val="24"/>
        </w:rPr>
        <w:t xml:space="preserve">predictions. </w:t>
      </w:r>
    </w:p>
    <w:p w:rsidR="00600D3A" w:rsidRPr="00600D3A" w:rsidRDefault="00600D3A">
      <w:pPr>
        <w:adjustRightInd w:val="0"/>
        <w:snapToGrid w:val="0"/>
        <w:spacing w:line="360" w:lineRule="auto"/>
        <w:jc w:val="both"/>
        <w:rPr>
          <w:rFonts w:eastAsia="新細明體" w:hint="eastAsia"/>
          <w:szCs w:val="24"/>
        </w:rPr>
      </w:pPr>
    </w:p>
    <w:p w:rsidR="006E1A12" w:rsidRPr="00600D3A" w:rsidRDefault="00600D3A">
      <w:pPr>
        <w:widowControl/>
        <w:adjustRightInd w:val="0"/>
        <w:snapToGrid w:val="0"/>
        <w:spacing w:line="360" w:lineRule="auto"/>
        <w:jc w:val="both"/>
        <w:rPr>
          <w:b/>
          <w:bCs/>
          <w:sz w:val="26"/>
          <w:szCs w:val="26"/>
        </w:rPr>
      </w:pPr>
      <w:r w:rsidRPr="00600D3A">
        <w:rPr>
          <w:b/>
          <w:bCs/>
          <w:sz w:val="26"/>
          <w:szCs w:val="26"/>
        </w:rPr>
        <w:t>3</w:t>
      </w:r>
      <w:r w:rsidRPr="00600D3A">
        <w:rPr>
          <w:rFonts w:eastAsia="新細明體" w:hint="eastAsia"/>
          <w:b/>
          <w:bCs/>
          <w:sz w:val="26"/>
          <w:szCs w:val="26"/>
        </w:rPr>
        <w:t>.</w:t>
      </w:r>
      <w:r w:rsidRPr="00600D3A">
        <w:rPr>
          <w:rFonts w:eastAsia="新細明體" w:hint="eastAsia"/>
          <w:b/>
          <w:bCs/>
          <w:sz w:val="26"/>
          <w:szCs w:val="26"/>
        </w:rPr>
        <w:tab/>
      </w:r>
      <w:r w:rsidR="00270930" w:rsidRPr="00600D3A">
        <w:rPr>
          <w:b/>
          <w:bCs/>
          <w:sz w:val="26"/>
          <w:szCs w:val="26"/>
        </w:rPr>
        <w:t xml:space="preserve">Analysis and discussion  </w:t>
      </w:r>
    </w:p>
    <w:p w:rsidR="006E1A12" w:rsidRPr="00600D3A" w:rsidRDefault="00270930" w:rsidP="001137C7">
      <w:pPr>
        <w:adjustRightInd w:val="0"/>
        <w:snapToGrid w:val="0"/>
        <w:spacing w:line="360" w:lineRule="auto"/>
        <w:jc w:val="both"/>
        <w:rPr>
          <w:rFonts w:eastAsia="新細明體" w:hint="eastAsia"/>
          <w:bCs/>
          <w:szCs w:val="24"/>
        </w:rPr>
      </w:pPr>
      <w:r w:rsidRPr="00600D3A">
        <w:rPr>
          <w:rFonts w:hint="eastAsia"/>
          <w:bCs/>
          <w:szCs w:val="24"/>
        </w:rPr>
        <w:t xml:space="preserve">In this part, we are going to </w:t>
      </w:r>
      <w:r w:rsidR="008E78CF" w:rsidRPr="00600D3A">
        <w:rPr>
          <w:rFonts w:hint="eastAsia"/>
          <w:bCs/>
          <w:szCs w:val="24"/>
        </w:rPr>
        <w:t>discuss and analy</w:t>
      </w:r>
      <w:r w:rsidR="008E78CF" w:rsidRPr="00600D3A">
        <w:rPr>
          <w:rFonts w:eastAsia="新細明體" w:hint="eastAsia"/>
          <w:bCs/>
          <w:szCs w:val="24"/>
        </w:rPr>
        <w:t>z</w:t>
      </w:r>
      <w:r w:rsidRPr="00600D3A">
        <w:rPr>
          <w:rFonts w:hint="eastAsia"/>
          <w:bCs/>
          <w:szCs w:val="24"/>
        </w:rPr>
        <w:t>e the current pricing technique used by Golden Harvest</w:t>
      </w:r>
      <w:r w:rsidR="008E78CF" w:rsidRPr="00600D3A">
        <w:rPr>
          <w:rFonts w:eastAsia="新細明體" w:hint="eastAsia"/>
          <w:bCs/>
          <w:szCs w:val="24"/>
        </w:rPr>
        <w:t xml:space="preserve"> and the reason why Golden Harvest used it</w:t>
      </w:r>
      <w:r w:rsidR="008E78CF" w:rsidRPr="00600D3A">
        <w:rPr>
          <w:rFonts w:hint="eastAsia"/>
          <w:bCs/>
          <w:szCs w:val="24"/>
        </w:rPr>
        <w:t xml:space="preserve">. </w:t>
      </w:r>
      <w:r w:rsidR="00600D3A">
        <w:rPr>
          <w:rFonts w:eastAsia="新細明體" w:hint="eastAsia"/>
          <w:bCs/>
          <w:szCs w:val="24"/>
        </w:rPr>
        <w:t xml:space="preserve">We will also further study the possibility for Golden Harvest to capture higher consumer surplus by </w:t>
      </w:r>
      <w:r w:rsidR="00600D3A">
        <w:rPr>
          <w:rFonts w:eastAsia="新細明體"/>
          <w:bCs/>
          <w:szCs w:val="24"/>
        </w:rPr>
        <w:t>analyzing</w:t>
      </w:r>
      <w:r w:rsidR="00600D3A">
        <w:rPr>
          <w:rFonts w:eastAsia="新細明體" w:hint="eastAsia"/>
          <w:bCs/>
          <w:szCs w:val="24"/>
        </w:rPr>
        <w:t xml:space="preserve"> its pricing </w:t>
      </w:r>
      <w:r w:rsidR="00600D3A">
        <w:rPr>
          <w:rFonts w:eastAsia="新細明體"/>
          <w:bCs/>
          <w:szCs w:val="24"/>
        </w:rPr>
        <w:t>structure</w:t>
      </w:r>
      <w:r w:rsidR="00600D3A">
        <w:rPr>
          <w:rFonts w:eastAsia="新細明體" w:hint="eastAsia"/>
          <w:bCs/>
          <w:szCs w:val="24"/>
        </w:rPr>
        <w:t>. Then, t</w:t>
      </w:r>
      <w:r w:rsidR="008E78CF" w:rsidRPr="00600D3A">
        <w:rPr>
          <w:rFonts w:eastAsia="新細明體" w:hint="eastAsia"/>
          <w:bCs/>
          <w:szCs w:val="24"/>
        </w:rPr>
        <w:t xml:space="preserve">ry to answer the research questions based on our findings and information. </w:t>
      </w:r>
    </w:p>
    <w:p w:rsidR="008E78CF" w:rsidRPr="008E78CF" w:rsidRDefault="008E78CF" w:rsidP="001137C7">
      <w:pPr>
        <w:adjustRightInd w:val="0"/>
        <w:snapToGrid w:val="0"/>
        <w:spacing w:line="360" w:lineRule="auto"/>
        <w:jc w:val="both"/>
        <w:rPr>
          <w:rFonts w:eastAsia="新細明體"/>
          <w:bCs/>
          <w:szCs w:val="24"/>
        </w:rPr>
      </w:pPr>
    </w:p>
    <w:p w:rsidR="006E1A12" w:rsidRDefault="00270930" w:rsidP="001137C7">
      <w:pPr>
        <w:adjustRightInd w:val="0"/>
        <w:snapToGrid w:val="0"/>
        <w:spacing w:line="360" w:lineRule="auto"/>
        <w:jc w:val="both"/>
        <w:rPr>
          <w:b/>
          <w:bCs/>
          <w:szCs w:val="24"/>
        </w:rPr>
      </w:pPr>
      <w:r>
        <w:rPr>
          <w:b/>
          <w:bCs/>
          <w:szCs w:val="24"/>
        </w:rPr>
        <w:t xml:space="preserve">3.1 The price discrimination technique used by </w:t>
      </w:r>
      <w:r>
        <w:rPr>
          <w:rFonts w:hint="eastAsia"/>
          <w:b/>
          <w:bCs/>
          <w:szCs w:val="24"/>
        </w:rPr>
        <w:t>Golden Harvest</w:t>
      </w:r>
      <w:r>
        <w:rPr>
          <w:b/>
          <w:bCs/>
          <w:szCs w:val="24"/>
        </w:rPr>
        <w:t>.</w:t>
      </w:r>
    </w:p>
    <w:p w:rsidR="006E1A12" w:rsidRDefault="00600D3A" w:rsidP="001137C7">
      <w:pPr>
        <w:adjustRightInd w:val="0"/>
        <w:snapToGrid w:val="0"/>
        <w:spacing w:line="360" w:lineRule="auto"/>
        <w:jc w:val="both"/>
        <w:rPr>
          <w:szCs w:val="24"/>
          <w:shd w:val="clear" w:color="auto" w:fill="FFFFFF"/>
        </w:rPr>
      </w:pPr>
      <w:r>
        <w:rPr>
          <w:rFonts w:eastAsia="新細明體" w:hint="eastAsia"/>
          <w:szCs w:val="24"/>
          <w:shd w:val="clear" w:color="auto" w:fill="FFFFFF"/>
        </w:rPr>
        <w:t>Basically t</w:t>
      </w:r>
      <w:r w:rsidR="00270930">
        <w:rPr>
          <w:rFonts w:hint="eastAsia"/>
          <w:szCs w:val="24"/>
          <w:shd w:val="clear" w:color="auto" w:fill="FFFFFF"/>
        </w:rPr>
        <w:t>here are three types of price discrimination</w:t>
      </w:r>
      <w:r>
        <w:rPr>
          <w:rFonts w:eastAsia="新細明體" w:hint="eastAsia"/>
          <w:szCs w:val="24"/>
          <w:shd w:val="clear" w:color="auto" w:fill="FFFFFF"/>
        </w:rPr>
        <w:t xml:space="preserve"> which</w:t>
      </w:r>
      <w:r w:rsidR="00270930">
        <w:rPr>
          <w:rFonts w:hint="eastAsia"/>
          <w:szCs w:val="24"/>
          <w:shd w:val="clear" w:color="auto" w:fill="FFFFFF"/>
        </w:rPr>
        <w:t xml:space="preserve"> including </w:t>
      </w:r>
      <w:r>
        <w:rPr>
          <w:rFonts w:eastAsia="新細明體" w:hint="eastAsia"/>
          <w:szCs w:val="24"/>
          <w:shd w:val="clear" w:color="auto" w:fill="FFFFFF"/>
        </w:rPr>
        <w:t xml:space="preserve">first-degree price discrimination (also called </w:t>
      </w:r>
      <w:r w:rsidR="00270930">
        <w:rPr>
          <w:rFonts w:hint="eastAsia"/>
          <w:szCs w:val="24"/>
          <w:shd w:val="clear" w:color="auto" w:fill="FFFFFF"/>
        </w:rPr>
        <w:t>perfect price discrimination</w:t>
      </w:r>
      <w:r>
        <w:rPr>
          <w:rFonts w:eastAsia="新細明體" w:hint="eastAsia"/>
          <w:szCs w:val="24"/>
          <w:shd w:val="clear" w:color="auto" w:fill="FFFFFF"/>
        </w:rPr>
        <w:t>)</w:t>
      </w:r>
      <w:r w:rsidR="00270930">
        <w:rPr>
          <w:rFonts w:hint="eastAsia"/>
          <w:szCs w:val="24"/>
          <w:shd w:val="clear" w:color="auto" w:fill="FFFFFF"/>
        </w:rPr>
        <w:t xml:space="preserve">, second-degree price discrimination and the </w:t>
      </w:r>
      <w:r w:rsidR="00270930">
        <w:rPr>
          <w:rFonts w:hint="eastAsia"/>
          <w:szCs w:val="24"/>
          <w:shd w:val="clear" w:color="auto" w:fill="FFFFFF"/>
        </w:rPr>
        <w:t>third-degr</w:t>
      </w:r>
      <w:r>
        <w:rPr>
          <w:rFonts w:hint="eastAsia"/>
          <w:szCs w:val="24"/>
          <w:shd w:val="clear" w:color="auto" w:fill="FFFFFF"/>
        </w:rPr>
        <w:t>ee price discrimination. A pric</w:t>
      </w:r>
      <w:r>
        <w:rPr>
          <w:rFonts w:eastAsia="新細明體" w:hint="eastAsia"/>
          <w:szCs w:val="24"/>
          <w:shd w:val="clear" w:color="auto" w:fill="FFFFFF"/>
        </w:rPr>
        <w:t>ing</w:t>
      </w:r>
      <w:r w:rsidR="00270930">
        <w:rPr>
          <w:rFonts w:hint="eastAsia"/>
          <w:szCs w:val="24"/>
          <w:shd w:val="clear" w:color="auto" w:fill="FFFFFF"/>
        </w:rPr>
        <w:t xml:space="preserve"> structure in which the seller charges different prices for the product or service it sells and the price differences do not reflect cost differences. </w:t>
      </w:r>
    </w:p>
    <w:p w:rsidR="006E1A12" w:rsidRDefault="006E1A12" w:rsidP="001137C7">
      <w:pPr>
        <w:adjustRightInd w:val="0"/>
        <w:snapToGrid w:val="0"/>
        <w:spacing w:line="360" w:lineRule="auto"/>
        <w:jc w:val="both"/>
        <w:rPr>
          <w:bCs/>
          <w:szCs w:val="24"/>
        </w:rPr>
      </w:pPr>
    </w:p>
    <w:p w:rsidR="006E1A12" w:rsidRPr="00600D3A" w:rsidRDefault="00270930" w:rsidP="001137C7">
      <w:pPr>
        <w:adjustRightInd w:val="0"/>
        <w:snapToGrid w:val="0"/>
        <w:spacing w:line="360" w:lineRule="auto"/>
        <w:jc w:val="both"/>
        <w:rPr>
          <w:b/>
          <w:bCs/>
          <w:szCs w:val="24"/>
        </w:rPr>
      </w:pPr>
      <w:r w:rsidRPr="00600D3A">
        <w:rPr>
          <w:b/>
          <w:bCs/>
          <w:szCs w:val="24"/>
        </w:rPr>
        <w:t xml:space="preserve">3.1.1 </w:t>
      </w:r>
      <w:r w:rsidRPr="00600D3A">
        <w:rPr>
          <w:rFonts w:hint="eastAsia"/>
          <w:b/>
          <w:bCs/>
          <w:szCs w:val="24"/>
        </w:rPr>
        <w:t>Which type of p</w:t>
      </w:r>
      <w:r w:rsidRPr="00600D3A">
        <w:rPr>
          <w:rFonts w:hint="eastAsia"/>
          <w:b/>
          <w:bCs/>
          <w:szCs w:val="24"/>
        </w:rPr>
        <w:t xml:space="preserve">rice </w:t>
      </w:r>
      <w:r w:rsidRPr="00600D3A">
        <w:rPr>
          <w:b/>
          <w:bCs/>
          <w:szCs w:val="24"/>
        </w:rPr>
        <w:t>discrimination</w:t>
      </w:r>
      <w:r w:rsidRPr="00600D3A">
        <w:rPr>
          <w:rFonts w:hint="eastAsia"/>
          <w:b/>
          <w:bCs/>
          <w:szCs w:val="24"/>
        </w:rPr>
        <w:t xml:space="preserve"> is Golden Harvest using?</w:t>
      </w:r>
    </w:p>
    <w:p w:rsidR="006E1A12" w:rsidRDefault="006E1A12" w:rsidP="001137C7">
      <w:pPr>
        <w:adjustRightInd w:val="0"/>
        <w:snapToGrid w:val="0"/>
        <w:spacing w:line="360" w:lineRule="auto"/>
        <w:jc w:val="both"/>
        <w:rPr>
          <w:bCs/>
          <w:szCs w:val="24"/>
        </w:rPr>
      </w:pPr>
    </w:p>
    <w:p w:rsidR="006E1A12" w:rsidRDefault="00270930" w:rsidP="001137C7">
      <w:pPr>
        <w:pStyle w:val="HTML"/>
        <w:numPr>
          <w:ilvl w:val="0"/>
          <w:numId w:val="2"/>
        </w:numPr>
        <w:shd w:val="clear" w:color="auto" w:fill="FFFFFF"/>
        <w:spacing w:line="360" w:lineRule="auto"/>
        <w:rPr>
          <w:rFonts w:ascii="Times New Roman" w:eastAsia="新細明體" w:hAnsi="Times New Roman" w:cs="Times New Roman"/>
          <w:sz w:val="24"/>
          <w:szCs w:val="24"/>
          <w:lang w:val="en"/>
        </w:rPr>
      </w:pPr>
      <w:r>
        <w:rPr>
          <w:rFonts w:ascii="Times New Roman" w:hAnsi="Times New Roman" w:cs="Times New Roman"/>
          <w:sz w:val="24"/>
          <w:szCs w:val="24"/>
          <w:lang w:val="en"/>
        </w:rPr>
        <w:t>Third-</w:t>
      </w:r>
      <w:r>
        <w:rPr>
          <w:rFonts w:ascii="Times New Roman" w:eastAsia="新細明體" w:hAnsi="Times New Roman" w:cs="Times New Roman" w:hint="eastAsia"/>
          <w:sz w:val="24"/>
          <w:szCs w:val="24"/>
          <w:lang w:val="en"/>
        </w:rPr>
        <w:t>degree</w:t>
      </w:r>
      <w:r>
        <w:rPr>
          <w:rFonts w:ascii="Times New Roman" w:hAnsi="Times New Roman" w:cs="Times New Roman"/>
          <w:sz w:val="24"/>
          <w:szCs w:val="24"/>
          <w:lang w:val="en"/>
        </w:rPr>
        <w:t xml:space="preserve"> price discrimination </w:t>
      </w:r>
    </w:p>
    <w:p w:rsidR="006E1A12" w:rsidRPr="002043DC" w:rsidRDefault="00270930" w:rsidP="001137C7">
      <w:pPr>
        <w:pStyle w:val="HTML"/>
        <w:shd w:val="clear" w:color="auto" w:fill="FFFFFF"/>
        <w:spacing w:line="360" w:lineRule="auto"/>
        <w:jc w:val="both"/>
        <w:rPr>
          <w:rFonts w:ascii="Times New Roman" w:eastAsia="新細明體" w:hAnsi="Times New Roman" w:cs="Times New Roman"/>
          <w:sz w:val="24"/>
          <w:szCs w:val="24"/>
          <w:lang w:val="en"/>
        </w:rPr>
      </w:pPr>
      <w:r>
        <w:rPr>
          <w:rFonts w:ascii="Times New Roman" w:hAnsi="Times New Roman" w:cs="Times New Roman"/>
          <w:sz w:val="24"/>
          <w:szCs w:val="24"/>
          <w:lang w:val="en"/>
        </w:rPr>
        <w:t>Third-</w:t>
      </w:r>
      <w:r>
        <w:rPr>
          <w:rFonts w:ascii="Times New Roman" w:eastAsia="新細明體" w:hAnsi="Times New Roman" w:cs="Times New Roman" w:hint="eastAsia"/>
          <w:sz w:val="24"/>
          <w:szCs w:val="24"/>
          <w:lang w:val="en"/>
        </w:rPr>
        <w:t>degree</w:t>
      </w:r>
      <w:r>
        <w:rPr>
          <w:rFonts w:ascii="Times New Roman" w:hAnsi="Times New Roman" w:cs="Times New Roman"/>
          <w:sz w:val="24"/>
          <w:szCs w:val="24"/>
          <w:lang w:val="en"/>
        </w:rPr>
        <w:t xml:space="preserve"> price discrimination is the most common </w:t>
      </w:r>
      <w:r>
        <w:rPr>
          <w:rFonts w:ascii="Times New Roman" w:eastAsia="新細明體" w:hAnsi="Times New Roman" w:cs="Times New Roman" w:hint="eastAsia"/>
          <w:sz w:val="24"/>
          <w:szCs w:val="24"/>
          <w:lang w:val="en"/>
        </w:rPr>
        <w:t>method</w:t>
      </w:r>
      <w:r>
        <w:rPr>
          <w:rFonts w:ascii="Times New Roman" w:hAnsi="Times New Roman" w:cs="Times New Roman"/>
          <w:sz w:val="24"/>
          <w:szCs w:val="24"/>
          <w:lang w:val="en"/>
        </w:rPr>
        <w:t xml:space="preserve"> of price discrimination. In practice, companies often use brand differences, product differences and other marketin</w:t>
      </w:r>
      <w:r>
        <w:rPr>
          <w:rFonts w:ascii="Times New Roman" w:hAnsi="Times New Roman" w:cs="Times New Roman"/>
          <w:sz w:val="24"/>
          <w:szCs w:val="24"/>
          <w:lang w:val="en"/>
        </w:rPr>
        <w:t>g methods to achieve the purpose of three-level price discrimination.</w:t>
      </w:r>
      <w:r w:rsidRPr="002043DC">
        <w:rPr>
          <w:rFonts w:ascii="Times New Roman" w:eastAsia="新細明體" w:hAnsi="Times New Roman" w:cs="Times New Roman"/>
          <w:sz w:val="24"/>
          <w:szCs w:val="24"/>
          <w:lang w:val="en"/>
        </w:rPr>
        <w:t xml:space="preserve"> </w:t>
      </w:r>
      <w:r w:rsidR="002043DC" w:rsidRPr="002043DC">
        <w:rPr>
          <w:rFonts w:ascii="Times New Roman" w:hAnsi="Times New Roman" w:cs="Times New Roman"/>
          <w:sz w:val="24"/>
          <w:szCs w:val="24"/>
          <w:shd w:val="clear" w:color="auto" w:fill="FFFFFF"/>
        </w:rPr>
        <w:t>Third degree discrimination is linked directly to </w:t>
      </w:r>
      <w:r w:rsidR="002043DC" w:rsidRPr="002043DC">
        <w:rPr>
          <w:rStyle w:val="a9"/>
          <w:rFonts w:ascii="Times New Roman" w:hAnsi="Times New Roman" w:cs="Times New Roman"/>
          <w:b w:val="0"/>
          <w:sz w:val="24"/>
          <w:szCs w:val="24"/>
          <w:shd w:val="clear" w:color="auto" w:fill="FFFFFF"/>
        </w:rPr>
        <w:t>consumers' willingness and ability to pay</w:t>
      </w:r>
      <w:r w:rsidR="002043DC" w:rsidRPr="002043DC">
        <w:rPr>
          <w:rFonts w:ascii="Times New Roman" w:hAnsi="Times New Roman" w:cs="Times New Roman"/>
          <w:sz w:val="24"/>
          <w:szCs w:val="24"/>
          <w:shd w:val="clear" w:color="auto" w:fill="FFFFFF"/>
        </w:rPr>
        <w:t> for a good or service. It means that the prices charged may bear little or no relation to the cost of production.</w:t>
      </w:r>
    </w:p>
    <w:p w:rsidR="006E1A12" w:rsidRDefault="00270930" w:rsidP="001137C7">
      <w:pPr>
        <w:pStyle w:val="HTML"/>
        <w:shd w:val="clear" w:color="auto" w:fill="FFFFFF"/>
        <w:spacing w:line="360" w:lineRule="auto"/>
        <w:jc w:val="both"/>
        <w:rPr>
          <w:rFonts w:ascii="Times New Roman" w:eastAsia="新細明體" w:hAnsi="Times New Roman" w:cs="Times New Roman"/>
          <w:sz w:val="24"/>
          <w:szCs w:val="24"/>
          <w:lang w:val="en"/>
        </w:rPr>
      </w:pPr>
      <w:r>
        <w:rPr>
          <w:rFonts w:ascii="Times New Roman" w:eastAsia="新細明體" w:hAnsi="Times New Roman" w:cs="Times New Roman" w:hint="eastAsia"/>
          <w:sz w:val="24"/>
          <w:szCs w:val="24"/>
          <w:lang w:val="en"/>
        </w:rPr>
        <w:t>There are some necessary conditions to make discrimination success:</w:t>
      </w:r>
    </w:p>
    <w:p w:rsidR="006E1A12" w:rsidRDefault="00270930" w:rsidP="001137C7">
      <w:pPr>
        <w:pStyle w:val="HTML"/>
        <w:numPr>
          <w:ilvl w:val="0"/>
          <w:numId w:val="3"/>
        </w:numPr>
        <w:shd w:val="clear" w:color="auto" w:fill="FFFFFF"/>
        <w:spacing w:line="360" w:lineRule="auto"/>
        <w:ind w:firstLine="87"/>
        <w:jc w:val="both"/>
        <w:rPr>
          <w:rFonts w:ascii="Times New Roman" w:hAnsi="Times New Roman" w:cs="Times New Roman"/>
          <w:sz w:val="24"/>
          <w:szCs w:val="24"/>
        </w:rPr>
      </w:pPr>
      <w:r>
        <w:rPr>
          <w:rFonts w:ascii="Times New Roman" w:eastAsia="新細明體" w:hAnsi="Times New Roman" w:cs="Times New Roman" w:hint="eastAsia"/>
          <w:sz w:val="24"/>
          <w:szCs w:val="24"/>
        </w:rPr>
        <w:t>Different market segments must be identified</w:t>
      </w:r>
    </w:p>
    <w:p w:rsidR="006E1A12" w:rsidRDefault="00270930" w:rsidP="001137C7">
      <w:pPr>
        <w:pStyle w:val="HTML"/>
        <w:numPr>
          <w:ilvl w:val="0"/>
          <w:numId w:val="3"/>
        </w:numPr>
        <w:shd w:val="clear" w:color="auto" w:fill="FFFFFF"/>
        <w:spacing w:line="360" w:lineRule="auto"/>
        <w:ind w:firstLine="87"/>
        <w:jc w:val="both"/>
        <w:rPr>
          <w:rFonts w:ascii="Times New Roman" w:hAnsi="Times New Roman" w:cs="Times New Roman"/>
          <w:sz w:val="24"/>
          <w:szCs w:val="24"/>
        </w:rPr>
      </w:pPr>
      <w:r>
        <w:rPr>
          <w:rFonts w:ascii="Times New Roman" w:eastAsia="新細明體" w:hAnsi="Times New Roman" w:cs="Times New Roman" w:hint="eastAsia"/>
          <w:sz w:val="24"/>
          <w:szCs w:val="24"/>
        </w:rPr>
        <w:lastRenderedPageBreak/>
        <w:t xml:space="preserve">Different segments must have different price </w:t>
      </w:r>
      <w:r>
        <w:rPr>
          <w:rFonts w:ascii="Times New Roman" w:eastAsia="新細明體" w:hAnsi="Times New Roman" w:cs="Times New Roman"/>
          <w:sz w:val="24"/>
          <w:szCs w:val="24"/>
        </w:rPr>
        <w:t>elasticity</w:t>
      </w:r>
      <w:r>
        <w:rPr>
          <w:rFonts w:ascii="Times New Roman" w:eastAsia="新細明體" w:hAnsi="Times New Roman" w:cs="Times New Roman" w:hint="eastAsia"/>
          <w:sz w:val="24"/>
          <w:szCs w:val="24"/>
        </w:rPr>
        <w:t xml:space="preserve"> </w:t>
      </w:r>
    </w:p>
    <w:p w:rsidR="006E1A12" w:rsidRDefault="00270930" w:rsidP="001137C7">
      <w:pPr>
        <w:pStyle w:val="HTML"/>
        <w:numPr>
          <w:ilvl w:val="0"/>
          <w:numId w:val="3"/>
        </w:numPr>
        <w:shd w:val="clear" w:color="auto" w:fill="FFFFFF"/>
        <w:spacing w:line="360" w:lineRule="auto"/>
        <w:ind w:firstLine="87"/>
        <w:jc w:val="both"/>
        <w:rPr>
          <w:rFonts w:ascii="Times New Roman" w:hAnsi="Times New Roman" w:cs="Times New Roman"/>
          <w:sz w:val="24"/>
          <w:szCs w:val="24"/>
        </w:rPr>
      </w:pPr>
      <w:r>
        <w:rPr>
          <w:rFonts w:ascii="Times New Roman" w:eastAsia="新細明體" w:hAnsi="Times New Roman" w:cs="Times New Roman" w:hint="eastAsia"/>
          <w:sz w:val="24"/>
          <w:szCs w:val="24"/>
        </w:rPr>
        <w:t>Product/ servic</w:t>
      </w:r>
      <w:r>
        <w:rPr>
          <w:rFonts w:ascii="Times New Roman" w:eastAsia="新細明體" w:hAnsi="Times New Roman" w:cs="Times New Roman" w:hint="eastAsia"/>
          <w:sz w:val="24"/>
          <w:szCs w:val="24"/>
        </w:rPr>
        <w:t xml:space="preserve">e cannot be resale </w:t>
      </w:r>
    </w:p>
    <w:p w:rsidR="006E1A12" w:rsidRDefault="00270930" w:rsidP="001137C7">
      <w:pPr>
        <w:pStyle w:val="HTML"/>
        <w:numPr>
          <w:ilvl w:val="0"/>
          <w:numId w:val="3"/>
        </w:numPr>
        <w:shd w:val="clear" w:color="auto" w:fill="FFFFFF"/>
        <w:spacing w:line="360" w:lineRule="auto"/>
        <w:ind w:firstLine="87"/>
        <w:jc w:val="both"/>
        <w:rPr>
          <w:rFonts w:ascii="Times New Roman" w:hAnsi="Times New Roman" w:cs="Times New Roman"/>
          <w:sz w:val="24"/>
          <w:szCs w:val="24"/>
        </w:rPr>
      </w:pPr>
      <w:r>
        <w:rPr>
          <w:rFonts w:ascii="Times New Roman" w:eastAsia="新細明體" w:hAnsi="Times New Roman" w:cs="Times New Roman" w:hint="eastAsia"/>
          <w:sz w:val="24"/>
          <w:szCs w:val="24"/>
        </w:rPr>
        <w:t>The company has certain degree of monopoly power</w:t>
      </w:r>
    </w:p>
    <w:p w:rsidR="006E1A12" w:rsidRDefault="006E1A12">
      <w:pPr>
        <w:adjustRightInd w:val="0"/>
        <w:snapToGrid w:val="0"/>
        <w:spacing w:line="360" w:lineRule="auto"/>
        <w:jc w:val="both"/>
        <w:rPr>
          <w:rFonts w:eastAsia="新細明體" w:hint="eastAsia"/>
          <w:szCs w:val="24"/>
          <w:shd w:val="clear" w:color="auto" w:fill="FFFFFF"/>
        </w:rPr>
      </w:pPr>
    </w:p>
    <w:p w:rsidR="008E78CF" w:rsidRPr="008E78CF" w:rsidRDefault="008E78CF">
      <w:pPr>
        <w:adjustRightInd w:val="0"/>
        <w:snapToGrid w:val="0"/>
        <w:spacing w:line="360" w:lineRule="auto"/>
        <w:jc w:val="both"/>
        <w:rPr>
          <w:rFonts w:eastAsia="新細明體" w:hint="eastAsia"/>
          <w:szCs w:val="24"/>
          <w:shd w:val="clear" w:color="auto" w:fill="FFFFFF"/>
        </w:rPr>
      </w:pPr>
    </w:p>
    <w:tbl>
      <w:tblPr>
        <w:tblW w:w="11380" w:type="dxa"/>
        <w:tblInd w:w="-1150" w:type="dxa"/>
        <w:tblLayout w:type="fixed"/>
        <w:tblCellMar>
          <w:left w:w="28" w:type="dxa"/>
          <w:right w:w="28" w:type="dxa"/>
        </w:tblCellMar>
        <w:tblLook w:val="04A0" w:firstRow="1" w:lastRow="0" w:firstColumn="1" w:lastColumn="0" w:noHBand="0" w:noVBand="1"/>
      </w:tblPr>
      <w:tblGrid>
        <w:gridCol w:w="1060"/>
        <w:gridCol w:w="553"/>
        <w:gridCol w:w="540"/>
        <w:gridCol w:w="627"/>
        <w:gridCol w:w="553"/>
        <w:gridCol w:w="540"/>
        <w:gridCol w:w="627"/>
        <w:gridCol w:w="553"/>
        <w:gridCol w:w="540"/>
        <w:gridCol w:w="627"/>
        <w:gridCol w:w="553"/>
        <w:gridCol w:w="540"/>
        <w:gridCol w:w="627"/>
        <w:gridCol w:w="553"/>
        <w:gridCol w:w="540"/>
        <w:gridCol w:w="627"/>
        <w:gridCol w:w="553"/>
        <w:gridCol w:w="540"/>
        <w:gridCol w:w="627"/>
      </w:tblGrid>
      <w:tr w:rsidR="006E1A12">
        <w:trPr>
          <w:trHeight w:val="330"/>
        </w:trPr>
        <w:tc>
          <w:tcPr>
            <w:tcW w:w="1060" w:type="dxa"/>
            <w:tcBorders>
              <w:top w:val="nil"/>
              <w:left w:val="nil"/>
              <w:bottom w:val="nil"/>
              <w:right w:val="nil"/>
            </w:tcBorders>
            <w:shd w:val="clear" w:color="auto" w:fill="auto"/>
            <w:noWrap/>
            <w:vAlign w:val="center"/>
          </w:tcPr>
          <w:p w:rsidR="006E1A12" w:rsidRDefault="006E1A12">
            <w:pPr>
              <w:widowControl/>
              <w:rPr>
                <w:kern w:val="0"/>
                <w:sz w:val="16"/>
                <w:szCs w:val="16"/>
              </w:rPr>
            </w:pPr>
          </w:p>
        </w:tc>
        <w:tc>
          <w:tcPr>
            <w:tcW w:w="3440" w:type="dxa"/>
            <w:gridSpan w:val="6"/>
            <w:tcBorders>
              <w:top w:val="single" w:sz="8" w:space="0" w:color="auto"/>
              <w:left w:val="single" w:sz="8" w:space="0" w:color="auto"/>
              <w:bottom w:val="nil"/>
              <w:right w:val="single" w:sz="8" w:space="0" w:color="000000"/>
            </w:tcBorders>
            <w:shd w:val="clear" w:color="auto" w:fill="auto"/>
            <w:noWrap/>
            <w:vAlign w:val="center"/>
          </w:tcPr>
          <w:p w:rsidR="006E1A12" w:rsidRDefault="00270930">
            <w:pPr>
              <w:widowControl/>
              <w:jc w:val="center"/>
              <w:rPr>
                <w:b/>
                <w:bCs/>
                <w:kern w:val="0"/>
                <w:sz w:val="16"/>
                <w:szCs w:val="16"/>
              </w:rPr>
            </w:pPr>
            <w:r>
              <w:rPr>
                <w:b/>
                <w:bCs/>
                <w:kern w:val="0"/>
                <w:sz w:val="16"/>
                <w:szCs w:val="16"/>
              </w:rPr>
              <w:t>2D</w:t>
            </w:r>
          </w:p>
        </w:tc>
        <w:tc>
          <w:tcPr>
            <w:tcW w:w="3440" w:type="dxa"/>
            <w:gridSpan w:val="6"/>
            <w:tcBorders>
              <w:top w:val="single" w:sz="8" w:space="0" w:color="auto"/>
              <w:left w:val="nil"/>
              <w:bottom w:val="nil"/>
              <w:right w:val="single" w:sz="8" w:space="0" w:color="000000"/>
            </w:tcBorders>
            <w:shd w:val="clear" w:color="auto" w:fill="auto"/>
            <w:noWrap/>
            <w:vAlign w:val="center"/>
          </w:tcPr>
          <w:p w:rsidR="006E1A12" w:rsidRDefault="00270930">
            <w:pPr>
              <w:widowControl/>
              <w:jc w:val="center"/>
              <w:rPr>
                <w:b/>
                <w:bCs/>
                <w:kern w:val="0"/>
                <w:sz w:val="16"/>
                <w:szCs w:val="16"/>
              </w:rPr>
            </w:pPr>
            <w:r>
              <w:rPr>
                <w:b/>
                <w:bCs/>
                <w:kern w:val="0"/>
                <w:sz w:val="16"/>
                <w:szCs w:val="16"/>
              </w:rPr>
              <w:t>3D</w:t>
            </w:r>
          </w:p>
        </w:tc>
        <w:tc>
          <w:tcPr>
            <w:tcW w:w="3440" w:type="dxa"/>
            <w:gridSpan w:val="6"/>
            <w:tcBorders>
              <w:top w:val="single" w:sz="8" w:space="0" w:color="auto"/>
              <w:left w:val="nil"/>
              <w:bottom w:val="nil"/>
              <w:right w:val="single" w:sz="8" w:space="0" w:color="000000"/>
            </w:tcBorders>
            <w:shd w:val="clear" w:color="auto" w:fill="auto"/>
            <w:noWrap/>
            <w:vAlign w:val="center"/>
          </w:tcPr>
          <w:p w:rsidR="006E1A12" w:rsidRDefault="00270930">
            <w:pPr>
              <w:widowControl/>
              <w:jc w:val="center"/>
              <w:rPr>
                <w:b/>
                <w:bCs/>
                <w:kern w:val="0"/>
                <w:sz w:val="16"/>
                <w:szCs w:val="16"/>
              </w:rPr>
            </w:pPr>
            <w:r>
              <w:rPr>
                <w:b/>
                <w:bCs/>
                <w:kern w:val="0"/>
                <w:sz w:val="16"/>
                <w:szCs w:val="16"/>
              </w:rPr>
              <w:t>D-BOX</w:t>
            </w:r>
          </w:p>
        </w:tc>
      </w:tr>
      <w:tr w:rsidR="006E1A12">
        <w:trPr>
          <w:trHeight w:val="330"/>
        </w:trPr>
        <w:tc>
          <w:tcPr>
            <w:tcW w:w="1060" w:type="dxa"/>
            <w:tcBorders>
              <w:top w:val="nil"/>
              <w:left w:val="nil"/>
              <w:bottom w:val="nil"/>
              <w:right w:val="nil"/>
            </w:tcBorders>
            <w:shd w:val="clear" w:color="auto" w:fill="auto"/>
            <w:noWrap/>
            <w:vAlign w:val="center"/>
          </w:tcPr>
          <w:p w:rsidR="006E1A12" w:rsidRDefault="006E1A12">
            <w:pPr>
              <w:widowControl/>
              <w:rPr>
                <w:kern w:val="0"/>
                <w:sz w:val="16"/>
                <w:szCs w:val="16"/>
              </w:rPr>
            </w:pPr>
          </w:p>
        </w:tc>
        <w:tc>
          <w:tcPr>
            <w:tcW w:w="1720" w:type="dxa"/>
            <w:gridSpan w:val="3"/>
            <w:tcBorders>
              <w:top w:val="single" w:sz="4" w:space="0" w:color="auto"/>
              <w:left w:val="single" w:sz="8" w:space="0" w:color="auto"/>
              <w:bottom w:val="single" w:sz="4" w:space="0" w:color="auto"/>
              <w:right w:val="single" w:sz="4" w:space="0" w:color="auto"/>
            </w:tcBorders>
            <w:shd w:val="clear" w:color="000000" w:fill="FDE9D9"/>
            <w:noWrap/>
            <w:vAlign w:val="center"/>
          </w:tcPr>
          <w:p w:rsidR="006E1A12" w:rsidRDefault="00270930">
            <w:pPr>
              <w:widowControl/>
              <w:jc w:val="center"/>
              <w:rPr>
                <w:kern w:val="0"/>
                <w:sz w:val="16"/>
                <w:szCs w:val="16"/>
              </w:rPr>
            </w:pPr>
            <w:r>
              <w:rPr>
                <w:kern w:val="0"/>
                <w:sz w:val="16"/>
                <w:szCs w:val="16"/>
              </w:rPr>
              <w:t>AM</w:t>
            </w:r>
          </w:p>
        </w:tc>
        <w:tc>
          <w:tcPr>
            <w:tcW w:w="1720" w:type="dxa"/>
            <w:gridSpan w:val="3"/>
            <w:tcBorders>
              <w:top w:val="single" w:sz="4" w:space="0" w:color="auto"/>
              <w:left w:val="single" w:sz="4" w:space="0" w:color="auto"/>
              <w:bottom w:val="single" w:sz="4" w:space="0" w:color="auto"/>
              <w:right w:val="single" w:sz="8" w:space="0" w:color="000000"/>
            </w:tcBorders>
            <w:shd w:val="clear" w:color="000000" w:fill="DAEEF3"/>
            <w:noWrap/>
            <w:vAlign w:val="center"/>
          </w:tcPr>
          <w:p w:rsidR="006E1A12" w:rsidRDefault="00270930">
            <w:pPr>
              <w:widowControl/>
              <w:jc w:val="center"/>
              <w:rPr>
                <w:kern w:val="0"/>
                <w:sz w:val="16"/>
                <w:szCs w:val="16"/>
              </w:rPr>
            </w:pPr>
            <w:r>
              <w:rPr>
                <w:kern w:val="0"/>
                <w:sz w:val="16"/>
                <w:szCs w:val="16"/>
              </w:rPr>
              <w:t>PM</w:t>
            </w:r>
          </w:p>
        </w:tc>
        <w:tc>
          <w:tcPr>
            <w:tcW w:w="1720" w:type="dxa"/>
            <w:gridSpan w:val="3"/>
            <w:tcBorders>
              <w:top w:val="single" w:sz="4" w:space="0" w:color="auto"/>
              <w:left w:val="nil"/>
              <w:bottom w:val="single" w:sz="4" w:space="0" w:color="auto"/>
              <w:right w:val="single" w:sz="4" w:space="0" w:color="auto"/>
            </w:tcBorders>
            <w:shd w:val="clear" w:color="000000" w:fill="FDE9D9"/>
            <w:noWrap/>
            <w:vAlign w:val="center"/>
          </w:tcPr>
          <w:p w:rsidR="006E1A12" w:rsidRDefault="00270930">
            <w:pPr>
              <w:widowControl/>
              <w:jc w:val="center"/>
              <w:rPr>
                <w:kern w:val="0"/>
                <w:sz w:val="16"/>
                <w:szCs w:val="16"/>
              </w:rPr>
            </w:pPr>
            <w:r>
              <w:rPr>
                <w:kern w:val="0"/>
                <w:sz w:val="16"/>
                <w:szCs w:val="16"/>
              </w:rPr>
              <w:t>AM</w:t>
            </w:r>
          </w:p>
        </w:tc>
        <w:tc>
          <w:tcPr>
            <w:tcW w:w="1720" w:type="dxa"/>
            <w:gridSpan w:val="3"/>
            <w:tcBorders>
              <w:top w:val="single" w:sz="4" w:space="0" w:color="auto"/>
              <w:left w:val="single" w:sz="4" w:space="0" w:color="auto"/>
              <w:bottom w:val="single" w:sz="4" w:space="0" w:color="auto"/>
              <w:right w:val="single" w:sz="8" w:space="0" w:color="000000"/>
            </w:tcBorders>
            <w:shd w:val="clear" w:color="000000" w:fill="DAEEF3"/>
            <w:noWrap/>
            <w:vAlign w:val="center"/>
          </w:tcPr>
          <w:p w:rsidR="006E1A12" w:rsidRDefault="00270930">
            <w:pPr>
              <w:widowControl/>
              <w:jc w:val="center"/>
              <w:rPr>
                <w:kern w:val="0"/>
                <w:sz w:val="16"/>
                <w:szCs w:val="16"/>
              </w:rPr>
            </w:pPr>
            <w:r>
              <w:rPr>
                <w:kern w:val="0"/>
                <w:sz w:val="16"/>
                <w:szCs w:val="16"/>
              </w:rPr>
              <w:t>PM</w:t>
            </w:r>
          </w:p>
        </w:tc>
        <w:tc>
          <w:tcPr>
            <w:tcW w:w="1720" w:type="dxa"/>
            <w:gridSpan w:val="3"/>
            <w:tcBorders>
              <w:top w:val="single" w:sz="4" w:space="0" w:color="auto"/>
              <w:left w:val="nil"/>
              <w:bottom w:val="single" w:sz="4" w:space="0" w:color="auto"/>
              <w:right w:val="single" w:sz="4" w:space="0" w:color="auto"/>
            </w:tcBorders>
            <w:shd w:val="clear" w:color="000000" w:fill="FDE9D9"/>
            <w:noWrap/>
            <w:vAlign w:val="center"/>
          </w:tcPr>
          <w:p w:rsidR="006E1A12" w:rsidRDefault="00270930">
            <w:pPr>
              <w:widowControl/>
              <w:jc w:val="center"/>
              <w:rPr>
                <w:kern w:val="0"/>
                <w:sz w:val="16"/>
                <w:szCs w:val="16"/>
              </w:rPr>
            </w:pPr>
            <w:r>
              <w:rPr>
                <w:kern w:val="0"/>
                <w:sz w:val="16"/>
                <w:szCs w:val="16"/>
              </w:rPr>
              <w:t>AM</w:t>
            </w:r>
          </w:p>
        </w:tc>
        <w:tc>
          <w:tcPr>
            <w:tcW w:w="1720" w:type="dxa"/>
            <w:gridSpan w:val="3"/>
            <w:tcBorders>
              <w:top w:val="single" w:sz="4" w:space="0" w:color="auto"/>
              <w:left w:val="single" w:sz="4" w:space="0" w:color="auto"/>
              <w:bottom w:val="single" w:sz="4" w:space="0" w:color="auto"/>
              <w:right w:val="single" w:sz="8" w:space="0" w:color="000000"/>
            </w:tcBorders>
            <w:shd w:val="clear" w:color="000000" w:fill="DAEEF3"/>
            <w:noWrap/>
            <w:vAlign w:val="center"/>
          </w:tcPr>
          <w:p w:rsidR="006E1A12" w:rsidRDefault="00270930">
            <w:pPr>
              <w:widowControl/>
              <w:jc w:val="center"/>
              <w:rPr>
                <w:kern w:val="0"/>
                <w:sz w:val="16"/>
                <w:szCs w:val="16"/>
              </w:rPr>
            </w:pPr>
            <w:r>
              <w:rPr>
                <w:kern w:val="0"/>
                <w:sz w:val="16"/>
                <w:szCs w:val="16"/>
              </w:rPr>
              <w:t>PM</w:t>
            </w:r>
          </w:p>
        </w:tc>
      </w:tr>
      <w:tr w:rsidR="006E1A12">
        <w:trPr>
          <w:trHeight w:val="330"/>
        </w:trPr>
        <w:tc>
          <w:tcPr>
            <w:tcW w:w="1060" w:type="dxa"/>
            <w:tcBorders>
              <w:top w:val="nil"/>
              <w:left w:val="nil"/>
              <w:bottom w:val="nil"/>
              <w:right w:val="nil"/>
            </w:tcBorders>
            <w:shd w:val="clear" w:color="auto" w:fill="auto"/>
            <w:noWrap/>
            <w:vAlign w:val="center"/>
          </w:tcPr>
          <w:p w:rsidR="006E1A12" w:rsidRDefault="006E1A12">
            <w:pPr>
              <w:widowControl/>
              <w:rPr>
                <w:kern w:val="0"/>
                <w:sz w:val="16"/>
                <w:szCs w:val="16"/>
              </w:rPr>
            </w:pPr>
          </w:p>
        </w:tc>
        <w:tc>
          <w:tcPr>
            <w:tcW w:w="553" w:type="dxa"/>
            <w:tcBorders>
              <w:top w:val="nil"/>
              <w:left w:val="single" w:sz="8" w:space="0" w:color="auto"/>
              <w:bottom w:val="nil"/>
              <w:right w:val="single" w:sz="4" w:space="0" w:color="auto"/>
            </w:tcBorders>
            <w:shd w:val="clear" w:color="000000" w:fill="FDE9D9"/>
            <w:noWrap/>
            <w:vAlign w:val="center"/>
          </w:tcPr>
          <w:p w:rsidR="006E1A12" w:rsidRDefault="00270930">
            <w:pPr>
              <w:widowControl/>
              <w:jc w:val="center"/>
              <w:rPr>
                <w:kern w:val="0"/>
                <w:sz w:val="16"/>
                <w:szCs w:val="16"/>
              </w:rPr>
            </w:pPr>
            <w:r>
              <w:rPr>
                <w:kern w:val="0"/>
                <w:sz w:val="16"/>
                <w:szCs w:val="16"/>
              </w:rPr>
              <w:t>Adult</w:t>
            </w:r>
          </w:p>
        </w:tc>
        <w:tc>
          <w:tcPr>
            <w:tcW w:w="540" w:type="dxa"/>
            <w:tcBorders>
              <w:top w:val="nil"/>
              <w:left w:val="nil"/>
              <w:bottom w:val="nil"/>
              <w:right w:val="single" w:sz="4" w:space="0" w:color="auto"/>
            </w:tcBorders>
            <w:shd w:val="clear" w:color="000000" w:fill="FDE9D9"/>
            <w:noWrap/>
            <w:vAlign w:val="center"/>
          </w:tcPr>
          <w:p w:rsidR="006E1A12" w:rsidRDefault="00270930">
            <w:pPr>
              <w:widowControl/>
              <w:jc w:val="center"/>
              <w:rPr>
                <w:kern w:val="0"/>
                <w:sz w:val="16"/>
                <w:szCs w:val="16"/>
              </w:rPr>
            </w:pPr>
            <w:r>
              <w:rPr>
                <w:kern w:val="0"/>
                <w:sz w:val="16"/>
                <w:szCs w:val="16"/>
              </w:rPr>
              <w:t>Child</w:t>
            </w:r>
          </w:p>
        </w:tc>
        <w:tc>
          <w:tcPr>
            <w:tcW w:w="627" w:type="dxa"/>
            <w:tcBorders>
              <w:top w:val="nil"/>
              <w:left w:val="nil"/>
              <w:bottom w:val="nil"/>
              <w:right w:val="nil"/>
            </w:tcBorders>
            <w:shd w:val="clear" w:color="000000" w:fill="FDE9D9"/>
            <w:noWrap/>
            <w:vAlign w:val="center"/>
          </w:tcPr>
          <w:p w:rsidR="006E1A12" w:rsidRDefault="00270930">
            <w:pPr>
              <w:widowControl/>
              <w:jc w:val="center"/>
              <w:rPr>
                <w:kern w:val="0"/>
                <w:sz w:val="16"/>
                <w:szCs w:val="16"/>
              </w:rPr>
            </w:pPr>
            <w:r>
              <w:rPr>
                <w:kern w:val="0"/>
                <w:sz w:val="16"/>
                <w:szCs w:val="16"/>
              </w:rPr>
              <w:t>Senior</w:t>
            </w:r>
          </w:p>
        </w:tc>
        <w:tc>
          <w:tcPr>
            <w:tcW w:w="553" w:type="dxa"/>
            <w:tcBorders>
              <w:top w:val="nil"/>
              <w:left w:val="single" w:sz="4" w:space="0" w:color="auto"/>
              <w:bottom w:val="nil"/>
              <w:right w:val="single" w:sz="4"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Adult</w:t>
            </w:r>
          </w:p>
        </w:tc>
        <w:tc>
          <w:tcPr>
            <w:tcW w:w="540" w:type="dxa"/>
            <w:tcBorders>
              <w:top w:val="nil"/>
              <w:left w:val="nil"/>
              <w:bottom w:val="nil"/>
              <w:right w:val="single" w:sz="4"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Child</w:t>
            </w:r>
          </w:p>
        </w:tc>
        <w:tc>
          <w:tcPr>
            <w:tcW w:w="627" w:type="dxa"/>
            <w:tcBorders>
              <w:top w:val="nil"/>
              <w:left w:val="nil"/>
              <w:bottom w:val="nil"/>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Senior</w:t>
            </w:r>
          </w:p>
        </w:tc>
        <w:tc>
          <w:tcPr>
            <w:tcW w:w="553" w:type="dxa"/>
            <w:tcBorders>
              <w:top w:val="nil"/>
              <w:left w:val="nil"/>
              <w:bottom w:val="nil"/>
              <w:right w:val="single" w:sz="4" w:space="0" w:color="auto"/>
            </w:tcBorders>
            <w:shd w:val="clear" w:color="000000" w:fill="FDE9D9"/>
            <w:noWrap/>
            <w:vAlign w:val="center"/>
          </w:tcPr>
          <w:p w:rsidR="006E1A12" w:rsidRDefault="00270930">
            <w:pPr>
              <w:widowControl/>
              <w:jc w:val="center"/>
              <w:rPr>
                <w:kern w:val="0"/>
                <w:sz w:val="16"/>
                <w:szCs w:val="16"/>
              </w:rPr>
            </w:pPr>
            <w:r>
              <w:rPr>
                <w:kern w:val="0"/>
                <w:sz w:val="16"/>
                <w:szCs w:val="16"/>
              </w:rPr>
              <w:t>Adult</w:t>
            </w:r>
          </w:p>
        </w:tc>
        <w:tc>
          <w:tcPr>
            <w:tcW w:w="540" w:type="dxa"/>
            <w:tcBorders>
              <w:top w:val="nil"/>
              <w:left w:val="nil"/>
              <w:bottom w:val="nil"/>
              <w:right w:val="single" w:sz="4" w:space="0" w:color="auto"/>
            </w:tcBorders>
            <w:shd w:val="clear" w:color="000000" w:fill="FDE9D9"/>
            <w:noWrap/>
            <w:vAlign w:val="center"/>
          </w:tcPr>
          <w:p w:rsidR="006E1A12" w:rsidRDefault="00270930">
            <w:pPr>
              <w:widowControl/>
              <w:jc w:val="center"/>
              <w:rPr>
                <w:kern w:val="0"/>
                <w:sz w:val="16"/>
                <w:szCs w:val="16"/>
              </w:rPr>
            </w:pPr>
            <w:r>
              <w:rPr>
                <w:kern w:val="0"/>
                <w:sz w:val="16"/>
                <w:szCs w:val="16"/>
              </w:rPr>
              <w:t>Child</w:t>
            </w:r>
          </w:p>
        </w:tc>
        <w:tc>
          <w:tcPr>
            <w:tcW w:w="627" w:type="dxa"/>
            <w:tcBorders>
              <w:top w:val="nil"/>
              <w:left w:val="nil"/>
              <w:bottom w:val="nil"/>
              <w:right w:val="nil"/>
            </w:tcBorders>
            <w:shd w:val="clear" w:color="000000" w:fill="FDE9D9"/>
            <w:noWrap/>
            <w:vAlign w:val="center"/>
          </w:tcPr>
          <w:p w:rsidR="006E1A12" w:rsidRDefault="00270930">
            <w:pPr>
              <w:widowControl/>
              <w:jc w:val="center"/>
              <w:rPr>
                <w:kern w:val="0"/>
                <w:sz w:val="16"/>
                <w:szCs w:val="16"/>
              </w:rPr>
            </w:pPr>
            <w:r>
              <w:rPr>
                <w:kern w:val="0"/>
                <w:sz w:val="16"/>
                <w:szCs w:val="16"/>
              </w:rPr>
              <w:t>Senior</w:t>
            </w:r>
          </w:p>
        </w:tc>
        <w:tc>
          <w:tcPr>
            <w:tcW w:w="553" w:type="dxa"/>
            <w:tcBorders>
              <w:top w:val="nil"/>
              <w:left w:val="single" w:sz="4" w:space="0" w:color="auto"/>
              <w:bottom w:val="nil"/>
              <w:right w:val="single" w:sz="4"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Adult</w:t>
            </w:r>
          </w:p>
        </w:tc>
        <w:tc>
          <w:tcPr>
            <w:tcW w:w="540" w:type="dxa"/>
            <w:tcBorders>
              <w:top w:val="nil"/>
              <w:left w:val="nil"/>
              <w:bottom w:val="nil"/>
              <w:right w:val="single" w:sz="4"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Child</w:t>
            </w:r>
          </w:p>
        </w:tc>
        <w:tc>
          <w:tcPr>
            <w:tcW w:w="627" w:type="dxa"/>
            <w:tcBorders>
              <w:top w:val="nil"/>
              <w:left w:val="nil"/>
              <w:bottom w:val="nil"/>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Senior</w:t>
            </w:r>
          </w:p>
        </w:tc>
        <w:tc>
          <w:tcPr>
            <w:tcW w:w="553" w:type="dxa"/>
            <w:tcBorders>
              <w:top w:val="nil"/>
              <w:left w:val="nil"/>
              <w:bottom w:val="nil"/>
              <w:right w:val="single" w:sz="4" w:space="0" w:color="auto"/>
            </w:tcBorders>
            <w:shd w:val="clear" w:color="000000" w:fill="FDE9D9"/>
            <w:noWrap/>
            <w:vAlign w:val="center"/>
          </w:tcPr>
          <w:p w:rsidR="006E1A12" w:rsidRDefault="00270930">
            <w:pPr>
              <w:widowControl/>
              <w:jc w:val="center"/>
              <w:rPr>
                <w:kern w:val="0"/>
                <w:sz w:val="16"/>
                <w:szCs w:val="16"/>
              </w:rPr>
            </w:pPr>
            <w:r>
              <w:rPr>
                <w:kern w:val="0"/>
                <w:sz w:val="16"/>
                <w:szCs w:val="16"/>
              </w:rPr>
              <w:t>Adult</w:t>
            </w:r>
          </w:p>
        </w:tc>
        <w:tc>
          <w:tcPr>
            <w:tcW w:w="540" w:type="dxa"/>
            <w:tcBorders>
              <w:top w:val="nil"/>
              <w:left w:val="nil"/>
              <w:bottom w:val="nil"/>
              <w:right w:val="single" w:sz="4" w:space="0" w:color="auto"/>
            </w:tcBorders>
            <w:shd w:val="clear" w:color="000000" w:fill="FDE9D9"/>
            <w:noWrap/>
            <w:vAlign w:val="center"/>
          </w:tcPr>
          <w:p w:rsidR="006E1A12" w:rsidRDefault="00270930">
            <w:pPr>
              <w:widowControl/>
              <w:jc w:val="center"/>
              <w:rPr>
                <w:kern w:val="0"/>
                <w:sz w:val="16"/>
                <w:szCs w:val="16"/>
              </w:rPr>
            </w:pPr>
            <w:r>
              <w:rPr>
                <w:kern w:val="0"/>
                <w:sz w:val="16"/>
                <w:szCs w:val="16"/>
              </w:rPr>
              <w:t>Child</w:t>
            </w:r>
          </w:p>
        </w:tc>
        <w:tc>
          <w:tcPr>
            <w:tcW w:w="627" w:type="dxa"/>
            <w:tcBorders>
              <w:top w:val="nil"/>
              <w:left w:val="nil"/>
              <w:bottom w:val="nil"/>
              <w:right w:val="nil"/>
            </w:tcBorders>
            <w:shd w:val="clear" w:color="000000" w:fill="FDE9D9"/>
            <w:noWrap/>
            <w:vAlign w:val="center"/>
          </w:tcPr>
          <w:p w:rsidR="006E1A12" w:rsidRDefault="00270930">
            <w:pPr>
              <w:widowControl/>
              <w:jc w:val="center"/>
              <w:rPr>
                <w:kern w:val="0"/>
                <w:sz w:val="16"/>
                <w:szCs w:val="16"/>
              </w:rPr>
            </w:pPr>
            <w:r>
              <w:rPr>
                <w:kern w:val="0"/>
                <w:sz w:val="16"/>
                <w:szCs w:val="16"/>
              </w:rPr>
              <w:t>Senior</w:t>
            </w:r>
          </w:p>
        </w:tc>
        <w:tc>
          <w:tcPr>
            <w:tcW w:w="553" w:type="dxa"/>
            <w:tcBorders>
              <w:top w:val="nil"/>
              <w:left w:val="single" w:sz="4" w:space="0" w:color="auto"/>
              <w:bottom w:val="nil"/>
              <w:right w:val="single" w:sz="4"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Adult</w:t>
            </w:r>
          </w:p>
        </w:tc>
        <w:tc>
          <w:tcPr>
            <w:tcW w:w="540" w:type="dxa"/>
            <w:tcBorders>
              <w:top w:val="nil"/>
              <w:left w:val="nil"/>
              <w:bottom w:val="nil"/>
              <w:right w:val="single" w:sz="4"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Child</w:t>
            </w:r>
          </w:p>
        </w:tc>
        <w:tc>
          <w:tcPr>
            <w:tcW w:w="627" w:type="dxa"/>
            <w:tcBorders>
              <w:top w:val="nil"/>
              <w:left w:val="nil"/>
              <w:bottom w:val="nil"/>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Senior</w:t>
            </w:r>
          </w:p>
        </w:tc>
      </w:tr>
      <w:tr w:rsidR="006E1A12">
        <w:trPr>
          <w:trHeight w:val="330"/>
        </w:trPr>
        <w:tc>
          <w:tcPr>
            <w:tcW w:w="1060" w:type="dxa"/>
            <w:tcBorders>
              <w:top w:val="single" w:sz="4" w:space="0" w:color="auto"/>
              <w:left w:val="single" w:sz="4" w:space="0" w:color="auto"/>
              <w:bottom w:val="single" w:sz="4" w:space="0" w:color="auto"/>
              <w:right w:val="nil"/>
            </w:tcBorders>
            <w:shd w:val="clear" w:color="auto" w:fill="auto"/>
            <w:noWrap/>
            <w:vAlign w:val="center"/>
          </w:tcPr>
          <w:p w:rsidR="006E1A12" w:rsidRDefault="00270930">
            <w:pPr>
              <w:widowControl/>
              <w:rPr>
                <w:kern w:val="0"/>
                <w:sz w:val="16"/>
                <w:szCs w:val="16"/>
              </w:rPr>
            </w:pPr>
            <w:r>
              <w:rPr>
                <w:kern w:val="0"/>
                <w:sz w:val="16"/>
                <w:szCs w:val="16"/>
              </w:rPr>
              <w:t>The Sky</w:t>
            </w:r>
          </w:p>
        </w:tc>
        <w:tc>
          <w:tcPr>
            <w:tcW w:w="553" w:type="dxa"/>
            <w:tcBorders>
              <w:top w:val="single" w:sz="4" w:space="0" w:color="auto"/>
              <w:left w:val="single" w:sz="8" w:space="0" w:color="auto"/>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65</w:t>
            </w:r>
          </w:p>
        </w:tc>
        <w:tc>
          <w:tcPr>
            <w:tcW w:w="540" w:type="dxa"/>
            <w:tcBorders>
              <w:top w:val="single" w:sz="4" w:space="0" w:color="auto"/>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65</w:t>
            </w:r>
          </w:p>
        </w:tc>
        <w:tc>
          <w:tcPr>
            <w:tcW w:w="627" w:type="dxa"/>
            <w:tcBorders>
              <w:top w:val="single" w:sz="4" w:space="0" w:color="auto"/>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25</w:t>
            </w:r>
          </w:p>
        </w:tc>
        <w:tc>
          <w:tcPr>
            <w:tcW w:w="553" w:type="dxa"/>
            <w:tcBorders>
              <w:top w:val="single" w:sz="4" w:space="0" w:color="auto"/>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rFonts w:hint="eastAsia"/>
                <w:kern w:val="0"/>
                <w:sz w:val="16"/>
                <w:szCs w:val="16"/>
              </w:rPr>
              <w:t>100</w:t>
            </w:r>
          </w:p>
        </w:tc>
        <w:tc>
          <w:tcPr>
            <w:tcW w:w="540" w:type="dxa"/>
            <w:tcBorders>
              <w:top w:val="single" w:sz="4" w:space="0" w:color="auto"/>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rFonts w:hint="eastAsia"/>
                <w:kern w:val="0"/>
                <w:sz w:val="16"/>
                <w:szCs w:val="16"/>
              </w:rPr>
              <w:t>85</w:t>
            </w:r>
          </w:p>
        </w:tc>
        <w:tc>
          <w:tcPr>
            <w:tcW w:w="627" w:type="dxa"/>
            <w:tcBorders>
              <w:top w:val="single" w:sz="4" w:space="0" w:color="auto"/>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50</w:t>
            </w:r>
          </w:p>
        </w:tc>
        <w:tc>
          <w:tcPr>
            <w:tcW w:w="553" w:type="dxa"/>
            <w:tcBorders>
              <w:top w:val="single" w:sz="4" w:space="0" w:color="auto"/>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85</w:t>
            </w:r>
          </w:p>
        </w:tc>
        <w:tc>
          <w:tcPr>
            <w:tcW w:w="540" w:type="dxa"/>
            <w:tcBorders>
              <w:top w:val="single" w:sz="4" w:space="0" w:color="auto"/>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85</w:t>
            </w:r>
          </w:p>
        </w:tc>
        <w:tc>
          <w:tcPr>
            <w:tcW w:w="627" w:type="dxa"/>
            <w:tcBorders>
              <w:top w:val="single" w:sz="4" w:space="0" w:color="auto"/>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45</w:t>
            </w:r>
          </w:p>
        </w:tc>
        <w:tc>
          <w:tcPr>
            <w:tcW w:w="553" w:type="dxa"/>
            <w:tcBorders>
              <w:top w:val="single" w:sz="4" w:space="0" w:color="auto"/>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115</w:t>
            </w:r>
          </w:p>
        </w:tc>
        <w:tc>
          <w:tcPr>
            <w:tcW w:w="540" w:type="dxa"/>
            <w:tcBorders>
              <w:top w:val="single" w:sz="4" w:space="0" w:color="auto"/>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100</w:t>
            </w:r>
          </w:p>
        </w:tc>
        <w:tc>
          <w:tcPr>
            <w:tcW w:w="627" w:type="dxa"/>
            <w:tcBorders>
              <w:top w:val="single" w:sz="4" w:space="0" w:color="auto"/>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70</w:t>
            </w:r>
          </w:p>
        </w:tc>
        <w:tc>
          <w:tcPr>
            <w:tcW w:w="553" w:type="dxa"/>
            <w:tcBorders>
              <w:top w:val="single" w:sz="4" w:space="0" w:color="auto"/>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155</w:t>
            </w:r>
          </w:p>
        </w:tc>
        <w:tc>
          <w:tcPr>
            <w:tcW w:w="540" w:type="dxa"/>
            <w:tcBorders>
              <w:top w:val="single" w:sz="4" w:space="0" w:color="auto"/>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155</w:t>
            </w:r>
          </w:p>
        </w:tc>
        <w:tc>
          <w:tcPr>
            <w:tcW w:w="627" w:type="dxa"/>
            <w:tcBorders>
              <w:top w:val="single" w:sz="4" w:space="0" w:color="auto"/>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115</w:t>
            </w:r>
          </w:p>
        </w:tc>
        <w:tc>
          <w:tcPr>
            <w:tcW w:w="553" w:type="dxa"/>
            <w:tcBorders>
              <w:top w:val="single" w:sz="4" w:space="0" w:color="auto"/>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185</w:t>
            </w:r>
          </w:p>
        </w:tc>
        <w:tc>
          <w:tcPr>
            <w:tcW w:w="540" w:type="dxa"/>
            <w:tcBorders>
              <w:top w:val="single" w:sz="4" w:space="0" w:color="auto"/>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170</w:t>
            </w:r>
          </w:p>
        </w:tc>
        <w:tc>
          <w:tcPr>
            <w:tcW w:w="627" w:type="dxa"/>
            <w:tcBorders>
              <w:top w:val="single" w:sz="4" w:space="0" w:color="auto"/>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140</w:t>
            </w:r>
          </w:p>
        </w:tc>
      </w:tr>
      <w:tr w:rsidR="006E1A12">
        <w:trPr>
          <w:trHeight w:val="330"/>
        </w:trPr>
        <w:tc>
          <w:tcPr>
            <w:tcW w:w="1060" w:type="dxa"/>
            <w:tcBorders>
              <w:top w:val="nil"/>
              <w:left w:val="single" w:sz="4" w:space="0" w:color="auto"/>
              <w:bottom w:val="single" w:sz="4" w:space="0" w:color="auto"/>
              <w:right w:val="nil"/>
            </w:tcBorders>
            <w:shd w:val="clear" w:color="auto" w:fill="auto"/>
            <w:noWrap/>
            <w:vAlign w:val="center"/>
          </w:tcPr>
          <w:p w:rsidR="006E1A12" w:rsidRDefault="00270930">
            <w:pPr>
              <w:widowControl/>
              <w:rPr>
                <w:kern w:val="0"/>
                <w:sz w:val="16"/>
                <w:szCs w:val="16"/>
              </w:rPr>
            </w:pPr>
            <w:r>
              <w:rPr>
                <w:kern w:val="0"/>
                <w:sz w:val="16"/>
                <w:szCs w:val="16"/>
              </w:rPr>
              <w:t>Grand Ocean</w:t>
            </w:r>
          </w:p>
        </w:tc>
        <w:tc>
          <w:tcPr>
            <w:tcW w:w="553" w:type="dxa"/>
            <w:tcBorders>
              <w:top w:val="nil"/>
              <w:left w:val="single" w:sz="8" w:space="0" w:color="auto"/>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75</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70</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25</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100</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85</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60</w:t>
            </w:r>
          </w:p>
        </w:tc>
        <w:tc>
          <w:tcPr>
            <w:tcW w:w="553"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w:t>
            </w:r>
          </w:p>
        </w:tc>
        <w:tc>
          <w:tcPr>
            <w:tcW w:w="553"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130</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130</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95</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170</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155</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130</w:t>
            </w:r>
          </w:p>
        </w:tc>
      </w:tr>
      <w:tr w:rsidR="006E1A12">
        <w:trPr>
          <w:trHeight w:val="330"/>
        </w:trPr>
        <w:tc>
          <w:tcPr>
            <w:tcW w:w="1060" w:type="dxa"/>
            <w:tcBorders>
              <w:top w:val="nil"/>
              <w:left w:val="single" w:sz="4" w:space="0" w:color="auto"/>
              <w:bottom w:val="single" w:sz="4" w:space="0" w:color="auto"/>
              <w:right w:val="nil"/>
            </w:tcBorders>
            <w:shd w:val="clear" w:color="auto" w:fill="auto"/>
            <w:noWrap/>
            <w:vAlign w:val="center"/>
          </w:tcPr>
          <w:p w:rsidR="006E1A12" w:rsidRDefault="00270930">
            <w:pPr>
              <w:widowControl/>
              <w:rPr>
                <w:kern w:val="0"/>
                <w:sz w:val="16"/>
                <w:szCs w:val="16"/>
              </w:rPr>
            </w:pPr>
            <w:proofErr w:type="spellStart"/>
            <w:r>
              <w:rPr>
                <w:kern w:val="0"/>
                <w:sz w:val="16"/>
                <w:szCs w:val="16"/>
              </w:rPr>
              <w:t>Fanling</w:t>
            </w:r>
            <w:proofErr w:type="spellEnd"/>
          </w:p>
        </w:tc>
        <w:tc>
          <w:tcPr>
            <w:tcW w:w="553" w:type="dxa"/>
            <w:tcBorders>
              <w:top w:val="nil"/>
              <w:left w:val="single" w:sz="8" w:space="0" w:color="auto"/>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45</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45</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25</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7</w:t>
            </w:r>
            <w:r>
              <w:rPr>
                <w:rFonts w:hint="eastAsia"/>
                <w:kern w:val="0"/>
                <w:sz w:val="16"/>
                <w:szCs w:val="16"/>
              </w:rPr>
              <w:t>5</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rFonts w:hint="eastAsia"/>
                <w:kern w:val="0"/>
                <w:sz w:val="16"/>
                <w:szCs w:val="16"/>
              </w:rPr>
              <w:t>50</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45</w:t>
            </w:r>
          </w:p>
        </w:tc>
        <w:tc>
          <w:tcPr>
            <w:tcW w:w="553"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90</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65</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65</w:t>
            </w:r>
          </w:p>
        </w:tc>
        <w:tc>
          <w:tcPr>
            <w:tcW w:w="553"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w:t>
            </w:r>
          </w:p>
        </w:tc>
      </w:tr>
      <w:tr w:rsidR="006E1A12">
        <w:trPr>
          <w:trHeight w:val="330"/>
        </w:trPr>
        <w:tc>
          <w:tcPr>
            <w:tcW w:w="1060" w:type="dxa"/>
            <w:tcBorders>
              <w:top w:val="nil"/>
              <w:left w:val="single" w:sz="4" w:space="0" w:color="auto"/>
              <w:bottom w:val="single" w:sz="4" w:space="0" w:color="auto"/>
              <w:right w:val="nil"/>
            </w:tcBorders>
            <w:shd w:val="clear" w:color="auto" w:fill="auto"/>
            <w:noWrap/>
            <w:vAlign w:val="center"/>
          </w:tcPr>
          <w:p w:rsidR="006E1A12" w:rsidRDefault="00270930">
            <w:pPr>
              <w:widowControl/>
              <w:rPr>
                <w:kern w:val="0"/>
                <w:sz w:val="16"/>
                <w:szCs w:val="16"/>
              </w:rPr>
            </w:pPr>
            <w:proofErr w:type="spellStart"/>
            <w:r>
              <w:rPr>
                <w:kern w:val="0"/>
                <w:sz w:val="16"/>
                <w:szCs w:val="16"/>
              </w:rPr>
              <w:t>Citywalk</w:t>
            </w:r>
            <w:proofErr w:type="spellEnd"/>
          </w:p>
        </w:tc>
        <w:tc>
          <w:tcPr>
            <w:tcW w:w="553" w:type="dxa"/>
            <w:tcBorders>
              <w:top w:val="nil"/>
              <w:left w:val="single" w:sz="8" w:space="0" w:color="auto"/>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55</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55</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25</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9</w:t>
            </w:r>
            <w:r>
              <w:rPr>
                <w:rFonts w:hint="eastAsia"/>
                <w:kern w:val="0"/>
                <w:sz w:val="16"/>
                <w:szCs w:val="16"/>
              </w:rPr>
              <w:t>5</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rFonts w:hint="eastAsia"/>
                <w:kern w:val="0"/>
                <w:sz w:val="16"/>
                <w:szCs w:val="16"/>
              </w:rPr>
              <w:t>8</w:t>
            </w:r>
            <w:r>
              <w:rPr>
                <w:kern w:val="0"/>
                <w:sz w:val="16"/>
                <w:szCs w:val="16"/>
              </w:rPr>
              <w:t>5</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50</w:t>
            </w:r>
          </w:p>
        </w:tc>
        <w:tc>
          <w:tcPr>
            <w:tcW w:w="553"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85</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85</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45</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115</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105</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70</w:t>
            </w:r>
          </w:p>
        </w:tc>
        <w:tc>
          <w:tcPr>
            <w:tcW w:w="553"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125</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125</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95</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160</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145</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120</w:t>
            </w:r>
          </w:p>
        </w:tc>
      </w:tr>
      <w:tr w:rsidR="006E1A12">
        <w:trPr>
          <w:trHeight w:val="330"/>
        </w:trPr>
        <w:tc>
          <w:tcPr>
            <w:tcW w:w="1060" w:type="dxa"/>
            <w:tcBorders>
              <w:top w:val="nil"/>
              <w:left w:val="single" w:sz="4" w:space="0" w:color="auto"/>
              <w:bottom w:val="single" w:sz="4" w:space="0" w:color="auto"/>
              <w:right w:val="nil"/>
            </w:tcBorders>
            <w:shd w:val="clear" w:color="auto" w:fill="auto"/>
            <w:noWrap/>
            <w:vAlign w:val="center"/>
          </w:tcPr>
          <w:p w:rsidR="006E1A12" w:rsidRDefault="00270930">
            <w:pPr>
              <w:widowControl/>
              <w:rPr>
                <w:kern w:val="0"/>
                <w:sz w:val="16"/>
                <w:szCs w:val="16"/>
              </w:rPr>
            </w:pPr>
            <w:r>
              <w:rPr>
                <w:kern w:val="0"/>
                <w:sz w:val="16"/>
                <w:szCs w:val="16"/>
              </w:rPr>
              <w:t>Whampoa</w:t>
            </w:r>
          </w:p>
        </w:tc>
        <w:tc>
          <w:tcPr>
            <w:tcW w:w="553" w:type="dxa"/>
            <w:tcBorders>
              <w:top w:val="nil"/>
              <w:left w:val="single" w:sz="8" w:space="0" w:color="auto"/>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55</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55</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25</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rFonts w:hint="eastAsia"/>
                <w:kern w:val="0"/>
                <w:sz w:val="16"/>
                <w:szCs w:val="16"/>
              </w:rPr>
              <w:t>9</w:t>
            </w:r>
            <w:r>
              <w:rPr>
                <w:kern w:val="0"/>
                <w:sz w:val="16"/>
                <w:szCs w:val="16"/>
              </w:rPr>
              <w:t>5</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85</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50</w:t>
            </w:r>
          </w:p>
        </w:tc>
        <w:tc>
          <w:tcPr>
            <w:tcW w:w="553"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115</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105</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70</w:t>
            </w:r>
          </w:p>
        </w:tc>
        <w:tc>
          <w:tcPr>
            <w:tcW w:w="553"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135</w:t>
            </w:r>
          </w:p>
        </w:tc>
        <w:tc>
          <w:tcPr>
            <w:tcW w:w="540"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135</w:t>
            </w:r>
          </w:p>
        </w:tc>
        <w:tc>
          <w:tcPr>
            <w:tcW w:w="627" w:type="dxa"/>
            <w:tcBorders>
              <w:top w:val="nil"/>
              <w:left w:val="nil"/>
              <w:bottom w:val="single" w:sz="4" w:space="0" w:color="auto"/>
              <w:right w:val="nil"/>
            </w:tcBorders>
            <w:shd w:val="clear" w:color="000000" w:fill="FDE9D9"/>
            <w:noWrap/>
            <w:vAlign w:val="center"/>
          </w:tcPr>
          <w:p w:rsidR="006E1A12" w:rsidRDefault="00270930">
            <w:pPr>
              <w:widowControl/>
              <w:jc w:val="center"/>
              <w:rPr>
                <w:kern w:val="0"/>
                <w:sz w:val="16"/>
                <w:szCs w:val="16"/>
              </w:rPr>
            </w:pPr>
            <w:r>
              <w:rPr>
                <w:kern w:val="0"/>
                <w:sz w:val="16"/>
                <w:szCs w:val="16"/>
              </w:rPr>
              <w:t>95</w:t>
            </w:r>
          </w:p>
        </w:tc>
        <w:tc>
          <w:tcPr>
            <w:tcW w:w="553" w:type="dxa"/>
            <w:tcBorders>
              <w:top w:val="nil"/>
              <w:left w:val="single" w:sz="4" w:space="0" w:color="auto"/>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165</w:t>
            </w:r>
          </w:p>
        </w:tc>
        <w:tc>
          <w:tcPr>
            <w:tcW w:w="540" w:type="dxa"/>
            <w:tcBorders>
              <w:top w:val="nil"/>
              <w:left w:val="nil"/>
              <w:bottom w:val="single" w:sz="4" w:space="0" w:color="auto"/>
              <w:right w:val="nil"/>
            </w:tcBorders>
            <w:shd w:val="clear" w:color="000000" w:fill="DAEEF3"/>
            <w:noWrap/>
            <w:vAlign w:val="center"/>
          </w:tcPr>
          <w:p w:rsidR="006E1A12" w:rsidRDefault="00270930">
            <w:pPr>
              <w:widowControl/>
              <w:jc w:val="center"/>
              <w:rPr>
                <w:kern w:val="0"/>
                <w:sz w:val="16"/>
                <w:szCs w:val="16"/>
              </w:rPr>
            </w:pPr>
            <w:r>
              <w:rPr>
                <w:kern w:val="0"/>
                <w:sz w:val="16"/>
                <w:szCs w:val="16"/>
              </w:rPr>
              <w:t>165</w:t>
            </w:r>
          </w:p>
        </w:tc>
        <w:tc>
          <w:tcPr>
            <w:tcW w:w="627" w:type="dxa"/>
            <w:tcBorders>
              <w:top w:val="nil"/>
              <w:left w:val="nil"/>
              <w:bottom w:val="single" w:sz="4" w:space="0" w:color="auto"/>
              <w:right w:val="single" w:sz="8" w:space="0" w:color="auto"/>
            </w:tcBorders>
            <w:shd w:val="clear" w:color="000000" w:fill="DAEEF3"/>
            <w:noWrap/>
            <w:vAlign w:val="center"/>
          </w:tcPr>
          <w:p w:rsidR="006E1A12" w:rsidRDefault="00270930">
            <w:pPr>
              <w:widowControl/>
              <w:jc w:val="center"/>
              <w:rPr>
                <w:kern w:val="0"/>
                <w:sz w:val="16"/>
                <w:szCs w:val="16"/>
              </w:rPr>
            </w:pPr>
            <w:r>
              <w:rPr>
                <w:kern w:val="0"/>
                <w:sz w:val="16"/>
                <w:szCs w:val="16"/>
              </w:rPr>
              <w:t>120</w:t>
            </w:r>
          </w:p>
        </w:tc>
      </w:tr>
    </w:tbl>
    <w:p w:rsidR="006E1A12" w:rsidRDefault="00270930">
      <w:pPr>
        <w:pStyle w:val="HTML"/>
        <w:shd w:val="clear" w:color="auto" w:fill="FFFFFF"/>
        <w:jc w:val="both"/>
        <w:rPr>
          <w:rFonts w:ascii="Times New Roman" w:eastAsia="新細明體" w:hAnsi="Times New Roman" w:cs="Times New Roman"/>
          <w:i/>
          <w:sz w:val="24"/>
          <w:szCs w:val="24"/>
          <w:shd w:val="clear" w:color="auto" w:fill="FFFFFF"/>
        </w:rPr>
      </w:pPr>
      <w:r>
        <w:rPr>
          <w:rFonts w:ascii="Times New Roman" w:eastAsia="新細明體" w:hAnsi="Times New Roman" w:cs="Times New Roman" w:hint="eastAsia"/>
          <w:i/>
          <w:sz w:val="24"/>
          <w:szCs w:val="24"/>
          <w:shd w:val="clear" w:color="auto" w:fill="FFFFFF"/>
        </w:rPr>
        <w:t>Table 3</w:t>
      </w:r>
    </w:p>
    <w:p w:rsidR="001137C7" w:rsidRDefault="001137C7" w:rsidP="001137C7">
      <w:pPr>
        <w:pStyle w:val="HTML"/>
        <w:shd w:val="clear" w:color="auto" w:fill="FFFFFF"/>
        <w:spacing w:line="360" w:lineRule="auto"/>
        <w:jc w:val="both"/>
        <w:rPr>
          <w:rFonts w:ascii="Times New Roman" w:eastAsia="新細明體" w:hAnsi="Times New Roman" w:cs="Times New Roman" w:hint="eastAsia"/>
          <w:sz w:val="24"/>
          <w:szCs w:val="24"/>
          <w:shd w:val="clear" w:color="auto" w:fill="FFFFFF"/>
        </w:rPr>
      </w:pPr>
    </w:p>
    <w:p w:rsidR="001137C7" w:rsidRPr="001137C7" w:rsidRDefault="001137C7" w:rsidP="001137C7">
      <w:pPr>
        <w:pStyle w:val="HTML"/>
        <w:shd w:val="clear" w:color="auto" w:fill="FFFFFF"/>
        <w:spacing w:line="360" w:lineRule="auto"/>
        <w:jc w:val="both"/>
        <w:rPr>
          <w:rFonts w:ascii="Times New Roman" w:eastAsia="新細明體" w:hAnsi="Times New Roman" w:cs="Times New Roman" w:hint="eastAsia"/>
          <w:sz w:val="24"/>
          <w:szCs w:val="24"/>
          <w:shd w:val="clear" w:color="auto" w:fill="FFFFFF"/>
        </w:rPr>
      </w:pPr>
      <w:r>
        <w:rPr>
          <w:rFonts w:ascii="Times New Roman" w:hAnsi="Times New Roman" w:cs="Times New Roman"/>
          <w:sz w:val="24"/>
          <w:szCs w:val="24"/>
          <w:shd w:val="clear" w:color="auto" w:fill="FFFFFF"/>
        </w:rPr>
        <w:t>It enables cinema to charge the maximum price that a particular group can afford to pay within a particular. It also enables them to be in a capacity to extract the consumer surplus. Surplus arises when consumers can pay more than the prevailing single market price. In such a scenario, one customer may pay half the market price while the other will compensate this by paying double the market value</w:t>
      </w:r>
      <w:r>
        <w:rPr>
          <w:rFonts w:ascii="Times New Roman" w:eastAsia="新細明體" w:hAnsi="Times New Roman" w:cs="Times New Roman" w:hint="eastAsia"/>
          <w:sz w:val="24"/>
          <w:szCs w:val="24"/>
          <w:shd w:val="clear" w:color="auto" w:fill="FFFFFF"/>
        </w:rPr>
        <w:t>.</w:t>
      </w:r>
    </w:p>
    <w:p w:rsidR="006E1A12" w:rsidRDefault="006E1A12">
      <w:pPr>
        <w:pStyle w:val="HTML"/>
        <w:shd w:val="clear" w:color="auto" w:fill="FFFFFF"/>
        <w:jc w:val="both"/>
        <w:rPr>
          <w:rFonts w:ascii="Times New Roman" w:eastAsia="新細明體" w:hAnsi="Times New Roman" w:cs="Times New Roman"/>
          <w:sz w:val="24"/>
          <w:szCs w:val="24"/>
          <w:shd w:val="clear" w:color="auto" w:fill="FFFFFF"/>
        </w:rPr>
      </w:pPr>
    </w:p>
    <w:p w:rsidR="006E1A12" w:rsidRDefault="00270930" w:rsidP="001137C7">
      <w:pPr>
        <w:pStyle w:val="HTML"/>
        <w:shd w:val="clear" w:color="auto" w:fill="FFFFFF"/>
        <w:spacing w:line="360" w:lineRule="auto"/>
        <w:jc w:val="both"/>
        <w:rPr>
          <w:rFonts w:ascii="Times New Roman" w:eastAsia="新細明體" w:hAnsi="Times New Roman" w:cs="Times New Roman"/>
          <w:sz w:val="24"/>
          <w:szCs w:val="24"/>
          <w:shd w:val="clear" w:color="auto" w:fill="FFFFFF"/>
        </w:rPr>
      </w:pPr>
      <w:r>
        <w:rPr>
          <w:rFonts w:ascii="Times New Roman" w:eastAsia="新細明體" w:hAnsi="Times New Roman" w:cs="Times New Roman"/>
          <w:sz w:val="24"/>
          <w:szCs w:val="24"/>
          <w:shd w:val="clear" w:color="auto" w:fill="FFFFFF"/>
        </w:rPr>
        <w:t>Refer to Table 3, i</w:t>
      </w:r>
      <w:r>
        <w:rPr>
          <w:rFonts w:ascii="Times New Roman" w:eastAsia="新細明體" w:hAnsi="Times New Roman" w:cs="Times New Roman"/>
          <w:sz w:val="24"/>
          <w:szCs w:val="24"/>
          <w:shd w:val="clear" w:color="auto" w:fill="FFFFFF"/>
        </w:rPr>
        <w:t xml:space="preserve">t can be proven that Golden Harvest like other cinemas, it </w:t>
      </w:r>
      <w:r>
        <w:rPr>
          <w:rFonts w:ascii="Times New Roman" w:hAnsi="Times New Roman" w:cs="Times New Roman"/>
          <w:sz w:val="24"/>
          <w:szCs w:val="24"/>
          <w:shd w:val="clear" w:color="auto" w:fill="FFFFFF"/>
        </w:rPr>
        <w:t>ha</w:t>
      </w:r>
      <w:r>
        <w:rPr>
          <w:rFonts w:ascii="Times New Roman" w:eastAsia="新細明體"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different charges</w:t>
      </w:r>
      <w:r>
        <w:rPr>
          <w:rFonts w:ascii="Times New Roman" w:eastAsia="新細明體" w:hAnsi="Times New Roman" w:cs="Times New Roman"/>
          <w:sz w:val="24"/>
          <w:szCs w:val="24"/>
          <w:shd w:val="clear" w:color="auto" w:fill="FFFFFF"/>
        </w:rPr>
        <w:t xml:space="preserve"> of ticket price</w:t>
      </w:r>
      <w:r>
        <w:rPr>
          <w:rFonts w:ascii="Times New Roman" w:hAnsi="Times New Roman" w:cs="Times New Roman"/>
          <w:sz w:val="24"/>
          <w:szCs w:val="24"/>
          <w:shd w:val="clear" w:color="auto" w:fill="FFFFFF"/>
        </w:rPr>
        <w:t xml:space="preserve"> for children, adults and </w:t>
      </w:r>
      <w:r>
        <w:rPr>
          <w:rFonts w:ascii="Times New Roman" w:eastAsia="新細明體" w:hAnsi="Times New Roman" w:cs="Times New Roman"/>
          <w:sz w:val="24"/>
          <w:szCs w:val="24"/>
          <w:shd w:val="clear" w:color="auto" w:fill="FFFFFF"/>
        </w:rPr>
        <w:t>seniors</w:t>
      </w:r>
      <w:r>
        <w:rPr>
          <w:rFonts w:ascii="Times New Roman" w:hAnsi="Times New Roman" w:cs="Times New Roman"/>
          <w:sz w:val="24"/>
          <w:szCs w:val="24"/>
          <w:shd w:val="clear" w:color="auto" w:fill="FFFFFF"/>
        </w:rPr>
        <w:t>.</w:t>
      </w:r>
      <w:r>
        <w:rPr>
          <w:rFonts w:ascii="Times New Roman" w:eastAsia="新細明體" w:hAnsi="Times New Roman" w:cs="Times New Roman"/>
          <w:sz w:val="24"/>
          <w:szCs w:val="24"/>
          <w:shd w:val="clear" w:color="auto" w:fill="FFFFFF"/>
        </w:rPr>
        <w:t xml:space="preserve"> Different ticket prices not only apply to age but also are differentiated by day, time and location.</w:t>
      </w:r>
      <w:r>
        <w:rPr>
          <w:rFonts w:ascii="Times New Roman" w:hAnsi="Times New Roman" w:cs="Times New Roman"/>
          <w:sz w:val="24"/>
          <w:szCs w:val="24"/>
          <w:shd w:val="clear" w:color="auto" w:fill="FFFFFF"/>
        </w:rPr>
        <w:t xml:space="preserve"> </w:t>
      </w:r>
      <w:r>
        <w:rPr>
          <w:rFonts w:ascii="Times New Roman" w:eastAsia="新細明體" w:hAnsi="Times New Roman" w:cs="Times New Roman"/>
          <w:sz w:val="24"/>
          <w:szCs w:val="24"/>
          <w:shd w:val="clear" w:color="auto" w:fill="FFFFFF"/>
        </w:rPr>
        <w:t>Let’s use 2D movie in af</w:t>
      </w:r>
      <w:r>
        <w:rPr>
          <w:rFonts w:ascii="Times New Roman" w:eastAsia="新細明體" w:hAnsi="Times New Roman" w:cs="Times New Roman"/>
          <w:sz w:val="24"/>
          <w:szCs w:val="24"/>
          <w:shd w:val="clear" w:color="auto" w:fill="FFFFFF"/>
        </w:rPr>
        <w:t xml:space="preserve">ternoon (PM) as an example, obviously the ticket price of The Sky and Grand Ocean are higher than others. Followed by </w:t>
      </w:r>
      <w:proofErr w:type="spellStart"/>
      <w:r>
        <w:rPr>
          <w:rFonts w:ascii="Times New Roman" w:eastAsia="新細明體" w:hAnsi="Times New Roman" w:cs="Times New Roman"/>
          <w:sz w:val="24"/>
          <w:szCs w:val="24"/>
          <w:shd w:val="clear" w:color="auto" w:fill="FFFFFF"/>
        </w:rPr>
        <w:t>Citywalk</w:t>
      </w:r>
      <w:proofErr w:type="spellEnd"/>
      <w:r>
        <w:rPr>
          <w:rFonts w:ascii="Times New Roman" w:eastAsia="新細明體" w:hAnsi="Times New Roman" w:cs="Times New Roman"/>
          <w:sz w:val="24"/>
          <w:szCs w:val="24"/>
          <w:shd w:val="clear" w:color="auto" w:fill="FFFFFF"/>
        </w:rPr>
        <w:t xml:space="preserve"> and Whampoa, and the cheapest is </w:t>
      </w:r>
      <w:proofErr w:type="spellStart"/>
      <w:r>
        <w:rPr>
          <w:rFonts w:ascii="Times New Roman" w:eastAsia="新細明體" w:hAnsi="Times New Roman" w:cs="Times New Roman"/>
          <w:sz w:val="24"/>
          <w:szCs w:val="24"/>
          <w:shd w:val="clear" w:color="auto" w:fill="FFFFFF"/>
        </w:rPr>
        <w:t>Fanling</w:t>
      </w:r>
      <w:proofErr w:type="spellEnd"/>
      <w:r>
        <w:rPr>
          <w:rFonts w:ascii="Times New Roman" w:eastAsia="新細明體" w:hAnsi="Times New Roman" w:cs="Times New Roman"/>
          <w:sz w:val="24"/>
          <w:szCs w:val="24"/>
          <w:shd w:val="clear" w:color="auto" w:fill="FFFFFF"/>
        </w:rPr>
        <w:t xml:space="preserve"> due to its locat</w:t>
      </w:r>
      <w:r w:rsidR="001137C7">
        <w:rPr>
          <w:rFonts w:ascii="Times New Roman" w:eastAsia="新細明體" w:hAnsi="Times New Roman" w:cs="Times New Roman"/>
          <w:sz w:val="24"/>
          <w:szCs w:val="24"/>
          <w:shd w:val="clear" w:color="auto" w:fill="FFFFFF"/>
        </w:rPr>
        <w:t>ion is relatively inconvenient.</w:t>
      </w:r>
      <w:r w:rsidR="001137C7">
        <w:rPr>
          <w:rFonts w:ascii="Times New Roman" w:eastAsia="新細明體" w:hAnsi="Times New Roman" w:cs="Times New Roman" w:hint="eastAsia"/>
          <w:sz w:val="24"/>
          <w:szCs w:val="24"/>
          <w:shd w:val="clear" w:color="auto" w:fill="FFFFFF"/>
        </w:rPr>
        <w:t xml:space="preserve"> In general, </w:t>
      </w:r>
      <w:r w:rsidR="001137C7">
        <w:rPr>
          <w:rFonts w:ascii="Times New Roman" w:eastAsia="新細明體" w:hAnsi="Times New Roman" w:cs="Times New Roman"/>
          <w:sz w:val="24"/>
          <w:szCs w:val="24"/>
          <w:shd w:val="clear" w:color="auto" w:fill="FFFFFF"/>
        </w:rPr>
        <w:t>the consumption power of Kowloon people is higher than New Territories</w:t>
      </w:r>
      <w:r w:rsidR="001137C7">
        <w:rPr>
          <w:rFonts w:ascii="Times New Roman" w:eastAsia="新細明體" w:hAnsi="Times New Roman" w:cs="Times New Roman" w:hint="eastAsia"/>
          <w:sz w:val="24"/>
          <w:szCs w:val="24"/>
          <w:shd w:val="clear" w:color="auto" w:fill="FFFFFF"/>
        </w:rPr>
        <w:t xml:space="preserve">. Moreover, the rent of cinema in New Territories is relatively cheaper than Hong Kong Island and Kowloon. </w:t>
      </w:r>
      <w:r w:rsidR="001137C7">
        <w:rPr>
          <w:rFonts w:ascii="Times New Roman" w:eastAsia="新細明體" w:hAnsi="Times New Roman" w:cs="Times New Roman"/>
          <w:sz w:val="24"/>
          <w:szCs w:val="24"/>
          <w:shd w:val="clear" w:color="auto" w:fill="FFFFFF"/>
        </w:rPr>
        <w:t>S</w:t>
      </w:r>
      <w:r w:rsidR="001137C7">
        <w:rPr>
          <w:rFonts w:ascii="Times New Roman" w:eastAsia="新細明體" w:hAnsi="Times New Roman" w:cs="Times New Roman" w:hint="eastAsia"/>
          <w:sz w:val="24"/>
          <w:szCs w:val="24"/>
          <w:shd w:val="clear" w:color="auto" w:fill="FFFFFF"/>
        </w:rPr>
        <w:t>o therefore, the cinema operator will decide the ticket price in consideration of the flow of people.</w:t>
      </w:r>
    </w:p>
    <w:p w:rsidR="006E1A12" w:rsidRDefault="006E1A12">
      <w:pPr>
        <w:adjustRightInd w:val="0"/>
        <w:snapToGrid w:val="0"/>
        <w:spacing w:line="360" w:lineRule="auto"/>
        <w:jc w:val="both"/>
        <w:rPr>
          <w:bCs/>
          <w:szCs w:val="24"/>
        </w:rPr>
      </w:pPr>
    </w:p>
    <w:p w:rsidR="006E1A12" w:rsidRPr="00600D3A" w:rsidRDefault="00270930" w:rsidP="001137C7">
      <w:pPr>
        <w:adjustRightInd w:val="0"/>
        <w:snapToGrid w:val="0"/>
        <w:spacing w:line="360" w:lineRule="auto"/>
        <w:jc w:val="both"/>
        <w:rPr>
          <w:b/>
          <w:bCs/>
          <w:szCs w:val="24"/>
        </w:rPr>
      </w:pPr>
      <w:r w:rsidRPr="00600D3A">
        <w:rPr>
          <w:b/>
          <w:bCs/>
          <w:szCs w:val="24"/>
        </w:rPr>
        <w:t xml:space="preserve">3.1.2 </w:t>
      </w:r>
      <w:r w:rsidRPr="00600D3A">
        <w:rPr>
          <w:rFonts w:hint="eastAsia"/>
          <w:b/>
          <w:bCs/>
          <w:szCs w:val="24"/>
        </w:rPr>
        <w:t xml:space="preserve">Why Golden Harvest charges different prices for its customers from the perspective of price discrimination? </w:t>
      </w:r>
    </w:p>
    <w:p w:rsidR="006E1A12" w:rsidRDefault="006E1A12" w:rsidP="001137C7">
      <w:pPr>
        <w:adjustRightInd w:val="0"/>
        <w:snapToGrid w:val="0"/>
        <w:spacing w:line="360" w:lineRule="auto"/>
        <w:jc w:val="both"/>
        <w:rPr>
          <w:bCs/>
          <w:szCs w:val="24"/>
        </w:rPr>
      </w:pPr>
    </w:p>
    <w:p w:rsidR="006E1A12" w:rsidRDefault="00270930" w:rsidP="001137C7">
      <w:pPr>
        <w:adjustRightInd w:val="0"/>
        <w:snapToGrid w:val="0"/>
        <w:spacing w:line="360" w:lineRule="auto"/>
        <w:jc w:val="both"/>
        <w:rPr>
          <w:rFonts w:eastAsia="新細明體" w:hint="eastAsia"/>
          <w:bCs/>
          <w:szCs w:val="24"/>
        </w:rPr>
      </w:pPr>
      <w:r>
        <w:rPr>
          <w:rFonts w:hint="eastAsia"/>
          <w:bCs/>
          <w:szCs w:val="24"/>
        </w:rPr>
        <w:t>Different customer has their maximum consumption power that he or she is willing to pay for the product or service. If the company charges all customers a same rate for its product or service, the company may be missing out on significant profit. A good pr</w:t>
      </w:r>
      <w:r>
        <w:rPr>
          <w:rFonts w:hint="eastAsia"/>
          <w:bCs/>
          <w:szCs w:val="24"/>
        </w:rPr>
        <w:t xml:space="preserve">icing strategy allows the company to better match prices with different types of customers and will give them higher overall profits. </w:t>
      </w:r>
    </w:p>
    <w:p w:rsidR="001137C7" w:rsidRPr="001137C7" w:rsidRDefault="001137C7" w:rsidP="001137C7">
      <w:pPr>
        <w:adjustRightInd w:val="0"/>
        <w:snapToGrid w:val="0"/>
        <w:spacing w:line="360" w:lineRule="auto"/>
        <w:jc w:val="both"/>
        <w:rPr>
          <w:rFonts w:eastAsia="新細明體" w:hint="eastAsia"/>
          <w:bCs/>
          <w:szCs w:val="24"/>
        </w:rPr>
      </w:pPr>
    </w:p>
    <w:p w:rsidR="001137C7" w:rsidRDefault="001137C7" w:rsidP="001137C7">
      <w:pPr>
        <w:adjustRightInd w:val="0"/>
        <w:snapToGrid w:val="0"/>
        <w:spacing w:line="360" w:lineRule="auto"/>
        <w:jc w:val="both"/>
        <w:rPr>
          <w:bCs/>
          <w:szCs w:val="24"/>
        </w:rPr>
      </w:pPr>
      <w:r>
        <w:rPr>
          <w:rFonts w:hint="eastAsia"/>
          <w:bCs/>
          <w:szCs w:val="24"/>
        </w:rPr>
        <w:t>According to the site observation took place on a Sunday in The Sky</w:t>
      </w:r>
      <w:r>
        <w:rPr>
          <w:rFonts w:eastAsia="新細明體" w:hint="eastAsia"/>
          <w:bCs/>
          <w:szCs w:val="24"/>
        </w:rPr>
        <w:t xml:space="preserve"> located in Olympian City</w:t>
      </w:r>
      <w:r>
        <w:rPr>
          <w:rFonts w:hint="eastAsia"/>
          <w:bCs/>
          <w:szCs w:val="24"/>
        </w:rPr>
        <w:t>, the flagship cinema of Golden Harvest. We found that adult, the group who ha</w:t>
      </w:r>
      <w:r>
        <w:rPr>
          <w:rFonts w:hint="eastAsia"/>
          <w:bCs/>
          <w:szCs w:val="24"/>
        </w:rPr>
        <w:t>s the highest consumption power</w:t>
      </w:r>
      <w:r>
        <w:rPr>
          <w:rFonts w:hint="eastAsia"/>
          <w:bCs/>
          <w:szCs w:val="24"/>
        </w:rPr>
        <w:t xml:space="preserve"> </w:t>
      </w:r>
      <w:r>
        <w:rPr>
          <w:bCs/>
          <w:szCs w:val="24"/>
        </w:rPr>
        <w:t>accounted</w:t>
      </w:r>
      <w:r>
        <w:rPr>
          <w:rFonts w:hint="eastAsia"/>
          <w:bCs/>
          <w:szCs w:val="24"/>
        </w:rPr>
        <w:t xml:space="preserve"> for up to 78%. </w:t>
      </w:r>
      <w:r>
        <w:rPr>
          <w:rFonts w:eastAsia="新細明體" w:hint="eastAsia"/>
          <w:bCs/>
          <w:szCs w:val="24"/>
        </w:rPr>
        <w:t>Followed by c</w:t>
      </w:r>
      <w:r>
        <w:rPr>
          <w:rFonts w:hint="eastAsia"/>
          <w:bCs/>
          <w:szCs w:val="24"/>
        </w:rPr>
        <w:t xml:space="preserve">hildren who are age 11 or below, accounted for 19% and Senior </w:t>
      </w:r>
      <w:r>
        <w:rPr>
          <w:rFonts w:eastAsia="新細明體" w:hint="eastAsia"/>
          <w:bCs/>
          <w:szCs w:val="24"/>
        </w:rPr>
        <w:t xml:space="preserve">who over age 59 </w:t>
      </w:r>
      <w:r>
        <w:rPr>
          <w:rFonts w:hint="eastAsia"/>
          <w:bCs/>
          <w:szCs w:val="24"/>
        </w:rPr>
        <w:t>only 3%.</w:t>
      </w:r>
    </w:p>
    <w:p w:rsidR="001137C7" w:rsidRDefault="001137C7" w:rsidP="001137C7">
      <w:pPr>
        <w:adjustRightInd w:val="0"/>
        <w:snapToGrid w:val="0"/>
        <w:spacing w:line="360" w:lineRule="auto"/>
        <w:jc w:val="both"/>
        <w:rPr>
          <w:bCs/>
          <w:szCs w:val="24"/>
        </w:rPr>
      </w:pPr>
    </w:p>
    <w:tbl>
      <w:tblPr>
        <w:tblW w:w="5661" w:type="dxa"/>
        <w:tblInd w:w="13" w:type="dxa"/>
        <w:tblLayout w:type="fixed"/>
        <w:tblCellMar>
          <w:left w:w="28" w:type="dxa"/>
          <w:right w:w="28" w:type="dxa"/>
        </w:tblCellMar>
        <w:tblLook w:val="04A0" w:firstRow="1" w:lastRow="0" w:firstColumn="1" w:lastColumn="0" w:noHBand="0" w:noVBand="1"/>
      </w:tblPr>
      <w:tblGrid>
        <w:gridCol w:w="1136"/>
        <w:gridCol w:w="890"/>
        <w:gridCol w:w="1342"/>
        <w:gridCol w:w="1013"/>
        <w:gridCol w:w="1280"/>
      </w:tblGrid>
      <w:tr w:rsidR="001137C7" w:rsidTr="00F60009">
        <w:trPr>
          <w:trHeight w:val="330"/>
        </w:trPr>
        <w:tc>
          <w:tcPr>
            <w:tcW w:w="5661" w:type="dxa"/>
            <w:gridSpan w:val="5"/>
            <w:tcBorders>
              <w:top w:val="single" w:sz="4" w:space="0" w:color="auto"/>
              <w:left w:val="single" w:sz="4" w:space="0" w:color="auto"/>
              <w:bottom w:val="single" w:sz="4" w:space="0" w:color="auto"/>
              <w:right w:val="single" w:sz="4" w:space="0" w:color="auto"/>
            </w:tcBorders>
            <w:shd w:val="clear" w:color="000000" w:fill="8DB4E2"/>
            <w:noWrap/>
            <w:vAlign w:val="center"/>
          </w:tcPr>
          <w:p w:rsidR="001137C7" w:rsidRDefault="001137C7" w:rsidP="00F60009">
            <w:pPr>
              <w:widowControl/>
              <w:jc w:val="center"/>
              <w:rPr>
                <w:rFonts w:ascii="新細明體" w:hAnsi="新細明體"/>
                <w:b/>
                <w:bCs/>
                <w:kern w:val="0"/>
                <w:szCs w:val="24"/>
              </w:rPr>
            </w:pPr>
            <w:r>
              <w:rPr>
                <w:rFonts w:ascii="新細明體" w:hAnsi="新細明體" w:hint="eastAsia"/>
                <w:b/>
                <w:bCs/>
                <w:kern w:val="0"/>
                <w:szCs w:val="24"/>
              </w:rPr>
              <w:t>Site Observation</w:t>
            </w:r>
          </w:p>
        </w:tc>
      </w:tr>
      <w:tr w:rsidR="001137C7" w:rsidTr="00F60009">
        <w:trPr>
          <w:trHeight w:val="330"/>
        </w:trPr>
        <w:tc>
          <w:tcPr>
            <w:tcW w:w="5661" w:type="dxa"/>
            <w:gridSpan w:val="5"/>
            <w:tcBorders>
              <w:top w:val="single" w:sz="4" w:space="0" w:color="auto"/>
              <w:left w:val="single" w:sz="4" w:space="0" w:color="auto"/>
              <w:bottom w:val="single" w:sz="4" w:space="0" w:color="auto"/>
              <w:right w:val="single" w:sz="4" w:space="0" w:color="auto"/>
            </w:tcBorders>
            <w:shd w:val="clear" w:color="auto" w:fill="auto"/>
            <w:noWrap/>
            <w:vAlign w:val="center"/>
          </w:tcPr>
          <w:p w:rsidR="001137C7" w:rsidRDefault="001137C7" w:rsidP="00F60009">
            <w:pPr>
              <w:widowControl/>
              <w:jc w:val="center"/>
              <w:rPr>
                <w:rFonts w:ascii="新細明體" w:hAnsi="新細明體"/>
                <w:b/>
                <w:bCs/>
                <w:kern w:val="0"/>
                <w:szCs w:val="24"/>
              </w:rPr>
            </w:pPr>
            <w:r>
              <w:rPr>
                <w:rFonts w:ascii="新細明體" w:hAnsi="新細明體" w:hint="eastAsia"/>
                <w:b/>
                <w:bCs/>
                <w:kern w:val="0"/>
                <w:szCs w:val="24"/>
              </w:rPr>
              <w:t>Number of people purchasing ticket in The Sky</w:t>
            </w:r>
          </w:p>
        </w:tc>
      </w:tr>
      <w:tr w:rsidR="001137C7" w:rsidTr="00F60009">
        <w:trPr>
          <w:trHeight w:val="330"/>
        </w:trPr>
        <w:tc>
          <w:tcPr>
            <w:tcW w:w="1136" w:type="dxa"/>
            <w:tcBorders>
              <w:top w:val="nil"/>
              <w:left w:val="single" w:sz="4" w:space="0" w:color="auto"/>
              <w:bottom w:val="single" w:sz="4" w:space="0" w:color="auto"/>
              <w:right w:val="single" w:sz="4" w:space="0" w:color="auto"/>
            </w:tcBorders>
            <w:shd w:val="clear" w:color="auto" w:fill="auto"/>
            <w:noWrap/>
            <w:vAlign w:val="center"/>
          </w:tcPr>
          <w:p w:rsidR="001137C7" w:rsidRDefault="001137C7" w:rsidP="00F60009">
            <w:pPr>
              <w:widowControl/>
              <w:rPr>
                <w:rFonts w:ascii="新細明體" w:hAnsi="新細明體"/>
                <w:kern w:val="0"/>
                <w:szCs w:val="24"/>
              </w:rPr>
            </w:pPr>
            <w:r>
              <w:rPr>
                <w:rFonts w:ascii="新細明體" w:hAnsi="新細明體" w:hint="eastAsia"/>
                <w:kern w:val="0"/>
                <w:szCs w:val="24"/>
              </w:rPr>
              <w:t xml:space="preserve">　</w:t>
            </w:r>
          </w:p>
        </w:tc>
        <w:tc>
          <w:tcPr>
            <w:tcW w:w="890"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center"/>
              <w:rPr>
                <w:rFonts w:ascii="新細明體" w:hAnsi="新細明體"/>
                <w:kern w:val="0"/>
                <w:szCs w:val="24"/>
              </w:rPr>
            </w:pPr>
            <w:r>
              <w:rPr>
                <w:rFonts w:ascii="新細明體" w:hAnsi="新細明體" w:hint="eastAsia"/>
                <w:kern w:val="0"/>
                <w:szCs w:val="24"/>
              </w:rPr>
              <w:t>Adult</w:t>
            </w:r>
          </w:p>
        </w:tc>
        <w:tc>
          <w:tcPr>
            <w:tcW w:w="1342"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center"/>
              <w:rPr>
                <w:rFonts w:ascii="新細明體" w:hAnsi="新細明體"/>
                <w:kern w:val="0"/>
                <w:szCs w:val="24"/>
              </w:rPr>
            </w:pPr>
            <w:r>
              <w:rPr>
                <w:rFonts w:ascii="新細明體" w:hAnsi="新細明體" w:hint="eastAsia"/>
                <w:kern w:val="0"/>
                <w:szCs w:val="24"/>
              </w:rPr>
              <w:t>Children</w:t>
            </w:r>
          </w:p>
        </w:tc>
        <w:tc>
          <w:tcPr>
            <w:tcW w:w="1013"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center"/>
              <w:rPr>
                <w:rFonts w:ascii="新細明體" w:hAnsi="新細明體"/>
                <w:kern w:val="0"/>
                <w:szCs w:val="24"/>
              </w:rPr>
            </w:pPr>
            <w:r>
              <w:rPr>
                <w:rFonts w:ascii="新細明體" w:hAnsi="新細明體" w:hint="eastAsia"/>
                <w:kern w:val="0"/>
                <w:szCs w:val="24"/>
              </w:rPr>
              <w:t>Senior</w:t>
            </w:r>
          </w:p>
        </w:tc>
        <w:tc>
          <w:tcPr>
            <w:tcW w:w="1280"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right"/>
              <w:rPr>
                <w:rFonts w:ascii="新細明體" w:hAnsi="新細明體"/>
                <w:kern w:val="0"/>
                <w:szCs w:val="24"/>
              </w:rPr>
            </w:pPr>
            <w:r>
              <w:rPr>
                <w:rFonts w:ascii="新細明體" w:hAnsi="新細明體" w:hint="eastAsia"/>
                <w:kern w:val="0"/>
                <w:szCs w:val="24"/>
              </w:rPr>
              <w:t>Subtotal</w:t>
            </w:r>
          </w:p>
        </w:tc>
      </w:tr>
      <w:tr w:rsidR="001137C7" w:rsidTr="00F60009">
        <w:trPr>
          <w:trHeight w:val="330"/>
        </w:trPr>
        <w:tc>
          <w:tcPr>
            <w:tcW w:w="1136" w:type="dxa"/>
            <w:tcBorders>
              <w:top w:val="nil"/>
              <w:left w:val="single" w:sz="4" w:space="0" w:color="auto"/>
              <w:bottom w:val="single" w:sz="4" w:space="0" w:color="auto"/>
              <w:right w:val="single" w:sz="4" w:space="0" w:color="auto"/>
            </w:tcBorders>
            <w:shd w:val="clear" w:color="auto" w:fill="auto"/>
            <w:noWrap/>
            <w:vAlign w:val="center"/>
          </w:tcPr>
          <w:p w:rsidR="001137C7" w:rsidRDefault="001137C7" w:rsidP="00F60009">
            <w:pPr>
              <w:widowControl/>
              <w:rPr>
                <w:rFonts w:ascii="新細明體" w:hAnsi="新細明體"/>
                <w:kern w:val="0"/>
                <w:szCs w:val="24"/>
              </w:rPr>
            </w:pPr>
            <w:r>
              <w:rPr>
                <w:rFonts w:ascii="新細明體" w:hAnsi="新細明體" w:hint="eastAsia"/>
                <w:kern w:val="0"/>
                <w:szCs w:val="24"/>
              </w:rPr>
              <w:t>Female</w:t>
            </w:r>
          </w:p>
        </w:tc>
        <w:tc>
          <w:tcPr>
            <w:tcW w:w="890"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center"/>
              <w:rPr>
                <w:rFonts w:ascii="新細明體" w:hAnsi="新細明體"/>
                <w:kern w:val="0"/>
                <w:szCs w:val="24"/>
              </w:rPr>
            </w:pPr>
            <w:r>
              <w:rPr>
                <w:rFonts w:ascii="新細明體" w:hAnsi="新細明體" w:hint="eastAsia"/>
                <w:kern w:val="0"/>
                <w:szCs w:val="24"/>
              </w:rPr>
              <w:t>46</w:t>
            </w:r>
          </w:p>
        </w:tc>
        <w:tc>
          <w:tcPr>
            <w:tcW w:w="1342"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center"/>
              <w:rPr>
                <w:rFonts w:ascii="新細明體" w:hAnsi="新細明體"/>
                <w:kern w:val="0"/>
                <w:szCs w:val="24"/>
              </w:rPr>
            </w:pPr>
            <w:r>
              <w:rPr>
                <w:rFonts w:ascii="新細明體" w:hAnsi="新細明體" w:hint="eastAsia"/>
                <w:kern w:val="0"/>
                <w:szCs w:val="24"/>
              </w:rPr>
              <w:t>11</w:t>
            </w:r>
          </w:p>
        </w:tc>
        <w:tc>
          <w:tcPr>
            <w:tcW w:w="1013"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center"/>
              <w:rPr>
                <w:rFonts w:ascii="新細明體" w:hAnsi="新細明體"/>
                <w:kern w:val="0"/>
                <w:szCs w:val="24"/>
              </w:rPr>
            </w:pPr>
            <w:r>
              <w:rPr>
                <w:rFonts w:ascii="新細明體" w:hAnsi="新細明體" w:hint="eastAsia"/>
                <w:kern w:val="0"/>
                <w:szCs w:val="24"/>
              </w:rPr>
              <w:t>2</w:t>
            </w:r>
          </w:p>
        </w:tc>
        <w:tc>
          <w:tcPr>
            <w:tcW w:w="1280"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right"/>
              <w:rPr>
                <w:rFonts w:ascii="新細明體" w:hAnsi="新細明體"/>
                <w:kern w:val="0"/>
                <w:szCs w:val="24"/>
              </w:rPr>
            </w:pPr>
            <w:r>
              <w:rPr>
                <w:rFonts w:ascii="新細明體" w:hAnsi="新細明體" w:hint="eastAsia"/>
                <w:kern w:val="0"/>
                <w:szCs w:val="24"/>
              </w:rPr>
              <w:t>59</w:t>
            </w:r>
          </w:p>
        </w:tc>
      </w:tr>
      <w:tr w:rsidR="001137C7" w:rsidTr="00F60009">
        <w:trPr>
          <w:trHeight w:val="330"/>
        </w:trPr>
        <w:tc>
          <w:tcPr>
            <w:tcW w:w="1136" w:type="dxa"/>
            <w:tcBorders>
              <w:top w:val="nil"/>
              <w:left w:val="single" w:sz="4" w:space="0" w:color="auto"/>
              <w:bottom w:val="single" w:sz="4" w:space="0" w:color="auto"/>
              <w:right w:val="single" w:sz="4" w:space="0" w:color="auto"/>
            </w:tcBorders>
            <w:shd w:val="clear" w:color="auto" w:fill="auto"/>
            <w:noWrap/>
            <w:vAlign w:val="center"/>
          </w:tcPr>
          <w:p w:rsidR="001137C7" w:rsidRDefault="001137C7" w:rsidP="00F60009">
            <w:pPr>
              <w:widowControl/>
              <w:rPr>
                <w:rFonts w:ascii="新細明體" w:hAnsi="新細明體"/>
                <w:kern w:val="0"/>
                <w:szCs w:val="24"/>
              </w:rPr>
            </w:pPr>
            <w:r>
              <w:rPr>
                <w:rFonts w:ascii="新細明體" w:hAnsi="新細明體" w:hint="eastAsia"/>
                <w:kern w:val="0"/>
                <w:szCs w:val="24"/>
              </w:rPr>
              <w:t>Male</w:t>
            </w:r>
          </w:p>
        </w:tc>
        <w:tc>
          <w:tcPr>
            <w:tcW w:w="890"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center"/>
              <w:rPr>
                <w:rFonts w:ascii="新細明體" w:hAnsi="新細明體"/>
                <w:kern w:val="0"/>
                <w:szCs w:val="24"/>
              </w:rPr>
            </w:pPr>
            <w:r>
              <w:rPr>
                <w:rFonts w:ascii="新細明體" w:hAnsi="新細明體" w:hint="eastAsia"/>
                <w:kern w:val="0"/>
                <w:szCs w:val="24"/>
              </w:rPr>
              <w:t>54</w:t>
            </w:r>
          </w:p>
        </w:tc>
        <w:tc>
          <w:tcPr>
            <w:tcW w:w="1342"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center"/>
              <w:rPr>
                <w:rFonts w:ascii="新細明體" w:hAnsi="新細明體"/>
                <w:kern w:val="0"/>
                <w:szCs w:val="24"/>
              </w:rPr>
            </w:pPr>
            <w:r>
              <w:rPr>
                <w:rFonts w:ascii="新細明體" w:hAnsi="新細明體" w:hint="eastAsia"/>
                <w:kern w:val="0"/>
                <w:szCs w:val="24"/>
              </w:rPr>
              <w:t>4</w:t>
            </w:r>
          </w:p>
        </w:tc>
        <w:tc>
          <w:tcPr>
            <w:tcW w:w="1013"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center"/>
              <w:rPr>
                <w:rFonts w:ascii="新細明體" w:hAnsi="新細明體"/>
                <w:kern w:val="0"/>
                <w:szCs w:val="24"/>
              </w:rPr>
            </w:pPr>
            <w:r>
              <w:rPr>
                <w:rFonts w:ascii="新細明體" w:hAnsi="新細明體" w:hint="eastAsia"/>
                <w:kern w:val="0"/>
                <w:szCs w:val="24"/>
              </w:rPr>
              <w:t>4</w:t>
            </w:r>
          </w:p>
        </w:tc>
        <w:tc>
          <w:tcPr>
            <w:tcW w:w="1280" w:type="dxa"/>
            <w:tcBorders>
              <w:top w:val="nil"/>
              <w:left w:val="nil"/>
              <w:bottom w:val="single" w:sz="4" w:space="0" w:color="auto"/>
              <w:right w:val="single" w:sz="4" w:space="0" w:color="auto"/>
            </w:tcBorders>
            <w:shd w:val="clear" w:color="auto" w:fill="auto"/>
            <w:noWrap/>
            <w:vAlign w:val="center"/>
          </w:tcPr>
          <w:p w:rsidR="001137C7" w:rsidRDefault="001137C7" w:rsidP="00F60009">
            <w:pPr>
              <w:widowControl/>
              <w:jc w:val="right"/>
              <w:rPr>
                <w:rFonts w:ascii="新細明體" w:hAnsi="新細明體"/>
                <w:kern w:val="0"/>
                <w:szCs w:val="24"/>
              </w:rPr>
            </w:pPr>
            <w:r>
              <w:rPr>
                <w:rFonts w:ascii="新細明體" w:hAnsi="新細明體" w:hint="eastAsia"/>
                <w:kern w:val="0"/>
                <w:szCs w:val="24"/>
              </w:rPr>
              <w:t>62</w:t>
            </w:r>
          </w:p>
        </w:tc>
      </w:tr>
      <w:tr w:rsidR="001137C7" w:rsidTr="00F60009">
        <w:trPr>
          <w:trHeight w:val="345"/>
        </w:trPr>
        <w:tc>
          <w:tcPr>
            <w:tcW w:w="1136" w:type="dxa"/>
            <w:tcBorders>
              <w:top w:val="nil"/>
              <w:left w:val="nil"/>
              <w:bottom w:val="nil"/>
              <w:right w:val="nil"/>
            </w:tcBorders>
            <w:shd w:val="clear" w:color="auto" w:fill="auto"/>
            <w:noWrap/>
            <w:vAlign w:val="center"/>
          </w:tcPr>
          <w:p w:rsidR="001137C7" w:rsidRDefault="001137C7" w:rsidP="00F60009">
            <w:pPr>
              <w:widowControl/>
              <w:rPr>
                <w:rFonts w:ascii="新細明體" w:hAnsi="新細明體"/>
                <w:kern w:val="0"/>
                <w:szCs w:val="24"/>
              </w:rPr>
            </w:pPr>
          </w:p>
        </w:tc>
        <w:tc>
          <w:tcPr>
            <w:tcW w:w="890" w:type="dxa"/>
            <w:tcBorders>
              <w:top w:val="nil"/>
              <w:left w:val="nil"/>
              <w:bottom w:val="nil"/>
              <w:right w:val="nil"/>
            </w:tcBorders>
            <w:shd w:val="clear" w:color="auto" w:fill="auto"/>
            <w:noWrap/>
            <w:vAlign w:val="center"/>
          </w:tcPr>
          <w:p w:rsidR="001137C7" w:rsidRDefault="001137C7" w:rsidP="00F60009">
            <w:pPr>
              <w:widowControl/>
              <w:jc w:val="center"/>
              <w:rPr>
                <w:rFonts w:ascii="新細明體" w:hAnsi="新細明體"/>
                <w:kern w:val="0"/>
                <w:szCs w:val="24"/>
              </w:rPr>
            </w:pPr>
          </w:p>
        </w:tc>
        <w:tc>
          <w:tcPr>
            <w:tcW w:w="2355" w:type="dxa"/>
            <w:gridSpan w:val="2"/>
            <w:tcBorders>
              <w:top w:val="single" w:sz="4" w:space="0" w:color="auto"/>
              <w:left w:val="nil"/>
              <w:bottom w:val="double" w:sz="6" w:space="0" w:color="auto"/>
              <w:right w:val="nil"/>
            </w:tcBorders>
            <w:shd w:val="clear" w:color="auto" w:fill="auto"/>
            <w:noWrap/>
            <w:vAlign w:val="center"/>
          </w:tcPr>
          <w:p w:rsidR="001137C7" w:rsidRDefault="001137C7" w:rsidP="00F60009">
            <w:pPr>
              <w:widowControl/>
              <w:jc w:val="right"/>
              <w:rPr>
                <w:rFonts w:ascii="新細明體" w:hAnsi="新細明體"/>
                <w:b/>
                <w:bCs/>
                <w:kern w:val="0"/>
                <w:szCs w:val="24"/>
              </w:rPr>
            </w:pPr>
            <w:r>
              <w:rPr>
                <w:rFonts w:ascii="新細明體" w:hAnsi="新細明體" w:hint="eastAsia"/>
                <w:b/>
                <w:bCs/>
                <w:kern w:val="0"/>
                <w:szCs w:val="24"/>
              </w:rPr>
              <w:t>Total:</w:t>
            </w:r>
          </w:p>
        </w:tc>
        <w:tc>
          <w:tcPr>
            <w:tcW w:w="1280" w:type="dxa"/>
            <w:tcBorders>
              <w:top w:val="nil"/>
              <w:left w:val="nil"/>
              <w:bottom w:val="double" w:sz="6" w:space="0" w:color="auto"/>
              <w:right w:val="nil"/>
            </w:tcBorders>
            <w:shd w:val="clear" w:color="auto" w:fill="auto"/>
            <w:noWrap/>
            <w:vAlign w:val="center"/>
          </w:tcPr>
          <w:p w:rsidR="001137C7" w:rsidRDefault="001137C7" w:rsidP="00F60009">
            <w:pPr>
              <w:widowControl/>
              <w:jc w:val="right"/>
              <w:rPr>
                <w:rFonts w:ascii="新細明體" w:hAnsi="新細明體"/>
                <w:b/>
                <w:bCs/>
                <w:kern w:val="0"/>
                <w:szCs w:val="24"/>
              </w:rPr>
            </w:pPr>
            <w:r>
              <w:rPr>
                <w:rFonts w:ascii="新細明體" w:hAnsi="新細明體" w:hint="eastAsia"/>
                <w:b/>
                <w:bCs/>
                <w:kern w:val="0"/>
                <w:szCs w:val="24"/>
              </w:rPr>
              <w:t>121</w:t>
            </w:r>
          </w:p>
        </w:tc>
      </w:tr>
    </w:tbl>
    <w:p w:rsidR="001137C7" w:rsidRDefault="001137C7" w:rsidP="001137C7">
      <w:pPr>
        <w:adjustRightInd w:val="0"/>
        <w:snapToGrid w:val="0"/>
        <w:spacing w:line="360" w:lineRule="auto"/>
        <w:jc w:val="both"/>
        <w:rPr>
          <w:i/>
        </w:rPr>
      </w:pPr>
      <w:r>
        <w:rPr>
          <w:rFonts w:hint="eastAsia"/>
          <w:i/>
        </w:rPr>
        <w:t>Table 4</w:t>
      </w:r>
    </w:p>
    <w:p w:rsidR="001137C7" w:rsidRPr="001137C7" w:rsidRDefault="001137C7" w:rsidP="001137C7">
      <w:pPr>
        <w:adjustRightInd w:val="0"/>
        <w:snapToGrid w:val="0"/>
        <w:spacing w:line="360" w:lineRule="auto"/>
        <w:jc w:val="both"/>
        <w:rPr>
          <w:rFonts w:eastAsia="新細明體"/>
          <w:bCs/>
          <w:szCs w:val="24"/>
        </w:rPr>
      </w:pPr>
    </w:p>
    <w:p w:rsidR="006E1A12" w:rsidRPr="001137C7" w:rsidRDefault="00270930" w:rsidP="001137C7">
      <w:pPr>
        <w:adjustRightInd w:val="0"/>
        <w:snapToGrid w:val="0"/>
        <w:spacing w:line="360" w:lineRule="auto"/>
        <w:jc w:val="both"/>
        <w:rPr>
          <w:rFonts w:eastAsia="新細明體"/>
          <w:bCs/>
          <w:szCs w:val="24"/>
        </w:rPr>
      </w:pPr>
      <w:r>
        <w:rPr>
          <w:rFonts w:hint="eastAsia"/>
          <w:bCs/>
          <w:szCs w:val="24"/>
        </w:rPr>
        <w:t xml:space="preserve">Children and </w:t>
      </w:r>
      <w:r w:rsidR="008F3FC9">
        <w:rPr>
          <w:rFonts w:eastAsia="新細明體" w:hint="eastAsia"/>
          <w:bCs/>
          <w:szCs w:val="24"/>
        </w:rPr>
        <w:t xml:space="preserve">senior </w:t>
      </w:r>
      <w:r>
        <w:rPr>
          <w:rFonts w:hint="eastAsia"/>
          <w:bCs/>
          <w:szCs w:val="24"/>
        </w:rPr>
        <w:t xml:space="preserve">over a certain age </w:t>
      </w:r>
      <w:r w:rsidR="008F3FC9">
        <w:rPr>
          <w:rFonts w:eastAsia="新細明體" w:hint="eastAsia"/>
          <w:bCs/>
          <w:szCs w:val="24"/>
        </w:rPr>
        <w:t xml:space="preserve">can </w:t>
      </w:r>
      <w:r>
        <w:rPr>
          <w:rFonts w:hint="eastAsia"/>
          <w:bCs/>
          <w:szCs w:val="24"/>
        </w:rPr>
        <w:t>receive a discount</w:t>
      </w:r>
      <w:r w:rsidR="008F3FC9">
        <w:rPr>
          <w:rFonts w:eastAsia="新細明體" w:hint="eastAsia"/>
          <w:bCs/>
          <w:szCs w:val="24"/>
        </w:rPr>
        <w:t>ed price</w:t>
      </w:r>
      <w:r>
        <w:rPr>
          <w:rFonts w:hint="eastAsia"/>
          <w:bCs/>
          <w:szCs w:val="24"/>
        </w:rPr>
        <w:t xml:space="preserve"> compared </w:t>
      </w:r>
      <w:r>
        <w:rPr>
          <w:bCs/>
          <w:szCs w:val="24"/>
        </w:rPr>
        <w:t>with the</w:t>
      </w:r>
      <w:r>
        <w:rPr>
          <w:rFonts w:hint="eastAsia"/>
          <w:bCs/>
          <w:szCs w:val="24"/>
        </w:rPr>
        <w:t xml:space="preserve"> regular ticket price for adults. It is becaus</w:t>
      </w:r>
      <w:r>
        <w:rPr>
          <w:rFonts w:hint="eastAsia"/>
          <w:bCs/>
          <w:szCs w:val="24"/>
        </w:rPr>
        <w:t xml:space="preserve">e </w:t>
      </w:r>
      <w:r>
        <w:rPr>
          <w:bCs/>
          <w:szCs w:val="24"/>
        </w:rPr>
        <w:t>children</w:t>
      </w:r>
      <w:r>
        <w:rPr>
          <w:rFonts w:hint="eastAsia"/>
          <w:bCs/>
          <w:szCs w:val="24"/>
        </w:rPr>
        <w:t xml:space="preserve"> and </w:t>
      </w:r>
      <w:r w:rsidR="001137C7">
        <w:rPr>
          <w:rFonts w:eastAsia="新細明體" w:hint="eastAsia"/>
          <w:bCs/>
          <w:szCs w:val="24"/>
        </w:rPr>
        <w:t>seniors</w:t>
      </w:r>
      <w:r w:rsidR="008F3FC9">
        <w:rPr>
          <w:rFonts w:hint="eastAsia"/>
          <w:bCs/>
          <w:szCs w:val="24"/>
        </w:rPr>
        <w:t xml:space="preserve"> have a relatively</w:t>
      </w:r>
      <w:r>
        <w:rPr>
          <w:rFonts w:hint="eastAsia"/>
          <w:bCs/>
          <w:szCs w:val="24"/>
        </w:rPr>
        <w:t xml:space="preserve"> l</w:t>
      </w:r>
      <w:r w:rsidR="008F3FC9">
        <w:rPr>
          <w:rFonts w:eastAsia="新細明體" w:hint="eastAsia"/>
          <w:bCs/>
          <w:szCs w:val="24"/>
        </w:rPr>
        <w:t>ower</w:t>
      </w:r>
      <w:r>
        <w:rPr>
          <w:rFonts w:hint="eastAsia"/>
          <w:bCs/>
          <w:szCs w:val="24"/>
        </w:rPr>
        <w:t xml:space="preserve"> income than adults and are less able to afford a full-price ticket. This pricing </w:t>
      </w:r>
      <w:r w:rsidR="008F3FC9">
        <w:rPr>
          <w:rFonts w:eastAsia="新細明體" w:hint="eastAsia"/>
          <w:bCs/>
          <w:szCs w:val="24"/>
        </w:rPr>
        <w:t>strategy</w:t>
      </w:r>
      <w:r>
        <w:rPr>
          <w:rFonts w:hint="eastAsia"/>
          <w:bCs/>
          <w:szCs w:val="24"/>
        </w:rPr>
        <w:t xml:space="preserve"> keeps low</w:t>
      </w:r>
      <w:r w:rsidR="008F3FC9">
        <w:rPr>
          <w:rFonts w:eastAsia="新細明體" w:hint="eastAsia"/>
          <w:bCs/>
          <w:szCs w:val="24"/>
        </w:rPr>
        <w:t xml:space="preserve"> </w:t>
      </w:r>
      <w:r>
        <w:rPr>
          <w:rFonts w:hint="eastAsia"/>
          <w:bCs/>
          <w:szCs w:val="24"/>
        </w:rPr>
        <w:t xml:space="preserve">income groups </w:t>
      </w:r>
      <w:r w:rsidR="008F3FC9">
        <w:rPr>
          <w:rFonts w:eastAsia="新細明體" w:hint="eastAsia"/>
          <w:bCs/>
          <w:szCs w:val="24"/>
        </w:rPr>
        <w:t xml:space="preserve">people </w:t>
      </w:r>
      <w:r>
        <w:rPr>
          <w:rFonts w:hint="eastAsia"/>
          <w:bCs/>
          <w:szCs w:val="24"/>
        </w:rPr>
        <w:t xml:space="preserve">going to the cinema without giving a discount to all viewers. </w:t>
      </w:r>
      <w:r w:rsidR="001137C7">
        <w:rPr>
          <w:rFonts w:eastAsia="新細明體" w:hint="eastAsia"/>
          <w:bCs/>
          <w:szCs w:val="24"/>
        </w:rPr>
        <w:t xml:space="preserve">Cinema set a discounted price for children and seniors in order to attract more attendance to their movies. If cinema charges only one price, it results in a deadweight loss because cinema and consumer surplus are lost. But if the cinema responds by charging different prices to different consumer or group of consumers, it simply makes the company better off. </w:t>
      </w:r>
    </w:p>
    <w:p w:rsidR="006E1A12" w:rsidRDefault="006E1A12" w:rsidP="001137C7">
      <w:pPr>
        <w:adjustRightInd w:val="0"/>
        <w:snapToGrid w:val="0"/>
        <w:spacing w:line="360" w:lineRule="auto"/>
        <w:jc w:val="both"/>
        <w:rPr>
          <w:bCs/>
          <w:szCs w:val="24"/>
        </w:rPr>
      </w:pPr>
    </w:p>
    <w:p w:rsidR="006E1A12" w:rsidRDefault="006E1A12">
      <w:pPr>
        <w:adjustRightInd w:val="0"/>
        <w:snapToGrid w:val="0"/>
        <w:spacing w:line="360" w:lineRule="auto"/>
        <w:jc w:val="both"/>
        <w:rPr>
          <w:i/>
        </w:rPr>
      </w:pPr>
    </w:p>
    <w:p w:rsidR="006E1A12" w:rsidRDefault="00270930">
      <w:pPr>
        <w:adjustRightInd w:val="0"/>
        <w:snapToGrid w:val="0"/>
        <w:spacing w:line="360" w:lineRule="auto"/>
        <w:jc w:val="both"/>
      </w:pPr>
      <w:r>
        <w:rPr>
          <w:noProof/>
        </w:rPr>
        <w:lastRenderedPageBreak/>
        <w:drawing>
          <wp:inline distT="0" distB="0" distL="114300" distR="114300">
            <wp:extent cx="5467350" cy="2743200"/>
            <wp:effectExtent l="4445" t="4445" r="14605" b="14605"/>
            <wp:docPr id="3" name="圖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6E1A12" w:rsidRDefault="00270930">
      <w:pPr>
        <w:adjustRightInd w:val="0"/>
        <w:snapToGrid w:val="0"/>
        <w:spacing w:line="360" w:lineRule="auto"/>
        <w:jc w:val="both"/>
        <w:rPr>
          <w:i/>
        </w:rPr>
      </w:pPr>
      <w:r>
        <w:rPr>
          <w:rFonts w:hint="eastAsia"/>
          <w:i/>
        </w:rPr>
        <w:t>Chart 3</w:t>
      </w:r>
    </w:p>
    <w:p w:rsidR="006E1A12" w:rsidRDefault="006E1A12">
      <w:pPr>
        <w:adjustRightInd w:val="0"/>
        <w:snapToGrid w:val="0"/>
        <w:spacing w:line="360" w:lineRule="auto"/>
        <w:jc w:val="both"/>
        <w:rPr>
          <w:bCs/>
          <w:szCs w:val="24"/>
        </w:rPr>
      </w:pPr>
    </w:p>
    <w:p w:rsidR="006E1A12" w:rsidRDefault="00270930">
      <w:pPr>
        <w:adjustRightInd w:val="0"/>
        <w:snapToGrid w:val="0"/>
        <w:spacing w:line="360" w:lineRule="auto"/>
        <w:jc w:val="both"/>
        <w:rPr>
          <w:b/>
          <w:bCs/>
          <w:szCs w:val="24"/>
        </w:rPr>
      </w:pPr>
      <w:r>
        <w:rPr>
          <w:b/>
          <w:bCs/>
          <w:szCs w:val="24"/>
        </w:rPr>
        <w:t xml:space="preserve">3.2 An evaluation of the price discrimination technique used </w:t>
      </w:r>
      <w:r>
        <w:rPr>
          <w:rFonts w:hint="eastAsia"/>
          <w:b/>
          <w:bCs/>
          <w:szCs w:val="24"/>
        </w:rPr>
        <w:t>Golden Harvest</w:t>
      </w:r>
    </w:p>
    <w:p w:rsidR="006E1A12" w:rsidRDefault="006E1A12">
      <w:pPr>
        <w:adjustRightInd w:val="0"/>
        <w:snapToGrid w:val="0"/>
        <w:spacing w:line="360" w:lineRule="auto"/>
        <w:jc w:val="both"/>
        <w:rPr>
          <w:bCs/>
          <w:szCs w:val="24"/>
        </w:rPr>
      </w:pPr>
    </w:p>
    <w:p w:rsidR="006E1A12" w:rsidRDefault="00270930">
      <w:pPr>
        <w:adjustRightInd w:val="0"/>
        <w:snapToGrid w:val="0"/>
        <w:spacing w:line="360" w:lineRule="auto"/>
        <w:jc w:val="both"/>
        <w:rPr>
          <w:bCs/>
          <w:szCs w:val="24"/>
        </w:rPr>
      </w:pPr>
      <w:r>
        <w:rPr>
          <w:rFonts w:hint="eastAsia"/>
          <w:bCs/>
          <w:szCs w:val="24"/>
        </w:rPr>
        <w:t xml:space="preserve">Does the current price </w:t>
      </w:r>
      <w:r>
        <w:rPr>
          <w:bCs/>
          <w:szCs w:val="24"/>
        </w:rPr>
        <w:t>discrimination</w:t>
      </w:r>
      <w:r>
        <w:rPr>
          <w:rFonts w:hint="eastAsia"/>
          <w:bCs/>
          <w:szCs w:val="24"/>
        </w:rPr>
        <w:t xml:space="preserve"> pricing strategy effective capture consumer surplus?</w:t>
      </w:r>
    </w:p>
    <w:p w:rsidR="006E1A12" w:rsidRDefault="006E1A12">
      <w:pPr>
        <w:adjustRightInd w:val="0"/>
        <w:snapToGrid w:val="0"/>
        <w:spacing w:line="360" w:lineRule="auto"/>
        <w:jc w:val="both"/>
        <w:rPr>
          <w:bCs/>
          <w:szCs w:val="24"/>
        </w:rPr>
      </w:pPr>
    </w:p>
    <w:p w:rsidR="006E1A12" w:rsidRDefault="00270930" w:rsidP="001137C7">
      <w:pPr>
        <w:adjustRightInd w:val="0"/>
        <w:snapToGrid w:val="0"/>
        <w:spacing w:line="360" w:lineRule="auto"/>
        <w:jc w:val="both"/>
        <w:rPr>
          <w:bCs/>
          <w:szCs w:val="24"/>
        </w:rPr>
      </w:pPr>
      <w:r>
        <w:rPr>
          <w:rFonts w:hint="eastAsia"/>
          <w:bCs/>
          <w:szCs w:val="24"/>
        </w:rPr>
        <w:t>The strategy of price discrimination has obvious advantages. These collected data showed the current pricing strategy of Golden Harvest is correct compared to their price structure (Table 3) based on the segment of age. Adult who means age between 12 to 59</w:t>
      </w:r>
      <w:r>
        <w:rPr>
          <w:rFonts w:hint="eastAsia"/>
          <w:bCs/>
          <w:szCs w:val="24"/>
        </w:rPr>
        <w:t xml:space="preserve"> is the group that willing to pay and afford more due to relatively high and stable income. In terms of this, setting the highest ticket price for this group then capture their entire consumer surplus as much as they can. </w:t>
      </w:r>
    </w:p>
    <w:p w:rsidR="006E1A12" w:rsidRDefault="006E1A12" w:rsidP="001137C7">
      <w:pPr>
        <w:adjustRightInd w:val="0"/>
        <w:snapToGrid w:val="0"/>
        <w:spacing w:line="360" w:lineRule="auto"/>
        <w:jc w:val="both"/>
        <w:rPr>
          <w:bCs/>
          <w:szCs w:val="24"/>
        </w:rPr>
      </w:pPr>
    </w:p>
    <w:p w:rsidR="006E1A12" w:rsidRDefault="00270930" w:rsidP="001137C7">
      <w:pPr>
        <w:adjustRightInd w:val="0"/>
        <w:snapToGrid w:val="0"/>
        <w:spacing w:line="360" w:lineRule="auto"/>
        <w:jc w:val="both"/>
        <w:rPr>
          <w:rFonts w:eastAsia="新細明體" w:hint="eastAsia"/>
          <w:color w:val="000000"/>
          <w:szCs w:val="24"/>
          <w:shd w:val="clear" w:color="auto" w:fill="FFFFFF"/>
        </w:rPr>
      </w:pPr>
      <w:r>
        <w:rPr>
          <w:rFonts w:hint="eastAsia"/>
          <w:bCs/>
          <w:szCs w:val="24"/>
        </w:rPr>
        <w:t>Golden Harvest set the price fro</w:t>
      </w:r>
      <w:r>
        <w:rPr>
          <w:rFonts w:hint="eastAsia"/>
          <w:bCs/>
          <w:szCs w:val="24"/>
        </w:rPr>
        <w:t>m adult (the highes</w:t>
      </w:r>
      <w:r>
        <w:rPr>
          <w:bCs/>
          <w:szCs w:val="24"/>
        </w:rPr>
        <w:t xml:space="preserve">t), children (the middle) then senior (the cheapest) due to their understanding of elasticity of demand. </w:t>
      </w:r>
      <w:r>
        <w:rPr>
          <w:rFonts w:hint="eastAsia"/>
          <w:szCs w:val="24"/>
          <w:shd w:val="clear" w:color="auto" w:fill="FFFFFF"/>
        </w:rPr>
        <w:t>S</w:t>
      </w:r>
      <w:r>
        <w:rPr>
          <w:szCs w:val="24"/>
          <w:shd w:val="clear" w:color="auto" w:fill="FFFFFF"/>
        </w:rPr>
        <w:t xml:space="preserve">enior exhibit much more elasticity than young adults when it comes to buying movie tickets, </w:t>
      </w:r>
      <w:r>
        <w:rPr>
          <w:rFonts w:hint="eastAsia"/>
          <w:szCs w:val="24"/>
          <w:shd w:val="clear" w:color="auto" w:fill="FFFFFF"/>
        </w:rPr>
        <w:t xml:space="preserve">furthermore, they are more </w:t>
      </w:r>
      <w:r>
        <w:rPr>
          <w:szCs w:val="24"/>
          <w:shd w:val="clear" w:color="auto" w:fill="FFFFFF"/>
        </w:rPr>
        <w:t>sensitive</w:t>
      </w:r>
      <w:r>
        <w:rPr>
          <w:rFonts w:hint="eastAsia"/>
          <w:szCs w:val="24"/>
          <w:shd w:val="clear" w:color="auto" w:fill="FFFFFF"/>
        </w:rPr>
        <w:t xml:space="preserve"> to</w:t>
      </w:r>
      <w:r>
        <w:rPr>
          <w:rFonts w:hint="eastAsia"/>
          <w:szCs w:val="24"/>
          <w:shd w:val="clear" w:color="auto" w:fill="FFFFFF"/>
        </w:rPr>
        <w:t xml:space="preserve"> the price, </w:t>
      </w:r>
      <w:r>
        <w:rPr>
          <w:szCs w:val="24"/>
          <w:shd w:val="clear" w:color="auto" w:fill="FFFFFF"/>
        </w:rPr>
        <w:t xml:space="preserve">thus if the price is lower, more senior citizens are more likely to buy tickets. </w:t>
      </w:r>
      <w:r>
        <w:rPr>
          <w:rFonts w:hint="eastAsia"/>
          <w:color w:val="000000"/>
          <w:szCs w:val="24"/>
          <w:shd w:val="clear" w:color="auto" w:fill="FFFFFF"/>
        </w:rPr>
        <w:t>H</w:t>
      </w:r>
      <w:r>
        <w:rPr>
          <w:color w:val="000000"/>
          <w:szCs w:val="24"/>
          <w:shd w:val="clear" w:color="auto" w:fill="FFFFFF"/>
        </w:rPr>
        <w:t xml:space="preserve">owever, </w:t>
      </w:r>
      <w:r>
        <w:rPr>
          <w:rFonts w:hint="eastAsia"/>
          <w:color w:val="000000"/>
          <w:szCs w:val="24"/>
          <w:shd w:val="clear" w:color="auto" w:fill="FFFFFF"/>
        </w:rPr>
        <w:t xml:space="preserve">young adult </w:t>
      </w:r>
      <w:r>
        <w:rPr>
          <w:color w:val="000000"/>
          <w:szCs w:val="24"/>
          <w:shd w:val="clear" w:color="auto" w:fill="FFFFFF"/>
        </w:rPr>
        <w:t>may be more likely to pay a higher rate because they're going to go to the movies either way.</w:t>
      </w:r>
      <w:r>
        <w:rPr>
          <w:rFonts w:hint="eastAsia"/>
          <w:color w:val="000000"/>
          <w:szCs w:val="24"/>
          <w:shd w:val="clear" w:color="auto" w:fill="FFFFFF"/>
        </w:rPr>
        <w:t xml:space="preserve"> </w:t>
      </w:r>
    </w:p>
    <w:p w:rsidR="008F3FC9" w:rsidRDefault="008F3FC9" w:rsidP="001137C7">
      <w:pPr>
        <w:adjustRightInd w:val="0"/>
        <w:snapToGrid w:val="0"/>
        <w:spacing w:line="360" w:lineRule="auto"/>
        <w:jc w:val="both"/>
        <w:rPr>
          <w:rFonts w:eastAsia="新細明體" w:hint="eastAsia"/>
          <w:color w:val="000000"/>
          <w:szCs w:val="24"/>
          <w:shd w:val="clear" w:color="auto" w:fill="FFFFFF"/>
        </w:rPr>
      </w:pPr>
    </w:p>
    <w:p w:rsidR="008F3FC9" w:rsidRDefault="008F3FC9" w:rsidP="001137C7">
      <w:pPr>
        <w:adjustRightInd w:val="0"/>
        <w:snapToGrid w:val="0"/>
        <w:spacing w:line="360" w:lineRule="auto"/>
        <w:jc w:val="both"/>
        <w:rPr>
          <w:rFonts w:eastAsia="新細明體" w:hint="eastAsia"/>
          <w:color w:val="000000"/>
          <w:szCs w:val="24"/>
          <w:shd w:val="clear" w:color="auto" w:fill="FFFFFF"/>
        </w:rPr>
      </w:pPr>
      <w:r>
        <w:rPr>
          <w:rFonts w:eastAsia="新細明體" w:hint="eastAsia"/>
          <w:color w:val="000000"/>
          <w:szCs w:val="24"/>
          <w:shd w:val="clear" w:color="auto" w:fill="FFFFFF"/>
        </w:rPr>
        <w:t>It is possible to let Golden Harvest to capture more consumer surplus from market. According to my study of pricing policy of Golden Harvest</w:t>
      </w:r>
      <w:r>
        <w:rPr>
          <w:rFonts w:eastAsia="新細明體"/>
          <w:color w:val="000000"/>
          <w:szCs w:val="24"/>
          <w:shd w:val="clear" w:color="auto" w:fill="FFFFFF"/>
        </w:rPr>
        <w:t>’</w:t>
      </w:r>
      <w:r>
        <w:rPr>
          <w:rFonts w:eastAsia="新細明體" w:hint="eastAsia"/>
          <w:color w:val="000000"/>
          <w:szCs w:val="24"/>
          <w:shd w:val="clear" w:color="auto" w:fill="FFFFFF"/>
        </w:rPr>
        <w:t xml:space="preserve">s largest competitor, Broadway Circuit, their pricing structure for same people group is higher (Broadway Circuit was highlighted in green </w:t>
      </w:r>
      <w:proofErr w:type="spellStart"/>
      <w:r>
        <w:rPr>
          <w:rFonts w:eastAsia="新細明體" w:hint="eastAsia"/>
          <w:color w:val="000000"/>
          <w:szCs w:val="24"/>
          <w:shd w:val="clear" w:color="auto" w:fill="FFFFFF"/>
        </w:rPr>
        <w:lastRenderedPageBreak/>
        <w:t>colour</w:t>
      </w:r>
      <w:proofErr w:type="spellEnd"/>
      <w:r>
        <w:rPr>
          <w:rFonts w:eastAsia="新細明體" w:hint="eastAsia"/>
          <w:color w:val="000000"/>
          <w:szCs w:val="24"/>
          <w:shd w:val="clear" w:color="auto" w:fill="FFFFFF"/>
        </w:rPr>
        <w:t xml:space="preserve"> in Table 5)</w:t>
      </w:r>
    </w:p>
    <w:p w:rsidR="008F3FC9" w:rsidRDefault="008F3FC9" w:rsidP="001137C7">
      <w:pPr>
        <w:adjustRightInd w:val="0"/>
        <w:snapToGrid w:val="0"/>
        <w:spacing w:line="360" w:lineRule="auto"/>
        <w:jc w:val="both"/>
        <w:rPr>
          <w:rFonts w:eastAsia="新細明體" w:hint="eastAsia"/>
          <w:color w:val="000000"/>
          <w:szCs w:val="24"/>
          <w:shd w:val="clear" w:color="auto" w:fill="FFFFFF"/>
        </w:rPr>
      </w:pPr>
    </w:p>
    <w:tbl>
      <w:tblPr>
        <w:tblW w:w="11321" w:type="dxa"/>
        <w:tblInd w:w="-1125" w:type="dxa"/>
        <w:tblCellMar>
          <w:left w:w="28" w:type="dxa"/>
          <w:right w:w="28" w:type="dxa"/>
        </w:tblCellMar>
        <w:tblLook w:val="04A0" w:firstRow="1" w:lastRow="0" w:firstColumn="1" w:lastColumn="0" w:noHBand="0" w:noVBand="1"/>
      </w:tblPr>
      <w:tblGrid>
        <w:gridCol w:w="1840"/>
        <w:gridCol w:w="709"/>
        <w:gridCol w:w="693"/>
        <w:gridCol w:w="804"/>
        <w:gridCol w:w="341"/>
        <w:gridCol w:w="485"/>
        <w:gridCol w:w="485"/>
        <w:gridCol w:w="341"/>
        <w:gridCol w:w="341"/>
        <w:gridCol w:w="341"/>
        <w:gridCol w:w="341"/>
        <w:gridCol w:w="606"/>
        <w:gridCol w:w="592"/>
        <w:gridCol w:w="686"/>
        <w:gridCol w:w="360"/>
        <w:gridCol w:w="413"/>
        <w:gridCol w:w="413"/>
        <w:gridCol w:w="413"/>
        <w:gridCol w:w="413"/>
        <w:gridCol w:w="291"/>
        <w:gridCol w:w="413"/>
      </w:tblGrid>
      <w:tr w:rsidR="008F3FC9" w:rsidRPr="008F3FC9" w:rsidTr="008F3FC9">
        <w:trPr>
          <w:trHeight w:val="330"/>
        </w:trPr>
        <w:tc>
          <w:tcPr>
            <w:tcW w:w="1840" w:type="dxa"/>
            <w:tcBorders>
              <w:top w:val="nil"/>
              <w:left w:val="nil"/>
              <w:bottom w:val="nil"/>
              <w:right w:val="nil"/>
            </w:tcBorders>
            <w:shd w:val="clear" w:color="auto" w:fill="auto"/>
            <w:noWrap/>
            <w:vAlign w:val="center"/>
            <w:hideMark/>
          </w:tcPr>
          <w:p w:rsidR="008F3FC9" w:rsidRPr="008F3FC9" w:rsidRDefault="008F3FC9" w:rsidP="008F3FC9">
            <w:pPr>
              <w:widowControl/>
              <w:rPr>
                <w:rFonts w:eastAsia="新細明體"/>
                <w:kern w:val="0"/>
                <w:sz w:val="18"/>
                <w:szCs w:val="18"/>
              </w:rPr>
            </w:pPr>
          </w:p>
        </w:tc>
        <w:tc>
          <w:tcPr>
            <w:tcW w:w="4881" w:type="dxa"/>
            <w:gridSpan w:val="10"/>
            <w:tcBorders>
              <w:top w:val="single" w:sz="8" w:space="0" w:color="auto"/>
              <w:left w:val="single" w:sz="8" w:space="0" w:color="auto"/>
              <w:bottom w:val="single" w:sz="4" w:space="0" w:color="auto"/>
              <w:right w:val="single" w:sz="8" w:space="0" w:color="000000"/>
            </w:tcBorders>
            <w:shd w:val="clear" w:color="auto" w:fill="auto"/>
            <w:noWrap/>
            <w:vAlign w:val="center"/>
            <w:hideMark/>
          </w:tcPr>
          <w:p w:rsidR="008F3FC9" w:rsidRPr="008F3FC9" w:rsidRDefault="008F3FC9" w:rsidP="008F3FC9">
            <w:pPr>
              <w:widowControl/>
              <w:jc w:val="center"/>
              <w:rPr>
                <w:rFonts w:eastAsia="新細明體"/>
                <w:b/>
                <w:bCs/>
                <w:kern w:val="0"/>
                <w:sz w:val="18"/>
                <w:szCs w:val="18"/>
              </w:rPr>
            </w:pPr>
            <w:r w:rsidRPr="008F3FC9">
              <w:rPr>
                <w:rFonts w:eastAsia="新細明體"/>
                <w:b/>
                <w:bCs/>
                <w:kern w:val="0"/>
                <w:sz w:val="18"/>
                <w:szCs w:val="18"/>
              </w:rPr>
              <w:t>2D</w:t>
            </w:r>
          </w:p>
        </w:tc>
        <w:tc>
          <w:tcPr>
            <w:tcW w:w="4600" w:type="dxa"/>
            <w:gridSpan w:val="10"/>
            <w:tcBorders>
              <w:top w:val="single" w:sz="8" w:space="0" w:color="auto"/>
              <w:left w:val="nil"/>
              <w:bottom w:val="single" w:sz="4" w:space="0" w:color="auto"/>
              <w:right w:val="single" w:sz="8" w:space="0" w:color="000000"/>
            </w:tcBorders>
            <w:shd w:val="clear" w:color="auto" w:fill="auto"/>
            <w:noWrap/>
            <w:vAlign w:val="center"/>
            <w:hideMark/>
          </w:tcPr>
          <w:p w:rsidR="008F3FC9" w:rsidRPr="008F3FC9" w:rsidRDefault="008F3FC9" w:rsidP="008F3FC9">
            <w:pPr>
              <w:widowControl/>
              <w:jc w:val="center"/>
              <w:rPr>
                <w:rFonts w:eastAsia="新細明體"/>
                <w:b/>
                <w:bCs/>
                <w:kern w:val="0"/>
                <w:sz w:val="18"/>
                <w:szCs w:val="18"/>
              </w:rPr>
            </w:pPr>
            <w:r w:rsidRPr="008F3FC9">
              <w:rPr>
                <w:rFonts w:eastAsia="新細明體"/>
                <w:b/>
                <w:bCs/>
                <w:kern w:val="0"/>
                <w:sz w:val="18"/>
                <w:szCs w:val="18"/>
              </w:rPr>
              <w:t>3D</w:t>
            </w:r>
          </w:p>
        </w:tc>
      </w:tr>
      <w:tr w:rsidR="008F3FC9" w:rsidRPr="008F3FC9" w:rsidTr="008F3FC9">
        <w:trPr>
          <w:trHeight w:val="330"/>
        </w:trPr>
        <w:tc>
          <w:tcPr>
            <w:tcW w:w="1840" w:type="dxa"/>
            <w:tcBorders>
              <w:top w:val="nil"/>
              <w:left w:val="nil"/>
              <w:bottom w:val="nil"/>
              <w:right w:val="nil"/>
            </w:tcBorders>
            <w:shd w:val="clear" w:color="auto" w:fill="auto"/>
            <w:noWrap/>
            <w:vAlign w:val="center"/>
            <w:hideMark/>
          </w:tcPr>
          <w:p w:rsidR="008F3FC9" w:rsidRPr="008F3FC9" w:rsidRDefault="008F3FC9" w:rsidP="008F3FC9">
            <w:pPr>
              <w:widowControl/>
              <w:rPr>
                <w:rFonts w:eastAsia="新細明體"/>
                <w:kern w:val="0"/>
                <w:sz w:val="18"/>
                <w:szCs w:val="18"/>
              </w:rPr>
            </w:pPr>
          </w:p>
        </w:tc>
        <w:tc>
          <w:tcPr>
            <w:tcW w:w="2547" w:type="dxa"/>
            <w:gridSpan w:val="4"/>
            <w:tcBorders>
              <w:top w:val="single" w:sz="4" w:space="0" w:color="auto"/>
              <w:left w:val="single" w:sz="8" w:space="0" w:color="auto"/>
              <w:bottom w:val="single" w:sz="4" w:space="0" w:color="auto"/>
              <w:right w:val="single" w:sz="4" w:space="0" w:color="000000"/>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AM</w:t>
            </w:r>
          </w:p>
        </w:tc>
        <w:tc>
          <w:tcPr>
            <w:tcW w:w="2334" w:type="dxa"/>
            <w:gridSpan w:val="6"/>
            <w:tcBorders>
              <w:top w:val="single" w:sz="4" w:space="0" w:color="auto"/>
              <w:left w:val="nil"/>
              <w:bottom w:val="single" w:sz="4" w:space="0" w:color="auto"/>
              <w:right w:val="single" w:sz="8" w:space="0" w:color="000000"/>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PM</w:t>
            </w:r>
          </w:p>
        </w:tc>
        <w:tc>
          <w:tcPr>
            <w:tcW w:w="2244" w:type="dxa"/>
            <w:gridSpan w:val="4"/>
            <w:tcBorders>
              <w:top w:val="single" w:sz="4" w:space="0" w:color="auto"/>
              <w:left w:val="nil"/>
              <w:bottom w:val="single" w:sz="4" w:space="0" w:color="auto"/>
              <w:right w:val="single" w:sz="4" w:space="0" w:color="000000"/>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AM</w:t>
            </w:r>
          </w:p>
        </w:tc>
        <w:tc>
          <w:tcPr>
            <w:tcW w:w="2356" w:type="dxa"/>
            <w:gridSpan w:val="6"/>
            <w:tcBorders>
              <w:top w:val="single" w:sz="4" w:space="0" w:color="auto"/>
              <w:left w:val="nil"/>
              <w:bottom w:val="single" w:sz="4" w:space="0" w:color="auto"/>
              <w:right w:val="single" w:sz="8" w:space="0" w:color="000000"/>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PM</w:t>
            </w:r>
          </w:p>
        </w:tc>
      </w:tr>
      <w:tr w:rsidR="008F3FC9" w:rsidRPr="008F3FC9" w:rsidTr="008F3FC9">
        <w:trPr>
          <w:trHeight w:val="330"/>
        </w:trPr>
        <w:tc>
          <w:tcPr>
            <w:tcW w:w="1840" w:type="dxa"/>
            <w:tcBorders>
              <w:top w:val="nil"/>
              <w:left w:val="nil"/>
              <w:bottom w:val="nil"/>
              <w:right w:val="nil"/>
            </w:tcBorders>
            <w:shd w:val="clear" w:color="auto" w:fill="auto"/>
            <w:noWrap/>
            <w:vAlign w:val="center"/>
            <w:hideMark/>
          </w:tcPr>
          <w:p w:rsidR="008F3FC9" w:rsidRPr="008F3FC9" w:rsidRDefault="008F3FC9" w:rsidP="008F3FC9">
            <w:pPr>
              <w:widowControl/>
              <w:rPr>
                <w:rFonts w:eastAsia="新細明體"/>
                <w:kern w:val="0"/>
                <w:sz w:val="18"/>
                <w:szCs w:val="18"/>
              </w:rPr>
            </w:pPr>
          </w:p>
        </w:tc>
        <w:tc>
          <w:tcPr>
            <w:tcW w:w="709" w:type="dxa"/>
            <w:tcBorders>
              <w:top w:val="nil"/>
              <w:left w:val="single" w:sz="8" w:space="0" w:color="auto"/>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Adult</w:t>
            </w:r>
          </w:p>
        </w:tc>
        <w:tc>
          <w:tcPr>
            <w:tcW w:w="693"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Child</w:t>
            </w:r>
          </w:p>
        </w:tc>
        <w:tc>
          <w:tcPr>
            <w:tcW w:w="804"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Senior</w:t>
            </w:r>
          </w:p>
        </w:tc>
        <w:tc>
          <w:tcPr>
            <w:tcW w:w="341"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hint="eastAsia"/>
                <w:color w:val="00B050"/>
                <w:kern w:val="0"/>
                <w:sz w:val="18"/>
                <w:szCs w:val="18"/>
              </w:rPr>
              <w:t>A</w:t>
            </w:r>
            <w:r w:rsidRPr="008F3FC9">
              <w:rPr>
                <w:rFonts w:eastAsia="新細明體"/>
                <w:color w:val="00B050"/>
                <w:kern w:val="0"/>
                <w:sz w:val="18"/>
                <w:szCs w:val="18"/>
              </w:rPr>
              <w:t>ll</w:t>
            </w:r>
          </w:p>
        </w:tc>
        <w:tc>
          <w:tcPr>
            <w:tcW w:w="970" w:type="dxa"/>
            <w:gridSpan w:val="2"/>
            <w:tcBorders>
              <w:top w:val="single" w:sz="4" w:space="0" w:color="auto"/>
              <w:left w:val="nil"/>
              <w:bottom w:val="single" w:sz="4" w:space="0" w:color="auto"/>
              <w:right w:val="single" w:sz="4" w:space="0" w:color="000000"/>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Adult</w:t>
            </w:r>
          </w:p>
        </w:tc>
        <w:tc>
          <w:tcPr>
            <w:tcW w:w="682" w:type="dxa"/>
            <w:gridSpan w:val="2"/>
            <w:tcBorders>
              <w:top w:val="single" w:sz="4" w:space="0" w:color="auto"/>
              <w:left w:val="nil"/>
              <w:bottom w:val="single" w:sz="4" w:space="0" w:color="auto"/>
              <w:right w:val="single" w:sz="4" w:space="0" w:color="000000"/>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Child</w:t>
            </w:r>
          </w:p>
        </w:tc>
        <w:tc>
          <w:tcPr>
            <w:tcW w:w="682" w:type="dxa"/>
            <w:gridSpan w:val="2"/>
            <w:tcBorders>
              <w:top w:val="single" w:sz="4" w:space="0" w:color="auto"/>
              <w:left w:val="nil"/>
              <w:bottom w:val="single" w:sz="4" w:space="0" w:color="auto"/>
              <w:right w:val="single" w:sz="8" w:space="0" w:color="000000"/>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Senior</w:t>
            </w:r>
          </w:p>
        </w:tc>
        <w:tc>
          <w:tcPr>
            <w:tcW w:w="606"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Adult</w:t>
            </w:r>
          </w:p>
        </w:tc>
        <w:tc>
          <w:tcPr>
            <w:tcW w:w="592"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Child</w:t>
            </w:r>
          </w:p>
        </w:tc>
        <w:tc>
          <w:tcPr>
            <w:tcW w:w="686"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Senior</w:t>
            </w:r>
          </w:p>
        </w:tc>
        <w:tc>
          <w:tcPr>
            <w:tcW w:w="360"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All</w:t>
            </w:r>
          </w:p>
        </w:tc>
        <w:tc>
          <w:tcPr>
            <w:tcW w:w="826" w:type="dxa"/>
            <w:gridSpan w:val="2"/>
            <w:tcBorders>
              <w:top w:val="single" w:sz="4" w:space="0" w:color="auto"/>
              <w:left w:val="nil"/>
              <w:bottom w:val="single" w:sz="4" w:space="0" w:color="auto"/>
              <w:right w:val="single" w:sz="4" w:space="0" w:color="000000"/>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Adult</w:t>
            </w:r>
          </w:p>
        </w:tc>
        <w:tc>
          <w:tcPr>
            <w:tcW w:w="826" w:type="dxa"/>
            <w:gridSpan w:val="2"/>
            <w:tcBorders>
              <w:top w:val="single" w:sz="4" w:space="0" w:color="auto"/>
              <w:left w:val="nil"/>
              <w:bottom w:val="single" w:sz="4" w:space="0" w:color="auto"/>
              <w:right w:val="single" w:sz="4" w:space="0" w:color="000000"/>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Child</w:t>
            </w:r>
          </w:p>
        </w:tc>
        <w:tc>
          <w:tcPr>
            <w:tcW w:w="704" w:type="dxa"/>
            <w:gridSpan w:val="2"/>
            <w:tcBorders>
              <w:top w:val="single" w:sz="4" w:space="0" w:color="auto"/>
              <w:left w:val="nil"/>
              <w:bottom w:val="single" w:sz="4" w:space="0" w:color="auto"/>
              <w:right w:val="single" w:sz="8" w:space="0" w:color="000000"/>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Senior</w:t>
            </w:r>
          </w:p>
        </w:tc>
      </w:tr>
      <w:tr w:rsidR="008F3FC9" w:rsidRPr="008F3FC9" w:rsidTr="008F3FC9">
        <w:trPr>
          <w:trHeight w:val="450"/>
        </w:trPr>
        <w:tc>
          <w:tcPr>
            <w:tcW w:w="1840" w:type="dxa"/>
            <w:tcBorders>
              <w:top w:val="single" w:sz="4" w:space="0" w:color="auto"/>
              <w:left w:val="single" w:sz="4" w:space="0" w:color="auto"/>
              <w:bottom w:val="single" w:sz="4" w:space="0" w:color="auto"/>
              <w:right w:val="nil"/>
            </w:tcBorders>
            <w:shd w:val="clear" w:color="auto" w:fill="auto"/>
            <w:vAlign w:val="center"/>
            <w:hideMark/>
          </w:tcPr>
          <w:p w:rsidR="008F3FC9" w:rsidRPr="008F3FC9" w:rsidRDefault="008F3FC9" w:rsidP="008F3FC9">
            <w:pPr>
              <w:widowControl/>
              <w:rPr>
                <w:rFonts w:eastAsia="新細明體"/>
                <w:kern w:val="0"/>
                <w:sz w:val="18"/>
                <w:szCs w:val="18"/>
              </w:rPr>
            </w:pPr>
            <w:r w:rsidRPr="008F3FC9">
              <w:rPr>
                <w:rFonts w:eastAsia="新細明體"/>
                <w:kern w:val="0"/>
                <w:sz w:val="18"/>
                <w:szCs w:val="18"/>
              </w:rPr>
              <w:t>The Sky</w:t>
            </w:r>
            <w:r w:rsidRPr="008F3FC9">
              <w:rPr>
                <w:rFonts w:eastAsia="新細明體"/>
                <w:kern w:val="0"/>
                <w:sz w:val="18"/>
                <w:szCs w:val="18"/>
              </w:rPr>
              <w:br/>
            </w:r>
            <w:proofErr w:type="spellStart"/>
            <w:r w:rsidRPr="008F3FC9">
              <w:rPr>
                <w:rFonts w:eastAsia="新細明體"/>
                <w:color w:val="00B050"/>
                <w:kern w:val="0"/>
                <w:sz w:val="18"/>
                <w:szCs w:val="18"/>
              </w:rPr>
              <w:t>Mong</w:t>
            </w:r>
            <w:proofErr w:type="spellEnd"/>
            <w:r w:rsidRPr="008F3FC9">
              <w:rPr>
                <w:rFonts w:eastAsia="新細明體"/>
                <w:color w:val="00B050"/>
                <w:kern w:val="0"/>
                <w:sz w:val="18"/>
                <w:szCs w:val="18"/>
              </w:rPr>
              <w:t xml:space="preserve"> Kong Broadway</w:t>
            </w:r>
          </w:p>
        </w:tc>
        <w:tc>
          <w:tcPr>
            <w:tcW w:w="709" w:type="dxa"/>
            <w:tcBorders>
              <w:top w:val="nil"/>
              <w:left w:val="single" w:sz="8" w:space="0" w:color="auto"/>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65</w:t>
            </w:r>
          </w:p>
        </w:tc>
        <w:tc>
          <w:tcPr>
            <w:tcW w:w="693"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65</w:t>
            </w:r>
          </w:p>
        </w:tc>
        <w:tc>
          <w:tcPr>
            <w:tcW w:w="804"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25</w:t>
            </w:r>
          </w:p>
        </w:tc>
        <w:tc>
          <w:tcPr>
            <w:tcW w:w="341"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50</w:t>
            </w:r>
          </w:p>
        </w:tc>
        <w:tc>
          <w:tcPr>
            <w:tcW w:w="485"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90</w:t>
            </w:r>
          </w:p>
        </w:tc>
        <w:tc>
          <w:tcPr>
            <w:tcW w:w="485"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105</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75</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90</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50</w:t>
            </w:r>
          </w:p>
        </w:tc>
        <w:tc>
          <w:tcPr>
            <w:tcW w:w="341" w:type="dxa"/>
            <w:tcBorders>
              <w:top w:val="nil"/>
              <w:left w:val="nil"/>
              <w:bottom w:val="single" w:sz="4" w:space="0" w:color="auto"/>
              <w:right w:val="nil"/>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90</w:t>
            </w:r>
          </w:p>
        </w:tc>
        <w:tc>
          <w:tcPr>
            <w:tcW w:w="606" w:type="dxa"/>
            <w:tcBorders>
              <w:top w:val="nil"/>
              <w:left w:val="single" w:sz="8" w:space="0" w:color="auto"/>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85</w:t>
            </w:r>
          </w:p>
        </w:tc>
        <w:tc>
          <w:tcPr>
            <w:tcW w:w="592"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85</w:t>
            </w:r>
          </w:p>
        </w:tc>
        <w:tc>
          <w:tcPr>
            <w:tcW w:w="686"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45</w:t>
            </w:r>
          </w:p>
        </w:tc>
        <w:tc>
          <w:tcPr>
            <w:tcW w:w="360"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80</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115</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140</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100</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110</w:t>
            </w:r>
          </w:p>
        </w:tc>
        <w:tc>
          <w:tcPr>
            <w:tcW w:w="29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70</w:t>
            </w:r>
          </w:p>
        </w:tc>
        <w:tc>
          <w:tcPr>
            <w:tcW w:w="413" w:type="dxa"/>
            <w:tcBorders>
              <w:top w:val="nil"/>
              <w:left w:val="nil"/>
              <w:bottom w:val="single" w:sz="4" w:space="0" w:color="auto"/>
              <w:right w:val="single" w:sz="8"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105</w:t>
            </w:r>
          </w:p>
        </w:tc>
      </w:tr>
      <w:tr w:rsidR="008F3FC9" w:rsidRPr="008F3FC9" w:rsidTr="008F3FC9">
        <w:trPr>
          <w:trHeight w:val="450"/>
        </w:trPr>
        <w:tc>
          <w:tcPr>
            <w:tcW w:w="1840" w:type="dxa"/>
            <w:tcBorders>
              <w:top w:val="nil"/>
              <w:left w:val="single" w:sz="4" w:space="0" w:color="auto"/>
              <w:bottom w:val="single" w:sz="4" w:space="0" w:color="auto"/>
              <w:right w:val="nil"/>
            </w:tcBorders>
            <w:shd w:val="clear" w:color="auto" w:fill="auto"/>
            <w:vAlign w:val="center"/>
            <w:hideMark/>
          </w:tcPr>
          <w:p w:rsidR="008F3FC9" w:rsidRPr="008F3FC9" w:rsidRDefault="008F3FC9" w:rsidP="008F3FC9">
            <w:pPr>
              <w:widowControl/>
              <w:rPr>
                <w:rFonts w:eastAsia="新細明體"/>
                <w:kern w:val="0"/>
                <w:sz w:val="18"/>
                <w:szCs w:val="18"/>
              </w:rPr>
            </w:pPr>
            <w:r w:rsidRPr="008F3FC9">
              <w:rPr>
                <w:rFonts w:eastAsia="新細明體"/>
                <w:kern w:val="0"/>
                <w:sz w:val="18"/>
                <w:szCs w:val="18"/>
              </w:rPr>
              <w:t>Grand Ocean</w:t>
            </w:r>
            <w:r w:rsidRPr="008F3FC9">
              <w:rPr>
                <w:rFonts w:eastAsia="新細明體"/>
                <w:kern w:val="0"/>
                <w:sz w:val="18"/>
                <w:szCs w:val="18"/>
              </w:rPr>
              <w:br/>
            </w:r>
            <w:r w:rsidRPr="008F3FC9">
              <w:rPr>
                <w:rFonts w:eastAsia="新細明體"/>
                <w:color w:val="00B050"/>
                <w:kern w:val="0"/>
                <w:sz w:val="18"/>
                <w:szCs w:val="18"/>
              </w:rPr>
              <w:t>The Elements</w:t>
            </w:r>
          </w:p>
        </w:tc>
        <w:tc>
          <w:tcPr>
            <w:tcW w:w="709" w:type="dxa"/>
            <w:tcBorders>
              <w:top w:val="nil"/>
              <w:left w:val="single" w:sz="8" w:space="0" w:color="auto"/>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75</w:t>
            </w:r>
          </w:p>
        </w:tc>
        <w:tc>
          <w:tcPr>
            <w:tcW w:w="693"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70</w:t>
            </w:r>
          </w:p>
        </w:tc>
        <w:tc>
          <w:tcPr>
            <w:tcW w:w="804"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25</w:t>
            </w:r>
          </w:p>
        </w:tc>
        <w:tc>
          <w:tcPr>
            <w:tcW w:w="341"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80</w:t>
            </w:r>
          </w:p>
        </w:tc>
        <w:tc>
          <w:tcPr>
            <w:tcW w:w="485"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100</w:t>
            </w:r>
          </w:p>
        </w:tc>
        <w:tc>
          <w:tcPr>
            <w:tcW w:w="485"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115</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85</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95</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60</w:t>
            </w:r>
          </w:p>
        </w:tc>
        <w:tc>
          <w:tcPr>
            <w:tcW w:w="341" w:type="dxa"/>
            <w:tcBorders>
              <w:top w:val="nil"/>
              <w:left w:val="nil"/>
              <w:bottom w:val="single" w:sz="4" w:space="0" w:color="auto"/>
              <w:right w:val="nil"/>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80</w:t>
            </w:r>
          </w:p>
        </w:tc>
        <w:tc>
          <w:tcPr>
            <w:tcW w:w="606" w:type="dxa"/>
            <w:tcBorders>
              <w:top w:val="nil"/>
              <w:left w:val="single" w:sz="8" w:space="0" w:color="auto"/>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w:t>
            </w:r>
          </w:p>
        </w:tc>
        <w:tc>
          <w:tcPr>
            <w:tcW w:w="592"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w:t>
            </w:r>
          </w:p>
        </w:tc>
        <w:tc>
          <w:tcPr>
            <w:tcW w:w="686"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w:t>
            </w:r>
          </w:p>
        </w:tc>
        <w:tc>
          <w:tcPr>
            <w:tcW w:w="360"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90</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140</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110</w:t>
            </w:r>
          </w:p>
        </w:tc>
        <w:tc>
          <w:tcPr>
            <w:tcW w:w="29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w:t>
            </w:r>
          </w:p>
        </w:tc>
        <w:tc>
          <w:tcPr>
            <w:tcW w:w="413" w:type="dxa"/>
            <w:tcBorders>
              <w:top w:val="nil"/>
              <w:left w:val="nil"/>
              <w:bottom w:val="single" w:sz="4" w:space="0" w:color="auto"/>
              <w:right w:val="single" w:sz="8"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105</w:t>
            </w:r>
          </w:p>
        </w:tc>
      </w:tr>
      <w:tr w:rsidR="008F3FC9" w:rsidRPr="008F3FC9" w:rsidTr="008F3FC9">
        <w:trPr>
          <w:trHeight w:val="450"/>
        </w:trPr>
        <w:tc>
          <w:tcPr>
            <w:tcW w:w="1840" w:type="dxa"/>
            <w:tcBorders>
              <w:top w:val="nil"/>
              <w:left w:val="single" w:sz="4" w:space="0" w:color="auto"/>
              <w:bottom w:val="single" w:sz="4" w:space="0" w:color="auto"/>
              <w:right w:val="nil"/>
            </w:tcBorders>
            <w:shd w:val="clear" w:color="auto" w:fill="auto"/>
            <w:vAlign w:val="center"/>
            <w:hideMark/>
          </w:tcPr>
          <w:p w:rsidR="008F3FC9" w:rsidRPr="008F3FC9" w:rsidRDefault="008F3FC9" w:rsidP="008F3FC9">
            <w:pPr>
              <w:widowControl/>
              <w:rPr>
                <w:rFonts w:eastAsia="新細明體"/>
                <w:kern w:val="0"/>
                <w:sz w:val="18"/>
                <w:szCs w:val="18"/>
              </w:rPr>
            </w:pPr>
            <w:proofErr w:type="spellStart"/>
            <w:r w:rsidRPr="008F3FC9">
              <w:rPr>
                <w:rFonts w:eastAsia="新細明體"/>
                <w:kern w:val="0"/>
                <w:sz w:val="18"/>
                <w:szCs w:val="18"/>
              </w:rPr>
              <w:t>Fanling</w:t>
            </w:r>
            <w:proofErr w:type="spellEnd"/>
            <w:r w:rsidRPr="008F3FC9">
              <w:rPr>
                <w:rFonts w:eastAsia="新細明體"/>
                <w:kern w:val="0"/>
                <w:sz w:val="18"/>
                <w:szCs w:val="18"/>
              </w:rPr>
              <w:br/>
            </w:r>
            <w:r w:rsidRPr="008F3FC9">
              <w:rPr>
                <w:rFonts w:eastAsia="新細明體"/>
                <w:color w:val="00B050"/>
                <w:kern w:val="0"/>
                <w:sz w:val="18"/>
                <w:szCs w:val="18"/>
              </w:rPr>
              <w:t xml:space="preserve">Tin </w:t>
            </w:r>
            <w:proofErr w:type="spellStart"/>
            <w:r w:rsidRPr="008F3FC9">
              <w:rPr>
                <w:rFonts w:eastAsia="新細明體"/>
                <w:color w:val="00B050"/>
                <w:kern w:val="0"/>
                <w:sz w:val="18"/>
                <w:szCs w:val="18"/>
              </w:rPr>
              <w:t>Shui</w:t>
            </w:r>
            <w:proofErr w:type="spellEnd"/>
            <w:r w:rsidRPr="008F3FC9">
              <w:rPr>
                <w:rFonts w:eastAsia="新細明體"/>
                <w:color w:val="00B050"/>
                <w:kern w:val="0"/>
                <w:sz w:val="18"/>
                <w:szCs w:val="18"/>
              </w:rPr>
              <w:t xml:space="preserve"> Wai Broadway</w:t>
            </w:r>
          </w:p>
        </w:tc>
        <w:tc>
          <w:tcPr>
            <w:tcW w:w="709" w:type="dxa"/>
            <w:tcBorders>
              <w:top w:val="nil"/>
              <w:left w:val="single" w:sz="8" w:space="0" w:color="auto"/>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45</w:t>
            </w:r>
          </w:p>
        </w:tc>
        <w:tc>
          <w:tcPr>
            <w:tcW w:w="693"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45</w:t>
            </w:r>
          </w:p>
        </w:tc>
        <w:tc>
          <w:tcPr>
            <w:tcW w:w="804"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25</w:t>
            </w:r>
          </w:p>
        </w:tc>
        <w:tc>
          <w:tcPr>
            <w:tcW w:w="341"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55</w:t>
            </w:r>
          </w:p>
        </w:tc>
        <w:tc>
          <w:tcPr>
            <w:tcW w:w="485"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70</w:t>
            </w:r>
          </w:p>
        </w:tc>
        <w:tc>
          <w:tcPr>
            <w:tcW w:w="485"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80</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45</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65</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45</w:t>
            </w:r>
          </w:p>
        </w:tc>
        <w:tc>
          <w:tcPr>
            <w:tcW w:w="341" w:type="dxa"/>
            <w:tcBorders>
              <w:top w:val="nil"/>
              <w:left w:val="nil"/>
              <w:bottom w:val="single" w:sz="4" w:space="0" w:color="auto"/>
              <w:right w:val="nil"/>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65</w:t>
            </w:r>
          </w:p>
        </w:tc>
        <w:tc>
          <w:tcPr>
            <w:tcW w:w="606" w:type="dxa"/>
            <w:tcBorders>
              <w:top w:val="nil"/>
              <w:left w:val="single" w:sz="8" w:space="0" w:color="auto"/>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w:t>
            </w:r>
          </w:p>
        </w:tc>
        <w:tc>
          <w:tcPr>
            <w:tcW w:w="592"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w:t>
            </w:r>
          </w:p>
        </w:tc>
        <w:tc>
          <w:tcPr>
            <w:tcW w:w="686"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w:t>
            </w:r>
          </w:p>
        </w:tc>
        <w:tc>
          <w:tcPr>
            <w:tcW w:w="360"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65</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90</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95</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65</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80</w:t>
            </w:r>
          </w:p>
        </w:tc>
        <w:tc>
          <w:tcPr>
            <w:tcW w:w="29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65</w:t>
            </w:r>
          </w:p>
        </w:tc>
        <w:tc>
          <w:tcPr>
            <w:tcW w:w="413" w:type="dxa"/>
            <w:tcBorders>
              <w:top w:val="nil"/>
              <w:left w:val="nil"/>
              <w:bottom w:val="single" w:sz="4" w:space="0" w:color="auto"/>
              <w:right w:val="single" w:sz="8"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80</w:t>
            </w:r>
          </w:p>
        </w:tc>
      </w:tr>
      <w:tr w:rsidR="008F3FC9" w:rsidRPr="008F3FC9" w:rsidTr="008F3FC9">
        <w:trPr>
          <w:trHeight w:val="450"/>
        </w:trPr>
        <w:tc>
          <w:tcPr>
            <w:tcW w:w="1840" w:type="dxa"/>
            <w:tcBorders>
              <w:top w:val="nil"/>
              <w:left w:val="single" w:sz="4" w:space="0" w:color="auto"/>
              <w:bottom w:val="single" w:sz="4" w:space="0" w:color="auto"/>
              <w:right w:val="nil"/>
            </w:tcBorders>
            <w:shd w:val="clear" w:color="auto" w:fill="auto"/>
            <w:vAlign w:val="center"/>
            <w:hideMark/>
          </w:tcPr>
          <w:p w:rsidR="008F3FC9" w:rsidRPr="008F3FC9" w:rsidRDefault="008F3FC9" w:rsidP="008F3FC9">
            <w:pPr>
              <w:widowControl/>
              <w:rPr>
                <w:rFonts w:eastAsia="新細明體"/>
                <w:kern w:val="0"/>
                <w:sz w:val="18"/>
                <w:szCs w:val="18"/>
              </w:rPr>
            </w:pPr>
            <w:proofErr w:type="spellStart"/>
            <w:r w:rsidRPr="008F3FC9">
              <w:rPr>
                <w:rFonts w:eastAsia="新細明體"/>
                <w:kern w:val="0"/>
                <w:sz w:val="18"/>
                <w:szCs w:val="18"/>
              </w:rPr>
              <w:t>Citywalk</w:t>
            </w:r>
            <w:proofErr w:type="spellEnd"/>
            <w:r w:rsidRPr="008F3FC9">
              <w:rPr>
                <w:rFonts w:eastAsia="新細明體"/>
                <w:kern w:val="0"/>
                <w:sz w:val="18"/>
                <w:szCs w:val="18"/>
              </w:rPr>
              <w:br/>
            </w:r>
            <w:r w:rsidRPr="008F3FC9">
              <w:rPr>
                <w:rFonts w:eastAsia="新細明體"/>
                <w:color w:val="00B050"/>
                <w:kern w:val="0"/>
                <w:sz w:val="18"/>
                <w:szCs w:val="18"/>
              </w:rPr>
              <w:t>Tsuen Wan Broadway</w:t>
            </w:r>
          </w:p>
        </w:tc>
        <w:tc>
          <w:tcPr>
            <w:tcW w:w="709" w:type="dxa"/>
            <w:tcBorders>
              <w:top w:val="nil"/>
              <w:left w:val="single" w:sz="8" w:space="0" w:color="auto"/>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55</w:t>
            </w:r>
          </w:p>
        </w:tc>
        <w:tc>
          <w:tcPr>
            <w:tcW w:w="693"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55</w:t>
            </w:r>
          </w:p>
        </w:tc>
        <w:tc>
          <w:tcPr>
            <w:tcW w:w="804"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25</w:t>
            </w:r>
          </w:p>
        </w:tc>
        <w:tc>
          <w:tcPr>
            <w:tcW w:w="341"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60</w:t>
            </w:r>
          </w:p>
        </w:tc>
        <w:tc>
          <w:tcPr>
            <w:tcW w:w="485"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90</w:t>
            </w:r>
          </w:p>
        </w:tc>
        <w:tc>
          <w:tcPr>
            <w:tcW w:w="485"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95</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75</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80</w:t>
            </w:r>
          </w:p>
        </w:tc>
        <w:tc>
          <w:tcPr>
            <w:tcW w:w="34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50</w:t>
            </w:r>
          </w:p>
        </w:tc>
        <w:tc>
          <w:tcPr>
            <w:tcW w:w="341" w:type="dxa"/>
            <w:tcBorders>
              <w:top w:val="nil"/>
              <w:left w:val="nil"/>
              <w:bottom w:val="single" w:sz="4" w:space="0" w:color="auto"/>
              <w:right w:val="nil"/>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80</w:t>
            </w:r>
          </w:p>
        </w:tc>
        <w:tc>
          <w:tcPr>
            <w:tcW w:w="606" w:type="dxa"/>
            <w:tcBorders>
              <w:top w:val="nil"/>
              <w:left w:val="single" w:sz="8" w:space="0" w:color="auto"/>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85</w:t>
            </w:r>
          </w:p>
        </w:tc>
        <w:tc>
          <w:tcPr>
            <w:tcW w:w="592"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85</w:t>
            </w:r>
          </w:p>
        </w:tc>
        <w:tc>
          <w:tcPr>
            <w:tcW w:w="686"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45</w:t>
            </w:r>
          </w:p>
        </w:tc>
        <w:tc>
          <w:tcPr>
            <w:tcW w:w="360" w:type="dxa"/>
            <w:tcBorders>
              <w:top w:val="nil"/>
              <w:left w:val="nil"/>
              <w:bottom w:val="single" w:sz="4" w:space="0" w:color="auto"/>
              <w:right w:val="single" w:sz="4" w:space="0" w:color="auto"/>
            </w:tcBorders>
            <w:shd w:val="clear" w:color="000000" w:fill="FDE9D9"/>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75</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115</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120</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105</w:t>
            </w:r>
          </w:p>
        </w:tc>
        <w:tc>
          <w:tcPr>
            <w:tcW w:w="413"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95</w:t>
            </w:r>
          </w:p>
        </w:tc>
        <w:tc>
          <w:tcPr>
            <w:tcW w:w="291" w:type="dxa"/>
            <w:tcBorders>
              <w:top w:val="nil"/>
              <w:left w:val="nil"/>
              <w:bottom w:val="single" w:sz="4" w:space="0" w:color="auto"/>
              <w:right w:val="single" w:sz="4" w:space="0" w:color="auto"/>
            </w:tcBorders>
            <w:shd w:val="clear" w:color="000000" w:fill="DAEEF3"/>
            <w:noWrap/>
            <w:vAlign w:val="center"/>
            <w:hideMark/>
          </w:tcPr>
          <w:p w:rsidR="008F3FC9" w:rsidRPr="008F3FC9" w:rsidRDefault="008F3FC9" w:rsidP="008F3FC9">
            <w:pPr>
              <w:widowControl/>
              <w:jc w:val="center"/>
              <w:rPr>
                <w:rFonts w:eastAsia="新細明體"/>
                <w:kern w:val="0"/>
                <w:sz w:val="18"/>
                <w:szCs w:val="18"/>
              </w:rPr>
            </w:pPr>
            <w:r w:rsidRPr="008F3FC9">
              <w:rPr>
                <w:rFonts w:eastAsia="新細明體"/>
                <w:kern w:val="0"/>
                <w:sz w:val="18"/>
                <w:szCs w:val="18"/>
              </w:rPr>
              <w:t>70</w:t>
            </w:r>
          </w:p>
        </w:tc>
        <w:tc>
          <w:tcPr>
            <w:tcW w:w="413" w:type="dxa"/>
            <w:tcBorders>
              <w:top w:val="nil"/>
              <w:left w:val="nil"/>
              <w:bottom w:val="single" w:sz="4" w:space="0" w:color="auto"/>
              <w:right w:val="single" w:sz="8" w:space="0" w:color="auto"/>
            </w:tcBorders>
            <w:shd w:val="clear" w:color="000000" w:fill="DAEEF3"/>
            <w:noWrap/>
            <w:vAlign w:val="center"/>
            <w:hideMark/>
          </w:tcPr>
          <w:p w:rsidR="008F3FC9" w:rsidRPr="008F3FC9" w:rsidRDefault="008F3FC9" w:rsidP="008F3FC9">
            <w:pPr>
              <w:widowControl/>
              <w:jc w:val="center"/>
              <w:rPr>
                <w:rFonts w:eastAsia="新細明體"/>
                <w:color w:val="00B050"/>
                <w:kern w:val="0"/>
                <w:sz w:val="18"/>
                <w:szCs w:val="18"/>
              </w:rPr>
            </w:pPr>
            <w:r w:rsidRPr="008F3FC9">
              <w:rPr>
                <w:rFonts w:eastAsia="新細明體"/>
                <w:color w:val="00B050"/>
                <w:kern w:val="0"/>
                <w:sz w:val="18"/>
                <w:szCs w:val="18"/>
              </w:rPr>
              <w:t>95</w:t>
            </w:r>
          </w:p>
        </w:tc>
      </w:tr>
    </w:tbl>
    <w:p w:rsidR="008F3FC9" w:rsidRDefault="008F3FC9" w:rsidP="001137C7">
      <w:pPr>
        <w:adjustRightInd w:val="0"/>
        <w:snapToGrid w:val="0"/>
        <w:spacing w:line="360" w:lineRule="auto"/>
        <w:jc w:val="both"/>
        <w:rPr>
          <w:rFonts w:eastAsia="新細明體" w:hint="eastAsia"/>
          <w:bCs/>
          <w:i/>
          <w:szCs w:val="24"/>
        </w:rPr>
      </w:pPr>
      <w:r w:rsidRPr="008F3FC9">
        <w:rPr>
          <w:rFonts w:eastAsia="新細明體" w:hint="eastAsia"/>
          <w:bCs/>
          <w:i/>
          <w:szCs w:val="24"/>
        </w:rPr>
        <w:t>Table 5</w:t>
      </w:r>
    </w:p>
    <w:p w:rsidR="0015333A" w:rsidRPr="008F3FC9" w:rsidRDefault="0015333A" w:rsidP="001137C7">
      <w:pPr>
        <w:adjustRightInd w:val="0"/>
        <w:snapToGrid w:val="0"/>
        <w:spacing w:line="360" w:lineRule="auto"/>
        <w:jc w:val="both"/>
        <w:rPr>
          <w:rFonts w:eastAsia="新細明體"/>
          <w:bCs/>
          <w:i/>
          <w:szCs w:val="24"/>
        </w:rPr>
      </w:pPr>
    </w:p>
    <w:p w:rsidR="006E1A12" w:rsidRDefault="008F3FC9">
      <w:pPr>
        <w:adjustRightInd w:val="0"/>
        <w:snapToGrid w:val="0"/>
        <w:spacing w:line="360" w:lineRule="auto"/>
        <w:jc w:val="both"/>
        <w:rPr>
          <w:rFonts w:eastAsia="新細明體" w:hint="eastAsia"/>
          <w:bCs/>
          <w:szCs w:val="24"/>
        </w:rPr>
      </w:pPr>
      <w:r>
        <w:rPr>
          <w:rFonts w:eastAsia="新細明體" w:hint="eastAsia"/>
          <w:bCs/>
          <w:szCs w:val="24"/>
        </w:rPr>
        <w:t xml:space="preserve">I made a comparison price table by checking the price of Broadway Circuit cinema where located in same district as The Sky (use </w:t>
      </w:r>
      <w:proofErr w:type="spellStart"/>
      <w:r>
        <w:rPr>
          <w:rFonts w:eastAsia="新細明體" w:hint="eastAsia"/>
          <w:bCs/>
          <w:szCs w:val="24"/>
        </w:rPr>
        <w:t>Mong</w:t>
      </w:r>
      <w:proofErr w:type="spellEnd"/>
      <w:r>
        <w:rPr>
          <w:rFonts w:eastAsia="新細明體" w:hint="eastAsia"/>
          <w:bCs/>
          <w:szCs w:val="24"/>
        </w:rPr>
        <w:t xml:space="preserve"> Kong Broadway), Grand Ocean (use The Elements), </w:t>
      </w:r>
      <w:proofErr w:type="spellStart"/>
      <w:r>
        <w:rPr>
          <w:rFonts w:eastAsia="新細明體" w:hint="eastAsia"/>
          <w:bCs/>
          <w:szCs w:val="24"/>
        </w:rPr>
        <w:t>Fanling</w:t>
      </w:r>
      <w:proofErr w:type="spellEnd"/>
      <w:r>
        <w:rPr>
          <w:rFonts w:eastAsia="新細明體" w:hint="eastAsia"/>
          <w:bCs/>
          <w:szCs w:val="24"/>
        </w:rPr>
        <w:t xml:space="preserve"> (use Tin </w:t>
      </w:r>
      <w:proofErr w:type="spellStart"/>
      <w:r>
        <w:rPr>
          <w:rFonts w:eastAsia="新細明體" w:hint="eastAsia"/>
          <w:bCs/>
          <w:szCs w:val="24"/>
        </w:rPr>
        <w:t>Shui</w:t>
      </w:r>
      <w:proofErr w:type="spellEnd"/>
      <w:r>
        <w:rPr>
          <w:rFonts w:eastAsia="新細明體" w:hint="eastAsia"/>
          <w:bCs/>
          <w:szCs w:val="24"/>
        </w:rPr>
        <w:t xml:space="preserve"> Wai Broadway) and </w:t>
      </w:r>
      <w:proofErr w:type="spellStart"/>
      <w:r>
        <w:rPr>
          <w:rFonts w:eastAsia="新細明體" w:hint="eastAsia"/>
          <w:bCs/>
          <w:szCs w:val="24"/>
        </w:rPr>
        <w:t>Citywalk</w:t>
      </w:r>
      <w:proofErr w:type="spellEnd"/>
      <w:r>
        <w:rPr>
          <w:rFonts w:eastAsia="新細明體" w:hint="eastAsia"/>
          <w:bCs/>
          <w:szCs w:val="24"/>
        </w:rPr>
        <w:t xml:space="preserve"> (use </w:t>
      </w:r>
      <w:proofErr w:type="spellStart"/>
      <w:r>
        <w:rPr>
          <w:rFonts w:eastAsia="新細明體" w:hint="eastAsia"/>
          <w:bCs/>
          <w:szCs w:val="24"/>
        </w:rPr>
        <w:t>Tusen</w:t>
      </w:r>
      <w:proofErr w:type="spellEnd"/>
      <w:r>
        <w:rPr>
          <w:rFonts w:eastAsia="新細明體" w:hint="eastAsia"/>
          <w:bCs/>
          <w:szCs w:val="24"/>
        </w:rPr>
        <w:t xml:space="preserve"> Wan Broadway). According to the </w:t>
      </w:r>
      <w:r>
        <w:rPr>
          <w:rFonts w:eastAsia="新細明體"/>
          <w:bCs/>
          <w:szCs w:val="24"/>
        </w:rPr>
        <w:t>comparison</w:t>
      </w:r>
      <w:r>
        <w:rPr>
          <w:rFonts w:eastAsia="新細明體" w:hint="eastAsia"/>
          <w:bCs/>
          <w:szCs w:val="24"/>
        </w:rPr>
        <w:t xml:space="preserve"> table, the movie ticket price of Broadway Circuit cinema are all higher than Golden Harvest in same district, which means, they are selling the same group of people with same consumption power. Apart from that, the screening technology and audio equipment are also similar between Golden Harvest and Broadway Circuit such as vibrate seats and </w:t>
      </w:r>
      <w:proofErr w:type="spellStart"/>
      <w:proofErr w:type="gramStart"/>
      <w:r>
        <w:rPr>
          <w:rFonts w:eastAsia="新細明體" w:hint="eastAsia"/>
          <w:bCs/>
          <w:szCs w:val="24"/>
        </w:rPr>
        <w:t>dolby</w:t>
      </w:r>
      <w:proofErr w:type="spellEnd"/>
      <w:proofErr w:type="gramEnd"/>
      <w:r>
        <w:rPr>
          <w:rFonts w:eastAsia="新細明體" w:hint="eastAsia"/>
          <w:bCs/>
          <w:szCs w:val="24"/>
        </w:rPr>
        <w:t xml:space="preserve"> surround sound. </w:t>
      </w:r>
    </w:p>
    <w:p w:rsidR="008F3FC9" w:rsidRDefault="008F3FC9">
      <w:pPr>
        <w:adjustRightInd w:val="0"/>
        <w:snapToGrid w:val="0"/>
        <w:spacing w:line="360" w:lineRule="auto"/>
        <w:jc w:val="both"/>
        <w:rPr>
          <w:rFonts w:eastAsia="新細明體" w:hint="eastAsia"/>
          <w:bCs/>
          <w:szCs w:val="24"/>
        </w:rPr>
      </w:pPr>
    </w:p>
    <w:p w:rsidR="008F3FC9" w:rsidRDefault="008F3FC9">
      <w:pPr>
        <w:adjustRightInd w:val="0"/>
        <w:snapToGrid w:val="0"/>
        <w:spacing w:line="360" w:lineRule="auto"/>
        <w:jc w:val="both"/>
        <w:rPr>
          <w:rFonts w:eastAsia="新細明體" w:hint="eastAsia"/>
          <w:bCs/>
          <w:szCs w:val="24"/>
        </w:rPr>
      </w:pPr>
      <w:r>
        <w:rPr>
          <w:rFonts w:eastAsia="新細明體" w:hint="eastAsia"/>
          <w:bCs/>
          <w:szCs w:val="24"/>
        </w:rPr>
        <w:t xml:space="preserve">In terms of this, I believe Golden Harvest is able to capture higher consumer surplus by revising their pricing structure. </w:t>
      </w:r>
    </w:p>
    <w:p w:rsidR="00600D3A" w:rsidRDefault="00600D3A" w:rsidP="00600D3A">
      <w:pPr>
        <w:adjustRightInd w:val="0"/>
        <w:snapToGrid w:val="0"/>
        <w:spacing w:line="360" w:lineRule="auto"/>
        <w:jc w:val="both"/>
        <w:rPr>
          <w:rFonts w:eastAsia="新細明體" w:hint="eastAsia"/>
          <w:bCs/>
          <w:szCs w:val="24"/>
        </w:rPr>
      </w:pPr>
    </w:p>
    <w:p w:rsidR="00600D3A" w:rsidRDefault="00600D3A" w:rsidP="00600D3A">
      <w:pPr>
        <w:adjustRightInd w:val="0"/>
        <w:snapToGrid w:val="0"/>
        <w:spacing w:line="360" w:lineRule="auto"/>
        <w:ind w:leftChars="-118" w:hangingChars="118" w:hanging="283"/>
        <w:jc w:val="both"/>
        <w:rPr>
          <w:rFonts w:eastAsia="新細明體" w:hint="eastAsia"/>
          <w:bCs/>
          <w:szCs w:val="24"/>
        </w:rPr>
      </w:pPr>
      <w:r w:rsidRPr="00600D3A">
        <w:rPr>
          <w:rFonts w:hint="eastAsia"/>
        </w:rPr>
        <w:lastRenderedPageBreak/>
        <w:drawing>
          <wp:inline distT="0" distB="0" distL="0" distR="0" wp14:anchorId="6393E42E" wp14:editId="3BA5B086">
            <wp:extent cx="6262266" cy="2399803"/>
            <wp:effectExtent l="0" t="0" r="5715" b="635"/>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58576" cy="2398389"/>
                    </a:xfrm>
                    <a:prstGeom prst="rect">
                      <a:avLst/>
                    </a:prstGeom>
                    <a:noFill/>
                    <a:ln>
                      <a:noFill/>
                    </a:ln>
                  </pic:spPr>
                </pic:pic>
              </a:graphicData>
            </a:graphic>
          </wp:inline>
        </w:drawing>
      </w:r>
    </w:p>
    <w:p w:rsidR="0015333A" w:rsidRDefault="0015333A" w:rsidP="00600D3A">
      <w:pPr>
        <w:adjustRightInd w:val="0"/>
        <w:snapToGrid w:val="0"/>
        <w:spacing w:line="360" w:lineRule="auto"/>
        <w:ind w:leftChars="-118" w:hangingChars="118" w:hanging="283"/>
        <w:jc w:val="both"/>
        <w:rPr>
          <w:rFonts w:eastAsia="新細明體" w:hint="eastAsia"/>
          <w:bCs/>
          <w:i/>
          <w:szCs w:val="24"/>
        </w:rPr>
      </w:pPr>
      <w:r w:rsidRPr="0015333A">
        <w:rPr>
          <w:rFonts w:eastAsia="新細明體" w:hint="eastAsia"/>
          <w:bCs/>
          <w:i/>
          <w:szCs w:val="24"/>
        </w:rPr>
        <w:t>Chart 4</w:t>
      </w:r>
    </w:p>
    <w:p w:rsidR="0015333A" w:rsidRPr="0015333A" w:rsidRDefault="0015333A" w:rsidP="00600D3A">
      <w:pPr>
        <w:adjustRightInd w:val="0"/>
        <w:snapToGrid w:val="0"/>
        <w:spacing w:line="360" w:lineRule="auto"/>
        <w:ind w:leftChars="-118" w:hangingChars="118" w:hanging="283"/>
        <w:jc w:val="both"/>
        <w:rPr>
          <w:rFonts w:eastAsia="新細明體" w:hint="eastAsia"/>
          <w:bCs/>
          <w:i/>
          <w:szCs w:val="24"/>
        </w:rPr>
      </w:pPr>
    </w:p>
    <w:p w:rsidR="00600D3A" w:rsidRPr="00600D3A" w:rsidRDefault="00600D3A" w:rsidP="00600D3A">
      <w:pPr>
        <w:pStyle w:val="HTML"/>
        <w:shd w:val="clear" w:color="auto" w:fill="FFFFFF"/>
        <w:spacing w:line="360" w:lineRule="auto"/>
        <w:jc w:val="both"/>
        <w:rPr>
          <w:rFonts w:ascii="Times New Roman" w:eastAsia="新細明體" w:hAnsi="Times New Roman" w:cs="Times New Roman" w:hint="eastAsia"/>
          <w:sz w:val="24"/>
          <w:szCs w:val="24"/>
        </w:rPr>
      </w:pPr>
      <w:r w:rsidRPr="00600D3A">
        <w:rPr>
          <w:rFonts w:ascii="Times New Roman" w:hAnsi="Times New Roman" w:cs="Times New Roman"/>
          <w:sz w:val="24"/>
          <w:szCs w:val="24"/>
          <w:lang w:val="en"/>
        </w:rPr>
        <w:t>In the past, the film industry association was very strict</w:t>
      </w:r>
      <w:r>
        <w:rPr>
          <w:rFonts w:ascii="Times New Roman" w:eastAsia="新細明體" w:hAnsi="Times New Roman" w:cs="Times New Roman" w:hint="eastAsia"/>
          <w:sz w:val="24"/>
          <w:szCs w:val="24"/>
          <w:lang w:val="en"/>
        </w:rPr>
        <w:t xml:space="preserve"> on the movie ticket price</w:t>
      </w:r>
      <w:r w:rsidRPr="00600D3A">
        <w:rPr>
          <w:rFonts w:ascii="Times New Roman" w:hAnsi="Times New Roman" w:cs="Times New Roman"/>
          <w:sz w:val="24"/>
          <w:szCs w:val="24"/>
          <w:lang w:val="en"/>
        </w:rPr>
        <w:t xml:space="preserve">, </w:t>
      </w:r>
      <w:r>
        <w:rPr>
          <w:rFonts w:ascii="Times New Roman" w:eastAsia="新細明體" w:hAnsi="Times New Roman" w:cs="Times New Roman" w:hint="eastAsia"/>
          <w:sz w:val="24"/>
          <w:szCs w:val="24"/>
          <w:lang w:val="en"/>
        </w:rPr>
        <w:t>so</w:t>
      </w:r>
      <w:r w:rsidRPr="00600D3A">
        <w:rPr>
          <w:rFonts w:ascii="Times New Roman" w:hAnsi="Times New Roman" w:cs="Times New Roman"/>
          <w:sz w:val="24"/>
          <w:szCs w:val="24"/>
          <w:lang w:val="en"/>
        </w:rPr>
        <w:t xml:space="preserve"> the so-called monopoly</w:t>
      </w:r>
      <w:r>
        <w:rPr>
          <w:rFonts w:ascii="Times New Roman" w:eastAsia="新細明體" w:hAnsi="Times New Roman" w:cs="Times New Roman" w:hint="eastAsia"/>
          <w:sz w:val="24"/>
          <w:szCs w:val="24"/>
          <w:lang w:val="en"/>
        </w:rPr>
        <w:t xml:space="preserve"> was formed</w:t>
      </w:r>
      <w:r w:rsidRPr="00600D3A">
        <w:rPr>
          <w:rFonts w:ascii="Times New Roman" w:hAnsi="Times New Roman" w:cs="Times New Roman"/>
          <w:sz w:val="24"/>
          <w:szCs w:val="24"/>
          <w:lang w:val="en"/>
        </w:rPr>
        <w:t xml:space="preserve">. In the exclusive market, </w:t>
      </w:r>
      <w:r>
        <w:rPr>
          <w:rFonts w:ascii="Times New Roman" w:eastAsia="新細明體" w:hAnsi="Times New Roman" w:cs="Times New Roman" w:hint="eastAsia"/>
          <w:sz w:val="24"/>
          <w:szCs w:val="24"/>
          <w:lang w:val="en"/>
        </w:rPr>
        <w:t>cinema operator</w:t>
      </w:r>
      <w:r w:rsidRPr="00600D3A">
        <w:rPr>
          <w:rFonts w:ascii="Times New Roman" w:hAnsi="Times New Roman" w:cs="Times New Roman"/>
          <w:sz w:val="24"/>
          <w:szCs w:val="24"/>
          <w:lang w:val="en"/>
        </w:rPr>
        <w:t xml:space="preserve"> have the ability to sell different prices to different buyers, but how to distinguish these </w:t>
      </w:r>
      <w:r>
        <w:rPr>
          <w:rFonts w:ascii="Times New Roman" w:eastAsia="新細明體" w:hAnsi="Times New Roman" w:cs="Times New Roman" w:hint="eastAsia"/>
          <w:sz w:val="24"/>
          <w:szCs w:val="24"/>
          <w:lang w:val="en"/>
        </w:rPr>
        <w:t>group of people in order to let cinema operators</w:t>
      </w:r>
      <w:r>
        <w:rPr>
          <w:rFonts w:ascii="Times New Roman" w:hAnsi="Times New Roman" w:cs="Times New Roman"/>
          <w:sz w:val="24"/>
          <w:szCs w:val="24"/>
          <w:lang w:val="en"/>
        </w:rPr>
        <w:t xml:space="preserve"> can gain the</w:t>
      </w:r>
      <w:r>
        <w:rPr>
          <w:rFonts w:ascii="Times New Roman" w:eastAsia="新細明體" w:hAnsi="Times New Roman" w:cs="Times New Roman" w:hint="eastAsia"/>
          <w:sz w:val="24"/>
          <w:szCs w:val="24"/>
          <w:lang w:val="en"/>
        </w:rPr>
        <w:t>ir</w:t>
      </w:r>
      <w:r>
        <w:rPr>
          <w:rFonts w:ascii="Times New Roman" w:hAnsi="Times New Roman" w:cs="Times New Roman"/>
          <w:sz w:val="24"/>
          <w:szCs w:val="24"/>
          <w:lang w:val="en"/>
        </w:rPr>
        <w:t xml:space="preserve"> largest profit</w:t>
      </w:r>
      <w:r w:rsidRPr="00600D3A">
        <w:rPr>
          <w:rFonts w:ascii="Times New Roman" w:hAnsi="Times New Roman" w:cs="Times New Roman"/>
          <w:sz w:val="24"/>
          <w:szCs w:val="24"/>
          <w:lang w:val="en"/>
        </w:rPr>
        <w:t xml:space="preserve">? The answer is simple. It is related to the elasticity of demand of different consumers. For consumers with less elasticity of demand, </w:t>
      </w:r>
      <w:r>
        <w:rPr>
          <w:rFonts w:ascii="Times New Roman" w:eastAsia="新細明體" w:hAnsi="Times New Roman" w:cs="Times New Roman" w:hint="eastAsia"/>
          <w:sz w:val="24"/>
          <w:szCs w:val="24"/>
          <w:lang w:val="en"/>
        </w:rPr>
        <w:t>cinema</w:t>
      </w:r>
      <w:r w:rsidRPr="00600D3A">
        <w:rPr>
          <w:rFonts w:ascii="Times New Roman" w:hAnsi="Times New Roman" w:cs="Times New Roman"/>
          <w:sz w:val="24"/>
          <w:szCs w:val="24"/>
          <w:lang w:val="en"/>
        </w:rPr>
        <w:t xml:space="preserve"> can set higher prices</w:t>
      </w:r>
      <w:r>
        <w:rPr>
          <w:rFonts w:ascii="Times New Roman" w:eastAsia="新細明體" w:hAnsi="Times New Roman" w:cs="Times New Roman" w:hint="eastAsia"/>
          <w:sz w:val="24"/>
          <w:szCs w:val="24"/>
          <w:lang w:val="en"/>
        </w:rPr>
        <w:t>.</w:t>
      </w:r>
      <w:r w:rsidRPr="00600D3A">
        <w:rPr>
          <w:rFonts w:ascii="Times New Roman" w:hAnsi="Times New Roman" w:cs="Times New Roman"/>
          <w:sz w:val="24"/>
          <w:szCs w:val="24"/>
          <w:lang w:val="en"/>
        </w:rPr>
        <w:t xml:space="preserve"> </w:t>
      </w:r>
      <w:r>
        <w:rPr>
          <w:rFonts w:ascii="Times New Roman" w:eastAsia="新細明體" w:hAnsi="Times New Roman" w:cs="Times New Roman" w:hint="eastAsia"/>
          <w:sz w:val="24"/>
          <w:szCs w:val="24"/>
          <w:lang w:val="en"/>
        </w:rPr>
        <w:t xml:space="preserve">On another hand, </w:t>
      </w:r>
      <w:r w:rsidRPr="00600D3A">
        <w:rPr>
          <w:rFonts w:ascii="Times New Roman" w:hAnsi="Times New Roman" w:cs="Times New Roman"/>
          <w:sz w:val="24"/>
          <w:szCs w:val="24"/>
          <w:lang w:val="en"/>
        </w:rPr>
        <w:t xml:space="preserve">for consumers with greater elasticity of demand, </w:t>
      </w:r>
      <w:r>
        <w:rPr>
          <w:rFonts w:ascii="Times New Roman" w:eastAsia="新細明體" w:hAnsi="Times New Roman" w:cs="Times New Roman" w:hint="eastAsia"/>
          <w:sz w:val="24"/>
          <w:szCs w:val="24"/>
          <w:lang w:val="en"/>
        </w:rPr>
        <w:t xml:space="preserve">cinema will set </w:t>
      </w:r>
      <w:r w:rsidRPr="00600D3A">
        <w:rPr>
          <w:rFonts w:ascii="Times New Roman" w:hAnsi="Times New Roman" w:cs="Times New Roman"/>
          <w:sz w:val="24"/>
          <w:szCs w:val="24"/>
          <w:lang w:val="en"/>
        </w:rPr>
        <w:t>the</w:t>
      </w:r>
      <w:r>
        <w:rPr>
          <w:rFonts w:ascii="Times New Roman" w:eastAsia="新細明體" w:hAnsi="Times New Roman" w:cs="Times New Roman" w:hint="eastAsia"/>
          <w:sz w:val="24"/>
          <w:szCs w:val="24"/>
          <w:lang w:val="en"/>
        </w:rPr>
        <w:t>ir price</w:t>
      </w:r>
      <w:r w:rsidRPr="00600D3A">
        <w:rPr>
          <w:rFonts w:ascii="Times New Roman" w:hAnsi="Times New Roman" w:cs="Times New Roman"/>
          <w:sz w:val="24"/>
          <w:szCs w:val="24"/>
          <w:lang w:val="en"/>
        </w:rPr>
        <w:t xml:space="preserve"> lower. </w:t>
      </w:r>
      <w:r>
        <w:rPr>
          <w:rFonts w:ascii="Times New Roman" w:eastAsia="新細明體" w:hAnsi="Times New Roman" w:cs="Times New Roman" w:hint="eastAsia"/>
          <w:sz w:val="24"/>
          <w:szCs w:val="24"/>
          <w:lang w:val="en"/>
        </w:rPr>
        <w:t>A</w:t>
      </w:r>
      <w:r w:rsidRPr="00600D3A">
        <w:rPr>
          <w:rFonts w:ascii="Times New Roman" w:hAnsi="Times New Roman" w:cs="Times New Roman"/>
          <w:sz w:val="24"/>
          <w:szCs w:val="24"/>
          <w:lang w:val="en"/>
        </w:rPr>
        <w:t xml:space="preserve">s shown in the </w:t>
      </w:r>
      <w:r>
        <w:rPr>
          <w:rFonts w:ascii="Times New Roman" w:eastAsia="新細明體" w:hAnsi="Times New Roman" w:cs="Times New Roman" w:hint="eastAsia"/>
          <w:sz w:val="24"/>
          <w:szCs w:val="24"/>
          <w:lang w:val="en"/>
        </w:rPr>
        <w:t>chat 4</w:t>
      </w:r>
      <w:r w:rsidRPr="00600D3A">
        <w:rPr>
          <w:rFonts w:ascii="Times New Roman" w:hAnsi="Times New Roman" w:cs="Times New Roman"/>
          <w:sz w:val="24"/>
          <w:szCs w:val="24"/>
          <w:lang w:val="en"/>
        </w:rPr>
        <w:t xml:space="preserve">, when the market demand elasticity is large, </w:t>
      </w:r>
      <w:r>
        <w:rPr>
          <w:rFonts w:ascii="Times New Roman" w:eastAsia="新細明體" w:hAnsi="Times New Roman" w:cs="Times New Roman" w:hint="eastAsia"/>
          <w:sz w:val="24"/>
          <w:szCs w:val="24"/>
          <w:lang w:val="en"/>
        </w:rPr>
        <w:t>cinema operators</w:t>
      </w:r>
      <w:r w:rsidRPr="00600D3A">
        <w:rPr>
          <w:rFonts w:ascii="Times New Roman" w:hAnsi="Times New Roman" w:cs="Times New Roman"/>
          <w:sz w:val="24"/>
          <w:szCs w:val="24"/>
          <w:lang w:val="en"/>
        </w:rPr>
        <w:t xml:space="preserve"> can set </w:t>
      </w:r>
      <w:r>
        <w:rPr>
          <w:rFonts w:ascii="Times New Roman" w:eastAsia="新細明體" w:hAnsi="Times New Roman" w:cs="Times New Roman" w:hint="eastAsia"/>
          <w:sz w:val="24"/>
          <w:szCs w:val="24"/>
          <w:lang w:val="en"/>
        </w:rPr>
        <w:t>it to a</w:t>
      </w:r>
      <w:r w:rsidRPr="00600D3A">
        <w:rPr>
          <w:rFonts w:ascii="Times New Roman" w:hAnsi="Times New Roman" w:cs="Times New Roman"/>
          <w:sz w:val="24"/>
          <w:szCs w:val="24"/>
          <w:lang w:val="en"/>
        </w:rPr>
        <w:t xml:space="preserve"> lower</w:t>
      </w:r>
      <w:r>
        <w:rPr>
          <w:rFonts w:ascii="Times New Roman" w:eastAsia="新細明體" w:hAnsi="Times New Roman" w:cs="Times New Roman" w:hint="eastAsia"/>
          <w:sz w:val="24"/>
          <w:szCs w:val="24"/>
          <w:lang w:val="en"/>
        </w:rPr>
        <w:t xml:space="preserve"> level</w:t>
      </w:r>
      <w:r w:rsidRPr="00600D3A">
        <w:rPr>
          <w:rFonts w:ascii="Times New Roman" w:hAnsi="Times New Roman" w:cs="Times New Roman"/>
          <w:sz w:val="24"/>
          <w:szCs w:val="24"/>
          <w:lang w:val="en"/>
        </w:rPr>
        <w:t xml:space="preserve"> as shown in the </w:t>
      </w:r>
      <w:r>
        <w:rPr>
          <w:rFonts w:ascii="Times New Roman" w:eastAsia="新細明體" w:hAnsi="Times New Roman" w:cs="Times New Roman" w:hint="eastAsia"/>
          <w:sz w:val="24"/>
          <w:szCs w:val="24"/>
          <w:lang w:val="en"/>
        </w:rPr>
        <w:t xml:space="preserve">chart 4 </w:t>
      </w:r>
      <w:r w:rsidR="0015333A">
        <w:rPr>
          <w:rFonts w:ascii="Times New Roman" w:eastAsia="新細明體" w:hAnsi="Times New Roman" w:cs="Times New Roman" w:hint="eastAsia"/>
          <w:sz w:val="24"/>
          <w:szCs w:val="24"/>
          <w:lang w:val="en"/>
        </w:rPr>
        <w:t>(</w:t>
      </w:r>
      <w:r>
        <w:rPr>
          <w:rFonts w:ascii="Times New Roman" w:eastAsia="新細明體" w:hAnsi="Times New Roman" w:cs="Times New Roman" w:hint="eastAsia"/>
          <w:sz w:val="24"/>
          <w:szCs w:val="24"/>
          <w:lang w:val="en"/>
        </w:rPr>
        <w:t>A</w:t>
      </w:r>
      <w:r w:rsidR="0015333A">
        <w:rPr>
          <w:rFonts w:ascii="Times New Roman" w:eastAsia="新細明體" w:hAnsi="Times New Roman" w:cs="Times New Roman" w:hint="eastAsia"/>
          <w:sz w:val="24"/>
          <w:szCs w:val="24"/>
          <w:lang w:val="en"/>
        </w:rPr>
        <w:t>)</w:t>
      </w:r>
      <w:r w:rsidRPr="00600D3A">
        <w:rPr>
          <w:rFonts w:ascii="Times New Roman" w:hAnsi="Times New Roman" w:cs="Times New Roman"/>
          <w:sz w:val="24"/>
          <w:szCs w:val="24"/>
          <w:lang w:val="en"/>
        </w:rPr>
        <w:t xml:space="preserve"> </w:t>
      </w:r>
      <w:r>
        <w:rPr>
          <w:rFonts w:ascii="Times New Roman" w:eastAsia="新細明體" w:hAnsi="Times New Roman" w:cs="Times New Roman"/>
          <w:sz w:val="24"/>
          <w:szCs w:val="24"/>
          <w:lang w:val="en"/>
        </w:rPr>
        <w:t>“</w:t>
      </w:r>
      <w:r w:rsidRPr="00600D3A">
        <w:rPr>
          <w:rFonts w:ascii="Times New Roman" w:hAnsi="Times New Roman" w:cs="Times New Roman"/>
          <w:sz w:val="24"/>
          <w:szCs w:val="24"/>
          <w:lang w:val="en"/>
        </w:rPr>
        <w:t>P1</w:t>
      </w:r>
      <w:r>
        <w:rPr>
          <w:rFonts w:ascii="Times New Roman" w:eastAsia="新細明體" w:hAnsi="Times New Roman" w:cs="Times New Roman"/>
          <w:sz w:val="24"/>
          <w:szCs w:val="24"/>
          <w:lang w:val="en"/>
        </w:rPr>
        <w:t>”</w:t>
      </w:r>
      <w:r w:rsidRPr="00600D3A">
        <w:rPr>
          <w:rFonts w:ascii="Times New Roman" w:hAnsi="Times New Roman" w:cs="Times New Roman"/>
          <w:sz w:val="24"/>
          <w:szCs w:val="24"/>
          <w:lang w:val="en"/>
        </w:rPr>
        <w:t xml:space="preserve">; </w:t>
      </w:r>
      <w:r>
        <w:rPr>
          <w:rFonts w:ascii="Times New Roman" w:eastAsia="新細明體" w:hAnsi="Times New Roman" w:cs="Times New Roman" w:hint="eastAsia"/>
          <w:sz w:val="24"/>
          <w:szCs w:val="24"/>
          <w:lang w:val="en"/>
        </w:rPr>
        <w:t>In the opposite</w:t>
      </w:r>
      <w:r w:rsidRPr="00600D3A">
        <w:rPr>
          <w:rFonts w:ascii="Times New Roman" w:hAnsi="Times New Roman" w:cs="Times New Roman"/>
          <w:sz w:val="24"/>
          <w:szCs w:val="24"/>
          <w:lang w:val="en"/>
        </w:rPr>
        <w:t xml:space="preserve">, when the market demand elasticity is small, the price </w:t>
      </w:r>
      <w:r>
        <w:rPr>
          <w:rFonts w:ascii="Times New Roman" w:eastAsia="新細明體" w:hAnsi="Times New Roman" w:cs="Times New Roman" w:hint="eastAsia"/>
          <w:sz w:val="24"/>
          <w:szCs w:val="24"/>
          <w:lang w:val="en"/>
        </w:rPr>
        <w:t>will be set</w:t>
      </w:r>
      <w:r w:rsidRPr="00600D3A">
        <w:rPr>
          <w:rFonts w:ascii="Times New Roman" w:hAnsi="Times New Roman" w:cs="Times New Roman"/>
          <w:sz w:val="24"/>
          <w:szCs w:val="24"/>
          <w:lang w:val="en"/>
        </w:rPr>
        <w:t xml:space="preserve"> </w:t>
      </w:r>
      <w:r>
        <w:rPr>
          <w:rFonts w:ascii="Times New Roman" w:eastAsia="新細明體" w:hAnsi="Times New Roman" w:cs="Times New Roman" w:hint="eastAsia"/>
          <w:sz w:val="24"/>
          <w:szCs w:val="24"/>
          <w:lang w:val="en"/>
        </w:rPr>
        <w:t>h</w:t>
      </w:r>
      <w:r w:rsidRPr="00600D3A">
        <w:rPr>
          <w:rFonts w:ascii="Times New Roman" w:hAnsi="Times New Roman" w:cs="Times New Roman"/>
          <w:sz w:val="24"/>
          <w:szCs w:val="24"/>
          <w:lang w:val="en"/>
        </w:rPr>
        <w:t xml:space="preserve">igher, such as </w:t>
      </w:r>
      <w:r>
        <w:rPr>
          <w:rFonts w:ascii="Times New Roman" w:eastAsia="新細明體" w:hAnsi="Times New Roman" w:cs="Times New Roman" w:hint="eastAsia"/>
          <w:sz w:val="24"/>
          <w:szCs w:val="24"/>
          <w:lang w:val="en"/>
        </w:rPr>
        <w:t xml:space="preserve">chart 4 </w:t>
      </w:r>
      <w:r w:rsidR="0015333A">
        <w:rPr>
          <w:rFonts w:ascii="Times New Roman" w:eastAsia="新細明體" w:hAnsi="Times New Roman" w:cs="Times New Roman" w:hint="eastAsia"/>
          <w:sz w:val="24"/>
          <w:szCs w:val="24"/>
          <w:lang w:val="en"/>
        </w:rPr>
        <w:t>(</w:t>
      </w:r>
      <w:r>
        <w:rPr>
          <w:rFonts w:ascii="Times New Roman" w:eastAsia="新細明體" w:hAnsi="Times New Roman" w:cs="Times New Roman" w:hint="eastAsia"/>
          <w:sz w:val="24"/>
          <w:szCs w:val="24"/>
          <w:lang w:val="en"/>
        </w:rPr>
        <w:t>B</w:t>
      </w:r>
      <w:r w:rsidR="0015333A">
        <w:rPr>
          <w:rFonts w:ascii="Times New Roman" w:eastAsia="新細明體" w:hAnsi="Times New Roman" w:cs="Times New Roman" w:hint="eastAsia"/>
          <w:sz w:val="24"/>
          <w:szCs w:val="24"/>
          <w:lang w:val="en"/>
        </w:rPr>
        <w:t>)</w:t>
      </w:r>
      <w:r>
        <w:rPr>
          <w:rFonts w:ascii="Times New Roman" w:eastAsia="新細明體" w:hAnsi="Times New Roman" w:cs="Times New Roman" w:hint="eastAsia"/>
          <w:sz w:val="24"/>
          <w:szCs w:val="24"/>
          <w:lang w:val="en"/>
        </w:rPr>
        <w:t xml:space="preserve"> </w:t>
      </w:r>
      <w:r>
        <w:rPr>
          <w:rFonts w:ascii="Times New Roman" w:eastAsia="新細明體" w:hAnsi="Times New Roman" w:cs="Times New Roman"/>
          <w:sz w:val="24"/>
          <w:szCs w:val="24"/>
          <w:lang w:val="en"/>
        </w:rPr>
        <w:t>”</w:t>
      </w:r>
      <w:r w:rsidRPr="00600D3A">
        <w:rPr>
          <w:rFonts w:ascii="Times New Roman" w:hAnsi="Times New Roman" w:cs="Times New Roman"/>
          <w:sz w:val="24"/>
          <w:szCs w:val="24"/>
          <w:lang w:val="en"/>
        </w:rPr>
        <w:t>P2</w:t>
      </w:r>
      <w:r>
        <w:rPr>
          <w:rFonts w:ascii="Times New Roman" w:eastAsia="新細明體" w:hAnsi="Times New Roman" w:cs="Times New Roman"/>
          <w:sz w:val="24"/>
          <w:szCs w:val="24"/>
          <w:lang w:val="en"/>
        </w:rPr>
        <w:t>”</w:t>
      </w:r>
      <w:r>
        <w:rPr>
          <w:rFonts w:ascii="Times New Roman" w:eastAsia="新細明體" w:hAnsi="Times New Roman" w:cs="Times New Roman" w:hint="eastAsia"/>
          <w:sz w:val="24"/>
          <w:szCs w:val="24"/>
          <w:lang w:val="en"/>
        </w:rPr>
        <w:t>. W</w:t>
      </w:r>
      <w:r w:rsidRPr="00600D3A">
        <w:rPr>
          <w:rFonts w:ascii="Times New Roman" w:hAnsi="Times New Roman" w:cs="Times New Roman"/>
          <w:sz w:val="24"/>
          <w:szCs w:val="24"/>
          <w:lang w:val="en"/>
        </w:rPr>
        <w:t>hen the demand elasticity is large, if the price is</w:t>
      </w:r>
      <w:r>
        <w:rPr>
          <w:rFonts w:ascii="Times New Roman" w:eastAsia="新細明體" w:hAnsi="Times New Roman" w:cs="Times New Roman" w:hint="eastAsia"/>
          <w:sz w:val="24"/>
          <w:szCs w:val="24"/>
          <w:lang w:val="en"/>
        </w:rPr>
        <w:t xml:space="preserve"> setting</w:t>
      </w:r>
      <w:r w:rsidRPr="00600D3A">
        <w:rPr>
          <w:rFonts w:ascii="Times New Roman" w:hAnsi="Times New Roman" w:cs="Times New Roman"/>
          <w:sz w:val="24"/>
          <w:szCs w:val="24"/>
          <w:lang w:val="en"/>
        </w:rPr>
        <w:t xml:space="preserve"> too high, many </w:t>
      </w:r>
      <w:r>
        <w:rPr>
          <w:rFonts w:ascii="Times New Roman" w:eastAsia="新細明體" w:hAnsi="Times New Roman" w:cs="Times New Roman" w:hint="eastAsia"/>
          <w:sz w:val="24"/>
          <w:szCs w:val="24"/>
          <w:lang w:val="en"/>
        </w:rPr>
        <w:t>consumers</w:t>
      </w:r>
      <w:r>
        <w:rPr>
          <w:rFonts w:ascii="Times New Roman" w:hAnsi="Times New Roman" w:cs="Times New Roman"/>
          <w:sz w:val="24"/>
          <w:szCs w:val="24"/>
          <w:lang w:val="en"/>
        </w:rPr>
        <w:t xml:space="preserve"> will be lost immediately</w:t>
      </w:r>
      <w:r>
        <w:rPr>
          <w:rFonts w:ascii="Times New Roman" w:eastAsia="新細明體" w:hAnsi="Times New Roman" w:cs="Times New Roman" w:hint="eastAsia"/>
          <w:sz w:val="24"/>
          <w:szCs w:val="24"/>
          <w:lang w:val="en"/>
        </w:rPr>
        <w:t>.</w:t>
      </w:r>
      <w:r w:rsidRPr="00600D3A">
        <w:rPr>
          <w:rFonts w:ascii="Times New Roman" w:hAnsi="Times New Roman" w:cs="Times New Roman"/>
          <w:sz w:val="24"/>
          <w:szCs w:val="24"/>
          <w:lang w:val="en"/>
        </w:rPr>
        <w:t xml:space="preserve"> </w:t>
      </w:r>
      <w:r>
        <w:rPr>
          <w:rFonts w:ascii="Times New Roman" w:eastAsia="新細明體" w:hAnsi="Times New Roman" w:cs="Times New Roman" w:hint="eastAsia"/>
          <w:sz w:val="24"/>
          <w:szCs w:val="24"/>
          <w:lang w:val="en"/>
        </w:rPr>
        <w:t>S</w:t>
      </w:r>
      <w:r w:rsidRPr="00600D3A">
        <w:rPr>
          <w:rFonts w:ascii="Times New Roman" w:hAnsi="Times New Roman" w:cs="Times New Roman"/>
          <w:sz w:val="24"/>
          <w:szCs w:val="24"/>
          <w:lang w:val="en"/>
        </w:rPr>
        <w:t>o the low price policy is better</w:t>
      </w:r>
      <w:r>
        <w:rPr>
          <w:rFonts w:ascii="Times New Roman" w:eastAsia="新細明體" w:hAnsi="Times New Roman" w:cs="Times New Roman" w:hint="eastAsia"/>
          <w:sz w:val="24"/>
          <w:szCs w:val="24"/>
          <w:lang w:val="en"/>
        </w:rPr>
        <w:t>.</w:t>
      </w:r>
      <w:r w:rsidRPr="00600D3A">
        <w:rPr>
          <w:rFonts w:ascii="Times New Roman" w:hAnsi="Times New Roman" w:cs="Times New Roman"/>
          <w:sz w:val="24"/>
          <w:szCs w:val="24"/>
          <w:lang w:val="en"/>
        </w:rPr>
        <w:t xml:space="preserve"> </w:t>
      </w:r>
      <w:r>
        <w:rPr>
          <w:rFonts w:ascii="Times New Roman" w:eastAsia="新細明體" w:hAnsi="Times New Roman" w:cs="Times New Roman" w:hint="eastAsia"/>
          <w:sz w:val="24"/>
          <w:szCs w:val="24"/>
          <w:lang w:val="en"/>
        </w:rPr>
        <w:t>W</w:t>
      </w:r>
      <w:r w:rsidRPr="00600D3A">
        <w:rPr>
          <w:rFonts w:ascii="Times New Roman" w:hAnsi="Times New Roman" w:cs="Times New Roman"/>
          <w:sz w:val="24"/>
          <w:szCs w:val="24"/>
          <w:lang w:val="en"/>
        </w:rPr>
        <w:t xml:space="preserve">hen the demand elasticity is </w:t>
      </w:r>
      <w:r>
        <w:rPr>
          <w:rFonts w:ascii="Times New Roman" w:eastAsia="新細明體" w:hAnsi="Times New Roman" w:cs="Times New Roman" w:hint="eastAsia"/>
          <w:sz w:val="24"/>
          <w:szCs w:val="24"/>
          <w:lang w:val="en"/>
        </w:rPr>
        <w:t>small</w:t>
      </w:r>
      <w:r w:rsidRPr="00600D3A">
        <w:rPr>
          <w:rFonts w:ascii="Times New Roman" w:hAnsi="Times New Roman" w:cs="Times New Roman"/>
          <w:sz w:val="24"/>
          <w:szCs w:val="24"/>
          <w:lang w:val="en"/>
        </w:rPr>
        <w:t>, the</w:t>
      </w:r>
      <w:r>
        <w:rPr>
          <w:rFonts w:ascii="Times New Roman" w:eastAsia="新細明體" w:hAnsi="Times New Roman" w:cs="Times New Roman" w:hint="eastAsia"/>
          <w:sz w:val="24"/>
          <w:szCs w:val="24"/>
          <w:lang w:val="en"/>
        </w:rPr>
        <w:t xml:space="preserve"> cinema</w:t>
      </w:r>
      <w:r>
        <w:rPr>
          <w:rFonts w:ascii="Times New Roman" w:hAnsi="Times New Roman" w:cs="Times New Roman"/>
          <w:sz w:val="24"/>
          <w:szCs w:val="24"/>
          <w:lang w:val="en"/>
        </w:rPr>
        <w:t xml:space="preserve"> can take </w:t>
      </w:r>
      <w:r>
        <w:rPr>
          <w:rFonts w:ascii="Times New Roman" w:eastAsia="新細明體" w:hAnsi="Times New Roman" w:cs="Times New Roman" w:hint="eastAsia"/>
          <w:sz w:val="24"/>
          <w:szCs w:val="24"/>
          <w:lang w:val="en"/>
        </w:rPr>
        <w:t>h</w:t>
      </w:r>
      <w:r w:rsidRPr="00600D3A">
        <w:rPr>
          <w:rFonts w:ascii="Times New Roman" w:hAnsi="Times New Roman" w:cs="Times New Roman"/>
          <w:sz w:val="24"/>
          <w:szCs w:val="24"/>
          <w:lang w:val="en"/>
        </w:rPr>
        <w:t>igh pric</w:t>
      </w:r>
      <w:r>
        <w:rPr>
          <w:rFonts w:ascii="Times New Roman" w:eastAsia="新細明體" w:hAnsi="Times New Roman" w:cs="Times New Roman" w:hint="eastAsia"/>
          <w:sz w:val="24"/>
          <w:szCs w:val="24"/>
          <w:lang w:val="en"/>
        </w:rPr>
        <w:t>ing</w:t>
      </w:r>
      <w:r w:rsidRPr="00600D3A">
        <w:rPr>
          <w:rFonts w:ascii="Times New Roman" w:hAnsi="Times New Roman" w:cs="Times New Roman"/>
          <w:sz w:val="24"/>
          <w:szCs w:val="24"/>
          <w:lang w:val="en"/>
        </w:rPr>
        <w:t xml:space="preserve"> strategy</w:t>
      </w:r>
      <w:r>
        <w:rPr>
          <w:rFonts w:ascii="Times New Roman" w:eastAsia="新細明體" w:hAnsi="Times New Roman" w:cs="Times New Roman" w:hint="eastAsia"/>
          <w:sz w:val="24"/>
          <w:szCs w:val="24"/>
          <w:lang w:val="en"/>
        </w:rPr>
        <w:t>.</w:t>
      </w:r>
    </w:p>
    <w:p w:rsidR="00600D3A" w:rsidRPr="00600D3A" w:rsidRDefault="00600D3A" w:rsidP="00600D3A">
      <w:pPr>
        <w:adjustRightInd w:val="0"/>
        <w:snapToGrid w:val="0"/>
        <w:spacing w:line="360" w:lineRule="auto"/>
        <w:jc w:val="both"/>
        <w:rPr>
          <w:rFonts w:eastAsia="新細明體" w:hint="eastAsia"/>
          <w:bCs/>
          <w:szCs w:val="24"/>
        </w:rPr>
      </w:pPr>
    </w:p>
    <w:p w:rsidR="008F3FC9" w:rsidRPr="008F3FC9" w:rsidRDefault="008F3FC9" w:rsidP="00600D3A">
      <w:pPr>
        <w:adjustRightInd w:val="0"/>
        <w:snapToGrid w:val="0"/>
        <w:spacing w:line="360" w:lineRule="auto"/>
        <w:jc w:val="both"/>
        <w:rPr>
          <w:rFonts w:eastAsia="新細明體" w:hint="eastAsia"/>
          <w:bCs/>
          <w:szCs w:val="24"/>
        </w:rPr>
      </w:pPr>
    </w:p>
    <w:p w:rsidR="006E1A12" w:rsidRDefault="00270930" w:rsidP="00600D3A">
      <w:pPr>
        <w:adjustRightInd w:val="0"/>
        <w:snapToGrid w:val="0"/>
        <w:spacing w:line="360" w:lineRule="auto"/>
        <w:jc w:val="both"/>
        <w:rPr>
          <w:b/>
          <w:bCs/>
          <w:sz w:val="26"/>
        </w:rPr>
      </w:pPr>
      <w:r>
        <w:rPr>
          <w:b/>
          <w:bCs/>
          <w:sz w:val="26"/>
        </w:rPr>
        <w:t>4</w:t>
      </w:r>
      <w:r w:rsidR="00600D3A">
        <w:rPr>
          <w:rFonts w:eastAsia="新細明體" w:hint="eastAsia"/>
          <w:b/>
          <w:bCs/>
          <w:sz w:val="26"/>
        </w:rPr>
        <w:t>.</w:t>
      </w:r>
      <w:r w:rsidR="00600D3A">
        <w:rPr>
          <w:rFonts w:eastAsia="新細明體" w:hint="eastAsia"/>
          <w:b/>
          <w:bCs/>
          <w:sz w:val="26"/>
        </w:rPr>
        <w:tab/>
      </w:r>
      <w:r>
        <w:rPr>
          <w:b/>
          <w:bCs/>
          <w:sz w:val="26"/>
        </w:rPr>
        <w:t>Conclusion and recommendation</w:t>
      </w:r>
    </w:p>
    <w:p w:rsidR="006E1A12" w:rsidRDefault="00270930" w:rsidP="00600D3A">
      <w:pPr>
        <w:adjustRightInd w:val="0"/>
        <w:snapToGrid w:val="0"/>
        <w:spacing w:line="360" w:lineRule="auto"/>
        <w:jc w:val="both"/>
        <w:rPr>
          <w:bCs/>
          <w:szCs w:val="24"/>
        </w:rPr>
      </w:pPr>
      <w:r>
        <w:rPr>
          <w:rFonts w:hint="eastAsia"/>
          <w:bCs/>
          <w:szCs w:val="24"/>
        </w:rPr>
        <w:t>After complet</w:t>
      </w:r>
      <w:r>
        <w:rPr>
          <w:rFonts w:hint="eastAsia"/>
          <w:bCs/>
          <w:szCs w:val="24"/>
        </w:rPr>
        <w:t>ed all the discussion and analysis of Golden Harvest</w:t>
      </w:r>
      <w:r>
        <w:rPr>
          <w:bCs/>
          <w:szCs w:val="24"/>
        </w:rPr>
        <w:t>’</w:t>
      </w:r>
      <w:r>
        <w:rPr>
          <w:rFonts w:hint="eastAsia"/>
          <w:bCs/>
          <w:szCs w:val="24"/>
        </w:rPr>
        <w:t xml:space="preserve">s price discrimination strategy, here is the conclusion and some recommendations. </w:t>
      </w:r>
    </w:p>
    <w:p w:rsidR="006E1A12" w:rsidRDefault="006E1A12" w:rsidP="00600D3A">
      <w:pPr>
        <w:adjustRightInd w:val="0"/>
        <w:snapToGrid w:val="0"/>
        <w:spacing w:line="360" w:lineRule="auto"/>
        <w:jc w:val="both"/>
        <w:rPr>
          <w:rFonts w:eastAsia="新細明體" w:hint="eastAsia"/>
          <w:b/>
          <w:bCs/>
          <w:szCs w:val="24"/>
        </w:rPr>
      </w:pPr>
    </w:p>
    <w:p w:rsidR="0015333A" w:rsidRPr="0015333A" w:rsidRDefault="0015333A" w:rsidP="00600D3A">
      <w:pPr>
        <w:adjustRightInd w:val="0"/>
        <w:snapToGrid w:val="0"/>
        <w:spacing w:line="360" w:lineRule="auto"/>
        <w:jc w:val="both"/>
        <w:rPr>
          <w:rFonts w:eastAsia="新細明體" w:hint="eastAsia"/>
          <w:b/>
          <w:bCs/>
          <w:szCs w:val="24"/>
        </w:rPr>
      </w:pPr>
    </w:p>
    <w:p w:rsidR="006E1A12" w:rsidRDefault="00270930" w:rsidP="00600D3A">
      <w:pPr>
        <w:adjustRightInd w:val="0"/>
        <w:snapToGrid w:val="0"/>
        <w:spacing w:line="360" w:lineRule="auto"/>
        <w:jc w:val="both"/>
        <w:rPr>
          <w:b/>
          <w:bCs/>
          <w:szCs w:val="24"/>
        </w:rPr>
      </w:pPr>
      <w:r>
        <w:rPr>
          <w:b/>
          <w:bCs/>
          <w:szCs w:val="24"/>
        </w:rPr>
        <w:lastRenderedPageBreak/>
        <w:t>4.1</w:t>
      </w:r>
      <w:r>
        <w:rPr>
          <w:b/>
          <w:bCs/>
          <w:szCs w:val="24"/>
        </w:rPr>
        <w:tab/>
        <w:t>Conclusion</w:t>
      </w:r>
    </w:p>
    <w:p w:rsidR="006E1A12" w:rsidRDefault="006E1A12" w:rsidP="00600D3A">
      <w:pPr>
        <w:adjustRightInd w:val="0"/>
        <w:snapToGrid w:val="0"/>
        <w:spacing w:line="360" w:lineRule="auto"/>
        <w:jc w:val="both"/>
        <w:rPr>
          <w:b/>
          <w:bCs/>
          <w:szCs w:val="24"/>
        </w:rPr>
      </w:pPr>
    </w:p>
    <w:p w:rsidR="006E1A12" w:rsidRDefault="00270930" w:rsidP="00600D3A">
      <w:pPr>
        <w:adjustRightInd w:val="0"/>
        <w:snapToGrid w:val="0"/>
        <w:spacing w:line="360" w:lineRule="auto"/>
        <w:jc w:val="both"/>
        <w:rPr>
          <w:bCs/>
          <w:szCs w:val="24"/>
        </w:rPr>
      </w:pPr>
      <w:r>
        <w:rPr>
          <w:rFonts w:hint="eastAsia"/>
          <w:bCs/>
          <w:szCs w:val="24"/>
        </w:rPr>
        <w:t xml:space="preserve">In conclusion, </w:t>
      </w:r>
      <w:r>
        <w:rPr>
          <w:rFonts w:hint="eastAsia"/>
          <w:bCs/>
          <w:szCs w:val="24"/>
        </w:rPr>
        <w:t>Golden Harvest offer</w:t>
      </w:r>
      <w:r w:rsidR="008E78CF">
        <w:rPr>
          <w:rFonts w:eastAsia="新細明體" w:hint="eastAsia"/>
          <w:bCs/>
          <w:szCs w:val="24"/>
        </w:rPr>
        <w:t>ing</w:t>
      </w:r>
      <w:r>
        <w:rPr>
          <w:rFonts w:hint="eastAsia"/>
          <w:bCs/>
          <w:szCs w:val="24"/>
        </w:rPr>
        <w:t xml:space="preserve"> different ticket price for different group of customer: adult, children and senior, in order to maximizing its profit by using the price discrimination strategy. The three differ</w:t>
      </w:r>
      <w:r>
        <w:rPr>
          <w:rFonts w:hint="eastAsia"/>
          <w:bCs/>
          <w:szCs w:val="24"/>
        </w:rPr>
        <w:t xml:space="preserve">ent groups of people form the separated segment market, and the establishment of the third degree discrimination is beneficial to most of the people. The strategy of price discrimination helps to promote the </w:t>
      </w:r>
      <w:r>
        <w:rPr>
          <w:bCs/>
          <w:szCs w:val="24"/>
        </w:rPr>
        <w:t>company’</w:t>
      </w:r>
      <w:r>
        <w:rPr>
          <w:rFonts w:hint="eastAsia"/>
          <w:bCs/>
          <w:szCs w:val="24"/>
        </w:rPr>
        <w:t xml:space="preserve">s development as well as to realize the </w:t>
      </w:r>
      <w:r>
        <w:rPr>
          <w:rFonts w:hint="eastAsia"/>
          <w:bCs/>
          <w:szCs w:val="24"/>
        </w:rPr>
        <w:t xml:space="preserve">profit maximization. To set </w:t>
      </w:r>
      <w:r>
        <w:rPr>
          <w:bCs/>
          <w:szCs w:val="24"/>
        </w:rPr>
        <w:t>reasonable</w:t>
      </w:r>
      <w:r>
        <w:rPr>
          <w:rFonts w:hint="eastAsia"/>
          <w:bCs/>
          <w:szCs w:val="24"/>
        </w:rPr>
        <w:t xml:space="preserve"> segment</w:t>
      </w:r>
      <w:r>
        <w:rPr>
          <w:bCs/>
          <w:szCs w:val="24"/>
        </w:rPr>
        <w:t>’</w:t>
      </w:r>
      <w:r>
        <w:rPr>
          <w:rFonts w:hint="eastAsia"/>
          <w:bCs/>
          <w:szCs w:val="24"/>
        </w:rPr>
        <w:t xml:space="preserve">s prices, it should to strengthen </w:t>
      </w:r>
      <w:r>
        <w:rPr>
          <w:bCs/>
          <w:szCs w:val="24"/>
        </w:rPr>
        <w:t>supervision</w:t>
      </w:r>
      <w:r>
        <w:rPr>
          <w:rFonts w:hint="eastAsia"/>
          <w:bCs/>
          <w:szCs w:val="24"/>
        </w:rPr>
        <w:t xml:space="preserve"> on each segments of the movie market, make sure customer</w:t>
      </w:r>
      <w:r>
        <w:rPr>
          <w:bCs/>
          <w:szCs w:val="24"/>
        </w:rPr>
        <w:t>’</w:t>
      </w:r>
      <w:r>
        <w:rPr>
          <w:rFonts w:hint="eastAsia"/>
          <w:bCs/>
          <w:szCs w:val="24"/>
        </w:rPr>
        <w:t>s consumption demand and elastic demand. So the third-degree price discrimination for the cinema charges f</w:t>
      </w:r>
      <w:r>
        <w:rPr>
          <w:rFonts w:hint="eastAsia"/>
          <w:bCs/>
          <w:szCs w:val="24"/>
        </w:rPr>
        <w:t xml:space="preserve">or three different groups at different prices. </w:t>
      </w:r>
    </w:p>
    <w:p w:rsidR="006E1A12" w:rsidRDefault="006E1A12" w:rsidP="00600D3A">
      <w:pPr>
        <w:adjustRightInd w:val="0"/>
        <w:snapToGrid w:val="0"/>
        <w:spacing w:line="360" w:lineRule="auto"/>
        <w:jc w:val="both"/>
        <w:rPr>
          <w:bCs/>
          <w:szCs w:val="24"/>
        </w:rPr>
      </w:pPr>
    </w:p>
    <w:p w:rsidR="006E1A12" w:rsidRDefault="008F3FC9" w:rsidP="00600D3A">
      <w:pPr>
        <w:adjustRightInd w:val="0"/>
        <w:snapToGrid w:val="0"/>
        <w:spacing w:line="360" w:lineRule="auto"/>
        <w:jc w:val="both"/>
        <w:rPr>
          <w:rFonts w:eastAsia="新細明體" w:hint="eastAsia"/>
          <w:szCs w:val="24"/>
          <w:shd w:val="clear" w:color="auto" w:fill="FFFFFF"/>
        </w:rPr>
      </w:pPr>
      <w:r>
        <w:rPr>
          <w:szCs w:val="24"/>
          <w:shd w:val="clear" w:color="auto" w:fill="FFFFFF"/>
        </w:rPr>
        <w:t>The implementation of price discrimination is conducive to expanding market sales, increasing producer surplus and consumer surplus, and to some extent overcoming the shortcomings of monopoly causing market inefficiency. Therefore, it is a positive measure that is beneficial to the market, and its price formation is also in line with the law of market operation. Of course, the implementation of price discrimination must be carried out correctly under the guidance of the Price Law. It is necessary to refrain from interfering with the abuse of price discrimination and even hinder the normal operation of the market.</w:t>
      </w:r>
    </w:p>
    <w:p w:rsidR="0015333A" w:rsidRDefault="0015333A" w:rsidP="00600D3A">
      <w:pPr>
        <w:adjustRightInd w:val="0"/>
        <w:snapToGrid w:val="0"/>
        <w:spacing w:line="360" w:lineRule="auto"/>
        <w:jc w:val="both"/>
        <w:rPr>
          <w:rFonts w:eastAsia="新細明體" w:hint="eastAsia"/>
          <w:szCs w:val="24"/>
          <w:shd w:val="clear" w:color="auto" w:fill="FFFFFF"/>
        </w:rPr>
      </w:pPr>
    </w:p>
    <w:p w:rsidR="000A67A3" w:rsidRPr="000A67A3" w:rsidRDefault="000A67A3" w:rsidP="000A67A3">
      <w:pPr>
        <w:adjustRightInd w:val="0"/>
        <w:snapToGrid w:val="0"/>
        <w:spacing w:line="360" w:lineRule="auto"/>
        <w:jc w:val="both"/>
        <w:rPr>
          <w:rFonts w:eastAsia="新細明體"/>
          <w:szCs w:val="24"/>
          <w:shd w:val="clear" w:color="auto" w:fill="FFFFFF"/>
        </w:rPr>
      </w:pPr>
      <w:r w:rsidRPr="000A67A3">
        <w:rPr>
          <w:szCs w:val="24"/>
          <w:shd w:val="clear" w:color="auto" w:fill="FFFFFF"/>
        </w:rPr>
        <w:t xml:space="preserve">Price discrimination is normally beneficial to both the consumer and the firm. It is beneficial to the firm since it ensures that companies can </w:t>
      </w:r>
      <w:proofErr w:type="spellStart"/>
      <w:r w:rsidRPr="000A67A3">
        <w:rPr>
          <w:szCs w:val="24"/>
          <w:shd w:val="clear" w:color="auto" w:fill="FFFFFF"/>
        </w:rPr>
        <w:t>maximise</w:t>
      </w:r>
      <w:proofErr w:type="spellEnd"/>
      <w:r w:rsidRPr="000A67A3">
        <w:rPr>
          <w:szCs w:val="24"/>
          <w:shd w:val="clear" w:color="auto" w:fill="FFFFFF"/>
        </w:rPr>
        <w:t xml:space="preserve"> on their profits and thus cannot run out of business. To the consumers, it is beneficial since it avails the much needed finance for research and development which will further be used to improve on the quality of services and goods. Price discrimination is also beneficial to groups with low elasticity of demand. In that, those in a particular market segment can pay less for the same serviced being provided in a different segment</w:t>
      </w:r>
      <w:bookmarkStart w:id="0" w:name="_GoBack"/>
      <w:bookmarkEnd w:id="0"/>
      <w:r w:rsidRPr="000A67A3">
        <w:rPr>
          <w:szCs w:val="24"/>
          <w:shd w:val="clear" w:color="auto" w:fill="FFFFFF"/>
        </w:rPr>
        <w:t>. For instance, it will be of much benefit to a student who pays less for a cinema service than for an adult who pays higher for the same serviced.</w:t>
      </w:r>
    </w:p>
    <w:p w:rsidR="000A67A3" w:rsidRPr="000A67A3" w:rsidRDefault="000A67A3" w:rsidP="00600D3A">
      <w:pPr>
        <w:adjustRightInd w:val="0"/>
        <w:snapToGrid w:val="0"/>
        <w:spacing w:line="360" w:lineRule="auto"/>
        <w:jc w:val="both"/>
        <w:rPr>
          <w:rFonts w:eastAsia="新細明體" w:hint="eastAsia"/>
          <w:szCs w:val="24"/>
          <w:shd w:val="clear" w:color="auto" w:fill="FFFFFF"/>
        </w:rPr>
      </w:pPr>
    </w:p>
    <w:p w:rsidR="0015333A" w:rsidRPr="0015333A" w:rsidRDefault="0015333A" w:rsidP="00600D3A">
      <w:pPr>
        <w:adjustRightInd w:val="0"/>
        <w:snapToGrid w:val="0"/>
        <w:spacing w:line="360" w:lineRule="auto"/>
        <w:jc w:val="both"/>
        <w:rPr>
          <w:rFonts w:eastAsia="新細明體" w:hint="eastAsia"/>
          <w:szCs w:val="24"/>
          <w:shd w:val="clear" w:color="auto" w:fill="FFFFFF"/>
        </w:rPr>
      </w:pPr>
      <w:r w:rsidRPr="0015333A">
        <w:rPr>
          <w:szCs w:val="24"/>
          <w:shd w:val="clear" w:color="auto" w:fill="FFFFFF"/>
        </w:rPr>
        <w:t xml:space="preserve">However, price discrimination has some drawbacks. To the </w:t>
      </w:r>
      <w:r>
        <w:rPr>
          <w:rFonts w:eastAsia="新細明體" w:hint="eastAsia"/>
          <w:szCs w:val="24"/>
          <w:shd w:val="clear" w:color="auto" w:fill="FFFFFF"/>
        </w:rPr>
        <w:t>company,</w:t>
      </w:r>
      <w:r w:rsidRPr="0015333A">
        <w:rPr>
          <w:szCs w:val="24"/>
          <w:shd w:val="clear" w:color="auto" w:fill="FFFFFF"/>
        </w:rPr>
        <w:t xml:space="preserve"> they will have to incur some administration costs in order to separate the different markets. To the consumers, price discriminat</w:t>
      </w:r>
      <w:r>
        <w:rPr>
          <w:szCs w:val="24"/>
          <w:shd w:val="clear" w:color="auto" w:fill="FFFFFF"/>
        </w:rPr>
        <w:t>ion results to a decline in con</w:t>
      </w:r>
      <w:r w:rsidRPr="0015333A">
        <w:rPr>
          <w:szCs w:val="24"/>
          <w:shd w:val="clear" w:color="auto" w:fill="FFFFFF"/>
        </w:rPr>
        <w:t>sumer prices. Also, it results to an increase in the prices of the same product which could be obtained at a lower price if it was bought in a different market segment</w:t>
      </w:r>
      <w:r>
        <w:rPr>
          <w:rFonts w:eastAsia="新細明體" w:hint="eastAsia"/>
          <w:szCs w:val="24"/>
          <w:shd w:val="clear" w:color="auto" w:fill="FFFFFF"/>
        </w:rPr>
        <w:t>.</w:t>
      </w:r>
    </w:p>
    <w:p w:rsidR="008F3FC9" w:rsidRDefault="008F3FC9" w:rsidP="00600D3A">
      <w:pPr>
        <w:adjustRightInd w:val="0"/>
        <w:snapToGrid w:val="0"/>
        <w:spacing w:line="360" w:lineRule="auto"/>
        <w:jc w:val="both"/>
        <w:rPr>
          <w:rFonts w:eastAsia="新細明體" w:hint="eastAsia"/>
          <w:szCs w:val="24"/>
          <w:shd w:val="clear" w:color="auto" w:fill="FFFFFF"/>
        </w:rPr>
      </w:pPr>
    </w:p>
    <w:p w:rsidR="006E1A12" w:rsidRDefault="00270930" w:rsidP="00600D3A">
      <w:pPr>
        <w:adjustRightInd w:val="0"/>
        <w:snapToGrid w:val="0"/>
        <w:spacing w:line="360" w:lineRule="auto"/>
        <w:jc w:val="both"/>
        <w:rPr>
          <w:b/>
          <w:bCs/>
          <w:szCs w:val="24"/>
        </w:rPr>
      </w:pPr>
      <w:r>
        <w:rPr>
          <w:b/>
          <w:bCs/>
          <w:szCs w:val="24"/>
        </w:rPr>
        <w:t>4.2</w:t>
      </w:r>
      <w:r>
        <w:rPr>
          <w:b/>
          <w:bCs/>
          <w:szCs w:val="24"/>
        </w:rPr>
        <w:tab/>
        <w:t>Recommendation</w:t>
      </w:r>
    </w:p>
    <w:p w:rsidR="006E1A12" w:rsidRDefault="00270930" w:rsidP="008F3FC9">
      <w:pPr>
        <w:adjustRightInd w:val="0"/>
        <w:snapToGrid w:val="0"/>
        <w:spacing w:line="360" w:lineRule="auto"/>
        <w:jc w:val="both"/>
        <w:rPr>
          <w:rFonts w:eastAsia="新細明體"/>
          <w:szCs w:val="24"/>
          <w:lang w:val="en"/>
        </w:rPr>
      </w:pPr>
      <w:r>
        <w:rPr>
          <w:rFonts w:hint="eastAsia"/>
          <w:b/>
          <w:bCs/>
          <w:sz w:val="26"/>
        </w:rPr>
        <w:t xml:space="preserve"> </w:t>
      </w:r>
      <w:r>
        <w:br/>
      </w:r>
      <w:r>
        <w:rPr>
          <w:szCs w:val="24"/>
          <w:lang w:val="en"/>
        </w:rPr>
        <w:t xml:space="preserve">Price discrimination allows the seller of the product </w:t>
      </w:r>
      <w:r w:rsidR="008E78CF">
        <w:rPr>
          <w:rFonts w:eastAsia="新細明體" w:hint="eastAsia"/>
          <w:szCs w:val="24"/>
          <w:lang w:val="en"/>
        </w:rPr>
        <w:t xml:space="preserve">or service </w:t>
      </w:r>
      <w:r>
        <w:rPr>
          <w:szCs w:val="24"/>
          <w:lang w:val="en"/>
        </w:rPr>
        <w:t xml:space="preserve">to </w:t>
      </w:r>
      <w:r w:rsidR="008E78CF">
        <w:rPr>
          <w:rFonts w:eastAsia="新細明體" w:hint="eastAsia"/>
          <w:szCs w:val="24"/>
          <w:lang w:val="en"/>
        </w:rPr>
        <w:t xml:space="preserve">gain </w:t>
      </w:r>
      <w:r>
        <w:rPr>
          <w:szCs w:val="24"/>
          <w:lang w:val="en"/>
        </w:rPr>
        <w:t>benefit as much as possible</w:t>
      </w:r>
      <w:r w:rsidR="008E78CF">
        <w:rPr>
          <w:rFonts w:eastAsia="新細明體" w:hint="eastAsia"/>
          <w:szCs w:val="24"/>
          <w:lang w:val="en"/>
        </w:rPr>
        <w:t>. It is b</w:t>
      </w:r>
      <w:r>
        <w:rPr>
          <w:szCs w:val="24"/>
          <w:lang w:val="en"/>
        </w:rPr>
        <w:t xml:space="preserve">ecause through price discrimination, the consumer surplus that was originally the </w:t>
      </w:r>
      <w:r w:rsidR="008E78CF">
        <w:rPr>
          <w:rFonts w:eastAsia="新細明體" w:hint="eastAsia"/>
          <w:szCs w:val="24"/>
          <w:lang w:val="en"/>
        </w:rPr>
        <w:t>customer</w:t>
      </w:r>
      <w:r>
        <w:rPr>
          <w:szCs w:val="24"/>
          <w:lang w:val="en"/>
        </w:rPr>
        <w:t xml:space="preserve"> of the product</w:t>
      </w:r>
      <w:r w:rsidR="008E78CF">
        <w:rPr>
          <w:rFonts w:eastAsia="新細明體" w:hint="eastAsia"/>
          <w:szCs w:val="24"/>
          <w:lang w:val="en"/>
        </w:rPr>
        <w:t xml:space="preserve"> or service</w:t>
      </w:r>
      <w:r>
        <w:rPr>
          <w:szCs w:val="24"/>
          <w:lang w:val="en"/>
        </w:rPr>
        <w:t xml:space="preserve"> is also transferred to the seller. However, according to econom</w:t>
      </w:r>
      <w:r>
        <w:rPr>
          <w:szCs w:val="24"/>
          <w:lang w:val="en"/>
        </w:rPr>
        <w:t xml:space="preserve">ists' analysis, price discrimination is economically efficient. </w:t>
      </w:r>
      <w:r w:rsidR="008E78CF">
        <w:rPr>
          <w:rFonts w:eastAsia="新細明體" w:hint="eastAsia"/>
          <w:szCs w:val="24"/>
          <w:lang w:val="en"/>
        </w:rPr>
        <w:t>It means t</w:t>
      </w:r>
      <w:r>
        <w:rPr>
          <w:szCs w:val="24"/>
          <w:lang w:val="en"/>
        </w:rPr>
        <w:t>hrough price discrimination, the maximum income that the seller obtains is equal to the maximum value</w:t>
      </w:r>
      <w:r>
        <w:rPr>
          <w:rFonts w:eastAsia="新細明體"/>
          <w:szCs w:val="24"/>
          <w:lang w:val="en"/>
        </w:rPr>
        <w:t xml:space="preserve">. </w:t>
      </w:r>
    </w:p>
    <w:p w:rsidR="006E1A12" w:rsidRDefault="00270930" w:rsidP="008E78CF">
      <w:pPr>
        <w:pStyle w:val="HTML"/>
        <w:shd w:val="clear" w:color="auto" w:fill="FFFFFF"/>
        <w:spacing w:line="360" w:lineRule="auto"/>
        <w:jc w:val="both"/>
        <w:rPr>
          <w:rFonts w:ascii="Times New Roman" w:eastAsia="新細明體" w:hAnsi="Times New Roman" w:cs="Times New Roman"/>
          <w:sz w:val="24"/>
          <w:szCs w:val="24"/>
          <w:lang w:val="en"/>
        </w:rPr>
      </w:pPr>
      <w:r>
        <w:rPr>
          <w:rFonts w:ascii="Times New Roman" w:eastAsia="新細明體" w:hAnsi="Times New Roman" w:cs="Times New Roman"/>
          <w:sz w:val="24"/>
          <w:szCs w:val="24"/>
          <w:lang w:val="en"/>
        </w:rPr>
        <w:t>Apart from the dif</w:t>
      </w:r>
      <w:r>
        <w:rPr>
          <w:rFonts w:ascii="Times New Roman" w:eastAsia="新細明體" w:hAnsi="Times New Roman" w:cs="Times New Roman"/>
          <w:sz w:val="24"/>
          <w:szCs w:val="24"/>
          <w:lang w:val="en"/>
        </w:rPr>
        <w:t>ferent prices set for different segment of customer, the company also can consider other type of price discrimination strategy such as offering coupon or bundle sale. It is possible to boost the revenue as long as they set the right target. The company mus</w:t>
      </w:r>
      <w:r>
        <w:rPr>
          <w:rFonts w:ascii="Times New Roman" w:eastAsia="新細明體" w:hAnsi="Times New Roman" w:cs="Times New Roman"/>
          <w:sz w:val="24"/>
          <w:szCs w:val="24"/>
          <w:lang w:val="en"/>
        </w:rPr>
        <w:t xml:space="preserve">t consider carefully and ensure they have good understanding about different type of pricing strategy. </w:t>
      </w:r>
      <w:r>
        <w:rPr>
          <w:rFonts w:ascii="Times New Roman" w:eastAsia="新細明體" w:hAnsi="Times New Roman" w:cs="Times New Roman" w:hint="eastAsia"/>
          <w:sz w:val="24"/>
          <w:szCs w:val="24"/>
          <w:lang w:val="en"/>
        </w:rPr>
        <w:t>Here are some recommended example of pricing strategy in terms of price discrimination:</w:t>
      </w:r>
    </w:p>
    <w:p w:rsidR="006E1A12" w:rsidRDefault="00270930" w:rsidP="008E78CF">
      <w:pPr>
        <w:pStyle w:val="HTML"/>
        <w:numPr>
          <w:ilvl w:val="0"/>
          <w:numId w:val="4"/>
        </w:numPr>
        <w:shd w:val="clear" w:color="auto" w:fill="FFFFFF"/>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Coupon:</w:t>
      </w:r>
    </w:p>
    <w:p w:rsidR="006E1A12" w:rsidRDefault="00270930" w:rsidP="008E78CF">
      <w:pPr>
        <w:pStyle w:val="HTML"/>
        <w:shd w:val="clear" w:color="auto" w:fill="FFFFFF"/>
        <w:spacing w:line="360" w:lineRule="auto"/>
        <w:ind w:left="916"/>
        <w:jc w:val="both"/>
        <w:rPr>
          <w:rFonts w:ascii="Times New Roman" w:eastAsia="新細明體" w:hAnsi="Times New Roman" w:cs="Times New Roman"/>
          <w:sz w:val="24"/>
          <w:szCs w:val="24"/>
          <w:lang w:val="en"/>
        </w:rPr>
      </w:pPr>
      <w:r>
        <w:rPr>
          <w:rFonts w:ascii="Times New Roman" w:eastAsia="新細明體" w:hAnsi="Times New Roman" w:cs="Times New Roman" w:hint="eastAsia"/>
          <w:sz w:val="24"/>
          <w:szCs w:val="24"/>
          <w:lang w:val="en"/>
        </w:rPr>
        <w:t>Many companies</w:t>
      </w:r>
      <w:r>
        <w:rPr>
          <w:rFonts w:ascii="Times New Roman" w:hAnsi="Times New Roman" w:cs="Times New Roman"/>
          <w:sz w:val="24"/>
          <w:szCs w:val="24"/>
          <w:lang w:val="en"/>
        </w:rPr>
        <w:t xml:space="preserve"> often distribute coupons for their products or services through newspapers, magazines </w:t>
      </w:r>
      <w:proofErr w:type="spellStart"/>
      <w:r>
        <w:rPr>
          <w:rFonts w:ascii="Times New Roman" w:eastAsia="新細明體" w:hAnsi="Times New Roman" w:cs="Times New Roman" w:hint="eastAsia"/>
          <w:sz w:val="24"/>
          <w:szCs w:val="24"/>
          <w:lang w:val="en"/>
        </w:rPr>
        <w:t>ect</w:t>
      </w:r>
      <w:proofErr w:type="spellEnd"/>
      <w:r>
        <w:rPr>
          <w:rFonts w:ascii="Times New Roman" w:hAnsi="Times New Roman" w:cs="Times New Roman"/>
          <w:sz w:val="24"/>
          <w:szCs w:val="24"/>
          <w:lang w:val="en"/>
        </w:rPr>
        <w:t>. Consumers who hold the coupon enjoy a certain discount when they consume it, which is more attractive to the low-income class</w:t>
      </w:r>
      <w:r>
        <w:rPr>
          <w:rFonts w:ascii="Times New Roman" w:eastAsia="新細明體" w:hAnsi="Times New Roman" w:cs="Times New Roman" w:hint="eastAsia"/>
          <w:sz w:val="24"/>
          <w:szCs w:val="24"/>
          <w:lang w:val="en"/>
        </w:rPr>
        <w:t xml:space="preserve"> such as senior or student</w:t>
      </w:r>
      <w:r>
        <w:rPr>
          <w:rFonts w:ascii="Times New Roman" w:hAnsi="Times New Roman" w:cs="Times New Roman"/>
          <w:sz w:val="24"/>
          <w:szCs w:val="24"/>
          <w:lang w:val="en"/>
        </w:rPr>
        <w:t>. Through cou</w:t>
      </w:r>
      <w:r>
        <w:rPr>
          <w:rFonts w:ascii="Times New Roman" w:hAnsi="Times New Roman" w:cs="Times New Roman"/>
          <w:sz w:val="24"/>
          <w:szCs w:val="24"/>
          <w:lang w:val="en"/>
        </w:rPr>
        <w:t>pon discounts, consumers with high price elasticity demand pay lower prices, while consumers with lower elasticity pay higher prices.</w:t>
      </w:r>
    </w:p>
    <w:p w:rsidR="006E1A12" w:rsidRDefault="006E1A12" w:rsidP="008E78CF">
      <w:pPr>
        <w:pStyle w:val="HTML"/>
        <w:shd w:val="clear" w:color="auto" w:fill="FFFFFF"/>
        <w:spacing w:line="360" w:lineRule="auto"/>
        <w:ind w:left="916"/>
        <w:jc w:val="both"/>
        <w:rPr>
          <w:rFonts w:ascii="Times New Roman" w:eastAsia="新細明體" w:hAnsi="Times New Roman" w:cs="Times New Roman"/>
          <w:sz w:val="24"/>
          <w:szCs w:val="24"/>
        </w:rPr>
      </w:pPr>
    </w:p>
    <w:p w:rsidR="006E1A12" w:rsidRDefault="00270930" w:rsidP="008E78CF">
      <w:pPr>
        <w:pStyle w:val="HTML"/>
        <w:numPr>
          <w:ilvl w:val="0"/>
          <w:numId w:val="4"/>
        </w:numPr>
        <w:shd w:val="clear" w:color="auto" w:fill="FFFFFF"/>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Double charge</w:t>
      </w:r>
    </w:p>
    <w:p w:rsidR="006E1A12" w:rsidRDefault="00270930" w:rsidP="008E78CF">
      <w:pPr>
        <w:pStyle w:val="HTML"/>
        <w:shd w:val="clear" w:color="auto" w:fill="FFFFFF"/>
        <w:spacing w:line="360" w:lineRule="auto"/>
        <w:ind w:left="916"/>
        <w:jc w:val="both"/>
        <w:rPr>
          <w:rFonts w:ascii="Times New Roman" w:hAnsi="Times New Roman" w:cs="Times New Roman"/>
          <w:sz w:val="24"/>
          <w:szCs w:val="24"/>
        </w:rPr>
      </w:pPr>
      <w:r>
        <w:rPr>
          <w:rFonts w:ascii="Times New Roman" w:hAnsi="Times New Roman" w:cs="Times New Roman"/>
          <w:sz w:val="24"/>
          <w:szCs w:val="24"/>
          <w:lang w:val="en"/>
        </w:rPr>
        <w:t>Double charging means that the monopoly manufacturer requires the consumer to pay first to obtain the right</w:t>
      </w:r>
      <w:r>
        <w:rPr>
          <w:rFonts w:ascii="Times New Roman" w:hAnsi="Times New Roman" w:cs="Times New Roman"/>
          <w:sz w:val="24"/>
          <w:szCs w:val="24"/>
          <w:lang w:val="en"/>
        </w:rPr>
        <w:t xml:space="preserve"> to purchase a commodity. Then, the consumer pays an additional fee for each commodity that they wish to consume, that is, the entry fee and the usage fee are collected. behavior.</w:t>
      </w:r>
    </w:p>
    <w:p w:rsidR="006E1A12" w:rsidRDefault="00270930" w:rsidP="008E78CF">
      <w:pPr>
        <w:pStyle w:val="HTML"/>
        <w:numPr>
          <w:ilvl w:val="0"/>
          <w:numId w:val="4"/>
        </w:numPr>
        <w:shd w:val="clear" w:color="auto" w:fill="FFFFFF"/>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Bundle sale</w:t>
      </w:r>
    </w:p>
    <w:p w:rsidR="006E1A12" w:rsidRDefault="00270930" w:rsidP="008E78CF">
      <w:pPr>
        <w:pStyle w:val="HTML"/>
        <w:shd w:val="clear" w:color="auto" w:fill="FFFFFF"/>
        <w:spacing w:line="360" w:lineRule="auto"/>
        <w:ind w:left="916"/>
        <w:jc w:val="both"/>
        <w:rPr>
          <w:rFonts w:ascii="Times New Roman" w:hAnsi="Times New Roman" w:cs="Times New Roman"/>
          <w:color w:val="212121"/>
          <w:sz w:val="24"/>
          <w:szCs w:val="24"/>
        </w:rPr>
      </w:pPr>
      <w:r>
        <w:rPr>
          <w:rFonts w:ascii="Times New Roman" w:hAnsi="Times New Roman" w:cs="Times New Roman"/>
          <w:sz w:val="24"/>
          <w:szCs w:val="24"/>
          <w:lang w:val="en"/>
        </w:rPr>
        <w:lastRenderedPageBreak/>
        <w:t>Bundled sales refers to the fact that a manufacturer requires a customer to purchase one of its products and must purchase another product. Under the condition that the customer's preference is different and the manufacturer is unable to implement price di</w:t>
      </w:r>
      <w:r>
        <w:rPr>
          <w:rFonts w:ascii="Times New Roman" w:hAnsi="Times New Roman" w:cs="Times New Roman"/>
          <w:sz w:val="24"/>
          <w:szCs w:val="24"/>
          <w:lang w:val="en"/>
        </w:rPr>
        <w:t xml:space="preserve">scrimination, the use of this strategy can increase the profit of the manufacturer. When the demand is negatively correlated, the bundled sales are more profitable than the individual sales; when the </w:t>
      </w:r>
      <w:r>
        <w:rPr>
          <w:rFonts w:ascii="Times New Roman" w:hAnsi="Times New Roman" w:cs="Times New Roman"/>
          <w:color w:val="212121"/>
          <w:sz w:val="24"/>
          <w:szCs w:val="24"/>
          <w:lang w:val="en"/>
        </w:rPr>
        <w:t>demand is positively correlated, the bundled sales do no</w:t>
      </w:r>
      <w:r>
        <w:rPr>
          <w:rFonts w:ascii="Times New Roman" w:hAnsi="Times New Roman" w:cs="Times New Roman"/>
          <w:color w:val="212121"/>
          <w:sz w:val="24"/>
          <w:szCs w:val="24"/>
          <w:lang w:val="en"/>
        </w:rPr>
        <w:t>t necessarily bring additional benefits to the manufacturer.</w:t>
      </w:r>
    </w:p>
    <w:p w:rsidR="006E1A12" w:rsidRDefault="002043DC">
      <w:pPr>
        <w:pStyle w:val="HTML"/>
        <w:shd w:val="clear" w:color="auto" w:fill="FFFFFF"/>
        <w:spacing w:line="360" w:lineRule="auto"/>
        <w:jc w:val="both"/>
        <w:rPr>
          <w:rFonts w:ascii="Times New Roman" w:eastAsia="新細明體" w:hAnsi="Times New Roman" w:cs="Times New Roman"/>
          <w:sz w:val="24"/>
          <w:szCs w:val="24"/>
        </w:rPr>
      </w:pPr>
      <w:r>
        <w:rPr>
          <w:rFonts w:ascii="Times New Roman" w:eastAsia="新細明體" w:hAnsi="Times New Roman" w:cs="Times New Roman" w:hint="eastAsia"/>
          <w:sz w:val="24"/>
          <w:szCs w:val="24"/>
        </w:rPr>
        <w:t>The current price discrimination strategy seems is an effective tool to capture consumer</w:t>
      </w:r>
      <w:r>
        <w:rPr>
          <w:rFonts w:ascii="Times New Roman" w:eastAsia="新細明體" w:hAnsi="Times New Roman" w:cs="Times New Roman"/>
          <w:sz w:val="24"/>
          <w:szCs w:val="24"/>
        </w:rPr>
        <w:t>’</w:t>
      </w:r>
      <w:r>
        <w:rPr>
          <w:rFonts w:ascii="Times New Roman" w:eastAsia="新細明體" w:hAnsi="Times New Roman" w:cs="Times New Roman" w:hint="eastAsia"/>
          <w:sz w:val="24"/>
          <w:szCs w:val="24"/>
        </w:rPr>
        <w:t xml:space="preserve">s surplus by differentiating group with different ticket prices. However, in view of the revenue made by company in the past years as well as its market share, Golden Harvest maintained its market position but still have a room to improve. Further discussion and investigation can be </w:t>
      </w:r>
      <w:proofErr w:type="gramStart"/>
      <w:r>
        <w:rPr>
          <w:rFonts w:ascii="Times New Roman" w:eastAsia="新細明體" w:hAnsi="Times New Roman" w:cs="Times New Roman" w:hint="eastAsia"/>
          <w:sz w:val="24"/>
          <w:szCs w:val="24"/>
        </w:rPr>
        <w:t>proceeded</w:t>
      </w:r>
      <w:proofErr w:type="gramEnd"/>
      <w:r>
        <w:rPr>
          <w:rFonts w:ascii="Times New Roman" w:eastAsia="新細明體" w:hAnsi="Times New Roman" w:cs="Times New Roman" w:hint="eastAsia"/>
          <w:sz w:val="24"/>
          <w:szCs w:val="24"/>
        </w:rPr>
        <w:t xml:space="preserve"> through detailed marketing analysis in order to set a more effective pricing strategy. </w:t>
      </w:r>
      <w:r w:rsidR="008F3FC9">
        <w:rPr>
          <w:rFonts w:ascii="Times New Roman" w:eastAsia="新細明體" w:hAnsi="Times New Roman" w:cs="Times New Roman" w:hint="eastAsia"/>
          <w:sz w:val="24"/>
          <w:szCs w:val="24"/>
        </w:rPr>
        <w:t xml:space="preserve">A company pricing structure should be reviewed and updated regularly to ensure </w:t>
      </w:r>
      <w:proofErr w:type="gramStart"/>
      <w:r w:rsidR="008F3FC9">
        <w:rPr>
          <w:rFonts w:ascii="Times New Roman" w:eastAsia="新細明體" w:hAnsi="Times New Roman" w:cs="Times New Roman" w:hint="eastAsia"/>
          <w:sz w:val="24"/>
          <w:szCs w:val="24"/>
        </w:rPr>
        <w:t>its</w:t>
      </w:r>
      <w:proofErr w:type="gramEnd"/>
      <w:r w:rsidR="008F3FC9">
        <w:rPr>
          <w:rFonts w:ascii="Times New Roman" w:eastAsia="新細明體" w:hAnsi="Times New Roman" w:cs="Times New Roman" w:hint="eastAsia"/>
          <w:sz w:val="24"/>
          <w:szCs w:val="24"/>
        </w:rPr>
        <w:t xml:space="preserve"> valid and effective. </w:t>
      </w:r>
    </w:p>
    <w:p w:rsidR="006E1A12" w:rsidRDefault="00270930">
      <w:pPr>
        <w:adjustRightInd w:val="0"/>
        <w:snapToGrid w:val="0"/>
        <w:spacing w:line="360" w:lineRule="auto"/>
        <w:jc w:val="both"/>
        <w:rPr>
          <w:b/>
          <w:bCs/>
          <w:sz w:val="26"/>
        </w:rPr>
      </w:pPr>
      <w:r>
        <w:rPr>
          <w:b/>
          <w:bCs/>
          <w:sz w:val="26"/>
        </w:rPr>
        <w:br w:type="page"/>
      </w:r>
      <w:r>
        <w:rPr>
          <w:b/>
          <w:bCs/>
          <w:sz w:val="26"/>
        </w:rPr>
        <w:lastRenderedPageBreak/>
        <w:t>References</w:t>
      </w:r>
    </w:p>
    <w:p w:rsidR="006E1A12" w:rsidRPr="008E78CF" w:rsidRDefault="008E78CF">
      <w:pPr>
        <w:adjustRightInd w:val="0"/>
        <w:snapToGrid w:val="0"/>
        <w:ind w:left="480" w:hangingChars="200" w:hanging="480"/>
        <w:jc w:val="both"/>
        <w:rPr>
          <w:rFonts w:eastAsia="新細明體" w:hint="eastAsia"/>
          <w:color w:val="000000"/>
          <w:szCs w:val="20"/>
        </w:rPr>
      </w:pPr>
      <w:r>
        <w:rPr>
          <w:szCs w:val="24"/>
        </w:rPr>
        <w:t>Orange Sky Golden Harvest Entertainment (Holdings) Limited</w:t>
      </w:r>
      <w:r>
        <w:rPr>
          <w:rFonts w:eastAsia="新細明體" w:hint="eastAsia"/>
          <w:szCs w:val="24"/>
        </w:rPr>
        <w:t xml:space="preserve"> Company Introduction</w:t>
      </w:r>
    </w:p>
    <w:p w:rsidR="008E78CF" w:rsidRDefault="008E78CF">
      <w:pPr>
        <w:adjustRightInd w:val="0"/>
        <w:snapToGrid w:val="0"/>
        <w:ind w:left="480" w:hangingChars="200" w:hanging="480"/>
        <w:jc w:val="both"/>
        <w:rPr>
          <w:rFonts w:eastAsia="新細明體" w:hint="eastAsia"/>
          <w:color w:val="000000"/>
          <w:szCs w:val="20"/>
        </w:rPr>
      </w:pPr>
      <w:r>
        <w:rPr>
          <w:rFonts w:eastAsia="新細明體" w:hint="eastAsia"/>
          <w:color w:val="000000"/>
          <w:szCs w:val="20"/>
        </w:rPr>
        <w:t xml:space="preserve">Available at: </w:t>
      </w:r>
      <w:r w:rsidRPr="008E78CF">
        <w:rPr>
          <w:rFonts w:eastAsia="新細明體"/>
          <w:color w:val="000000"/>
          <w:szCs w:val="20"/>
        </w:rPr>
        <w:t>http://www.osgh.com.hk/en/aboutus.php</w:t>
      </w:r>
      <w:r>
        <w:rPr>
          <w:rFonts w:eastAsia="新細明體" w:hint="eastAsia"/>
          <w:color w:val="000000"/>
          <w:szCs w:val="20"/>
        </w:rPr>
        <w:t xml:space="preserve"> </w:t>
      </w:r>
      <w:r>
        <w:rPr>
          <w:rFonts w:eastAsia="新細明體" w:hint="eastAsia"/>
        </w:rPr>
        <w:t>(Accessed 27</w:t>
      </w:r>
      <w:r w:rsidRPr="008E78CF">
        <w:rPr>
          <w:rFonts w:eastAsia="新細明體" w:hint="eastAsia"/>
          <w:vertAlign w:val="superscript"/>
        </w:rPr>
        <w:t>th</w:t>
      </w:r>
      <w:r>
        <w:rPr>
          <w:rFonts w:eastAsia="新細明體" w:hint="eastAsia"/>
        </w:rPr>
        <w:t xml:space="preserve"> February 2019)</w:t>
      </w:r>
    </w:p>
    <w:p w:rsidR="008E78CF" w:rsidRPr="008E78CF" w:rsidRDefault="008E78CF">
      <w:pPr>
        <w:adjustRightInd w:val="0"/>
        <w:snapToGrid w:val="0"/>
        <w:ind w:left="480" w:hangingChars="200" w:hanging="480"/>
        <w:jc w:val="both"/>
        <w:rPr>
          <w:rFonts w:eastAsia="新細明體" w:hint="eastAsia"/>
          <w:color w:val="000000"/>
          <w:szCs w:val="20"/>
        </w:rPr>
      </w:pPr>
    </w:p>
    <w:p w:rsidR="008E78CF" w:rsidRPr="008E78CF" w:rsidRDefault="008E78CF" w:rsidP="008E78CF">
      <w:pPr>
        <w:adjustRightInd w:val="0"/>
        <w:snapToGrid w:val="0"/>
        <w:ind w:left="60" w:hangingChars="25" w:hanging="60"/>
        <w:jc w:val="both"/>
        <w:rPr>
          <w:rFonts w:eastAsia="新細明體" w:hint="eastAsia"/>
          <w:szCs w:val="24"/>
        </w:rPr>
      </w:pPr>
      <w:r>
        <w:rPr>
          <w:szCs w:val="24"/>
        </w:rPr>
        <w:t>Orange Sky Golden Harvest Entertainment (Holdings) Limited</w:t>
      </w:r>
      <w:r>
        <w:rPr>
          <w:rFonts w:eastAsia="新細明體" w:hint="eastAsia"/>
          <w:szCs w:val="24"/>
        </w:rPr>
        <w:t xml:space="preserve"> Interim Report 2018</w:t>
      </w:r>
    </w:p>
    <w:p w:rsidR="006E1A12" w:rsidRDefault="00270930" w:rsidP="008E78CF">
      <w:pPr>
        <w:adjustRightInd w:val="0"/>
        <w:snapToGrid w:val="0"/>
        <w:ind w:left="60" w:hangingChars="25" w:hanging="60"/>
        <w:jc w:val="both"/>
      </w:pPr>
      <w:r>
        <w:t>Available at:</w:t>
      </w:r>
      <w:r w:rsidR="008E78CF" w:rsidRPr="008E78CF">
        <w:t xml:space="preserve"> http://www.osgh.com.hk/ufiles/EW0113240.pdf</w:t>
      </w:r>
      <w:r>
        <w:rPr>
          <w:color w:val="000000"/>
          <w:szCs w:val="20"/>
        </w:rPr>
        <w:t xml:space="preserve"> </w:t>
      </w:r>
      <w:r>
        <w:t xml:space="preserve">(Accessed </w:t>
      </w:r>
      <w:r w:rsidR="008E78CF">
        <w:rPr>
          <w:rFonts w:eastAsia="新細明體" w:hint="eastAsia"/>
        </w:rPr>
        <w:t>1st March</w:t>
      </w:r>
      <w:r>
        <w:t xml:space="preserve"> 2019).</w:t>
      </w:r>
    </w:p>
    <w:p w:rsidR="006E1A12" w:rsidRDefault="006E1A12">
      <w:pPr>
        <w:adjustRightInd w:val="0"/>
        <w:snapToGrid w:val="0"/>
        <w:ind w:left="480" w:hangingChars="200" w:hanging="480"/>
        <w:jc w:val="both"/>
        <w:rPr>
          <w:rFonts w:eastAsia="新細明體" w:hint="eastAsia"/>
        </w:rPr>
      </w:pPr>
    </w:p>
    <w:p w:rsidR="008E78CF" w:rsidRPr="008E78CF" w:rsidRDefault="008E78CF" w:rsidP="008E78CF">
      <w:pPr>
        <w:adjustRightInd w:val="0"/>
        <w:snapToGrid w:val="0"/>
        <w:ind w:left="60" w:hangingChars="25" w:hanging="60"/>
        <w:jc w:val="both"/>
        <w:rPr>
          <w:rFonts w:eastAsia="新細明體" w:hint="eastAsia"/>
          <w:szCs w:val="24"/>
        </w:rPr>
      </w:pPr>
      <w:r>
        <w:rPr>
          <w:szCs w:val="24"/>
        </w:rPr>
        <w:t>Orange Sky Golden Harvest Entertainment (Holdings) Limited</w:t>
      </w:r>
      <w:r>
        <w:rPr>
          <w:rFonts w:eastAsia="新細明體" w:hint="eastAsia"/>
          <w:szCs w:val="24"/>
        </w:rPr>
        <w:t xml:space="preserve"> </w:t>
      </w:r>
      <w:r>
        <w:rPr>
          <w:rFonts w:eastAsia="新細明體" w:hint="eastAsia"/>
          <w:szCs w:val="24"/>
        </w:rPr>
        <w:t>Annual</w:t>
      </w:r>
      <w:r>
        <w:rPr>
          <w:rFonts w:eastAsia="新細明體" w:hint="eastAsia"/>
          <w:szCs w:val="24"/>
        </w:rPr>
        <w:t xml:space="preserve"> Report 2017</w:t>
      </w:r>
    </w:p>
    <w:p w:rsidR="008E78CF" w:rsidRDefault="008E78CF" w:rsidP="008E78CF">
      <w:pPr>
        <w:adjustRightInd w:val="0"/>
        <w:snapToGrid w:val="0"/>
        <w:ind w:left="60" w:hangingChars="25" w:hanging="60"/>
        <w:jc w:val="both"/>
      </w:pPr>
      <w:r>
        <w:t>Available at:</w:t>
      </w:r>
      <w:r w:rsidRPr="008E78CF">
        <w:t xml:space="preserve"> </w:t>
      </w:r>
      <w:r w:rsidRPr="008E78CF">
        <w:t>http://www.osgh.com.hk/ufiles/AR_EW01132.pdf</w:t>
      </w:r>
      <w:r>
        <w:rPr>
          <w:color w:val="000000"/>
          <w:szCs w:val="20"/>
        </w:rPr>
        <w:t xml:space="preserve"> </w:t>
      </w:r>
      <w:r>
        <w:t xml:space="preserve">(Accessed </w:t>
      </w:r>
      <w:r>
        <w:rPr>
          <w:rFonts w:eastAsia="新細明體" w:hint="eastAsia"/>
        </w:rPr>
        <w:t>1st March</w:t>
      </w:r>
      <w:r>
        <w:t xml:space="preserve"> 2019).</w:t>
      </w:r>
    </w:p>
    <w:p w:rsidR="008E78CF" w:rsidRPr="008E78CF" w:rsidRDefault="008E78CF">
      <w:pPr>
        <w:adjustRightInd w:val="0"/>
        <w:snapToGrid w:val="0"/>
        <w:ind w:left="480" w:hangingChars="200" w:hanging="480"/>
        <w:jc w:val="both"/>
        <w:rPr>
          <w:rFonts w:eastAsia="新細明體" w:hint="eastAsia"/>
        </w:rPr>
      </w:pPr>
    </w:p>
    <w:p w:rsidR="008E78CF" w:rsidRPr="008E78CF" w:rsidRDefault="008E78CF" w:rsidP="008E78CF">
      <w:pPr>
        <w:adjustRightInd w:val="0"/>
        <w:snapToGrid w:val="0"/>
        <w:ind w:left="60" w:hangingChars="25" w:hanging="60"/>
        <w:jc w:val="both"/>
        <w:rPr>
          <w:rFonts w:eastAsia="新細明體" w:hint="eastAsia"/>
          <w:szCs w:val="24"/>
        </w:rPr>
      </w:pPr>
      <w:r>
        <w:rPr>
          <w:szCs w:val="24"/>
        </w:rPr>
        <w:t>Orange Sky Golden Harvest Entertainment (Holdings) Limited</w:t>
      </w:r>
      <w:r>
        <w:rPr>
          <w:rFonts w:eastAsia="新細明體" w:hint="eastAsia"/>
          <w:szCs w:val="24"/>
        </w:rPr>
        <w:t xml:space="preserve"> Annual Report 201</w:t>
      </w:r>
      <w:r>
        <w:rPr>
          <w:rFonts w:eastAsia="新細明體" w:hint="eastAsia"/>
          <w:szCs w:val="24"/>
        </w:rPr>
        <w:t>6</w:t>
      </w:r>
    </w:p>
    <w:p w:rsidR="008E78CF" w:rsidRDefault="008E78CF" w:rsidP="008E78CF">
      <w:pPr>
        <w:adjustRightInd w:val="0"/>
        <w:snapToGrid w:val="0"/>
        <w:ind w:left="60" w:hangingChars="25" w:hanging="60"/>
        <w:jc w:val="both"/>
      </w:pPr>
      <w:r>
        <w:t>Available at:</w:t>
      </w:r>
      <w:r w:rsidRPr="008E78CF">
        <w:t xml:space="preserve"> </w:t>
      </w:r>
      <w:r w:rsidRPr="008E78CF">
        <w:t>http://www.osgh.com.hk/ufiles/E_-_Annual_Report_2016.pdf</w:t>
      </w:r>
      <w:r>
        <w:rPr>
          <w:color w:val="000000"/>
          <w:szCs w:val="20"/>
        </w:rPr>
        <w:t xml:space="preserve"> </w:t>
      </w:r>
      <w:r>
        <w:t xml:space="preserve">(Accessed </w:t>
      </w:r>
      <w:r>
        <w:rPr>
          <w:rFonts w:eastAsia="新細明體" w:hint="eastAsia"/>
        </w:rPr>
        <w:t>1st March</w:t>
      </w:r>
      <w:r>
        <w:t xml:space="preserve"> 2019).</w:t>
      </w:r>
    </w:p>
    <w:p w:rsidR="008E78CF" w:rsidRDefault="008E78CF">
      <w:pPr>
        <w:adjustRightInd w:val="0"/>
        <w:snapToGrid w:val="0"/>
        <w:ind w:left="480" w:hangingChars="200" w:hanging="480"/>
        <w:jc w:val="both"/>
        <w:rPr>
          <w:rFonts w:eastAsia="新細明體" w:hint="eastAsia"/>
        </w:rPr>
      </w:pPr>
    </w:p>
    <w:p w:rsidR="008E78CF" w:rsidRPr="008E78CF" w:rsidRDefault="008E78CF" w:rsidP="008E78CF">
      <w:pPr>
        <w:adjustRightInd w:val="0"/>
        <w:snapToGrid w:val="0"/>
        <w:ind w:left="60" w:hangingChars="25" w:hanging="60"/>
        <w:jc w:val="both"/>
        <w:rPr>
          <w:rFonts w:eastAsia="新細明體" w:hint="eastAsia"/>
          <w:szCs w:val="24"/>
        </w:rPr>
      </w:pPr>
      <w:r>
        <w:rPr>
          <w:szCs w:val="24"/>
        </w:rPr>
        <w:t>Orange Sky Golden Harvest Entertainment (Holdings) Limited</w:t>
      </w:r>
      <w:r>
        <w:rPr>
          <w:rFonts w:eastAsia="新細明體" w:hint="eastAsia"/>
          <w:szCs w:val="24"/>
        </w:rPr>
        <w:t xml:space="preserve"> Annual Report 2016</w:t>
      </w:r>
    </w:p>
    <w:p w:rsidR="008E78CF" w:rsidRDefault="008E78CF" w:rsidP="008E78CF">
      <w:pPr>
        <w:adjustRightInd w:val="0"/>
        <w:snapToGrid w:val="0"/>
        <w:ind w:left="60" w:hangingChars="25" w:hanging="60"/>
        <w:jc w:val="both"/>
      </w:pPr>
      <w:r>
        <w:t>Available at:</w:t>
      </w:r>
      <w:r w:rsidRPr="008E78CF">
        <w:t xml:space="preserve"> </w:t>
      </w:r>
      <w:r w:rsidRPr="008E78CF">
        <w:t>http://www.osgh.com.hk/ufiles/EW01132_AR2.pdf</w:t>
      </w:r>
      <w:r>
        <w:rPr>
          <w:color w:val="000000"/>
          <w:szCs w:val="20"/>
        </w:rPr>
        <w:t xml:space="preserve"> </w:t>
      </w:r>
      <w:r>
        <w:t xml:space="preserve">(Accessed </w:t>
      </w:r>
      <w:r>
        <w:rPr>
          <w:rFonts w:eastAsia="新細明體" w:hint="eastAsia"/>
        </w:rPr>
        <w:t>1st March</w:t>
      </w:r>
      <w:r>
        <w:t xml:space="preserve"> 2019).</w:t>
      </w:r>
    </w:p>
    <w:p w:rsidR="008E78CF" w:rsidRPr="008E78CF" w:rsidRDefault="008E78CF" w:rsidP="008E78CF">
      <w:pPr>
        <w:adjustRightInd w:val="0"/>
        <w:snapToGrid w:val="0"/>
        <w:ind w:left="480" w:hangingChars="200" w:hanging="480"/>
        <w:jc w:val="both"/>
        <w:rPr>
          <w:rFonts w:eastAsia="新細明體" w:hint="eastAsia"/>
        </w:rPr>
      </w:pPr>
    </w:p>
    <w:p w:rsidR="008E78CF" w:rsidRPr="008E78CF" w:rsidRDefault="008E78CF" w:rsidP="008E78CF">
      <w:pPr>
        <w:adjustRightInd w:val="0"/>
        <w:snapToGrid w:val="0"/>
        <w:rPr>
          <w:rFonts w:eastAsia="新細明體" w:hint="eastAsia"/>
        </w:rPr>
      </w:pPr>
      <w:r>
        <w:rPr>
          <w:rFonts w:eastAsia="新細明體" w:hint="eastAsia"/>
        </w:rPr>
        <w:t>Hong Kong Cinema list Available at: h</w:t>
      </w:r>
      <w:r w:rsidRPr="008E78CF">
        <w:rPr>
          <w:rFonts w:eastAsia="新細明體"/>
        </w:rPr>
        <w:t>ttps://zh.wikipedia.org/wiki/%E9%A6%99%E6%B8%AF%E6%88%B2%E9%99%A2%E5%88%97%E8%A1%A8</w:t>
      </w:r>
      <w:r>
        <w:rPr>
          <w:rFonts w:eastAsia="新細明體" w:hint="eastAsia"/>
        </w:rPr>
        <w:t xml:space="preserve"> (Accessed 27</w:t>
      </w:r>
      <w:r w:rsidRPr="008E78CF">
        <w:rPr>
          <w:rFonts w:eastAsia="新細明體" w:hint="eastAsia"/>
          <w:vertAlign w:val="superscript"/>
        </w:rPr>
        <w:t>th</w:t>
      </w:r>
      <w:r>
        <w:rPr>
          <w:rFonts w:eastAsia="新細明體" w:hint="eastAsia"/>
        </w:rPr>
        <w:t xml:space="preserve"> February 2019)</w:t>
      </w:r>
    </w:p>
    <w:p w:rsidR="006E1A12" w:rsidRDefault="006E1A12">
      <w:pPr>
        <w:adjustRightInd w:val="0"/>
        <w:snapToGrid w:val="0"/>
        <w:ind w:left="480" w:hangingChars="200" w:hanging="480"/>
        <w:jc w:val="both"/>
      </w:pPr>
    </w:p>
    <w:p w:rsidR="006E1A12" w:rsidRDefault="008E78CF">
      <w:pPr>
        <w:adjustRightInd w:val="0"/>
        <w:snapToGrid w:val="0"/>
        <w:ind w:left="480" w:hangingChars="200" w:hanging="480"/>
        <w:jc w:val="both"/>
        <w:rPr>
          <w:rFonts w:eastAsia="新細明體" w:hint="eastAsia"/>
        </w:rPr>
      </w:pPr>
      <w:r>
        <w:rPr>
          <w:rFonts w:eastAsia="新細明體" w:hint="eastAsia"/>
        </w:rPr>
        <w:t>Golden Harvest Cinema</w:t>
      </w:r>
      <w:r>
        <w:rPr>
          <w:rFonts w:eastAsia="新細明體"/>
        </w:rPr>
        <w:t>’</w:t>
      </w:r>
      <w:r>
        <w:rPr>
          <w:rFonts w:eastAsia="新細明體" w:hint="eastAsia"/>
        </w:rPr>
        <w:t>s ticket price</w:t>
      </w:r>
    </w:p>
    <w:p w:rsidR="008E78CF" w:rsidRPr="00600D3A" w:rsidRDefault="008E78CF" w:rsidP="008E78CF">
      <w:pPr>
        <w:adjustRightInd w:val="0"/>
        <w:snapToGrid w:val="0"/>
        <w:jc w:val="both"/>
        <w:rPr>
          <w:rFonts w:eastAsia="新細明體"/>
          <w:szCs w:val="24"/>
        </w:rPr>
      </w:pPr>
      <w:r>
        <w:rPr>
          <w:rFonts w:eastAsia="新細明體" w:hint="eastAsia"/>
        </w:rPr>
        <w:t>Ava</w:t>
      </w:r>
      <w:r w:rsidRPr="00600D3A">
        <w:rPr>
          <w:rFonts w:eastAsia="新細明體"/>
          <w:szCs w:val="24"/>
        </w:rPr>
        <w:t>ilable at: https://www.goldenharvest.com/film/list?category=now (Accessed 26</w:t>
      </w:r>
      <w:r w:rsidRPr="00600D3A">
        <w:rPr>
          <w:rFonts w:eastAsia="新細明體"/>
          <w:szCs w:val="24"/>
          <w:vertAlign w:val="superscript"/>
        </w:rPr>
        <w:t>th</w:t>
      </w:r>
      <w:r w:rsidRPr="00600D3A">
        <w:rPr>
          <w:rFonts w:eastAsia="新細明體"/>
          <w:szCs w:val="24"/>
        </w:rPr>
        <w:t xml:space="preserve"> February 2019)</w:t>
      </w:r>
    </w:p>
    <w:p w:rsidR="006E1A12" w:rsidRPr="00600D3A" w:rsidRDefault="006E1A12">
      <w:pPr>
        <w:adjustRightInd w:val="0"/>
        <w:snapToGrid w:val="0"/>
        <w:ind w:left="480" w:hangingChars="200" w:hanging="480"/>
        <w:jc w:val="both"/>
        <w:rPr>
          <w:rFonts w:eastAsia="新細明體"/>
          <w:szCs w:val="24"/>
        </w:rPr>
      </w:pPr>
    </w:p>
    <w:p w:rsidR="00600D3A" w:rsidRPr="00600D3A" w:rsidRDefault="00600D3A">
      <w:pPr>
        <w:adjustRightInd w:val="0"/>
        <w:snapToGrid w:val="0"/>
        <w:ind w:left="480" w:hangingChars="200" w:hanging="480"/>
        <w:jc w:val="both"/>
        <w:rPr>
          <w:rFonts w:eastAsia="新細明體"/>
          <w:szCs w:val="24"/>
        </w:rPr>
      </w:pPr>
      <w:r w:rsidRPr="00600D3A">
        <w:rPr>
          <w:szCs w:val="24"/>
        </w:rPr>
        <w:t xml:space="preserve">Kumar, R. (2005). </w:t>
      </w:r>
      <w:proofErr w:type="gramStart"/>
      <w:r w:rsidRPr="00600D3A">
        <w:rPr>
          <w:i/>
          <w:szCs w:val="24"/>
        </w:rPr>
        <w:t>Research methodology.</w:t>
      </w:r>
      <w:proofErr w:type="gramEnd"/>
      <w:r w:rsidRPr="00600D3A">
        <w:rPr>
          <w:i/>
          <w:szCs w:val="24"/>
        </w:rPr>
        <w:t xml:space="preserve"> </w:t>
      </w:r>
      <w:proofErr w:type="gramStart"/>
      <w:r w:rsidRPr="00600D3A">
        <w:rPr>
          <w:szCs w:val="24"/>
        </w:rPr>
        <w:t>SAGE Publications.</w:t>
      </w:r>
      <w:proofErr w:type="gramEnd"/>
    </w:p>
    <w:p w:rsidR="00600D3A" w:rsidRPr="00600D3A" w:rsidRDefault="00600D3A">
      <w:pPr>
        <w:adjustRightInd w:val="0"/>
        <w:snapToGrid w:val="0"/>
        <w:ind w:left="480" w:hangingChars="200" w:hanging="480"/>
        <w:jc w:val="both"/>
        <w:rPr>
          <w:rFonts w:eastAsia="新細明體"/>
          <w:szCs w:val="24"/>
        </w:rPr>
      </w:pPr>
    </w:p>
    <w:p w:rsidR="00600D3A" w:rsidRDefault="00600D3A" w:rsidP="00600D3A">
      <w:pPr>
        <w:adjustRightInd w:val="0"/>
        <w:snapToGrid w:val="0"/>
        <w:ind w:left="2"/>
        <w:jc w:val="both"/>
        <w:rPr>
          <w:rStyle w:val="skimlinks-unlinked"/>
          <w:rFonts w:eastAsia="新細明體" w:hint="eastAsia"/>
          <w:szCs w:val="24"/>
          <w:bdr w:val="none" w:sz="0" w:space="0" w:color="auto" w:frame="1"/>
          <w:shd w:val="clear" w:color="auto" w:fill="FFFFFF"/>
        </w:rPr>
      </w:pPr>
      <w:proofErr w:type="spellStart"/>
      <w:r w:rsidRPr="00600D3A">
        <w:rPr>
          <w:szCs w:val="24"/>
          <w:shd w:val="clear" w:color="auto" w:fill="FFFFFF"/>
        </w:rPr>
        <w:t>Kaftal</w:t>
      </w:r>
      <w:proofErr w:type="spellEnd"/>
      <w:r w:rsidRPr="00600D3A">
        <w:rPr>
          <w:szCs w:val="24"/>
          <w:shd w:val="clear" w:color="auto" w:fill="FFFFFF"/>
        </w:rPr>
        <w:t xml:space="preserve">, V. &amp; Pal, D. </w:t>
      </w:r>
      <w:r>
        <w:rPr>
          <w:rFonts w:eastAsia="新細明體" w:hint="eastAsia"/>
          <w:szCs w:val="24"/>
          <w:shd w:val="clear" w:color="auto" w:fill="FFFFFF"/>
        </w:rPr>
        <w:t>(</w:t>
      </w:r>
      <w:r w:rsidRPr="00600D3A">
        <w:rPr>
          <w:szCs w:val="24"/>
          <w:shd w:val="clear" w:color="auto" w:fill="FFFFFF"/>
        </w:rPr>
        <w:t>2008</w:t>
      </w:r>
      <w:r>
        <w:rPr>
          <w:rFonts w:eastAsia="新細明體" w:hint="eastAsia"/>
          <w:szCs w:val="24"/>
          <w:shd w:val="clear" w:color="auto" w:fill="FFFFFF"/>
        </w:rPr>
        <w:t>)</w:t>
      </w:r>
      <w:r w:rsidRPr="00600D3A">
        <w:rPr>
          <w:szCs w:val="24"/>
          <w:shd w:val="clear" w:color="auto" w:fill="FFFFFF"/>
        </w:rPr>
        <w:t xml:space="preserve"> </w:t>
      </w:r>
      <w:r w:rsidRPr="00600D3A">
        <w:rPr>
          <w:i/>
          <w:szCs w:val="24"/>
          <w:shd w:val="clear" w:color="auto" w:fill="FFFFFF"/>
        </w:rPr>
        <w:t>Third Degree Price Discrimination in Linear-Demand Markets: Effects on Number of Markets Served and Social Welfare.</w:t>
      </w:r>
      <w:r w:rsidRPr="00600D3A">
        <w:rPr>
          <w:szCs w:val="24"/>
          <w:shd w:val="clear" w:color="auto" w:fill="FFFFFF"/>
        </w:rPr>
        <w:t> </w:t>
      </w:r>
      <w:r w:rsidRPr="00600D3A">
        <w:rPr>
          <w:rStyle w:val="af4"/>
          <w:szCs w:val="24"/>
          <w:bdr w:val="none" w:sz="0" w:space="0" w:color="auto" w:frame="1"/>
          <w:shd w:val="clear" w:color="auto" w:fill="FFFFFF"/>
        </w:rPr>
        <w:t>Southern Economic Journal</w:t>
      </w:r>
      <w:r w:rsidRPr="00600D3A">
        <w:rPr>
          <w:szCs w:val="24"/>
          <w:shd w:val="clear" w:color="auto" w:fill="FFFFFF"/>
        </w:rPr>
        <w:t>, </w:t>
      </w:r>
      <w:r w:rsidRPr="00600D3A">
        <w:rPr>
          <w:rStyle w:val="skimlinks-unlinked"/>
          <w:szCs w:val="24"/>
          <w:bdr w:val="none" w:sz="0" w:space="0" w:color="auto" w:frame="1"/>
          <w:shd w:val="clear" w:color="auto" w:fill="FFFFFF"/>
        </w:rPr>
        <w:t>Vol.75</w:t>
      </w:r>
    </w:p>
    <w:p w:rsidR="00600D3A" w:rsidRDefault="00600D3A" w:rsidP="00600D3A">
      <w:pPr>
        <w:adjustRightInd w:val="0"/>
        <w:snapToGrid w:val="0"/>
        <w:ind w:left="2"/>
        <w:jc w:val="both"/>
        <w:rPr>
          <w:rStyle w:val="skimlinks-unlinked"/>
          <w:rFonts w:eastAsia="新細明體" w:hint="eastAsia"/>
          <w:szCs w:val="24"/>
          <w:bdr w:val="none" w:sz="0" w:space="0" w:color="auto" w:frame="1"/>
          <w:shd w:val="clear" w:color="auto" w:fill="FFFFFF"/>
        </w:rPr>
      </w:pPr>
    </w:p>
    <w:p w:rsidR="00600D3A" w:rsidRDefault="00600D3A" w:rsidP="00600D3A">
      <w:pPr>
        <w:adjustRightInd w:val="0"/>
        <w:snapToGrid w:val="0"/>
        <w:ind w:left="480" w:hangingChars="200" w:hanging="480"/>
        <w:jc w:val="both"/>
        <w:rPr>
          <w:rFonts w:eastAsia="新細明體" w:hint="eastAsia"/>
          <w:szCs w:val="24"/>
          <w:shd w:val="clear" w:color="auto" w:fill="FFFFFF"/>
        </w:rPr>
      </w:pPr>
      <w:proofErr w:type="spellStart"/>
      <w:r w:rsidRPr="00600D3A">
        <w:rPr>
          <w:szCs w:val="24"/>
          <w:shd w:val="clear" w:color="auto" w:fill="FFFFFF"/>
        </w:rPr>
        <w:t>Michman</w:t>
      </w:r>
      <w:proofErr w:type="spellEnd"/>
      <w:r w:rsidRPr="00600D3A">
        <w:rPr>
          <w:szCs w:val="24"/>
          <w:shd w:val="clear" w:color="auto" w:fill="FFFFFF"/>
        </w:rPr>
        <w:t xml:space="preserve">, R. </w:t>
      </w:r>
      <w:r>
        <w:rPr>
          <w:rFonts w:eastAsia="新細明體" w:hint="eastAsia"/>
          <w:szCs w:val="24"/>
          <w:shd w:val="clear" w:color="auto" w:fill="FFFFFF"/>
        </w:rPr>
        <w:t>(</w:t>
      </w:r>
      <w:r w:rsidRPr="00600D3A">
        <w:rPr>
          <w:szCs w:val="24"/>
          <w:shd w:val="clear" w:color="auto" w:fill="FFFFFF"/>
        </w:rPr>
        <w:t>1999</w:t>
      </w:r>
      <w:r>
        <w:rPr>
          <w:rFonts w:eastAsia="新細明體" w:hint="eastAsia"/>
          <w:szCs w:val="24"/>
          <w:shd w:val="clear" w:color="auto" w:fill="FFFFFF"/>
        </w:rPr>
        <w:t>)</w:t>
      </w:r>
      <w:r w:rsidRPr="00600D3A">
        <w:rPr>
          <w:szCs w:val="24"/>
          <w:shd w:val="clear" w:color="auto" w:fill="FFFFFF"/>
        </w:rPr>
        <w:t> </w:t>
      </w:r>
      <w:r w:rsidRPr="00600D3A">
        <w:rPr>
          <w:rStyle w:val="af4"/>
          <w:szCs w:val="24"/>
          <w:bdr w:val="none" w:sz="0" w:space="0" w:color="auto" w:frame="1"/>
          <w:shd w:val="clear" w:color="auto" w:fill="FFFFFF"/>
        </w:rPr>
        <w:t>Lifestyle Market Segmentation</w:t>
      </w:r>
      <w:r w:rsidRPr="00600D3A">
        <w:rPr>
          <w:szCs w:val="24"/>
          <w:shd w:val="clear" w:color="auto" w:fill="FFFFFF"/>
        </w:rPr>
        <w:t xml:space="preserve">. Mahwah, NJ: </w:t>
      </w:r>
      <w:proofErr w:type="spellStart"/>
      <w:r w:rsidRPr="00600D3A">
        <w:rPr>
          <w:szCs w:val="24"/>
          <w:shd w:val="clear" w:color="auto" w:fill="FFFFFF"/>
        </w:rPr>
        <w:t>Praeger</w:t>
      </w:r>
      <w:proofErr w:type="spellEnd"/>
      <w:r w:rsidRPr="00600D3A">
        <w:rPr>
          <w:rFonts w:hint="eastAsia"/>
          <w:szCs w:val="24"/>
          <w:shd w:val="clear" w:color="auto" w:fill="FFFFFF"/>
        </w:rPr>
        <w:t xml:space="preserve"> </w:t>
      </w:r>
    </w:p>
    <w:p w:rsidR="00600D3A" w:rsidRDefault="00600D3A" w:rsidP="00600D3A">
      <w:pPr>
        <w:adjustRightInd w:val="0"/>
        <w:snapToGrid w:val="0"/>
        <w:ind w:left="480" w:hangingChars="200" w:hanging="480"/>
        <w:jc w:val="both"/>
        <w:rPr>
          <w:rFonts w:eastAsia="新細明體" w:hint="eastAsia"/>
          <w:szCs w:val="24"/>
          <w:shd w:val="clear" w:color="auto" w:fill="FFFFFF"/>
        </w:rPr>
      </w:pPr>
    </w:p>
    <w:p w:rsidR="00600D3A" w:rsidRPr="008E78CF" w:rsidRDefault="00600D3A" w:rsidP="00600D3A">
      <w:pPr>
        <w:adjustRightInd w:val="0"/>
        <w:snapToGrid w:val="0"/>
        <w:ind w:left="480" w:hangingChars="200" w:hanging="480"/>
        <w:jc w:val="both"/>
        <w:rPr>
          <w:rFonts w:eastAsia="新細明體"/>
        </w:rPr>
      </w:pPr>
      <w:r>
        <w:rPr>
          <w:rFonts w:hint="eastAsia"/>
          <w:szCs w:val="24"/>
          <w:shd w:val="clear" w:color="auto" w:fill="FFFFFF"/>
        </w:rPr>
        <w:t xml:space="preserve">Roger A. Arnold, </w:t>
      </w:r>
      <w:r>
        <w:rPr>
          <w:rFonts w:eastAsia="新細明體" w:hint="eastAsia"/>
          <w:szCs w:val="24"/>
          <w:shd w:val="clear" w:color="auto" w:fill="FFFFFF"/>
        </w:rPr>
        <w:t>(</w:t>
      </w:r>
      <w:r>
        <w:rPr>
          <w:rFonts w:hint="eastAsia"/>
          <w:szCs w:val="24"/>
          <w:shd w:val="clear" w:color="auto" w:fill="FFFFFF"/>
        </w:rPr>
        <w:t>2008</w:t>
      </w:r>
      <w:r>
        <w:rPr>
          <w:rFonts w:eastAsia="新細明體" w:hint="eastAsia"/>
          <w:szCs w:val="24"/>
          <w:shd w:val="clear" w:color="auto" w:fill="FFFFFF"/>
        </w:rPr>
        <w:t xml:space="preserve">) </w:t>
      </w:r>
      <w:r w:rsidRPr="008E78CF">
        <w:rPr>
          <w:rFonts w:hint="eastAsia"/>
          <w:i/>
          <w:szCs w:val="24"/>
          <w:shd w:val="clear" w:color="auto" w:fill="FFFFFF"/>
        </w:rPr>
        <w:t>Economics</w:t>
      </w:r>
    </w:p>
    <w:p w:rsidR="00600D3A" w:rsidRPr="00600D3A" w:rsidRDefault="00600D3A" w:rsidP="00600D3A">
      <w:pPr>
        <w:adjustRightInd w:val="0"/>
        <w:snapToGrid w:val="0"/>
        <w:ind w:left="2"/>
        <w:jc w:val="both"/>
        <w:rPr>
          <w:rFonts w:eastAsia="新細明體"/>
          <w:szCs w:val="24"/>
        </w:rPr>
      </w:pPr>
    </w:p>
    <w:sectPr w:rsidR="00600D3A" w:rsidRPr="00600D3A" w:rsidSect="0015333A">
      <w:pgSz w:w="11906" w:h="16838"/>
      <w:pgMar w:top="1134" w:right="1418" w:bottom="993" w:left="1418" w:header="851" w:footer="992" w:gutter="0"/>
      <w:pgNumType w:start="1"/>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70930" w:rsidRDefault="00270930">
      <w:r>
        <w:separator/>
      </w:r>
    </w:p>
  </w:endnote>
  <w:endnote w:type="continuationSeparator" w:id="0">
    <w:p w:rsidR="00270930" w:rsidRDefault="002709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Verdana">
    <w:panose1 w:val="020B0604030504040204"/>
    <w:charset w:val="00"/>
    <w:family w:val="swiss"/>
    <w:pitch w:val="variable"/>
    <w:sig w:usb0="A10006FF" w:usb1="4000205B" w:usb2="00000010" w:usb3="00000000" w:csb0="0000019F" w:csb1="00000000"/>
  </w:font>
  <w:font w:name="標楷體">
    <w:panose1 w:val="03000509000000000000"/>
    <w:charset w:val="88"/>
    <w:family w:val="script"/>
    <w:pitch w:val="fixed"/>
    <w:sig w:usb0="00000003" w:usb1="080E0000" w:usb2="00000016" w:usb3="00000000" w:csb0="0010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E1A12" w:rsidRDefault="00270930">
    <w:pPr>
      <w:pStyle w:val="a5"/>
      <w:framePr w:wrap="around" w:vAnchor="text" w:hAnchor="margin" w:xAlign="center" w:y="1"/>
      <w:rPr>
        <w:rStyle w:val="aa"/>
      </w:rPr>
    </w:pPr>
    <w:r>
      <w:rPr>
        <w:rStyle w:val="aa"/>
      </w:rPr>
      <w:fldChar w:fldCharType="begin"/>
    </w:r>
    <w:r>
      <w:rPr>
        <w:rStyle w:val="aa"/>
      </w:rPr>
      <w:instrText xml:space="preserve">PAGE  </w:instrText>
    </w:r>
    <w:r>
      <w:rPr>
        <w:rStyle w:val="aa"/>
      </w:rPr>
      <w:fldChar w:fldCharType="end"/>
    </w:r>
  </w:p>
  <w:p w:rsidR="006E1A12" w:rsidRDefault="006E1A12">
    <w:pPr>
      <w:pStyle w:val="a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E1A12" w:rsidRDefault="006E1A12">
    <w:pPr>
      <w:pStyle w:val="a5"/>
      <w:framePr w:wrap="around" w:vAnchor="text" w:hAnchor="margin" w:xAlign="center" w:y="1"/>
      <w:rPr>
        <w:rStyle w:val="aa"/>
      </w:rPr>
    </w:pPr>
  </w:p>
  <w:p w:rsidR="006E1A12" w:rsidRDefault="006E1A12">
    <w:pPr>
      <w:pStyle w:val="a5"/>
      <w:framePr w:wrap="around" w:vAnchor="text" w:hAnchor="margin" w:xAlign="center" w:y="1"/>
      <w:rPr>
        <w:rStyle w:val="aa"/>
      </w:rPr>
    </w:pPr>
  </w:p>
  <w:p w:rsidR="006E1A12" w:rsidRDefault="006E1A12">
    <w:pPr>
      <w:pStyle w:val="a5"/>
      <w:framePr w:wrap="around" w:vAnchor="text" w:hAnchor="margin" w:xAlign="center" w:y="1"/>
      <w:rPr>
        <w:rStyle w:val="aa"/>
      </w:rPr>
    </w:pPr>
  </w:p>
  <w:p w:rsidR="006E1A12" w:rsidRDefault="006E1A12">
    <w:pPr>
      <w:pStyle w:val="a5"/>
      <w:framePr w:wrap="around" w:vAnchor="text" w:hAnchor="margin" w:xAlign="center" w:y="1"/>
      <w:rPr>
        <w:rStyle w:val="aa"/>
      </w:rPr>
    </w:pPr>
  </w:p>
  <w:p w:rsidR="006E1A12" w:rsidRDefault="006E1A12">
    <w:pPr>
      <w:pStyle w:val="a5"/>
      <w:framePr w:wrap="around" w:vAnchor="text" w:hAnchor="margin" w:xAlign="center" w:y="1"/>
      <w:rPr>
        <w:rStyle w:val="aa"/>
      </w:rPr>
    </w:pPr>
  </w:p>
  <w:p w:rsidR="006E1A12" w:rsidRDefault="00270930">
    <w:pPr>
      <w:pStyle w:val="a5"/>
      <w:jc w:val="center"/>
    </w:pPr>
    <w:r>
      <w:rPr>
        <w:rStyle w:val="aa"/>
      </w:rPr>
      <w:fldChar w:fldCharType="begin"/>
    </w:r>
    <w:r>
      <w:rPr>
        <w:rStyle w:val="aa"/>
      </w:rPr>
      <w:instrText xml:space="preserve"> PAGE </w:instrText>
    </w:r>
    <w:r>
      <w:rPr>
        <w:rStyle w:val="aa"/>
      </w:rPr>
      <w:fldChar w:fldCharType="separate"/>
    </w:r>
    <w:r w:rsidR="000A67A3">
      <w:rPr>
        <w:rStyle w:val="aa"/>
        <w:noProof/>
      </w:rPr>
      <w:t>12</w:t>
    </w:r>
    <w:r>
      <w:rPr>
        <w:rStyle w:val="aa"/>
      </w:rPr>
      <w:fldChar w:fldCharType="end"/>
    </w:r>
  </w:p>
  <w:p w:rsidR="006E1A12" w:rsidRDefault="006E1A12">
    <w:pPr>
      <w:pStyle w:val="a5"/>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70930" w:rsidRDefault="00270930">
      <w:r>
        <w:separator/>
      </w:r>
    </w:p>
  </w:footnote>
  <w:footnote w:type="continuationSeparator" w:id="0">
    <w:p w:rsidR="00270930" w:rsidRDefault="0027093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9A4497"/>
    <w:multiLevelType w:val="multilevel"/>
    <w:tmpl w:val="169A4497"/>
    <w:lvl w:ilvl="0">
      <w:start w:val="1"/>
      <w:numFmt w:val="bullet"/>
      <w:lvlText w:val=""/>
      <w:lvlJc w:val="left"/>
      <w:pPr>
        <w:ind w:left="5442" w:hanging="480"/>
      </w:pPr>
      <w:rPr>
        <w:rFonts w:ascii="Wingdings" w:hAnsi="Wingdings" w:hint="default"/>
      </w:rPr>
    </w:lvl>
    <w:lvl w:ilvl="1">
      <w:start w:val="1"/>
      <w:numFmt w:val="bullet"/>
      <w:lvlText w:val=""/>
      <w:lvlJc w:val="left"/>
      <w:pPr>
        <w:ind w:left="5922" w:hanging="480"/>
      </w:pPr>
      <w:rPr>
        <w:rFonts w:ascii="Wingdings" w:hAnsi="Wingdings" w:hint="default"/>
      </w:rPr>
    </w:lvl>
    <w:lvl w:ilvl="2">
      <w:start w:val="1"/>
      <w:numFmt w:val="bullet"/>
      <w:lvlText w:val=""/>
      <w:lvlJc w:val="left"/>
      <w:pPr>
        <w:ind w:left="6402" w:hanging="480"/>
      </w:pPr>
      <w:rPr>
        <w:rFonts w:ascii="Wingdings" w:hAnsi="Wingdings" w:hint="default"/>
      </w:rPr>
    </w:lvl>
    <w:lvl w:ilvl="3">
      <w:start w:val="1"/>
      <w:numFmt w:val="bullet"/>
      <w:lvlText w:val=""/>
      <w:lvlJc w:val="left"/>
      <w:pPr>
        <w:ind w:left="6882" w:hanging="480"/>
      </w:pPr>
      <w:rPr>
        <w:rFonts w:ascii="Wingdings" w:hAnsi="Wingdings" w:hint="default"/>
      </w:rPr>
    </w:lvl>
    <w:lvl w:ilvl="4">
      <w:start w:val="1"/>
      <w:numFmt w:val="bullet"/>
      <w:lvlText w:val=""/>
      <w:lvlJc w:val="left"/>
      <w:pPr>
        <w:ind w:left="7362" w:hanging="480"/>
      </w:pPr>
      <w:rPr>
        <w:rFonts w:ascii="Wingdings" w:hAnsi="Wingdings" w:hint="default"/>
      </w:rPr>
    </w:lvl>
    <w:lvl w:ilvl="5">
      <w:start w:val="1"/>
      <w:numFmt w:val="bullet"/>
      <w:lvlText w:val=""/>
      <w:lvlJc w:val="left"/>
      <w:pPr>
        <w:ind w:left="7842" w:hanging="480"/>
      </w:pPr>
      <w:rPr>
        <w:rFonts w:ascii="Wingdings" w:hAnsi="Wingdings" w:hint="default"/>
      </w:rPr>
    </w:lvl>
    <w:lvl w:ilvl="6">
      <w:start w:val="1"/>
      <w:numFmt w:val="bullet"/>
      <w:lvlText w:val=""/>
      <w:lvlJc w:val="left"/>
      <w:pPr>
        <w:ind w:left="8322" w:hanging="480"/>
      </w:pPr>
      <w:rPr>
        <w:rFonts w:ascii="Wingdings" w:hAnsi="Wingdings" w:hint="default"/>
      </w:rPr>
    </w:lvl>
    <w:lvl w:ilvl="7">
      <w:start w:val="1"/>
      <w:numFmt w:val="bullet"/>
      <w:lvlText w:val=""/>
      <w:lvlJc w:val="left"/>
      <w:pPr>
        <w:ind w:left="8802" w:hanging="480"/>
      </w:pPr>
      <w:rPr>
        <w:rFonts w:ascii="Wingdings" w:hAnsi="Wingdings" w:hint="default"/>
      </w:rPr>
    </w:lvl>
    <w:lvl w:ilvl="8">
      <w:start w:val="1"/>
      <w:numFmt w:val="bullet"/>
      <w:lvlText w:val=""/>
      <w:lvlJc w:val="left"/>
      <w:pPr>
        <w:ind w:left="9282" w:hanging="480"/>
      </w:pPr>
      <w:rPr>
        <w:rFonts w:ascii="Wingdings" w:hAnsi="Wingdings" w:hint="default"/>
      </w:rPr>
    </w:lvl>
  </w:abstractNum>
  <w:abstractNum w:abstractNumId="1">
    <w:nsid w:val="1EEE3E50"/>
    <w:multiLevelType w:val="multilevel"/>
    <w:tmpl w:val="1EEE3E50"/>
    <w:lvl w:ilvl="0">
      <w:start w:val="1"/>
      <w:numFmt w:val="lowerLetter"/>
      <w:lvlText w:val="%1)"/>
      <w:lvlJc w:val="left"/>
      <w:pPr>
        <w:ind w:left="480" w:hanging="480"/>
      </w:pPr>
      <w:rPr>
        <w:rFonts w:hint="default"/>
      </w:r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2">
    <w:nsid w:val="25891F5D"/>
    <w:multiLevelType w:val="multilevel"/>
    <w:tmpl w:val="25891F5D"/>
    <w:lvl w:ilvl="0">
      <w:start w:val="1"/>
      <w:numFmt w:val="lowerLetter"/>
      <w:lvlText w:val="%1)"/>
      <w:lvlJc w:val="left"/>
      <w:pPr>
        <w:ind w:left="480" w:hanging="480"/>
      </w:pPr>
      <w:rPr>
        <w:rFonts w:hint="default"/>
      </w:r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3">
    <w:nsid w:val="55BD7ABB"/>
    <w:multiLevelType w:val="hybridMultilevel"/>
    <w:tmpl w:val="A54CDD86"/>
    <w:lvl w:ilvl="0" w:tplc="193C574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67D5316A"/>
    <w:multiLevelType w:val="multilevel"/>
    <w:tmpl w:val="67D5316A"/>
    <w:lvl w:ilvl="0">
      <w:start w:val="1"/>
      <w:numFmt w:val="bullet"/>
      <w:lvlText w:val=""/>
      <w:lvlJc w:val="left"/>
      <w:pPr>
        <w:ind w:left="480" w:hanging="480"/>
      </w:pPr>
      <w:rPr>
        <w:rFonts w:ascii="Wingdings" w:hAnsi="Wingdings" w:hint="default"/>
      </w:rPr>
    </w:lvl>
    <w:lvl w:ilvl="1">
      <w:start w:val="1"/>
      <w:numFmt w:val="bullet"/>
      <w:lvlText w:val=""/>
      <w:lvlJc w:val="left"/>
      <w:pPr>
        <w:ind w:left="960" w:hanging="480"/>
      </w:pPr>
      <w:rPr>
        <w:rFonts w:ascii="Wingdings" w:hAnsi="Wingdings" w:hint="default"/>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397"/>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underlineTabInNumLis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6BDA"/>
    <w:rsid w:val="00067808"/>
    <w:rsid w:val="00073C3C"/>
    <w:rsid w:val="00074310"/>
    <w:rsid w:val="00074B88"/>
    <w:rsid w:val="00093362"/>
    <w:rsid w:val="000978B4"/>
    <w:rsid w:val="000A67A3"/>
    <w:rsid w:val="000C61E4"/>
    <w:rsid w:val="000D21B6"/>
    <w:rsid w:val="000D7268"/>
    <w:rsid w:val="001137C7"/>
    <w:rsid w:val="001222BD"/>
    <w:rsid w:val="00133640"/>
    <w:rsid w:val="0015333A"/>
    <w:rsid w:val="001600A2"/>
    <w:rsid w:val="001678EF"/>
    <w:rsid w:val="00192052"/>
    <w:rsid w:val="001B0195"/>
    <w:rsid w:val="001B1DF5"/>
    <w:rsid w:val="001E6BC3"/>
    <w:rsid w:val="00202E67"/>
    <w:rsid w:val="002043DC"/>
    <w:rsid w:val="00222688"/>
    <w:rsid w:val="002433E4"/>
    <w:rsid w:val="002464F7"/>
    <w:rsid w:val="00246DD2"/>
    <w:rsid w:val="00270930"/>
    <w:rsid w:val="00271DC6"/>
    <w:rsid w:val="002B69A7"/>
    <w:rsid w:val="002C6D36"/>
    <w:rsid w:val="002F5A28"/>
    <w:rsid w:val="00306563"/>
    <w:rsid w:val="00311ADA"/>
    <w:rsid w:val="00312A80"/>
    <w:rsid w:val="0032410B"/>
    <w:rsid w:val="003456F0"/>
    <w:rsid w:val="003531DD"/>
    <w:rsid w:val="00356F7A"/>
    <w:rsid w:val="003632B8"/>
    <w:rsid w:val="00396AF3"/>
    <w:rsid w:val="00396BAD"/>
    <w:rsid w:val="003B1AA3"/>
    <w:rsid w:val="003B3DC2"/>
    <w:rsid w:val="003D5704"/>
    <w:rsid w:val="00400416"/>
    <w:rsid w:val="00407DD6"/>
    <w:rsid w:val="004238D8"/>
    <w:rsid w:val="00476518"/>
    <w:rsid w:val="00490413"/>
    <w:rsid w:val="00492397"/>
    <w:rsid w:val="004A2B65"/>
    <w:rsid w:val="004D6E44"/>
    <w:rsid w:val="004E5F5E"/>
    <w:rsid w:val="004F2917"/>
    <w:rsid w:val="004F639B"/>
    <w:rsid w:val="004F75CD"/>
    <w:rsid w:val="00501F33"/>
    <w:rsid w:val="00537D94"/>
    <w:rsid w:val="005B40FD"/>
    <w:rsid w:val="005C4ED3"/>
    <w:rsid w:val="005D2A07"/>
    <w:rsid w:val="005E2C59"/>
    <w:rsid w:val="005E4AA8"/>
    <w:rsid w:val="00600D3A"/>
    <w:rsid w:val="00603E07"/>
    <w:rsid w:val="006067C2"/>
    <w:rsid w:val="0062280C"/>
    <w:rsid w:val="00627B86"/>
    <w:rsid w:val="00635D3C"/>
    <w:rsid w:val="006508F5"/>
    <w:rsid w:val="006657B3"/>
    <w:rsid w:val="00670B18"/>
    <w:rsid w:val="006841F6"/>
    <w:rsid w:val="006A0BDA"/>
    <w:rsid w:val="006A3E24"/>
    <w:rsid w:val="006E1A12"/>
    <w:rsid w:val="00704BD6"/>
    <w:rsid w:val="00767A43"/>
    <w:rsid w:val="007777DC"/>
    <w:rsid w:val="00806C45"/>
    <w:rsid w:val="00816E31"/>
    <w:rsid w:val="008402A6"/>
    <w:rsid w:val="008527D9"/>
    <w:rsid w:val="008704CE"/>
    <w:rsid w:val="00876D08"/>
    <w:rsid w:val="008777A7"/>
    <w:rsid w:val="008832F1"/>
    <w:rsid w:val="00894DAD"/>
    <w:rsid w:val="008C7EC7"/>
    <w:rsid w:val="008E78CF"/>
    <w:rsid w:val="008F3FC9"/>
    <w:rsid w:val="00916A40"/>
    <w:rsid w:val="009222A2"/>
    <w:rsid w:val="0096250A"/>
    <w:rsid w:val="00964084"/>
    <w:rsid w:val="0097518E"/>
    <w:rsid w:val="009879AC"/>
    <w:rsid w:val="009928BC"/>
    <w:rsid w:val="009A546E"/>
    <w:rsid w:val="009B5596"/>
    <w:rsid w:val="009C4242"/>
    <w:rsid w:val="00A33F6A"/>
    <w:rsid w:val="00A37748"/>
    <w:rsid w:val="00A45A43"/>
    <w:rsid w:val="00A5435D"/>
    <w:rsid w:val="00A66BDA"/>
    <w:rsid w:val="00A83E23"/>
    <w:rsid w:val="00A9020C"/>
    <w:rsid w:val="00AB4694"/>
    <w:rsid w:val="00AC75E9"/>
    <w:rsid w:val="00AE3CA3"/>
    <w:rsid w:val="00AF4C14"/>
    <w:rsid w:val="00B0321E"/>
    <w:rsid w:val="00B25B3D"/>
    <w:rsid w:val="00B3666D"/>
    <w:rsid w:val="00B4314C"/>
    <w:rsid w:val="00B638D9"/>
    <w:rsid w:val="00B92681"/>
    <w:rsid w:val="00BB17DB"/>
    <w:rsid w:val="00BD439E"/>
    <w:rsid w:val="00C039CC"/>
    <w:rsid w:val="00C04DD8"/>
    <w:rsid w:val="00C053C0"/>
    <w:rsid w:val="00C146E5"/>
    <w:rsid w:val="00C40B94"/>
    <w:rsid w:val="00C60026"/>
    <w:rsid w:val="00C71E4D"/>
    <w:rsid w:val="00C954CA"/>
    <w:rsid w:val="00C95BE3"/>
    <w:rsid w:val="00CA2B78"/>
    <w:rsid w:val="00CB7453"/>
    <w:rsid w:val="00CC0E1D"/>
    <w:rsid w:val="00CC3541"/>
    <w:rsid w:val="00CC69B2"/>
    <w:rsid w:val="00CC7B8D"/>
    <w:rsid w:val="00CD4800"/>
    <w:rsid w:val="00CD6383"/>
    <w:rsid w:val="00CF330D"/>
    <w:rsid w:val="00D05D73"/>
    <w:rsid w:val="00D2543F"/>
    <w:rsid w:val="00D3216B"/>
    <w:rsid w:val="00DF6F15"/>
    <w:rsid w:val="00E441F5"/>
    <w:rsid w:val="00E564FD"/>
    <w:rsid w:val="00E82032"/>
    <w:rsid w:val="00EC79A2"/>
    <w:rsid w:val="00ED5F42"/>
    <w:rsid w:val="00F33F08"/>
    <w:rsid w:val="00F44494"/>
    <w:rsid w:val="00F74BBF"/>
    <w:rsid w:val="00FD615B"/>
    <w:rsid w:val="06732F5F"/>
    <w:rsid w:val="19CC386A"/>
    <w:rsid w:val="560A67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0" w:unhideWhenUsed="0" w:qFormat="1"/>
    <w:lsdException w:name="heading 4" w:uiPriority="9" w:qFormat="1"/>
    <w:lsdException w:name="heading 5" w:uiPriority="9" w:qFormat="1"/>
    <w:lsdException w:name="heading 6" w:semiHidden="0" w:uiPriority="0" w:unhideWhenUsed="0" w:qFormat="1"/>
    <w:lsdException w:name="heading 7" w:uiPriority="9" w:qFormat="1"/>
    <w:lsdException w:name="heading 8" w:uiPriority="9" w:qFormat="1"/>
    <w:lsdException w:name="heading 9" w:uiPriority="9" w:qFormat="1"/>
    <w:lsdException w:name="toc 1" w:uiPriority="0" w:unhideWhenUsed="0"/>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unhideWhenUsed="0"/>
    <w:lsdException w:name="annotation text" w:uiPriority="0" w:unhideWhenUsed="0"/>
    <w:lsdException w:name="header" w:semiHidden="0" w:uiPriority="0"/>
    <w:lsdException w:name="footer" w:semiHidden="0" w:uiPriority="0"/>
    <w:lsdException w:name="caption" w:uiPriority="35" w:qFormat="1"/>
    <w:lsdException w:name="footnote reference" w:uiPriority="0" w:unhideWhenUsed="0"/>
    <w:lsdException w:name="annotation reference" w:uiPriority="0" w:unhideWhenUsed="0"/>
    <w:lsdException w:name="page number" w:uiPriority="0" w:unhideWhenUsed="0"/>
    <w:lsdException w:name="Title" w:semiHidden="0" w:uiPriority="0" w:unhideWhenUsed="0" w:qFormat="1"/>
    <w:lsdException w:name="Default Paragraph Font" w:uiPriority="0"/>
    <w:lsdException w:name="Body Text" w:uiPriority="0" w:unhideWhenUsed="0"/>
    <w:lsdException w:name="Subtitle" w:semiHidden="0" w:uiPriority="11" w:unhideWhenUsed="0" w:qFormat="1"/>
    <w:lsdException w:name="Body Text 2" w:uiPriority="0" w:unhideWhenUsed="0"/>
    <w:lsdException w:name="Body Text 3" w:uiPriority="0" w:unhideWhenUsed="0"/>
    <w:lsdException w:name="Body Text Indent 2" w:uiPriority="0" w:unhideWhenUsed="0"/>
    <w:lsdException w:name="Hyperlink" w:uiPriority="0" w:unhideWhenUsed="0"/>
    <w:lsdException w:name="Strong" w:semiHidden="0" w:uiPriority="22" w:unhideWhenUsed="0" w:qFormat="1"/>
    <w:lsdException w:name="Emphasis" w:semiHidden="0" w:uiPriority="20" w:unhideWhenUsed="0" w:qFormat="1"/>
    <w:lsdException w:name="Normal (Web)" w:uiPriority="0" w:unhideWhenUsed="0"/>
    <w:lsdException w:name="HTML Preformatted" w:semiHidden="0"/>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rPr>
      <w:kern w:val="2"/>
      <w:sz w:val="24"/>
      <w:szCs w:val="22"/>
    </w:rPr>
  </w:style>
  <w:style w:type="paragraph" w:styleId="1">
    <w:name w:val="heading 1"/>
    <w:basedOn w:val="a"/>
    <w:next w:val="a"/>
    <w:qFormat/>
    <w:pPr>
      <w:keepNext/>
      <w:spacing w:before="180" w:after="180" w:line="720" w:lineRule="auto"/>
      <w:outlineLvl w:val="0"/>
    </w:pPr>
    <w:rPr>
      <w:rFonts w:ascii="Arial" w:hAnsi="Arial"/>
      <w:b/>
      <w:bCs/>
      <w:kern w:val="52"/>
      <w:sz w:val="52"/>
      <w:szCs w:val="52"/>
    </w:rPr>
  </w:style>
  <w:style w:type="paragraph" w:styleId="2">
    <w:name w:val="heading 2"/>
    <w:next w:val="a0"/>
    <w:qFormat/>
    <w:pPr>
      <w:keepNext/>
      <w:tabs>
        <w:tab w:val="left" w:pos="360"/>
      </w:tabs>
      <w:spacing w:before="60" w:after="120"/>
      <w:outlineLvl w:val="1"/>
    </w:pPr>
    <w:rPr>
      <w:b/>
      <w:sz w:val="22"/>
      <w:lang w:eastAsia="en-US"/>
    </w:rPr>
  </w:style>
  <w:style w:type="paragraph" w:styleId="3">
    <w:name w:val="heading 3"/>
    <w:basedOn w:val="a"/>
    <w:next w:val="a"/>
    <w:qFormat/>
    <w:pPr>
      <w:keepNext/>
      <w:jc w:val="center"/>
      <w:outlineLvl w:val="2"/>
    </w:pPr>
    <w:rPr>
      <w:b/>
      <w:sz w:val="28"/>
      <w:szCs w:val="28"/>
    </w:rPr>
  </w:style>
  <w:style w:type="paragraph" w:styleId="4">
    <w:name w:val="heading 4"/>
    <w:basedOn w:val="a"/>
    <w:next w:val="a"/>
    <w:link w:val="40"/>
    <w:uiPriority w:val="9"/>
    <w:semiHidden/>
    <w:unhideWhenUsed/>
    <w:qFormat/>
    <w:pPr>
      <w:keepNext/>
      <w:spacing w:line="720" w:lineRule="auto"/>
      <w:outlineLvl w:val="3"/>
    </w:pPr>
    <w:rPr>
      <w:rFonts w:ascii="Cambria" w:eastAsia="新細明體" w:hAnsi="Cambria"/>
      <w:sz w:val="36"/>
      <w:szCs w:val="36"/>
    </w:rPr>
  </w:style>
  <w:style w:type="paragraph" w:styleId="6">
    <w:name w:val="heading 6"/>
    <w:basedOn w:val="a"/>
    <w:next w:val="a"/>
    <w:qFormat/>
    <w:pPr>
      <w:keepNext/>
      <w:spacing w:line="720" w:lineRule="auto"/>
      <w:ind w:leftChars="200" w:left="200"/>
      <w:outlineLvl w:val="5"/>
    </w:pPr>
    <w:rPr>
      <w:rFonts w:ascii="Arial" w:hAnsi="Arial"/>
      <w:sz w:val="36"/>
      <w:szCs w:val="36"/>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semiHidden/>
    <w:pPr>
      <w:spacing w:after="240"/>
      <w:jc w:val="both"/>
    </w:pPr>
    <w:rPr>
      <w:sz w:val="22"/>
      <w:lang w:eastAsia="en-US"/>
    </w:rPr>
  </w:style>
  <w:style w:type="paragraph" w:styleId="a4">
    <w:name w:val="annotation text"/>
    <w:basedOn w:val="a"/>
    <w:semiHidden/>
  </w:style>
  <w:style w:type="paragraph" w:styleId="30">
    <w:name w:val="Body Text 3"/>
    <w:basedOn w:val="a"/>
    <w:semiHidden/>
    <w:pPr>
      <w:tabs>
        <w:tab w:val="left" w:pos="720"/>
      </w:tabs>
      <w:adjustRightInd w:val="0"/>
      <w:snapToGrid w:val="0"/>
      <w:ind w:right="85"/>
      <w:jc w:val="both"/>
    </w:pPr>
    <w:rPr>
      <w:rFonts w:ascii="Arial" w:hAnsi="Arial" w:cs="Arial"/>
      <w:sz w:val="22"/>
    </w:rPr>
  </w:style>
  <w:style w:type="paragraph" w:styleId="20">
    <w:name w:val="Body Text Indent 2"/>
    <w:basedOn w:val="a"/>
    <w:semiHidden/>
    <w:pPr>
      <w:spacing w:after="120" w:line="480" w:lineRule="auto"/>
      <w:ind w:leftChars="200" w:left="480"/>
    </w:pPr>
  </w:style>
  <w:style w:type="paragraph" w:styleId="a5">
    <w:name w:val="footer"/>
    <w:basedOn w:val="a"/>
    <w:unhideWhenUsed/>
    <w:pPr>
      <w:tabs>
        <w:tab w:val="center" w:pos="4153"/>
        <w:tab w:val="right" w:pos="8306"/>
      </w:tabs>
      <w:snapToGrid w:val="0"/>
    </w:pPr>
    <w:rPr>
      <w:sz w:val="20"/>
      <w:szCs w:val="20"/>
    </w:rPr>
  </w:style>
  <w:style w:type="paragraph" w:styleId="a6">
    <w:name w:val="header"/>
    <w:basedOn w:val="a"/>
    <w:unhideWhenUsed/>
    <w:pPr>
      <w:tabs>
        <w:tab w:val="center" w:pos="4153"/>
        <w:tab w:val="right" w:pos="8306"/>
      </w:tabs>
      <w:snapToGrid w:val="0"/>
    </w:pPr>
    <w:rPr>
      <w:sz w:val="20"/>
      <w:szCs w:val="20"/>
    </w:rPr>
  </w:style>
  <w:style w:type="paragraph" w:styleId="10">
    <w:name w:val="toc 1"/>
    <w:basedOn w:val="1"/>
    <w:next w:val="a"/>
    <w:semiHidden/>
    <w:pPr>
      <w:keepNext w:val="0"/>
      <w:spacing w:before="360" w:after="0" w:line="240" w:lineRule="auto"/>
      <w:outlineLvl w:val="9"/>
    </w:pPr>
    <w:rPr>
      <w:rFonts w:cs="Arial"/>
      <w:caps/>
      <w:kern w:val="2"/>
      <w:sz w:val="24"/>
      <w:szCs w:val="24"/>
    </w:rPr>
  </w:style>
  <w:style w:type="paragraph" w:styleId="a7">
    <w:name w:val="footnote text"/>
    <w:basedOn w:val="a"/>
    <w:semiHidden/>
    <w:pPr>
      <w:widowControl/>
    </w:pPr>
    <w:rPr>
      <w:rFonts w:ascii="Arial" w:hAnsi="Arial"/>
      <w:kern w:val="0"/>
      <w:sz w:val="18"/>
      <w:szCs w:val="20"/>
      <w:lang w:eastAsia="en-US"/>
    </w:rPr>
  </w:style>
  <w:style w:type="paragraph" w:styleId="21">
    <w:name w:val="Body Text 2"/>
    <w:basedOn w:val="a"/>
    <w:semiHidden/>
    <w:pPr>
      <w:tabs>
        <w:tab w:val="left" w:pos="480"/>
        <w:tab w:val="left" w:pos="6855"/>
      </w:tabs>
      <w:adjustRightInd w:val="0"/>
      <w:snapToGrid w:val="0"/>
      <w:jc w:val="both"/>
    </w:pPr>
    <w:rPr>
      <w:rFonts w:ascii="Arial" w:hAnsi="Arial" w:cs="Arial"/>
    </w:rPr>
  </w:style>
  <w:style w:type="paragraph" w:styleId="HTML">
    <w:name w:val="HTML Preformatted"/>
    <w:basedOn w:val="a"/>
    <w:link w:val="HTML0"/>
    <w:uiPriority w:val="99"/>
    <w:unhideWhenUsed/>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rPr>
  </w:style>
  <w:style w:type="paragraph" w:styleId="Web">
    <w:name w:val="Normal (Web)"/>
    <w:basedOn w:val="a"/>
    <w:semiHidden/>
    <w:pPr>
      <w:widowControl/>
      <w:spacing w:before="100" w:beforeAutospacing="1" w:after="100" w:afterAutospacing="1"/>
    </w:pPr>
    <w:rPr>
      <w:rFonts w:eastAsia="MS Mincho"/>
      <w:kern w:val="0"/>
      <w:szCs w:val="24"/>
      <w:lang w:eastAsia="ja-JP"/>
    </w:rPr>
  </w:style>
  <w:style w:type="paragraph" w:styleId="a8">
    <w:name w:val="Title"/>
    <w:basedOn w:val="a"/>
    <w:qFormat/>
    <w:pPr>
      <w:widowControl/>
      <w:jc w:val="center"/>
    </w:pPr>
    <w:rPr>
      <w:b/>
      <w:bCs/>
      <w:kern w:val="0"/>
      <w:sz w:val="32"/>
      <w:szCs w:val="24"/>
      <w:lang w:eastAsia="en-US"/>
    </w:rPr>
  </w:style>
  <w:style w:type="character" w:styleId="a9">
    <w:name w:val="Strong"/>
    <w:uiPriority w:val="22"/>
    <w:qFormat/>
    <w:rPr>
      <w:b/>
      <w:bCs/>
    </w:rPr>
  </w:style>
  <w:style w:type="character" w:styleId="aa">
    <w:name w:val="page number"/>
    <w:basedOn w:val="a1"/>
    <w:semiHidden/>
  </w:style>
  <w:style w:type="character" w:styleId="ab">
    <w:name w:val="Hyperlink"/>
    <w:semiHidden/>
    <w:rPr>
      <w:color w:val="0000FF"/>
      <w:u w:val="single"/>
    </w:rPr>
  </w:style>
  <w:style w:type="character" w:styleId="ac">
    <w:name w:val="annotation reference"/>
    <w:semiHidden/>
    <w:rPr>
      <w:sz w:val="18"/>
      <w:szCs w:val="18"/>
    </w:rPr>
  </w:style>
  <w:style w:type="character" w:styleId="ad">
    <w:name w:val="footnote reference"/>
    <w:semiHidden/>
    <w:rPr>
      <w:vertAlign w:val="superscript"/>
    </w:rPr>
  </w:style>
  <w:style w:type="table" w:styleId="ae">
    <w:name w:val="Table Grid"/>
    <w:basedOn w:val="a2"/>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Body">
    <w:name w:val="Table Body"/>
    <w:pPr>
      <w:keepNext/>
    </w:pPr>
    <w:rPr>
      <w:sz w:val="22"/>
      <w:lang w:eastAsia="en-US"/>
    </w:rPr>
  </w:style>
  <w:style w:type="paragraph" w:customStyle="1" w:styleId="tableheadscenter">
    <w:name w:val="table heads center"/>
    <w:basedOn w:val="a"/>
    <w:next w:val="a"/>
    <w:pPr>
      <w:widowControl/>
      <w:spacing w:after="60"/>
      <w:jc w:val="center"/>
    </w:pPr>
    <w:rPr>
      <w:rFonts w:ascii="Arial" w:hAnsi="Arial"/>
      <w:b/>
      <w:kern w:val="0"/>
      <w:sz w:val="22"/>
      <w:szCs w:val="20"/>
      <w:lang w:eastAsia="en-US"/>
    </w:rPr>
  </w:style>
  <w:style w:type="paragraph" w:customStyle="1" w:styleId="Italicsheading">
    <w:name w:val="Italics heading"/>
    <w:basedOn w:val="a"/>
    <w:next w:val="a0"/>
    <w:pPr>
      <w:widowControl/>
      <w:spacing w:after="120"/>
    </w:pPr>
    <w:rPr>
      <w:i/>
      <w:kern w:val="0"/>
      <w:sz w:val="22"/>
      <w:szCs w:val="20"/>
      <w:lang w:eastAsia="en-US"/>
    </w:rPr>
  </w:style>
  <w:style w:type="paragraph" w:styleId="af">
    <w:name w:val="List Paragraph"/>
    <w:basedOn w:val="a"/>
    <w:qFormat/>
    <w:pPr>
      <w:ind w:leftChars="200" w:left="480"/>
    </w:pPr>
  </w:style>
  <w:style w:type="paragraph" w:customStyle="1" w:styleId="11">
    <w:name w:val="註解主旨1"/>
    <w:basedOn w:val="a4"/>
    <w:next w:val="a4"/>
    <w:semiHidden/>
    <w:rPr>
      <w:b/>
      <w:bCs/>
    </w:rPr>
  </w:style>
  <w:style w:type="paragraph" w:customStyle="1" w:styleId="12">
    <w:name w:val="註解方塊文字1"/>
    <w:basedOn w:val="a"/>
    <w:semiHidden/>
    <w:rPr>
      <w:rFonts w:ascii="Arial" w:hAnsi="Arial"/>
      <w:sz w:val="18"/>
      <w:szCs w:val="18"/>
    </w:rPr>
  </w:style>
  <w:style w:type="paragraph" w:customStyle="1" w:styleId="Style1">
    <w:name w:val="Style1"/>
    <w:basedOn w:val="a"/>
    <w:pPr>
      <w:widowControl/>
    </w:pPr>
    <w:rPr>
      <w:kern w:val="0"/>
      <w:szCs w:val="20"/>
      <w:lang w:val="en-GB" w:eastAsia="en-US"/>
    </w:rPr>
  </w:style>
  <w:style w:type="paragraph" w:customStyle="1" w:styleId="Arial">
    <w:name w:val="內文 + (拉丁) Arial"/>
    <w:basedOn w:val="Web"/>
  </w:style>
  <w:style w:type="character" w:customStyle="1" w:styleId="af0">
    <w:name w:val="字元"/>
    <w:rPr>
      <w:kern w:val="2"/>
    </w:rPr>
  </w:style>
  <w:style w:type="character" w:customStyle="1" w:styleId="13">
    <w:name w:val="字元1"/>
    <w:rPr>
      <w:kern w:val="2"/>
    </w:rPr>
  </w:style>
  <w:style w:type="character" w:customStyle="1" w:styleId="22">
    <w:name w:val="字元2"/>
    <w:rPr>
      <w:rFonts w:ascii="Times New Roman" w:hAnsi="Times New Roman"/>
      <w:b/>
      <w:sz w:val="22"/>
      <w:lang w:val="en-US" w:eastAsia="en-US" w:bidi="ar-SA"/>
    </w:rPr>
  </w:style>
  <w:style w:type="character" w:customStyle="1" w:styleId="31">
    <w:name w:val="字元3"/>
    <w:rPr>
      <w:rFonts w:ascii="Times New Roman" w:hAnsi="Times New Roman"/>
      <w:sz w:val="22"/>
      <w:lang w:val="en-US" w:eastAsia="en-US" w:bidi="ar-SA"/>
    </w:rPr>
  </w:style>
  <w:style w:type="character" w:customStyle="1" w:styleId="41">
    <w:name w:val="字元4"/>
    <w:semiHidden/>
    <w:rPr>
      <w:rFonts w:ascii="Arial" w:hAnsi="Arial"/>
      <w:sz w:val="18"/>
      <w:lang w:eastAsia="en-US"/>
    </w:rPr>
  </w:style>
  <w:style w:type="character" w:customStyle="1" w:styleId="bodycopy1">
    <w:name w:val="bodycopy1"/>
    <w:rPr>
      <w:rFonts w:ascii="Verdana" w:hAnsi="Verdana" w:hint="default"/>
      <w:color w:val="000000"/>
      <w:sz w:val="18"/>
      <w:szCs w:val="18"/>
    </w:rPr>
  </w:style>
  <w:style w:type="character" w:customStyle="1" w:styleId="shorttext">
    <w:name w:val="short_text"/>
    <w:basedOn w:val="a1"/>
  </w:style>
  <w:style w:type="character" w:customStyle="1" w:styleId="af1">
    <w:name w:val="頁尾 字元"/>
    <w:rPr>
      <w:rFonts w:eastAsia="SimSun"/>
      <w:kern w:val="2"/>
      <w:lang w:eastAsia="zh-CN"/>
    </w:rPr>
  </w:style>
  <w:style w:type="character" w:customStyle="1" w:styleId="40">
    <w:name w:val="標題 4 字元"/>
    <w:link w:val="4"/>
    <w:uiPriority w:val="9"/>
    <w:semiHidden/>
    <w:rPr>
      <w:rFonts w:ascii="Cambria" w:eastAsia="新細明體" w:hAnsi="Cambria" w:cs="Times New Roman"/>
      <w:kern w:val="2"/>
      <w:sz w:val="36"/>
      <w:szCs w:val="36"/>
    </w:rPr>
  </w:style>
  <w:style w:type="character" w:customStyle="1" w:styleId="HTML0">
    <w:name w:val="HTML 預設格式 字元"/>
    <w:link w:val="HTML"/>
    <w:uiPriority w:val="99"/>
    <w:rPr>
      <w:rFonts w:ascii="Courier New" w:eastAsia="Times New Roman" w:hAnsi="Courier New" w:cs="Courier New"/>
    </w:rPr>
  </w:style>
  <w:style w:type="paragraph" w:styleId="af2">
    <w:name w:val="Balloon Text"/>
    <w:basedOn w:val="a"/>
    <w:link w:val="af3"/>
    <w:uiPriority w:val="99"/>
    <w:semiHidden/>
    <w:unhideWhenUsed/>
    <w:rsid w:val="008E78CF"/>
    <w:rPr>
      <w:rFonts w:asciiTheme="majorHAnsi" w:eastAsiaTheme="majorEastAsia" w:hAnsiTheme="majorHAnsi" w:cstheme="majorBidi"/>
      <w:sz w:val="18"/>
      <w:szCs w:val="18"/>
    </w:rPr>
  </w:style>
  <w:style w:type="character" w:customStyle="1" w:styleId="af3">
    <w:name w:val="註解方塊文字 字元"/>
    <w:basedOn w:val="a1"/>
    <w:link w:val="af2"/>
    <w:uiPriority w:val="99"/>
    <w:semiHidden/>
    <w:rsid w:val="008E78CF"/>
    <w:rPr>
      <w:rFonts w:asciiTheme="majorHAnsi" w:eastAsiaTheme="majorEastAsia" w:hAnsiTheme="majorHAnsi" w:cstheme="majorBidi"/>
      <w:kern w:val="2"/>
      <w:sz w:val="18"/>
      <w:szCs w:val="18"/>
    </w:rPr>
  </w:style>
  <w:style w:type="character" w:styleId="af4">
    <w:name w:val="Emphasis"/>
    <w:basedOn w:val="a1"/>
    <w:uiPriority w:val="20"/>
    <w:qFormat/>
    <w:rsid w:val="00600D3A"/>
    <w:rPr>
      <w:i/>
      <w:iCs/>
    </w:rPr>
  </w:style>
  <w:style w:type="character" w:customStyle="1" w:styleId="skimlinks-unlinked">
    <w:name w:val="skimlinks-unlinked"/>
    <w:basedOn w:val="a1"/>
    <w:rsid w:val="00600D3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0" w:unhideWhenUsed="0" w:qFormat="1"/>
    <w:lsdException w:name="heading 4" w:uiPriority="9" w:qFormat="1"/>
    <w:lsdException w:name="heading 5" w:uiPriority="9" w:qFormat="1"/>
    <w:lsdException w:name="heading 6" w:semiHidden="0" w:uiPriority="0" w:unhideWhenUsed="0" w:qFormat="1"/>
    <w:lsdException w:name="heading 7" w:uiPriority="9" w:qFormat="1"/>
    <w:lsdException w:name="heading 8" w:uiPriority="9" w:qFormat="1"/>
    <w:lsdException w:name="heading 9" w:uiPriority="9" w:qFormat="1"/>
    <w:lsdException w:name="toc 1" w:uiPriority="0" w:unhideWhenUsed="0"/>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unhideWhenUsed="0"/>
    <w:lsdException w:name="annotation text" w:uiPriority="0" w:unhideWhenUsed="0"/>
    <w:lsdException w:name="header" w:semiHidden="0" w:uiPriority="0"/>
    <w:lsdException w:name="footer" w:semiHidden="0" w:uiPriority="0"/>
    <w:lsdException w:name="caption" w:uiPriority="35" w:qFormat="1"/>
    <w:lsdException w:name="footnote reference" w:uiPriority="0" w:unhideWhenUsed="0"/>
    <w:lsdException w:name="annotation reference" w:uiPriority="0" w:unhideWhenUsed="0"/>
    <w:lsdException w:name="page number" w:uiPriority="0" w:unhideWhenUsed="0"/>
    <w:lsdException w:name="Title" w:semiHidden="0" w:uiPriority="0" w:unhideWhenUsed="0" w:qFormat="1"/>
    <w:lsdException w:name="Default Paragraph Font" w:uiPriority="0"/>
    <w:lsdException w:name="Body Text" w:uiPriority="0" w:unhideWhenUsed="0"/>
    <w:lsdException w:name="Subtitle" w:semiHidden="0" w:uiPriority="11" w:unhideWhenUsed="0" w:qFormat="1"/>
    <w:lsdException w:name="Body Text 2" w:uiPriority="0" w:unhideWhenUsed="0"/>
    <w:lsdException w:name="Body Text 3" w:uiPriority="0" w:unhideWhenUsed="0"/>
    <w:lsdException w:name="Body Text Indent 2" w:uiPriority="0" w:unhideWhenUsed="0"/>
    <w:lsdException w:name="Hyperlink" w:uiPriority="0" w:unhideWhenUsed="0"/>
    <w:lsdException w:name="Strong" w:semiHidden="0" w:uiPriority="22" w:unhideWhenUsed="0" w:qFormat="1"/>
    <w:lsdException w:name="Emphasis" w:semiHidden="0" w:uiPriority="20" w:unhideWhenUsed="0" w:qFormat="1"/>
    <w:lsdException w:name="Normal (Web)" w:uiPriority="0" w:unhideWhenUsed="0"/>
    <w:lsdException w:name="HTML Preformatted" w:semiHidden="0"/>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rPr>
      <w:kern w:val="2"/>
      <w:sz w:val="24"/>
      <w:szCs w:val="22"/>
    </w:rPr>
  </w:style>
  <w:style w:type="paragraph" w:styleId="1">
    <w:name w:val="heading 1"/>
    <w:basedOn w:val="a"/>
    <w:next w:val="a"/>
    <w:qFormat/>
    <w:pPr>
      <w:keepNext/>
      <w:spacing w:before="180" w:after="180" w:line="720" w:lineRule="auto"/>
      <w:outlineLvl w:val="0"/>
    </w:pPr>
    <w:rPr>
      <w:rFonts w:ascii="Arial" w:hAnsi="Arial"/>
      <w:b/>
      <w:bCs/>
      <w:kern w:val="52"/>
      <w:sz w:val="52"/>
      <w:szCs w:val="52"/>
    </w:rPr>
  </w:style>
  <w:style w:type="paragraph" w:styleId="2">
    <w:name w:val="heading 2"/>
    <w:next w:val="a0"/>
    <w:qFormat/>
    <w:pPr>
      <w:keepNext/>
      <w:tabs>
        <w:tab w:val="left" w:pos="360"/>
      </w:tabs>
      <w:spacing w:before="60" w:after="120"/>
      <w:outlineLvl w:val="1"/>
    </w:pPr>
    <w:rPr>
      <w:b/>
      <w:sz w:val="22"/>
      <w:lang w:eastAsia="en-US"/>
    </w:rPr>
  </w:style>
  <w:style w:type="paragraph" w:styleId="3">
    <w:name w:val="heading 3"/>
    <w:basedOn w:val="a"/>
    <w:next w:val="a"/>
    <w:qFormat/>
    <w:pPr>
      <w:keepNext/>
      <w:jc w:val="center"/>
      <w:outlineLvl w:val="2"/>
    </w:pPr>
    <w:rPr>
      <w:b/>
      <w:sz w:val="28"/>
      <w:szCs w:val="28"/>
    </w:rPr>
  </w:style>
  <w:style w:type="paragraph" w:styleId="4">
    <w:name w:val="heading 4"/>
    <w:basedOn w:val="a"/>
    <w:next w:val="a"/>
    <w:link w:val="40"/>
    <w:uiPriority w:val="9"/>
    <w:semiHidden/>
    <w:unhideWhenUsed/>
    <w:qFormat/>
    <w:pPr>
      <w:keepNext/>
      <w:spacing w:line="720" w:lineRule="auto"/>
      <w:outlineLvl w:val="3"/>
    </w:pPr>
    <w:rPr>
      <w:rFonts w:ascii="Cambria" w:eastAsia="新細明體" w:hAnsi="Cambria"/>
      <w:sz w:val="36"/>
      <w:szCs w:val="36"/>
    </w:rPr>
  </w:style>
  <w:style w:type="paragraph" w:styleId="6">
    <w:name w:val="heading 6"/>
    <w:basedOn w:val="a"/>
    <w:next w:val="a"/>
    <w:qFormat/>
    <w:pPr>
      <w:keepNext/>
      <w:spacing w:line="720" w:lineRule="auto"/>
      <w:ind w:leftChars="200" w:left="200"/>
      <w:outlineLvl w:val="5"/>
    </w:pPr>
    <w:rPr>
      <w:rFonts w:ascii="Arial" w:hAnsi="Arial"/>
      <w:sz w:val="36"/>
      <w:szCs w:val="36"/>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semiHidden/>
    <w:pPr>
      <w:spacing w:after="240"/>
      <w:jc w:val="both"/>
    </w:pPr>
    <w:rPr>
      <w:sz w:val="22"/>
      <w:lang w:eastAsia="en-US"/>
    </w:rPr>
  </w:style>
  <w:style w:type="paragraph" w:styleId="a4">
    <w:name w:val="annotation text"/>
    <w:basedOn w:val="a"/>
    <w:semiHidden/>
  </w:style>
  <w:style w:type="paragraph" w:styleId="30">
    <w:name w:val="Body Text 3"/>
    <w:basedOn w:val="a"/>
    <w:semiHidden/>
    <w:pPr>
      <w:tabs>
        <w:tab w:val="left" w:pos="720"/>
      </w:tabs>
      <w:adjustRightInd w:val="0"/>
      <w:snapToGrid w:val="0"/>
      <w:ind w:right="85"/>
      <w:jc w:val="both"/>
    </w:pPr>
    <w:rPr>
      <w:rFonts w:ascii="Arial" w:hAnsi="Arial" w:cs="Arial"/>
      <w:sz w:val="22"/>
    </w:rPr>
  </w:style>
  <w:style w:type="paragraph" w:styleId="20">
    <w:name w:val="Body Text Indent 2"/>
    <w:basedOn w:val="a"/>
    <w:semiHidden/>
    <w:pPr>
      <w:spacing w:after="120" w:line="480" w:lineRule="auto"/>
      <w:ind w:leftChars="200" w:left="480"/>
    </w:pPr>
  </w:style>
  <w:style w:type="paragraph" w:styleId="a5">
    <w:name w:val="footer"/>
    <w:basedOn w:val="a"/>
    <w:unhideWhenUsed/>
    <w:pPr>
      <w:tabs>
        <w:tab w:val="center" w:pos="4153"/>
        <w:tab w:val="right" w:pos="8306"/>
      </w:tabs>
      <w:snapToGrid w:val="0"/>
    </w:pPr>
    <w:rPr>
      <w:sz w:val="20"/>
      <w:szCs w:val="20"/>
    </w:rPr>
  </w:style>
  <w:style w:type="paragraph" w:styleId="a6">
    <w:name w:val="header"/>
    <w:basedOn w:val="a"/>
    <w:unhideWhenUsed/>
    <w:pPr>
      <w:tabs>
        <w:tab w:val="center" w:pos="4153"/>
        <w:tab w:val="right" w:pos="8306"/>
      </w:tabs>
      <w:snapToGrid w:val="0"/>
    </w:pPr>
    <w:rPr>
      <w:sz w:val="20"/>
      <w:szCs w:val="20"/>
    </w:rPr>
  </w:style>
  <w:style w:type="paragraph" w:styleId="10">
    <w:name w:val="toc 1"/>
    <w:basedOn w:val="1"/>
    <w:next w:val="a"/>
    <w:semiHidden/>
    <w:pPr>
      <w:keepNext w:val="0"/>
      <w:spacing w:before="360" w:after="0" w:line="240" w:lineRule="auto"/>
      <w:outlineLvl w:val="9"/>
    </w:pPr>
    <w:rPr>
      <w:rFonts w:cs="Arial"/>
      <w:caps/>
      <w:kern w:val="2"/>
      <w:sz w:val="24"/>
      <w:szCs w:val="24"/>
    </w:rPr>
  </w:style>
  <w:style w:type="paragraph" w:styleId="a7">
    <w:name w:val="footnote text"/>
    <w:basedOn w:val="a"/>
    <w:semiHidden/>
    <w:pPr>
      <w:widowControl/>
    </w:pPr>
    <w:rPr>
      <w:rFonts w:ascii="Arial" w:hAnsi="Arial"/>
      <w:kern w:val="0"/>
      <w:sz w:val="18"/>
      <w:szCs w:val="20"/>
      <w:lang w:eastAsia="en-US"/>
    </w:rPr>
  </w:style>
  <w:style w:type="paragraph" w:styleId="21">
    <w:name w:val="Body Text 2"/>
    <w:basedOn w:val="a"/>
    <w:semiHidden/>
    <w:pPr>
      <w:tabs>
        <w:tab w:val="left" w:pos="480"/>
        <w:tab w:val="left" w:pos="6855"/>
      </w:tabs>
      <w:adjustRightInd w:val="0"/>
      <w:snapToGrid w:val="0"/>
      <w:jc w:val="both"/>
    </w:pPr>
    <w:rPr>
      <w:rFonts w:ascii="Arial" w:hAnsi="Arial" w:cs="Arial"/>
    </w:rPr>
  </w:style>
  <w:style w:type="paragraph" w:styleId="HTML">
    <w:name w:val="HTML Preformatted"/>
    <w:basedOn w:val="a"/>
    <w:link w:val="HTML0"/>
    <w:uiPriority w:val="99"/>
    <w:unhideWhenUsed/>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rPr>
  </w:style>
  <w:style w:type="paragraph" w:styleId="Web">
    <w:name w:val="Normal (Web)"/>
    <w:basedOn w:val="a"/>
    <w:semiHidden/>
    <w:pPr>
      <w:widowControl/>
      <w:spacing w:before="100" w:beforeAutospacing="1" w:after="100" w:afterAutospacing="1"/>
    </w:pPr>
    <w:rPr>
      <w:rFonts w:eastAsia="MS Mincho"/>
      <w:kern w:val="0"/>
      <w:szCs w:val="24"/>
      <w:lang w:eastAsia="ja-JP"/>
    </w:rPr>
  </w:style>
  <w:style w:type="paragraph" w:styleId="a8">
    <w:name w:val="Title"/>
    <w:basedOn w:val="a"/>
    <w:qFormat/>
    <w:pPr>
      <w:widowControl/>
      <w:jc w:val="center"/>
    </w:pPr>
    <w:rPr>
      <w:b/>
      <w:bCs/>
      <w:kern w:val="0"/>
      <w:sz w:val="32"/>
      <w:szCs w:val="24"/>
      <w:lang w:eastAsia="en-US"/>
    </w:rPr>
  </w:style>
  <w:style w:type="character" w:styleId="a9">
    <w:name w:val="Strong"/>
    <w:uiPriority w:val="22"/>
    <w:qFormat/>
    <w:rPr>
      <w:b/>
      <w:bCs/>
    </w:rPr>
  </w:style>
  <w:style w:type="character" w:styleId="aa">
    <w:name w:val="page number"/>
    <w:basedOn w:val="a1"/>
    <w:semiHidden/>
  </w:style>
  <w:style w:type="character" w:styleId="ab">
    <w:name w:val="Hyperlink"/>
    <w:semiHidden/>
    <w:rPr>
      <w:color w:val="0000FF"/>
      <w:u w:val="single"/>
    </w:rPr>
  </w:style>
  <w:style w:type="character" w:styleId="ac">
    <w:name w:val="annotation reference"/>
    <w:semiHidden/>
    <w:rPr>
      <w:sz w:val="18"/>
      <w:szCs w:val="18"/>
    </w:rPr>
  </w:style>
  <w:style w:type="character" w:styleId="ad">
    <w:name w:val="footnote reference"/>
    <w:semiHidden/>
    <w:rPr>
      <w:vertAlign w:val="superscript"/>
    </w:rPr>
  </w:style>
  <w:style w:type="table" w:styleId="ae">
    <w:name w:val="Table Grid"/>
    <w:basedOn w:val="a2"/>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Body">
    <w:name w:val="Table Body"/>
    <w:pPr>
      <w:keepNext/>
    </w:pPr>
    <w:rPr>
      <w:sz w:val="22"/>
      <w:lang w:eastAsia="en-US"/>
    </w:rPr>
  </w:style>
  <w:style w:type="paragraph" w:customStyle="1" w:styleId="tableheadscenter">
    <w:name w:val="table heads center"/>
    <w:basedOn w:val="a"/>
    <w:next w:val="a"/>
    <w:pPr>
      <w:widowControl/>
      <w:spacing w:after="60"/>
      <w:jc w:val="center"/>
    </w:pPr>
    <w:rPr>
      <w:rFonts w:ascii="Arial" w:hAnsi="Arial"/>
      <w:b/>
      <w:kern w:val="0"/>
      <w:sz w:val="22"/>
      <w:szCs w:val="20"/>
      <w:lang w:eastAsia="en-US"/>
    </w:rPr>
  </w:style>
  <w:style w:type="paragraph" w:customStyle="1" w:styleId="Italicsheading">
    <w:name w:val="Italics heading"/>
    <w:basedOn w:val="a"/>
    <w:next w:val="a0"/>
    <w:pPr>
      <w:widowControl/>
      <w:spacing w:after="120"/>
    </w:pPr>
    <w:rPr>
      <w:i/>
      <w:kern w:val="0"/>
      <w:sz w:val="22"/>
      <w:szCs w:val="20"/>
      <w:lang w:eastAsia="en-US"/>
    </w:rPr>
  </w:style>
  <w:style w:type="paragraph" w:styleId="af">
    <w:name w:val="List Paragraph"/>
    <w:basedOn w:val="a"/>
    <w:qFormat/>
    <w:pPr>
      <w:ind w:leftChars="200" w:left="480"/>
    </w:pPr>
  </w:style>
  <w:style w:type="paragraph" w:customStyle="1" w:styleId="11">
    <w:name w:val="註解主旨1"/>
    <w:basedOn w:val="a4"/>
    <w:next w:val="a4"/>
    <w:semiHidden/>
    <w:rPr>
      <w:b/>
      <w:bCs/>
    </w:rPr>
  </w:style>
  <w:style w:type="paragraph" w:customStyle="1" w:styleId="12">
    <w:name w:val="註解方塊文字1"/>
    <w:basedOn w:val="a"/>
    <w:semiHidden/>
    <w:rPr>
      <w:rFonts w:ascii="Arial" w:hAnsi="Arial"/>
      <w:sz w:val="18"/>
      <w:szCs w:val="18"/>
    </w:rPr>
  </w:style>
  <w:style w:type="paragraph" w:customStyle="1" w:styleId="Style1">
    <w:name w:val="Style1"/>
    <w:basedOn w:val="a"/>
    <w:pPr>
      <w:widowControl/>
    </w:pPr>
    <w:rPr>
      <w:kern w:val="0"/>
      <w:szCs w:val="20"/>
      <w:lang w:val="en-GB" w:eastAsia="en-US"/>
    </w:rPr>
  </w:style>
  <w:style w:type="paragraph" w:customStyle="1" w:styleId="Arial">
    <w:name w:val="內文 + (拉丁) Arial"/>
    <w:basedOn w:val="Web"/>
  </w:style>
  <w:style w:type="character" w:customStyle="1" w:styleId="af0">
    <w:name w:val="字元"/>
    <w:rPr>
      <w:kern w:val="2"/>
    </w:rPr>
  </w:style>
  <w:style w:type="character" w:customStyle="1" w:styleId="13">
    <w:name w:val="字元1"/>
    <w:rPr>
      <w:kern w:val="2"/>
    </w:rPr>
  </w:style>
  <w:style w:type="character" w:customStyle="1" w:styleId="22">
    <w:name w:val="字元2"/>
    <w:rPr>
      <w:rFonts w:ascii="Times New Roman" w:hAnsi="Times New Roman"/>
      <w:b/>
      <w:sz w:val="22"/>
      <w:lang w:val="en-US" w:eastAsia="en-US" w:bidi="ar-SA"/>
    </w:rPr>
  </w:style>
  <w:style w:type="character" w:customStyle="1" w:styleId="31">
    <w:name w:val="字元3"/>
    <w:rPr>
      <w:rFonts w:ascii="Times New Roman" w:hAnsi="Times New Roman"/>
      <w:sz w:val="22"/>
      <w:lang w:val="en-US" w:eastAsia="en-US" w:bidi="ar-SA"/>
    </w:rPr>
  </w:style>
  <w:style w:type="character" w:customStyle="1" w:styleId="41">
    <w:name w:val="字元4"/>
    <w:semiHidden/>
    <w:rPr>
      <w:rFonts w:ascii="Arial" w:hAnsi="Arial"/>
      <w:sz w:val="18"/>
      <w:lang w:eastAsia="en-US"/>
    </w:rPr>
  </w:style>
  <w:style w:type="character" w:customStyle="1" w:styleId="bodycopy1">
    <w:name w:val="bodycopy1"/>
    <w:rPr>
      <w:rFonts w:ascii="Verdana" w:hAnsi="Verdana" w:hint="default"/>
      <w:color w:val="000000"/>
      <w:sz w:val="18"/>
      <w:szCs w:val="18"/>
    </w:rPr>
  </w:style>
  <w:style w:type="character" w:customStyle="1" w:styleId="shorttext">
    <w:name w:val="short_text"/>
    <w:basedOn w:val="a1"/>
  </w:style>
  <w:style w:type="character" w:customStyle="1" w:styleId="af1">
    <w:name w:val="頁尾 字元"/>
    <w:rPr>
      <w:rFonts w:eastAsia="SimSun"/>
      <w:kern w:val="2"/>
      <w:lang w:eastAsia="zh-CN"/>
    </w:rPr>
  </w:style>
  <w:style w:type="character" w:customStyle="1" w:styleId="40">
    <w:name w:val="標題 4 字元"/>
    <w:link w:val="4"/>
    <w:uiPriority w:val="9"/>
    <w:semiHidden/>
    <w:rPr>
      <w:rFonts w:ascii="Cambria" w:eastAsia="新細明體" w:hAnsi="Cambria" w:cs="Times New Roman"/>
      <w:kern w:val="2"/>
      <w:sz w:val="36"/>
      <w:szCs w:val="36"/>
    </w:rPr>
  </w:style>
  <w:style w:type="character" w:customStyle="1" w:styleId="HTML0">
    <w:name w:val="HTML 預設格式 字元"/>
    <w:link w:val="HTML"/>
    <w:uiPriority w:val="99"/>
    <w:rPr>
      <w:rFonts w:ascii="Courier New" w:eastAsia="Times New Roman" w:hAnsi="Courier New" w:cs="Courier New"/>
    </w:rPr>
  </w:style>
  <w:style w:type="paragraph" w:styleId="af2">
    <w:name w:val="Balloon Text"/>
    <w:basedOn w:val="a"/>
    <w:link w:val="af3"/>
    <w:uiPriority w:val="99"/>
    <w:semiHidden/>
    <w:unhideWhenUsed/>
    <w:rsid w:val="008E78CF"/>
    <w:rPr>
      <w:rFonts w:asciiTheme="majorHAnsi" w:eastAsiaTheme="majorEastAsia" w:hAnsiTheme="majorHAnsi" w:cstheme="majorBidi"/>
      <w:sz w:val="18"/>
      <w:szCs w:val="18"/>
    </w:rPr>
  </w:style>
  <w:style w:type="character" w:customStyle="1" w:styleId="af3">
    <w:name w:val="註解方塊文字 字元"/>
    <w:basedOn w:val="a1"/>
    <w:link w:val="af2"/>
    <w:uiPriority w:val="99"/>
    <w:semiHidden/>
    <w:rsid w:val="008E78CF"/>
    <w:rPr>
      <w:rFonts w:asciiTheme="majorHAnsi" w:eastAsiaTheme="majorEastAsia" w:hAnsiTheme="majorHAnsi" w:cstheme="majorBidi"/>
      <w:kern w:val="2"/>
      <w:sz w:val="18"/>
      <w:szCs w:val="18"/>
    </w:rPr>
  </w:style>
  <w:style w:type="character" w:styleId="af4">
    <w:name w:val="Emphasis"/>
    <w:basedOn w:val="a1"/>
    <w:uiPriority w:val="20"/>
    <w:qFormat/>
    <w:rsid w:val="00600D3A"/>
    <w:rPr>
      <w:i/>
      <w:iCs/>
    </w:rPr>
  </w:style>
  <w:style w:type="character" w:customStyle="1" w:styleId="skimlinks-unlinked">
    <w:name w:val="skimlinks-unlinked"/>
    <w:basedOn w:val="a1"/>
    <w:rsid w:val="00600D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7392400">
      <w:bodyDiv w:val="1"/>
      <w:marLeft w:val="0"/>
      <w:marRight w:val="0"/>
      <w:marTop w:val="0"/>
      <w:marBottom w:val="0"/>
      <w:divBdr>
        <w:top w:val="none" w:sz="0" w:space="0" w:color="auto"/>
        <w:left w:val="none" w:sz="0" w:space="0" w:color="auto"/>
        <w:bottom w:val="none" w:sz="0" w:space="0" w:color="auto"/>
        <w:right w:val="none" w:sz="0" w:space="0" w:color="auto"/>
      </w:divBdr>
    </w:div>
    <w:div w:id="480730652">
      <w:bodyDiv w:val="1"/>
      <w:marLeft w:val="0"/>
      <w:marRight w:val="0"/>
      <w:marTop w:val="0"/>
      <w:marBottom w:val="0"/>
      <w:divBdr>
        <w:top w:val="none" w:sz="0" w:space="0" w:color="auto"/>
        <w:left w:val="none" w:sz="0" w:space="0" w:color="auto"/>
        <w:bottom w:val="none" w:sz="0" w:space="0" w:color="auto"/>
        <w:right w:val="none" w:sz="0" w:space="0" w:color="auto"/>
      </w:divBdr>
    </w:div>
    <w:div w:id="1658067686">
      <w:bodyDiv w:val="1"/>
      <w:marLeft w:val="0"/>
      <w:marRight w:val="0"/>
      <w:marTop w:val="0"/>
      <w:marBottom w:val="0"/>
      <w:divBdr>
        <w:top w:val="none" w:sz="0" w:space="0" w:color="auto"/>
        <w:left w:val="none" w:sz="0" w:space="0" w:color="auto"/>
        <w:bottom w:val="none" w:sz="0" w:space="0" w:color="auto"/>
        <w:right w:val="none" w:sz="0" w:space="0" w:color="auto"/>
      </w:divBdr>
    </w:div>
    <w:div w:id="1837375688">
      <w:bodyDiv w:val="1"/>
      <w:marLeft w:val="0"/>
      <w:marRight w:val="0"/>
      <w:marTop w:val="0"/>
      <w:marBottom w:val="0"/>
      <w:divBdr>
        <w:top w:val="none" w:sz="0" w:space="0" w:color="auto"/>
        <w:left w:val="none" w:sz="0" w:space="0" w:color="auto"/>
        <w:bottom w:val="none" w:sz="0" w:space="0" w:color="auto"/>
        <w:right w:val="none" w:sz="0" w:space="0" w:color="auto"/>
      </w:divBdr>
    </w:div>
    <w:div w:id="1843623447">
      <w:bodyDiv w:val="1"/>
      <w:marLeft w:val="0"/>
      <w:marRight w:val="0"/>
      <w:marTop w:val="0"/>
      <w:marBottom w:val="0"/>
      <w:divBdr>
        <w:top w:val="none" w:sz="0" w:space="0" w:color="auto"/>
        <w:left w:val="none" w:sz="0" w:space="0" w:color="auto"/>
        <w:bottom w:val="none" w:sz="0" w:space="0" w:color="auto"/>
        <w:right w:val="none" w:sz="0" w:space="0" w:color="auto"/>
      </w:divBdr>
    </w:div>
    <w:div w:id="2003042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hart" Target="charts/chart2.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2.emf"/></Relationships>
</file>

<file path=word/charts/_rels/chart1.xml.rels><?xml version="1.0" encoding="UTF-8" standalone="yes"?>
<Relationships xmlns="http://schemas.openxmlformats.org/package/2006/relationships"><Relationship Id="rId1" Type="http://schemas.openxmlformats.org/officeDocument/2006/relationships/oleObject" Target="&#27963;&#38913;&#31807;4" TargetMode="External"/></Relationships>
</file>

<file path=word/charts/_rels/chart2.xml.rels><?xml version="1.0" encoding="UTF-8" standalone="yes"?>
<Relationships xmlns="http://schemas.openxmlformats.org/package/2006/relationships"><Relationship Id="rId2" Type="http://schemas.openxmlformats.org/officeDocument/2006/relationships/oleObject" Target="&#27963;&#38913;&#31807;4" TargetMode="External"/><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HK"/>
  <c:roundedCorners val="0"/>
  <mc:AlternateContent xmlns:mc="http://schemas.openxmlformats.org/markup-compatibility/2006">
    <mc:Choice xmlns:c14="http://schemas.microsoft.com/office/drawing/2007/8/2/chart" Requires="c14">
      <c14:style val="129"/>
    </mc:Choice>
    <mc:Fallback>
      <c:style val="29"/>
    </mc:Fallback>
  </mc:AlternateContent>
  <c:chart>
    <c:title>
      <c:tx>
        <c:rich>
          <a:bodyPr/>
          <a:lstStyle/>
          <a:p>
            <a:pPr>
              <a:defRPr/>
            </a:pPr>
            <a:r>
              <a:rPr lang="en-US"/>
              <a:t>Cinema's market</a:t>
            </a:r>
            <a:r>
              <a:rPr lang="en-US" baseline="0"/>
              <a:t> share </a:t>
            </a:r>
            <a:r>
              <a:rPr lang="en-US"/>
              <a:t>in Hong Kong</a:t>
            </a:r>
            <a:endParaRPr lang="zh-HK"/>
          </a:p>
        </c:rich>
      </c:tx>
      <c:overlay val="0"/>
    </c:title>
    <c:autoTitleDeleted val="0"/>
    <c:plotArea>
      <c:layout/>
      <c:pieChart>
        <c:varyColors val="1"/>
        <c:ser>
          <c:idx val="0"/>
          <c:order val="0"/>
          <c:dLbls>
            <c:dLbl>
              <c:idx val="3"/>
              <c:layout>
                <c:manualLayout>
                  <c:x val="0.13896675415573054"/>
                  <c:y val="-0.1444517351997667"/>
                </c:manualLayout>
              </c:layout>
              <c:showLegendKey val="0"/>
              <c:showVal val="1"/>
              <c:showCatName val="1"/>
              <c:showSerName val="0"/>
              <c:showPercent val="1"/>
              <c:showBubbleSize val="0"/>
            </c:dLbl>
            <c:dLbl>
              <c:idx val="6"/>
              <c:layout>
                <c:manualLayout>
                  <c:x val="7.2616713233426472E-2"/>
                  <c:y val="1.6766329029873652E-2"/>
                </c:manualLayout>
              </c:layout>
              <c:showLegendKey val="0"/>
              <c:showVal val="1"/>
              <c:showCatName val="1"/>
              <c:showSerName val="0"/>
              <c:showPercent val="1"/>
              <c:showBubbleSize val="0"/>
            </c:dLbl>
            <c:showLegendKey val="0"/>
            <c:showVal val="1"/>
            <c:showCatName val="1"/>
            <c:showSerName val="0"/>
            <c:showPercent val="1"/>
            <c:showBubbleSize val="0"/>
            <c:showLeaderLines val="1"/>
          </c:dLbls>
          <c:cat>
            <c:strRef>
              <c:f>工作表1!$A$73:$A$80</c:f>
              <c:strCache>
                <c:ptCount val="8"/>
                <c:pt idx="0">
                  <c:v>Boardway</c:v>
                </c:pt>
                <c:pt idx="1">
                  <c:v>UA</c:v>
                </c:pt>
                <c:pt idx="2">
                  <c:v>MCL</c:v>
                </c:pt>
                <c:pt idx="3">
                  <c:v>Golden Harvest</c:v>
                </c:pt>
                <c:pt idx="4">
                  <c:v>Cinema City</c:v>
                </c:pt>
                <c:pt idx="5">
                  <c:v>Newport Circuit</c:v>
                </c:pt>
                <c:pt idx="6">
                  <c:v>Emperor</c:v>
                </c:pt>
                <c:pt idx="7">
                  <c:v>Others</c:v>
                </c:pt>
              </c:strCache>
            </c:strRef>
          </c:cat>
          <c:val>
            <c:numRef>
              <c:f>工作表1!$B$73:$B$80</c:f>
              <c:numCache>
                <c:formatCode>General</c:formatCode>
                <c:ptCount val="8"/>
                <c:pt idx="0">
                  <c:v>13</c:v>
                </c:pt>
                <c:pt idx="1">
                  <c:v>9</c:v>
                </c:pt>
                <c:pt idx="2">
                  <c:v>9</c:v>
                </c:pt>
                <c:pt idx="3">
                  <c:v>6</c:v>
                </c:pt>
                <c:pt idx="4">
                  <c:v>4</c:v>
                </c:pt>
                <c:pt idx="5">
                  <c:v>4</c:v>
                </c:pt>
                <c:pt idx="6">
                  <c:v>2</c:v>
                </c:pt>
                <c:pt idx="7">
                  <c:v>10</c:v>
                </c:pt>
              </c:numCache>
            </c:numRef>
          </c:val>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HK"/>
  <c:roundedCorners val="0"/>
  <mc:AlternateContent xmlns:mc="http://schemas.openxmlformats.org/markup-compatibility/2006">
    <mc:Choice xmlns:c14="http://schemas.microsoft.com/office/drawing/2007/8/2/chart" Requires="c14">
      <c14:style val="132"/>
    </mc:Choice>
    <mc:Fallback>
      <c:style val="32"/>
    </mc:Fallback>
  </mc:AlternateContent>
  <c:clrMapOvr bg1="lt1" tx1="dk1" bg2="lt2" tx2="dk2" accent1="accent1" accent2="accent2" accent3="accent3" accent4="accent4" accent5="accent5" accent6="accent6" hlink="hlink" folHlink="folHlink"/>
  <c:chart>
    <c:title>
      <c:tx>
        <c:rich>
          <a:bodyPr rot="0" spcFirstLastPara="0" vertOverflow="ellipsis" vert="horz" wrap="square" anchor="ctr" anchorCtr="1"/>
          <a:lstStyle/>
          <a:p>
            <a:pPr>
              <a:defRPr lang="zh-CN" sz="1600" b="1" i="0" u="none" strike="noStrike" kern="1200" baseline="0">
                <a:solidFill>
                  <a:schemeClr val="tx1"/>
                </a:solidFill>
                <a:latin typeface="+mn-lt"/>
                <a:ea typeface="+mn-ea"/>
                <a:cs typeface="+mn-cs"/>
              </a:defRPr>
            </a:pPr>
            <a:r>
              <a:rPr lang="en-US" sz="1600"/>
              <a:t>Distribution of movie</a:t>
            </a:r>
            <a:r>
              <a:rPr lang="en-US" sz="1600" baseline="0"/>
              <a:t> ticket purchaser </a:t>
            </a:r>
            <a:r>
              <a:rPr lang="en-US" sz="1600"/>
              <a:t>in The Sky</a:t>
            </a:r>
          </a:p>
        </c:rich>
      </c:tx>
      <c:overlay val="0"/>
    </c:title>
    <c:autoTitleDeleted val="0"/>
    <c:plotArea>
      <c:layout/>
      <c:pieChart>
        <c:varyColors val="1"/>
        <c:ser>
          <c:idx val="0"/>
          <c:order val="0"/>
          <c:tx>
            <c:strRef>
              <c:f>工作表1!$A$77</c:f>
              <c:strCache>
                <c:ptCount val="1"/>
                <c:pt idx="0">
                  <c:v>Female</c:v>
                </c:pt>
              </c:strCache>
            </c:strRef>
          </c:tx>
          <c:dPt>
            <c:idx val="0"/>
            <c:bubble3D val="0"/>
          </c:dPt>
          <c:dPt>
            <c:idx val="1"/>
            <c:bubble3D val="0"/>
          </c:dPt>
          <c:dPt>
            <c:idx val="2"/>
            <c:bubble3D val="0"/>
          </c:dPt>
          <c:dLbls>
            <c:dLbl>
              <c:idx val="2"/>
              <c:layout>
                <c:manualLayout>
                  <c:x val="4.2087598425196902E-2"/>
                  <c:y val="2.34652960046661E-3"/>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spPr>
              <a:noFill/>
              <a:ln>
                <a:noFill/>
              </a:ln>
              <a:effectLst/>
            </c:spPr>
            <c:txPr>
              <a:bodyPr rot="0" spcFirstLastPara="0" vertOverflow="ellipsis" vert="horz" wrap="square" lIns="38100" tIns="19050" rIns="38100" bIns="19050" anchor="ctr" anchorCtr="1"/>
              <a:lstStyle/>
              <a:p>
                <a:pPr>
                  <a:defRPr lang="zh-CN" sz="1000" b="0" i="0" u="none" strike="noStrike" kern="1200" baseline="0">
                    <a:solidFill>
                      <a:schemeClr val="tx1"/>
                    </a:solidFill>
                    <a:latin typeface="+mn-lt"/>
                    <a:ea typeface="+mn-ea"/>
                    <a:cs typeface="+mn-cs"/>
                  </a:defRPr>
                </a:pPr>
                <a:endParaRPr lang="zh-HK"/>
              </a:p>
            </c:txPr>
            <c:dLblPos val="bestFit"/>
            <c:showLegendKey val="0"/>
            <c:showVal val="0"/>
            <c:showCatName val="1"/>
            <c:showSerName val="0"/>
            <c:showPercent val="1"/>
            <c:showBubbleSize val="0"/>
            <c:showLeaderLines val="1"/>
            <c:extLst>
              <c:ext xmlns:c15="http://schemas.microsoft.com/office/drawing/2012/chart" uri="{CE6537A1-D6FC-4f65-9D91-7224C49458BB}">
                <c15:layout/>
                <c15:showLeaderLines val="1"/>
                <c15:leaderLines/>
              </c:ext>
            </c:extLst>
          </c:dLbls>
          <c:cat>
            <c:strRef>
              <c:f>工作表1!$B$76:$D$76</c:f>
              <c:strCache>
                <c:ptCount val="3"/>
                <c:pt idx="0">
                  <c:v>Adult</c:v>
                </c:pt>
                <c:pt idx="1">
                  <c:v>Children</c:v>
                </c:pt>
                <c:pt idx="2">
                  <c:v>Senior</c:v>
                </c:pt>
              </c:strCache>
            </c:strRef>
          </c:cat>
          <c:val>
            <c:numRef>
              <c:f>工作表1!$B$77:$D$77</c:f>
              <c:numCache>
                <c:formatCode>General</c:formatCode>
                <c:ptCount val="3"/>
                <c:pt idx="0">
                  <c:v>46</c:v>
                </c:pt>
                <c:pt idx="1">
                  <c:v>11</c:v>
                </c:pt>
                <c:pt idx="2">
                  <c:v>2</c:v>
                </c:pt>
              </c:numCache>
            </c:numRef>
          </c:val>
        </c:ser>
        <c:ser>
          <c:idx val="1"/>
          <c:order val="1"/>
          <c:tx>
            <c:strRef>
              <c:f>工作表1!$A$78</c:f>
              <c:strCache>
                <c:ptCount val="1"/>
                <c:pt idx="0">
                  <c:v>Male</c:v>
                </c:pt>
              </c:strCache>
            </c:strRef>
          </c:tx>
          <c:dPt>
            <c:idx val="0"/>
            <c:bubble3D val="0"/>
          </c:dPt>
          <c:dPt>
            <c:idx val="1"/>
            <c:bubble3D val="0"/>
          </c:dPt>
          <c:dPt>
            <c:idx val="2"/>
            <c:bubble3D val="0"/>
          </c:dPt>
          <c:dLbls>
            <c:spPr>
              <a:noFill/>
              <a:ln>
                <a:noFill/>
              </a:ln>
              <a:effectLst/>
            </c:spPr>
            <c:txPr>
              <a:bodyPr rot="0" spcFirstLastPara="0" vertOverflow="ellipsis" vert="horz" wrap="square" lIns="38100" tIns="19050" rIns="38100" bIns="19050" anchor="ctr" anchorCtr="1"/>
              <a:lstStyle/>
              <a:p>
                <a:pPr>
                  <a:defRPr lang="zh-CN" sz="1000" b="0" i="0" u="none" strike="noStrike" kern="1200" baseline="0">
                    <a:solidFill>
                      <a:schemeClr val="tx1"/>
                    </a:solidFill>
                    <a:latin typeface="+mn-lt"/>
                    <a:ea typeface="+mn-ea"/>
                    <a:cs typeface="+mn-cs"/>
                  </a:defRPr>
                </a:pPr>
                <a:endParaRPr lang="zh-HK"/>
              </a:p>
            </c:txPr>
            <c:dLblPos val="bestFit"/>
            <c:showLegendKey val="0"/>
            <c:showVal val="0"/>
            <c:showCatName val="1"/>
            <c:showSerName val="0"/>
            <c:showPercent val="1"/>
            <c:showBubbleSize val="0"/>
            <c:showLeaderLines val="1"/>
            <c:extLst>
              <c:ext xmlns:c15="http://schemas.microsoft.com/office/drawing/2012/chart" uri="{CE6537A1-D6FC-4f65-9D91-7224C49458BB}">
                <c15:layout/>
                <c15:showLeaderLines val="1"/>
                <c15:leaderLines/>
              </c:ext>
            </c:extLst>
          </c:dLbls>
          <c:cat>
            <c:strRef>
              <c:f>工作表1!$B$76:$D$76</c:f>
              <c:strCache>
                <c:ptCount val="3"/>
                <c:pt idx="0">
                  <c:v>Adult</c:v>
                </c:pt>
                <c:pt idx="1">
                  <c:v>Children</c:v>
                </c:pt>
                <c:pt idx="2">
                  <c:v>Senior</c:v>
                </c:pt>
              </c:strCache>
            </c:strRef>
          </c:cat>
          <c:val>
            <c:numRef>
              <c:f>工作表1!$B$78:$D$78</c:f>
              <c:numCache>
                <c:formatCode>General</c:formatCode>
                <c:ptCount val="3"/>
                <c:pt idx="0">
                  <c:v>54</c:v>
                </c:pt>
                <c:pt idx="1">
                  <c:v>4</c:v>
                </c:pt>
                <c:pt idx="2">
                  <c:v>4</c:v>
                </c:pt>
              </c:numCache>
            </c:numRef>
          </c:val>
        </c:ser>
        <c:dLbls>
          <c:showLegendKey val="0"/>
          <c:showVal val="0"/>
          <c:showCatName val="1"/>
          <c:showSerName val="0"/>
          <c:showPercent val="1"/>
          <c:showBubbleSize val="0"/>
          <c:showLeaderLines val="1"/>
        </c:dLbls>
        <c:firstSliceAng val="0"/>
      </c:pieChart>
    </c:plotArea>
    <c:plotVisOnly val="1"/>
    <c:dispBlanksAs val="gap"/>
    <c:showDLblsOverMax val="0"/>
  </c:chart>
  <c:txPr>
    <a:bodyPr/>
    <a:lstStyle/>
    <a:p>
      <a:pPr>
        <a:defRPr lang="zh-CN"/>
      </a:pPr>
      <a:endParaRPr lang="zh-HK"/>
    </a:p>
  </c:txPr>
  <c:externalData r:id="rId2">
    <c:autoUpdate val="0"/>
  </c:externalData>
</c:chartSpace>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19</Pages>
  <Words>4245</Words>
  <Characters>24203</Characters>
  <Application>Microsoft Office Word</Application>
  <DocSecurity>0</DocSecurity>
  <Lines>201</Lines>
  <Paragraphs>56</Paragraphs>
  <ScaleCrop>false</ScaleCrop>
  <Company>MBAWP</Company>
  <LinksUpToDate>false</LinksUpToDate>
  <CharactersWithSpaces>28392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C5_Managerial economics</dc:title>
  <dc:subject>Assignment</dc:subject>
  <dc:creator>CC Poon</dc:creator>
  <cp:lastModifiedBy>Winnie YN SIN</cp:lastModifiedBy>
  <cp:revision>8</cp:revision>
  <cp:lastPrinted>2010-07-30T07:51:00Z</cp:lastPrinted>
  <dcterms:created xsi:type="dcterms:W3CDTF">2019-03-04T09:32:00Z</dcterms:created>
  <dcterms:modified xsi:type="dcterms:W3CDTF">2019-03-04T13:59:00Z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2052-11.1.0.8214</vt:lpwstr>
  </property>
</Properties>
</file>