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1C4FC9" w14:textId="37FE82BF" w:rsidR="00F11027" w:rsidRPr="00937D42" w:rsidRDefault="00F11027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                                               Krishna subedi  </w:t>
      </w:r>
    </w:p>
    <w:p w14:paraId="112D90D0" w14:textId="79750610" w:rsidR="00F11027" w:rsidRPr="00937D42" w:rsidRDefault="00F11027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                                              Student id – 2017488</w:t>
      </w:r>
    </w:p>
    <w:p w14:paraId="1C193748" w14:textId="165A4FD9" w:rsidR="00F11027" w:rsidRPr="00937D42" w:rsidRDefault="00F11027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                                              Lecturer - Kathryn Roberts </w:t>
      </w:r>
    </w:p>
    <w:p w14:paraId="21B5F5F3" w14:textId="0426364C" w:rsidR="00937D42" w:rsidRPr="00937D42" w:rsidRDefault="00937D42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                                           </w:t>
      </w:r>
      <w:r w:rsidR="008E7B87">
        <w:rPr>
          <w:rFonts w:ascii="Arial" w:hAnsi="Arial" w:cs="Arial"/>
          <w:sz w:val="24"/>
          <w:szCs w:val="24"/>
        </w:rPr>
        <w:t xml:space="preserve">  </w:t>
      </w:r>
      <w:r w:rsidRPr="00937D42">
        <w:rPr>
          <w:rFonts w:ascii="Arial" w:hAnsi="Arial" w:cs="Arial"/>
          <w:sz w:val="24"/>
          <w:szCs w:val="24"/>
        </w:rPr>
        <w:t>Module -Food &amp; Beverage Operations</w:t>
      </w:r>
    </w:p>
    <w:p w14:paraId="0AE9278C" w14:textId="16D6ABA1" w:rsidR="00937D42" w:rsidRPr="00937D42" w:rsidRDefault="00937D42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                                                         BMIH4002</w:t>
      </w:r>
    </w:p>
    <w:p w14:paraId="0E6A9615" w14:textId="77777777" w:rsidR="00F11027" w:rsidRPr="00937D42" w:rsidRDefault="00F11027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                                              Date completed -20/10/2021</w:t>
      </w:r>
    </w:p>
    <w:p w14:paraId="2A0C5DB3" w14:textId="77777777" w:rsidR="00F11027" w:rsidRPr="00937D42" w:rsidRDefault="00F11027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   </w:t>
      </w:r>
    </w:p>
    <w:p w14:paraId="37736D1A" w14:textId="77777777" w:rsidR="00F11027" w:rsidRPr="00937D42" w:rsidRDefault="00F11027" w:rsidP="00DE4F52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              </w:t>
      </w:r>
      <w:r w:rsidRPr="00937D42">
        <w:rPr>
          <w:rFonts w:ascii="Arial" w:hAnsi="Arial" w:cs="Arial"/>
          <w:b/>
          <w:sz w:val="24"/>
          <w:szCs w:val="24"/>
        </w:rPr>
        <w:t>Allergies &amp; Intolerances &amp; importance within the industry</w:t>
      </w:r>
    </w:p>
    <w:p w14:paraId="622D4673" w14:textId="77777777" w:rsidR="00F11027" w:rsidRPr="00937D42" w:rsidRDefault="00F11027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Managing allergies &amp; intolerances has become a challenge in the hospitality industry. The management of allergies &amp; intolerances within the industry should be an important part of food safety management. Food intolerance means the situation in which the body has a chemical reaction to the food &amp; in allergies the immune system reacts to the food. As the consumer are the primary concern for the industries, consumers with food allergies &amp; food intolerances should be provided the information about the nature &amp; composition of foods they would consume </w:t>
      </w:r>
      <w:sdt>
        <w:sdtPr>
          <w:rPr>
            <w:rFonts w:ascii="Arial" w:hAnsi="Arial" w:cs="Arial"/>
            <w:sz w:val="24"/>
            <w:szCs w:val="24"/>
          </w:rPr>
          <w:id w:val="26809755"/>
          <w:citation/>
        </w:sdtPr>
        <w:sdtEndPr/>
        <w:sdtContent>
          <w:r w:rsidRPr="00937D42">
            <w:rPr>
              <w:rFonts w:ascii="Arial" w:hAnsi="Arial" w:cs="Arial"/>
              <w:sz w:val="24"/>
              <w:szCs w:val="24"/>
            </w:rPr>
            <w:fldChar w:fldCharType="begin"/>
          </w:r>
          <w:r w:rsidRPr="00937D42">
            <w:rPr>
              <w:rFonts w:ascii="Arial" w:hAnsi="Arial" w:cs="Arial"/>
              <w:sz w:val="24"/>
              <w:szCs w:val="24"/>
            </w:rPr>
            <w:instrText xml:space="preserve"> CITATION Vic02 \l 1033 </w:instrText>
          </w:r>
          <w:r w:rsidRPr="00937D42">
            <w:rPr>
              <w:rFonts w:ascii="Arial" w:hAnsi="Arial" w:cs="Arial"/>
              <w:sz w:val="24"/>
              <w:szCs w:val="24"/>
            </w:rPr>
            <w:fldChar w:fldCharType="separate"/>
          </w:r>
          <w:r w:rsidRPr="00937D42">
            <w:rPr>
              <w:rFonts w:ascii="Arial" w:hAnsi="Arial" w:cs="Arial"/>
              <w:noProof/>
              <w:sz w:val="24"/>
              <w:szCs w:val="24"/>
            </w:rPr>
            <w:t>(Emerton, 2002)</w:t>
          </w:r>
          <w:r w:rsidRPr="00937D4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937D42">
        <w:rPr>
          <w:rFonts w:ascii="Arial" w:hAnsi="Arial" w:cs="Arial"/>
          <w:sz w:val="24"/>
          <w:szCs w:val="24"/>
        </w:rPr>
        <w:t xml:space="preserve">. </w:t>
      </w:r>
    </w:p>
    <w:p w14:paraId="7DF498F8" w14:textId="77777777" w:rsidR="00F11027" w:rsidRPr="00937D42" w:rsidRDefault="00F11027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People might suffer from mild to life threatening conditions which are caused by the allergy &amp; intolerant of foods. There are various foods causing an allergic reaction as in peanuts, fish, eggs, dairy products, &amp; so forth. The allergies are abnormal reactions of the immune system. Mostly people are allergic to peanuts which results are serious. People are intolerant to gluten produced in wheat, &amp; so forth. Food intolerances produce irritable bowel syndrome, abdominal pain, &amp; vomiting. The increased tendency of the cases of food allergy &amp; food intolerances brings challenges for the food or the hospitality industry </w:t>
      </w:r>
      <w:sdt>
        <w:sdtPr>
          <w:rPr>
            <w:rFonts w:ascii="Arial" w:hAnsi="Arial" w:cs="Arial"/>
            <w:sz w:val="24"/>
            <w:szCs w:val="24"/>
          </w:rPr>
          <w:id w:val="26809756"/>
          <w:citation/>
        </w:sdtPr>
        <w:sdtEndPr/>
        <w:sdtContent>
          <w:r w:rsidRPr="00937D42">
            <w:rPr>
              <w:rFonts w:ascii="Arial" w:hAnsi="Arial" w:cs="Arial"/>
              <w:sz w:val="24"/>
              <w:szCs w:val="24"/>
            </w:rPr>
            <w:fldChar w:fldCharType="begin"/>
          </w:r>
          <w:r w:rsidRPr="00937D42">
            <w:rPr>
              <w:rFonts w:ascii="Arial" w:hAnsi="Arial" w:cs="Arial"/>
              <w:sz w:val="24"/>
              <w:szCs w:val="24"/>
            </w:rPr>
            <w:instrText xml:space="preserve"> CITATION Isa09 \l 1033 </w:instrText>
          </w:r>
          <w:r w:rsidRPr="00937D42">
            <w:rPr>
              <w:rFonts w:ascii="Arial" w:hAnsi="Arial" w:cs="Arial"/>
              <w:sz w:val="24"/>
              <w:szCs w:val="24"/>
            </w:rPr>
            <w:fldChar w:fldCharType="separate"/>
          </w:r>
          <w:r w:rsidRPr="00937D42">
            <w:rPr>
              <w:rFonts w:ascii="Arial" w:hAnsi="Arial" w:cs="Arial"/>
              <w:noProof/>
              <w:sz w:val="24"/>
              <w:szCs w:val="24"/>
            </w:rPr>
            <w:t>(Skypala &amp; Venter, 2009)</w:t>
          </w:r>
          <w:r w:rsidRPr="00937D4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937D42">
        <w:rPr>
          <w:rFonts w:ascii="Arial" w:hAnsi="Arial" w:cs="Arial"/>
          <w:sz w:val="24"/>
          <w:szCs w:val="24"/>
        </w:rPr>
        <w:t xml:space="preserve">. </w:t>
      </w:r>
    </w:p>
    <w:p w14:paraId="2B9D5137" w14:textId="77777777" w:rsidR="00F11027" w:rsidRPr="00937D42" w:rsidRDefault="00F11027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Our team had a discussion upon the importance of management of fold allergies &amp; intolerances considering the customers as customers from food allergies &amp; intolerances are suffering &amp; this has resulted in increased number of dissatisfying customers. As the management of food allergies &amp; food intolerances has become the part of food safety, well understanding is required to avoid the contamination with allergenic &amp; intolerant components. We therefore have plans to consider the types of </w:t>
      </w:r>
      <w:r w:rsidRPr="00937D42">
        <w:rPr>
          <w:rFonts w:ascii="Arial" w:hAnsi="Arial" w:cs="Arial"/>
          <w:sz w:val="24"/>
          <w:szCs w:val="24"/>
        </w:rPr>
        <w:lastRenderedPageBreak/>
        <w:t xml:space="preserve">food or ingredients to be avoided for the hypersensitive customers &amp; the information needs to be provided for the customers. The organization should make the customers understand about the allergenic &amp; intolerant components included in the food item &amp; provide the appropriate information for the consumer about the food preparing technology &amp; the storage matters. The decree of the European Parliament &amp; Commission has outlined the information needs to be provided to the consumers about the allergenic components as in peanuts, eggs, fish, soybeans, milk, gluten, &amp; so forth. Appropriate trainings &amp; education for the kitchen staff about the importance of allergies &amp; food intolerances &amp; procedures to handle the food in the preparation process </w:t>
      </w:r>
      <w:sdt>
        <w:sdtPr>
          <w:rPr>
            <w:rFonts w:ascii="Arial" w:hAnsi="Arial" w:cs="Arial"/>
            <w:sz w:val="24"/>
            <w:szCs w:val="24"/>
          </w:rPr>
          <w:id w:val="26809757"/>
          <w:citation/>
        </w:sdtPr>
        <w:sdtEndPr/>
        <w:sdtContent>
          <w:r w:rsidRPr="00937D42">
            <w:rPr>
              <w:rFonts w:ascii="Arial" w:hAnsi="Arial" w:cs="Arial"/>
              <w:sz w:val="24"/>
              <w:szCs w:val="24"/>
            </w:rPr>
            <w:fldChar w:fldCharType="begin"/>
          </w:r>
          <w:r w:rsidRPr="00937D42">
            <w:rPr>
              <w:rFonts w:ascii="Arial" w:hAnsi="Arial" w:cs="Arial"/>
              <w:sz w:val="24"/>
              <w:szCs w:val="24"/>
            </w:rPr>
            <w:instrText xml:space="preserve"> CITATION TDe00 \l 1033 </w:instrText>
          </w:r>
          <w:r w:rsidRPr="00937D42">
            <w:rPr>
              <w:rFonts w:ascii="Arial" w:hAnsi="Arial" w:cs="Arial"/>
              <w:sz w:val="24"/>
              <w:szCs w:val="24"/>
            </w:rPr>
            <w:fldChar w:fldCharType="separate"/>
          </w:r>
          <w:r w:rsidRPr="00937D42">
            <w:rPr>
              <w:rFonts w:ascii="Arial" w:hAnsi="Arial" w:cs="Arial"/>
              <w:noProof/>
              <w:sz w:val="24"/>
              <w:szCs w:val="24"/>
            </w:rPr>
            <w:t>(Dean, 2000)</w:t>
          </w:r>
          <w:r w:rsidRPr="00937D4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937D42">
        <w:rPr>
          <w:rFonts w:ascii="Arial" w:hAnsi="Arial" w:cs="Arial"/>
          <w:sz w:val="24"/>
          <w:szCs w:val="24"/>
        </w:rPr>
        <w:t xml:space="preserve">. </w:t>
      </w:r>
    </w:p>
    <w:p w14:paraId="4D416CD8" w14:textId="77777777" w:rsidR="00F11027" w:rsidRPr="00937D42" w:rsidRDefault="00F11027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As the primary goal of the industry is to satisfy the customer &amp; provide them foods as their preferences, organization needs to consider the importance of the existence of allergies &amp; food intolerances. As outlined by the decree of the European Parliament &amp; Commission, there are 14 minimum requirements as considered as an allergic component, the hospitality industry or the food industry should consider the components &amp; prepare the food. The results of the allergies &amp; intolerances of the food could be mild or severe which is directly related to the health of the consumer &amp; the reputation of the organization. The need of the customer should be catered with special dietary needs </w:t>
      </w:r>
      <w:sdt>
        <w:sdtPr>
          <w:rPr>
            <w:rFonts w:ascii="Arial" w:hAnsi="Arial" w:cs="Arial"/>
            <w:sz w:val="24"/>
            <w:szCs w:val="24"/>
          </w:rPr>
          <w:id w:val="26809758"/>
          <w:citation/>
        </w:sdtPr>
        <w:sdtEndPr/>
        <w:sdtContent>
          <w:r w:rsidRPr="00937D42">
            <w:rPr>
              <w:rFonts w:ascii="Arial" w:hAnsi="Arial" w:cs="Arial"/>
              <w:sz w:val="24"/>
              <w:szCs w:val="24"/>
            </w:rPr>
            <w:fldChar w:fldCharType="begin"/>
          </w:r>
          <w:r w:rsidRPr="00937D42">
            <w:rPr>
              <w:rFonts w:ascii="Arial" w:hAnsi="Arial" w:cs="Arial"/>
              <w:sz w:val="24"/>
              <w:szCs w:val="24"/>
            </w:rPr>
            <w:instrText xml:space="preserve"> CITATION Cha13 \l 1033 </w:instrText>
          </w:r>
          <w:r w:rsidRPr="00937D42">
            <w:rPr>
              <w:rFonts w:ascii="Arial" w:hAnsi="Arial" w:cs="Arial"/>
              <w:sz w:val="24"/>
              <w:szCs w:val="24"/>
            </w:rPr>
            <w:fldChar w:fldCharType="separate"/>
          </w:r>
          <w:r w:rsidRPr="00937D42">
            <w:rPr>
              <w:rFonts w:ascii="Arial" w:hAnsi="Arial" w:cs="Arial"/>
              <w:noProof/>
              <w:sz w:val="24"/>
              <w:szCs w:val="24"/>
            </w:rPr>
            <w:t>(Madsen, Crevel, Mills, &amp; Taylor, 2013)</w:t>
          </w:r>
          <w:r w:rsidRPr="00937D4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937D42">
        <w:rPr>
          <w:rFonts w:ascii="Arial" w:hAnsi="Arial" w:cs="Arial"/>
          <w:sz w:val="24"/>
          <w:szCs w:val="24"/>
        </w:rPr>
        <w:t xml:space="preserve">. </w:t>
      </w:r>
    </w:p>
    <w:p w14:paraId="61F96758" w14:textId="430CB9BD" w:rsidR="00F11027" w:rsidRPr="00937D42" w:rsidRDefault="00F11027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sz w:val="24"/>
          <w:szCs w:val="24"/>
        </w:rPr>
        <w:t xml:space="preserve">Our team has embraced the change &amp; accommodated the customer requirements. The list of the ingredients needs to be updated if changes are made &amp; customers need to get informed about the allergenic components. The kitchen areas should be cleaned as the surfaces &amp; utensils are used to prepare foods that contain allergenic components. Awareness is important about the consequences of food allergies to the staffs &amp; training should be provided to overall importance of management of food allergies &amp;intolerances. Considering the growing need to address the allergies &amp; intolerances in the industry, our team has decided to create a safe environment for all the customers with food allergies &amp; intolerances. We would be more concerned on medical facts, food labeling, risk reduction, &amp; allergen management. It is the prime responsibility of all the staffs in the industry to work together to create an allergy &amp; intolerance safe working environment. We are planning to understand the view of the customers as in letting our team know the food causing allergic or intolerance reactions </w:t>
      </w:r>
      <w:sdt>
        <w:sdtPr>
          <w:rPr>
            <w:rFonts w:ascii="Arial" w:hAnsi="Arial" w:cs="Arial"/>
            <w:sz w:val="24"/>
            <w:szCs w:val="24"/>
          </w:rPr>
          <w:id w:val="26809759"/>
          <w:citation/>
        </w:sdtPr>
        <w:sdtEndPr/>
        <w:sdtContent>
          <w:r w:rsidRPr="00937D42">
            <w:rPr>
              <w:rFonts w:ascii="Arial" w:hAnsi="Arial" w:cs="Arial"/>
              <w:sz w:val="24"/>
              <w:szCs w:val="24"/>
            </w:rPr>
            <w:fldChar w:fldCharType="begin"/>
          </w:r>
          <w:r w:rsidRPr="00937D42">
            <w:rPr>
              <w:rFonts w:ascii="Arial" w:hAnsi="Arial" w:cs="Arial"/>
              <w:sz w:val="24"/>
              <w:szCs w:val="24"/>
            </w:rPr>
            <w:instrText xml:space="preserve"> CITATION Jac09 \l 1033 </w:instrText>
          </w:r>
          <w:r w:rsidRPr="00937D42">
            <w:rPr>
              <w:rFonts w:ascii="Arial" w:hAnsi="Arial" w:cs="Arial"/>
              <w:sz w:val="24"/>
              <w:szCs w:val="24"/>
            </w:rPr>
            <w:fldChar w:fldCharType="separate"/>
          </w:r>
          <w:r w:rsidRPr="00937D42">
            <w:rPr>
              <w:rFonts w:ascii="Arial" w:hAnsi="Arial" w:cs="Arial"/>
              <w:noProof/>
              <w:sz w:val="24"/>
              <w:szCs w:val="24"/>
            </w:rPr>
            <w:t>(Coutts &amp; Fielder, 2009)</w:t>
          </w:r>
          <w:r w:rsidRPr="00937D4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937D42">
        <w:rPr>
          <w:rFonts w:ascii="Arial" w:hAnsi="Arial" w:cs="Arial"/>
          <w:sz w:val="24"/>
          <w:szCs w:val="24"/>
        </w:rPr>
        <w:t xml:space="preserve">. </w:t>
      </w:r>
    </w:p>
    <w:p w14:paraId="33EB131C" w14:textId="77777777" w:rsidR="00F11027" w:rsidRPr="00937D42" w:rsidRDefault="00F11027" w:rsidP="00DE4F52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37D42">
        <w:rPr>
          <w:rFonts w:ascii="Arial" w:hAnsi="Arial" w:cs="Arial"/>
          <w:b/>
          <w:sz w:val="24"/>
          <w:szCs w:val="24"/>
        </w:rPr>
        <w:lastRenderedPageBreak/>
        <w:t xml:space="preserve"> </w:t>
      </w:r>
    </w:p>
    <w:p w14:paraId="46B2F59C" w14:textId="57961687" w:rsidR="00F11027" w:rsidRPr="00937D42" w:rsidRDefault="00F11027" w:rsidP="00DE4F52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37D42">
        <w:rPr>
          <w:rFonts w:ascii="Arial" w:hAnsi="Arial" w:cs="Arial"/>
          <w:b/>
          <w:sz w:val="24"/>
          <w:szCs w:val="24"/>
        </w:rPr>
        <w:t>REFERENCES</w:t>
      </w:r>
    </w:p>
    <w:p w14:paraId="5A853298" w14:textId="77777777" w:rsidR="00F11027" w:rsidRPr="00937D42" w:rsidRDefault="00F11027" w:rsidP="00DE4F52">
      <w:pPr>
        <w:pStyle w:val="Bibliography"/>
        <w:jc w:val="both"/>
        <w:rPr>
          <w:rFonts w:ascii="Arial" w:hAnsi="Arial" w:cs="Arial"/>
          <w:noProof/>
          <w:sz w:val="24"/>
          <w:szCs w:val="24"/>
        </w:rPr>
      </w:pPr>
      <w:r w:rsidRPr="00937D42">
        <w:rPr>
          <w:rFonts w:ascii="Arial" w:hAnsi="Arial" w:cs="Arial"/>
          <w:b/>
          <w:sz w:val="24"/>
          <w:szCs w:val="24"/>
        </w:rPr>
        <w:fldChar w:fldCharType="begin"/>
      </w:r>
      <w:r w:rsidRPr="00937D42">
        <w:rPr>
          <w:rFonts w:ascii="Arial" w:hAnsi="Arial" w:cs="Arial"/>
          <w:b/>
          <w:sz w:val="24"/>
          <w:szCs w:val="24"/>
        </w:rPr>
        <w:instrText xml:space="preserve"> BIBLIOGRAPHY  \l 1033 </w:instrText>
      </w:r>
      <w:r w:rsidRPr="00937D42">
        <w:rPr>
          <w:rFonts w:ascii="Arial" w:hAnsi="Arial" w:cs="Arial"/>
          <w:b/>
          <w:sz w:val="24"/>
          <w:szCs w:val="24"/>
        </w:rPr>
        <w:fldChar w:fldCharType="separate"/>
      </w:r>
      <w:r w:rsidRPr="00937D42">
        <w:rPr>
          <w:rFonts w:ascii="Arial" w:hAnsi="Arial" w:cs="Arial"/>
          <w:noProof/>
          <w:sz w:val="24"/>
          <w:szCs w:val="24"/>
        </w:rPr>
        <w:t xml:space="preserve">Coutts, J., &amp; Fielder, R. (2009). </w:t>
      </w:r>
      <w:r w:rsidRPr="00937D42">
        <w:rPr>
          <w:rFonts w:ascii="Arial" w:hAnsi="Arial" w:cs="Arial"/>
          <w:i/>
          <w:iCs/>
          <w:noProof/>
          <w:sz w:val="24"/>
          <w:szCs w:val="24"/>
        </w:rPr>
        <w:t>Management of Food Allergens.</w:t>
      </w:r>
      <w:r w:rsidRPr="00937D42">
        <w:rPr>
          <w:rFonts w:ascii="Arial" w:hAnsi="Arial" w:cs="Arial"/>
          <w:noProof/>
          <w:sz w:val="24"/>
          <w:szCs w:val="24"/>
        </w:rPr>
        <w:t xml:space="preserve"> John Wiley &amp; Sons.</w:t>
      </w:r>
    </w:p>
    <w:p w14:paraId="42F2D1A7" w14:textId="77777777" w:rsidR="00F11027" w:rsidRPr="00937D42" w:rsidRDefault="00F11027" w:rsidP="00DE4F52">
      <w:pPr>
        <w:pStyle w:val="Bibliography"/>
        <w:jc w:val="both"/>
        <w:rPr>
          <w:rFonts w:ascii="Arial" w:hAnsi="Arial" w:cs="Arial"/>
          <w:noProof/>
          <w:sz w:val="24"/>
          <w:szCs w:val="24"/>
        </w:rPr>
      </w:pPr>
      <w:r w:rsidRPr="00937D42">
        <w:rPr>
          <w:rFonts w:ascii="Arial" w:hAnsi="Arial" w:cs="Arial"/>
          <w:noProof/>
          <w:sz w:val="24"/>
          <w:szCs w:val="24"/>
        </w:rPr>
        <w:t xml:space="preserve">Dean, T. (2000). </w:t>
      </w:r>
      <w:r w:rsidRPr="00937D42">
        <w:rPr>
          <w:rFonts w:ascii="Arial" w:hAnsi="Arial" w:cs="Arial"/>
          <w:i/>
          <w:iCs/>
          <w:noProof/>
          <w:sz w:val="24"/>
          <w:szCs w:val="24"/>
        </w:rPr>
        <w:t>Food Intolerance &amp; the Food Industry.</w:t>
      </w:r>
      <w:r w:rsidRPr="00937D42">
        <w:rPr>
          <w:rFonts w:ascii="Arial" w:hAnsi="Arial" w:cs="Arial"/>
          <w:noProof/>
          <w:sz w:val="24"/>
          <w:szCs w:val="24"/>
        </w:rPr>
        <w:t xml:space="preserve"> Elsevier.</w:t>
      </w:r>
    </w:p>
    <w:p w14:paraId="07277CD1" w14:textId="2110629B" w:rsidR="00F11027" w:rsidRPr="00937D42" w:rsidRDefault="00F11027" w:rsidP="00DE4F52">
      <w:pPr>
        <w:pStyle w:val="Bibliography"/>
        <w:jc w:val="both"/>
        <w:rPr>
          <w:rFonts w:ascii="Arial" w:hAnsi="Arial" w:cs="Arial"/>
          <w:noProof/>
          <w:sz w:val="24"/>
          <w:szCs w:val="24"/>
        </w:rPr>
      </w:pPr>
      <w:r w:rsidRPr="00937D42">
        <w:rPr>
          <w:rFonts w:ascii="Arial" w:hAnsi="Arial" w:cs="Arial"/>
          <w:noProof/>
          <w:sz w:val="24"/>
          <w:szCs w:val="24"/>
        </w:rPr>
        <w:t xml:space="preserve">Emerton, V. (2002). </w:t>
      </w:r>
      <w:r w:rsidRPr="00937D42">
        <w:rPr>
          <w:rFonts w:ascii="Arial" w:hAnsi="Arial" w:cs="Arial"/>
          <w:i/>
          <w:iCs/>
          <w:noProof/>
          <w:sz w:val="24"/>
          <w:szCs w:val="24"/>
        </w:rPr>
        <w:t>Food Allergy &amp; Intolerance.</w:t>
      </w:r>
      <w:r w:rsidRPr="00937D42">
        <w:rPr>
          <w:rFonts w:ascii="Arial" w:hAnsi="Arial" w:cs="Arial"/>
          <w:noProof/>
          <w:sz w:val="24"/>
          <w:szCs w:val="24"/>
        </w:rPr>
        <w:t xml:space="preserve"> Royal Society of Chemistry.</w:t>
      </w:r>
    </w:p>
    <w:p w14:paraId="49E05F8C" w14:textId="7BEF2A63" w:rsidR="00F11027" w:rsidRPr="00937D42" w:rsidRDefault="00F11027" w:rsidP="00DE4F52">
      <w:pPr>
        <w:pStyle w:val="Bibliography"/>
        <w:jc w:val="both"/>
        <w:rPr>
          <w:rFonts w:ascii="Arial" w:hAnsi="Arial" w:cs="Arial"/>
          <w:noProof/>
          <w:sz w:val="24"/>
          <w:szCs w:val="24"/>
        </w:rPr>
      </w:pPr>
      <w:r w:rsidRPr="00937D42">
        <w:rPr>
          <w:rFonts w:ascii="Arial" w:hAnsi="Arial" w:cs="Arial"/>
          <w:noProof/>
          <w:sz w:val="24"/>
          <w:szCs w:val="24"/>
        </w:rPr>
        <w:t xml:space="preserve">Madsen, C., Crevel, R., Mills, C., &amp; Taylor, S. (2013). </w:t>
      </w:r>
      <w:r w:rsidRPr="00937D42">
        <w:rPr>
          <w:rFonts w:ascii="Arial" w:hAnsi="Arial" w:cs="Arial"/>
          <w:i/>
          <w:iCs/>
          <w:noProof/>
          <w:sz w:val="24"/>
          <w:szCs w:val="24"/>
        </w:rPr>
        <w:t>Risk Management for Food Allergy.</w:t>
      </w:r>
      <w:r w:rsidRPr="00937D42">
        <w:rPr>
          <w:rFonts w:ascii="Arial" w:hAnsi="Arial" w:cs="Arial"/>
          <w:noProof/>
          <w:sz w:val="24"/>
          <w:szCs w:val="24"/>
        </w:rPr>
        <w:t xml:space="preserve"> Academic Press.</w:t>
      </w:r>
    </w:p>
    <w:p w14:paraId="0708BF3E" w14:textId="77777777" w:rsidR="00F11027" w:rsidRPr="00937D42" w:rsidRDefault="00F11027" w:rsidP="00DE4F52">
      <w:pPr>
        <w:pStyle w:val="Bibliography"/>
        <w:jc w:val="both"/>
        <w:rPr>
          <w:rFonts w:ascii="Arial" w:hAnsi="Arial" w:cs="Arial"/>
          <w:noProof/>
          <w:sz w:val="24"/>
          <w:szCs w:val="24"/>
        </w:rPr>
      </w:pPr>
      <w:r w:rsidRPr="00937D42">
        <w:rPr>
          <w:rFonts w:ascii="Arial" w:hAnsi="Arial" w:cs="Arial"/>
          <w:noProof/>
          <w:sz w:val="24"/>
          <w:szCs w:val="24"/>
        </w:rPr>
        <w:t xml:space="preserve">Skypala, I., &amp; Venter, C. (2009). </w:t>
      </w:r>
      <w:r w:rsidRPr="00937D42">
        <w:rPr>
          <w:rFonts w:ascii="Arial" w:hAnsi="Arial" w:cs="Arial"/>
          <w:i/>
          <w:iCs/>
          <w:noProof/>
          <w:sz w:val="24"/>
          <w:szCs w:val="24"/>
        </w:rPr>
        <w:t>Food Hypersensitivity.</w:t>
      </w:r>
      <w:r w:rsidRPr="00937D42">
        <w:rPr>
          <w:rFonts w:ascii="Arial" w:hAnsi="Arial" w:cs="Arial"/>
          <w:noProof/>
          <w:sz w:val="24"/>
          <w:szCs w:val="24"/>
        </w:rPr>
        <w:t xml:space="preserve"> John Wiley &amp; Sons.</w:t>
      </w:r>
    </w:p>
    <w:p w14:paraId="5A3E6F49" w14:textId="759D61F8" w:rsidR="00F11027" w:rsidRPr="00937D42" w:rsidRDefault="00F11027" w:rsidP="00DE4F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7D42">
        <w:rPr>
          <w:rFonts w:ascii="Arial" w:hAnsi="Arial" w:cs="Arial"/>
          <w:b/>
          <w:sz w:val="24"/>
          <w:szCs w:val="24"/>
        </w:rPr>
        <w:fldChar w:fldCharType="end"/>
      </w:r>
    </w:p>
    <w:p w14:paraId="5BE6A74B" w14:textId="77777777" w:rsidR="006475A5" w:rsidRPr="00937D42" w:rsidRDefault="006475A5" w:rsidP="00DE4F52">
      <w:pPr>
        <w:jc w:val="both"/>
        <w:rPr>
          <w:rFonts w:ascii="Arial" w:hAnsi="Arial" w:cs="Arial"/>
          <w:sz w:val="24"/>
          <w:szCs w:val="24"/>
        </w:rPr>
      </w:pPr>
    </w:p>
    <w:sectPr w:rsidR="006475A5" w:rsidRPr="00937D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027"/>
    <w:rsid w:val="006475A5"/>
    <w:rsid w:val="008E7B87"/>
    <w:rsid w:val="00937D42"/>
    <w:rsid w:val="00DE4F52"/>
    <w:rsid w:val="00F11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22D1B8"/>
  <w15:chartTrackingRefBased/>
  <w15:docId w15:val="{D6F8ECD4-8CA7-4452-BB28-CCB46362A5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1027"/>
    <w:pPr>
      <w:spacing w:after="200" w:line="276" w:lineRule="auto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F110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 Version="">
  <b:Source>
    <b:Tag>Vic02</b:Tag>
    <b:SourceType>Book</b:SourceType>
    <b:Guid>{5B7EB4FF-0452-4A03-A322-282FFDFC12FC}</b:Guid>
    <b:Author>
      <b:Author>
        <b:NameList>
          <b:Person>
            <b:Last>Emerton</b:Last>
            <b:First>Victoria</b:First>
          </b:Person>
        </b:NameList>
      </b:Author>
    </b:Author>
    <b:Title>Food Allergy &amp; Intolerance</b:Title>
    <b:Year>2002</b:Year>
    <b:Publisher>Royal Society of Chemistry</b:Publisher>
    <b:RefOrder>1</b:RefOrder>
  </b:Source>
  <b:Source>
    <b:Tag>Isa09</b:Tag>
    <b:SourceType>Book</b:SourceType>
    <b:Guid>{1BD0F85C-4D50-4F50-BEDA-063189F4816D}</b:Guid>
    <b:Author>
      <b:Author>
        <b:NameList>
          <b:Person>
            <b:Last>Skypala</b:Last>
            <b:First>Isabel</b:First>
          </b:Person>
          <b:Person>
            <b:Last>Venter</b:Last>
            <b:First>Carnia</b:First>
          </b:Person>
        </b:NameList>
      </b:Author>
    </b:Author>
    <b:Title>Food Hypersensitivity</b:Title>
    <b:Year>2009</b:Year>
    <b:Publisher>John Wiley &amp; Sons</b:Publisher>
    <b:RefOrder>2</b:RefOrder>
  </b:Source>
  <b:Source>
    <b:Tag>TDe00</b:Tag>
    <b:SourceType>Book</b:SourceType>
    <b:Guid>{675356CE-F37E-406A-9BF6-63FF9EB8484C}</b:Guid>
    <b:Author>
      <b:Author>
        <b:NameList>
          <b:Person>
            <b:Last>Dean</b:Last>
            <b:First>T</b:First>
          </b:Person>
        </b:NameList>
      </b:Author>
    </b:Author>
    <b:Title>Food Intolerance &amp; the Food Industry</b:Title>
    <b:Year>2000</b:Year>
    <b:Publisher>Elsevier</b:Publisher>
    <b:RefOrder>3</b:RefOrder>
  </b:Source>
  <b:Source>
    <b:Tag>Cha13</b:Tag>
    <b:SourceType>Book</b:SourceType>
    <b:Guid>{3F4F02C2-5FFA-402A-9E67-089DBE9C99A6}</b:Guid>
    <b:Author>
      <b:Author>
        <b:NameList>
          <b:Person>
            <b:Last>Madsen</b:Last>
            <b:First>Charlotte</b:First>
          </b:Person>
          <b:Person>
            <b:Last>Crevel</b:Last>
            <b:First>Rene</b:First>
          </b:Person>
          <b:Person>
            <b:Last>Mills</b:Last>
            <b:First>Clare</b:First>
          </b:Person>
          <b:Person>
            <b:Last>Taylor</b:Last>
            <b:First>Steve</b:First>
          </b:Person>
        </b:NameList>
      </b:Author>
    </b:Author>
    <b:Title>Risk Management for Food Allergy</b:Title>
    <b:Year>2013</b:Year>
    <b:Publisher>Academic Press</b:Publisher>
    <b:RefOrder>4</b:RefOrder>
  </b:Source>
  <b:Source>
    <b:Tag>Jac09</b:Tag>
    <b:SourceType>Book</b:SourceType>
    <b:Guid>{662F0911-4FF3-496C-89FF-43C1C693558C}</b:Guid>
    <b:Author>
      <b:Author>
        <b:NameList>
          <b:Person>
            <b:Last>Coutts</b:Last>
            <b:First>Jacqueline</b:First>
          </b:Person>
          <b:Person>
            <b:Last>Fielder</b:Last>
            <b:First>Richard</b:First>
          </b:Person>
        </b:NameList>
      </b:Author>
    </b:Author>
    <b:Title>Management of Food Allergens</b:Title>
    <b:Year>2009</b:Year>
    <b:Publisher>John Wiley &amp; Sons</b:Publisher>
    <b:RefOrder>5</b:RefOrder>
  </b:Source>
  <b:Source>
    <b:Tag>Wil13</b:Tag>
    <b:SourceType>Book</b:SourceType>
    <b:Guid>{F7A7317A-A463-4699-806A-6D73A6392E8C}</b:Guid>
    <b:Author>
      <b:Author>
        <b:NameList>
          <b:Person>
            <b:Last>Legrand</b:Last>
            <b:First>Willy</b:First>
          </b:Person>
          <b:Person>
            <b:Last>Sloan</b:Last>
            <b:First>Philip</b:First>
          </b:Person>
          <b:Person>
            <b:Last>Chen</b:Last>
            <b:First>Joseph</b:First>
            <b:Middle>S.</b:Middle>
          </b:Person>
        </b:NameList>
      </b:Author>
    </b:Author>
    <b:Title>Sustainability in the Hospitality Industry</b:Title>
    <b:Year>2013</b:Year>
    <b:Publisher>Routledge</b:Publisher>
    <b:RefOrder>6</b:RefOrder>
  </b:Source>
  <b:Source>
    <b:Tag>Mig17</b:Tag>
    <b:SourceType>Book</b:SourceType>
    <b:Guid>{E60C5F63-A009-4996-9FFE-69CCA714E34E}</b:Guid>
    <b:Author>
      <b:Author>
        <b:NameList>
          <b:Person>
            <b:Last>Gardetti</b:Last>
            <b:First>Miguel</b:First>
            <b:Middle>Angel</b:Middle>
          </b:Person>
          <b:Person>
            <b:Last>Torres</b:Last>
            <b:First>Ana</b:First>
            <b:Middle>Laura</b:Middle>
          </b:Person>
        </b:NameList>
      </b:Author>
    </b:Author>
    <b:Title>Sustainability in Hospitality</b:Title>
    <b:Year>2017</b:Year>
    <b:Publisher>Taylor &amp; Francis</b:Publisher>
    <b:RefOrder>7</b:RefOrder>
  </b:Source>
  <b:Source>
    <b:Tag>Jen17</b:Tag>
    <b:SourceType>Book</b:SourceType>
    <b:Guid>{3FE57030-6856-4158-A67C-013F9C388222}</b:Guid>
    <b:Author>
      <b:Author>
        <b:NameList>
          <b:Person>
            <b:Last>Raga</b:Last>
            <b:First>Jennifer</b:First>
          </b:Person>
        </b:NameList>
      </b:Author>
    </b:Author>
    <b:Title>Environmental Management for Hotels</b:Title>
    <b:Year>2017</b:Year>
    <b:Publisher>Society Publishing</b:Publisher>
    <b:RefOrder>8</b:RefOrder>
  </b:Source>
  <b:Source>
    <b:Tag>Ish19</b:Tag>
    <b:SourceType>Book</b:SourceType>
    <b:Guid>{2022DA18-9E2F-45D5-9D1A-F1F8A153CBC6}</b:Guid>
    <b:Author>
      <b:Author>
        <b:NameList>
          <b:Person>
            <b:Last>Mensah</b:Last>
            <b:First>Ishmael</b:First>
          </b:Person>
        </b:NameList>
      </b:Author>
    </b:Author>
    <b:Title>Environmental Management Concepts &amp; Practices for the Hospitality Industry</b:Title>
    <b:Year>2019</b:Year>
    <b:Publisher>Cambridge Scholars Publishing</b:Publisher>
    <b:RefOrder>9</b:RefOrder>
  </b:Source>
</b:Sources>
</file>

<file path=customXml/itemProps1.xml><?xml version="1.0" encoding="utf-8"?>
<ds:datastoreItem xmlns:ds="http://schemas.openxmlformats.org/officeDocument/2006/customXml" ds:itemID="{CE96DEE7-F9E7-48AF-B6A0-3A4B1ACA96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805</Words>
  <Characters>4592</Characters>
  <Application>Microsoft Office Word</Application>
  <DocSecurity>0</DocSecurity>
  <Lines>38</Lines>
  <Paragraphs>10</Paragraphs>
  <ScaleCrop>false</ScaleCrop>
  <Company/>
  <LinksUpToDate>false</LinksUpToDate>
  <CharactersWithSpaces>5387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Krishna Subedi (2017488)</dc:creator>
  <cp:keywords/>
  <dc:description/>
  <cp:lastModifiedBy>Krishna Subedi (2017488)</cp:lastModifiedBy>
  <cp:revision>4</cp:revision>
  <dcterms:created xsi:type="dcterms:W3CDTF">2021-10-19T23:51:00Z</dcterms:created>
  <dcterms:modified xsi:type="dcterms:W3CDTF">2021-10-20T11:34:00Z</dcterms:modified>
</cp:coreProperties>
</file>