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12F8" w:rsidRPr="005012F8" w:rsidRDefault="005012F8" w:rsidP="005012F8">
      <w:pPr>
        <w:pStyle w:val="Heading1"/>
        <w:spacing w:line="360" w:lineRule="auto"/>
        <w:jc w:val="center"/>
        <w:rPr>
          <w:rFonts w:ascii="Arial" w:hAnsi="Arial" w:cs="Arial"/>
          <w:color w:val="auto"/>
          <w:sz w:val="22"/>
          <w:szCs w:val="22"/>
          <w:lang w:val="en-GB"/>
        </w:rPr>
      </w:pPr>
      <w:bookmarkStart w:id="0" w:name="_Toc57101185"/>
      <w:bookmarkStart w:id="1" w:name="_Toc57125027"/>
      <w:bookmarkStart w:id="2" w:name="_Toc57178170"/>
      <w:bookmarkStart w:id="3" w:name="_Toc57179109"/>
    </w:p>
    <w:p w:rsidR="005012F8" w:rsidRPr="005012F8" w:rsidRDefault="005012F8" w:rsidP="005012F8">
      <w:pPr>
        <w:pStyle w:val="Heading1"/>
        <w:spacing w:line="360" w:lineRule="auto"/>
        <w:jc w:val="center"/>
        <w:rPr>
          <w:rFonts w:ascii="Arial" w:hAnsi="Arial" w:cs="Arial"/>
          <w:color w:val="auto"/>
          <w:sz w:val="22"/>
          <w:szCs w:val="22"/>
          <w:lang w:val="en-GB"/>
        </w:rPr>
      </w:pPr>
    </w:p>
    <w:p w:rsidR="005012F8" w:rsidRPr="005012F8" w:rsidRDefault="005012F8" w:rsidP="005012F8">
      <w:pPr>
        <w:rPr>
          <w:lang w:val="en-GB"/>
        </w:rPr>
      </w:pPr>
    </w:p>
    <w:p w:rsidR="005012F8" w:rsidRPr="005012F8" w:rsidRDefault="00D36224" w:rsidP="005012F8">
      <w:pPr>
        <w:pStyle w:val="Heading1"/>
        <w:spacing w:line="360" w:lineRule="auto"/>
        <w:jc w:val="center"/>
        <w:rPr>
          <w:rFonts w:ascii="Arial" w:hAnsi="Arial" w:cs="Arial"/>
          <w:color w:val="auto"/>
          <w:sz w:val="22"/>
          <w:szCs w:val="22"/>
          <w:lang w:val="en-GB"/>
        </w:rPr>
      </w:pPr>
      <w:r>
        <w:rPr>
          <w:rFonts w:ascii="Arial" w:hAnsi="Arial" w:cs="Arial"/>
          <w:color w:val="auto"/>
          <w:sz w:val="22"/>
          <w:szCs w:val="22"/>
          <w:lang w:val="en-GB"/>
        </w:rPr>
        <w:t xml:space="preserve">Assignment 2 </w:t>
      </w:r>
      <w:r w:rsidR="00B25FE8">
        <w:rPr>
          <w:rFonts w:ascii="Arial" w:hAnsi="Arial" w:cs="Arial"/>
          <w:color w:val="auto"/>
          <w:sz w:val="22"/>
          <w:szCs w:val="22"/>
          <w:lang w:val="en-GB"/>
        </w:rPr>
        <w:t xml:space="preserve">- </w:t>
      </w:r>
      <w:r w:rsidR="00B25FE8" w:rsidRPr="00B25FE8">
        <w:rPr>
          <w:rFonts w:ascii="Arial" w:hAnsi="Arial" w:cs="Arial"/>
          <w:color w:val="auto"/>
          <w:sz w:val="22"/>
          <w:szCs w:val="22"/>
          <w:lang w:val="en-GB"/>
        </w:rPr>
        <w:t>Performance Project (Report)</w:t>
      </w:r>
    </w:p>
    <w:p w:rsidR="005012F8" w:rsidRPr="005012F8" w:rsidRDefault="00D36224" w:rsidP="005012F8">
      <w:pPr>
        <w:pStyle w:val="Heading1"/>
        <w:spacing w:line="360" w:lineRule="auto"/>
        <w:jc w:val="center"/>
        <w:rPr>
          <w:rFonts w:ascii="Arial" w:hAnsi="Arial" w:cs="Arial"/>
          <w:color w:val="auto"/>
          <w:sz w:val="22"/>
          <w:szCs w:val="22"/>
          <w:lang w:val="en-GB"/>
        </w:rPr>
      </w:pPr>
      <w:r w:rsidRPr="00D36224">
        <w:rPr>
          <w:rFonts w:ascii="Arial" w:hAnsi="Arial" w:cs="Arial"/>
          <w:color w:val="auto"/>
          <w:sz w:val="22"/>
          <w:szCs w:val="22"/>
        </w:rPr>
        <w:t>Chisom Jane Evbota 1807678</w:t>
      </w:r>
      <w:r>
        <w:rPr>
          <w:rFonts w:ascii="Arial" w:hAnsi="Arial" w:cs="Arial"/>
          <w:color w:val="auto"/>
          <w:sz w:val="22"/>
          <w:szCs w:val="22"/>
        </w:rPr>
        <w:t xml:space="preserve"> -</w:t>
      </w:r>
      <w:r w:rsidRPr="00D36224">
        <w:rPr>
          <w:rFonts w:ascii="Arial" w:hAnsi="Arial" w:cs="Arial"/>
          <w:color w:val="auto"/>
          <w:sz w:val="22"/>
          <w:szCs w:val="22"/>
        </w:rPr>
        <w:t xml:space="preserve"> </w:t>
      </w:r>
      <w:r w:rsidR="005012F8" w:rsidRPr="005012F8">
        <w:rPr>
          <w:rFonts w:ascii="Arial" w:hAnsi="Arial" w:cs="Arial"/>
          <w:color w:val="auto"/>
          <w:sz w:val="22"/>
          <w:szCs w:val="22"/>
          <w:lang w:val="en-GB"/>
        </w:rPr>
        <w:t>Applied Quantitative Business Research</w:t>
      </w:r>
      <w:bookmarkEnd w:id="0"/>
      <w:bookmarkEnd w:id="1"/>
      <w:bookmarkEnd w:id="2"/>
      <w:bookmarkEnd w:id="3"/>
      <w:r>
        <w:rPr>
          <w:rFonts w:ascii="Arial" w:hAnsi="Arial" w:cs="Arial"/>
          <w:color w:val="auto"/>
          <w:sz w:val="22"/>
          <w:szCs w:val="22"/>
          <w:lang w:val="en-GB"/>
        </w:rPr>
        <w:t xml:space="preserve"> – 4</w:t>
      </w:r>
      <w:r w:rsidRPr="00D36224">
        <w:rPr>
          <w:rFonts w:ascii="Arial" w:hAnsi="Arial" w:cs="Arial"/>
          <w:color w:val="auto"/>
          <w:sz w:val="22"/>
          <w:szCs w:val="22"/>
          <w:vertAlign w:val="superscript"/>
          <w:lang w:val="en-GB"/>
        </w:rPr>
        <w:t>th</w:t>
      </w:r>
      <w:r>
        <w:rPr>
          <w:rFonts w:ascii="Arial" w:hAnsi="Arial" w:cs="Arial"/>
          <w:color w:val="auto"/>
          <w:sz w:val="22"/>
          <w:szCs w:val="22"/>
          <w:lang w:val="en-GB"/>
        </w:rPr>
        <w:t xml:space="preserve"> December 2020</w:t>
      </w:r>
    </w:p>
    <w:p w:rsidR="005012F8" w:rsidRPr="005012F8" w:rsidRDefault="005012F8" w:rsidP="005012F8">
      <w:pPr>
        <w:pStyle w:val="Heading1"/>
        <w:spacing w:line="360" w:lineRule="auto"/>
        <w:jc w:val="center"/>
        <w:rPr>
          <w:rFonts w:ascii="Arial" w:hAnsi="Arial" w:cs="Arial"/>
          <w:color w:val="auto"/>
          <w:sz w:val="22"/>
          <w:szCs w:val="22"/>
          <w:lang w:val="en-GB"/>
        </w:rPr>
      </w:pPr>
    </w:p>
    <w:p w:rsidR="005012F8" w:rsidRPr="005012F8" w:rsidRDefault="005012F8" w:rsidP="005012F8">
      <w:pPr>
        <w:spacing w:line="360" w:lineRule="auto"/>
        <w:rPr>
          <w:rFonts w:ascii="Arial" w:eastAsiaTheme="majorEastAsia" w:hAnsi="Arial" w:cs="Arial"/>
          <w:sz w:val="22"/>
          <w:lang w:val="en-GB"/>
        </w:rPr>
      </w:pPr>
      <w:r w:rsidRPr="005012F8">
        <w:rPr>
          <w:rFonts w:ascii="Arial" w:hAnsi="Arial" w:cs="Arial"/>
          <w:sz w:val="22"/>
          <w:lang w:val="en-GB"/>
        </w:rPr>
        <w:br w:type="page"/>
      </w:r>
      <w:bookmarkStart w:id="4" w:name="_GoBack"/>
      <w:bookmarkEnd w:id="4"/>
    </w:p>
    <w:sdt>
      <w:sdtPr>
        <w:rPr>
          <w:rFonts w:ascii="Arial" w:eastAsiaTheme="minorHAnsi" w:hAnsi="Arial" w:cs="Arial"/>
          <w:color w:val="auto"/>
          <w:sz w:val="22"/>
          <w:szCs w:val="22"/>
          <w:lang w:eastAsia="en-US"/>
        </w:rPr>
        <w:id w:val="611477924"/>
        <w:docPartObj>
          <w:docPartGallery w:val="Table of Contents"/>
          <w:docPartUnique/>
        </w:docPartObj>
      </w:sdtPr>
      <w:sdtEndPr>
        <w:rPr>
          <w:b/>
          <w:bCs/>
        </w:rPr>
      </w:sdtEndPr>
      <w:sdtContent>
        <w:p w:rsidR="005012F8" w:rsidRPr="005012F8" w:rsidRDefault="005012F8" w:rsidP="005012F8">
          <w:pPr>
            <w:pStyle w:val="TOCHeading"/>
            <w:tabs>
              <w:tab w:val="left" w:pos="3969"/>
            </w:tabs>
            <w:spacing w:line="360" w:lineRule="auto"/>
            <w:rPr>
              <w:rFonts w:ascii="Arial" w:hAnsi="Arial" w:cs="Arial"/>
              <w:color w:val="auto"/>
              <w:sz w:val="22"/>
              <w:szCs w:val="22"/>
            </w:rPr>
          </w:pPr>
          <w:r w:rsidRPr="005012F8">
            <w:rPr>
              <w:rFonts w:ascii="Arial" w:hAnsi="Arial" w:cs="Arial"/>
              <w:color w:val="auto"/>
              <w:sz w:val="22"/>
              <w:szCs w:val="22"/>
            </w:rPr>
            <w:t>Table of Contents</w:t>
          </w:r>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r w:rsidRPr="005012F8">
            <w:rPr>
              <w:rFonts w:ascii="Arial" w:hAnsi="Arial" w:cs="Arial"/>
              <w:sz w:val="22"/>
            </w:rPr>
            <w:fldChar w:fldCharType="begin"/>
          </w:r>
          <w:r w:rsidRPr="005012F8">
            <w:rPr>
              <w:rFonts w:ascii="Arial" w:hAnsi="Arial" w:cs="Arial"/>
              <w:sz w:val="22"/>
            </w:rPr>
            <w:instrText xml:space="preserve"> TOC \o "1-3" \h \z \u </w:instrText>
          </w:r>
          <w:r w:rsidRPr="005012F8">
            <w:rPr>
              <w:rFonts w:ascii="Arial" w:hAnsi="Arial" w:cs="Arial"/>
              <w:sz w:val="22"/>
            </w:rPr>
            <w:fldChar w:fldCharType="separate"/>
          </w:r>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1" w:history="1">
            <w:r w:rsidRPr="005012F8">
              <w:rPr>
                <w:rStyle w:val="Hyperlink"/>
                <w:rFonts w:ascii="Arial" w:hAnsi="Arial" w:cs="Arial"/>
                <w:noProof/>
                <w:color w:val="auto"/>
                <w:sz w:val="22"/>
                <w:lang w:val="en-GB"/>
              </w:rPr>
              <w:t>Abstract</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_Toc57179111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3</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2" w:history="1">
            <w:r w:rsidRPr="005012F8">
              <w:rPr>
                <w:rStyle w:val="Hyperlink"/>
                <w:rFonts w:ascii="Arial" w:hAnsi="Arial" w:cs="Arial"/>
                <w:noProof/>
                <w:color w:val="auto"/>
                <w:sz w:val="22"/>
                <w:lang w:val="en-AU"/>
              </w:rPr>
              <w:t>Introduction</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_Toc57179112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4</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3" w:history="1">
            <w:r w:rsidRPr="005012F8">
              <w:rPr>
                <w:rStyle w:val="Hyperlink"/>
                <w:rFonts w:ascii="Arial" w:hAnsi="Arial" w:cs="Arial"/>
                <w:noProof/>
                <w:color w:val="auto"/>
                <w:sz w:val="22"/>
                <w:lang w:val="en-AU"/>
              </w:rPr>
              <w:t>The rationale for Choice of Articles</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_Toc57179113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5</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4" w:history="1">
            <w:r w:rsidRPr="005012F8">
              <w:rPr>
                <w:rStyle w:val="Hyperlink"/>
                <w:rFonts w:ascii="Arial" w:hAnsi="Arial" w:cs="Arial"/>
                <w:noProof/>
                <w:color w:val="auto"/>
                <w:sz w:val="22"/>
                <w:lang w:val="en-AU"/>
              </w:rPr>
              <w:t>Discussion of Methodology and Research Design</w:t>
            </w:r>
            <w:r w:rsidRPr="005012F8">
              <w:rPr>
                <w:rFonts w:ascii="Arial" w:hAnsi="Arial" w:cs="Arial"/>
                <w:noProof/>
                <w:webHidden/>
                <w:sz w:val="22"/>
              </w:rPr>
              <w:tab/>
            </w:r>
            <w:r w:rsidRPr="005012F8">
              <w:rPr>
                <w:rFonts w:ascii="Arial" w:hAnsi="Arial" w:cs="Arial"/>
                <w:noProof/>
                <w:webHidden/>
                <w:sz w:val="22"/>
              </w:rPr>
              <w:t>7</w:t>
            </w:r>
          </w:hyperlink>
        </w:p>
        <w:p w:rsidR="005012F8" w:rsidRPr="005012F8" w:rsidRDefault="005012F8" w:rsidP="005012F8">
          <w:pPr>
            <w:pStyle w:val="TOC2"/>
            <w:tabs>
              <w:tab w:val="right" w:leader="dot" w:pos="9062"/>
            </w:tabs>
            <w:spacing w:line="360" w:lineRule="auto"/>
            <w:ind w:left="0"/>
            <w:rPr>
              <w:rFonts w:ascii="Arial" w:eastAsiaTheme="minorEastAsia" w:hAnsi="Arial" w:cs="Arial"/>
              <w:noProof/>
              <w:sz w:val="22"/>
              <w:lang w:eastAsia="hu-HU"/>
            </w:rPr>
          </w:pPr>
          <w:hyperlink w:anchor="_Toc57179115" w:history="1">
            <w:r w:rsidRPr="005012F8">
              <w:rPr>
                <w:rStyle w:val="Hyperlink"/>
                <w:rFonts w:ascii="Arial" w:hAnsi="Arial" w:cs="Arial"/>
                <w:noProof/>
                <w:color w:val="auto"/>
                <w:sz w:val="22"/>
              </w:rPr>
              <w:t>Personality Traits and Expatriate Adjustment (Bhatti, Battour, Ismail and Sundram 2014)</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_Toc57179115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10</w:t>
            </w:r>
            <w:r w:rsidRPr="005012F8">
              <w:rPr>
                <w:rFonts w:ascii="Arial" w:hAnsi="Arial" w:cs="Arial"/>
                <w:noProof/>
                <w:webHidden/>
                <w:sz w:val="22"/>
              </w:rPr>
              <w:fldChar w:fldCharType="end"/>
            </w:r>
          </w:hyperlink>
        </w:p>
        <w:p w:rsidR="005012F8" w:rsidRPr="005012F8" w:rsidRDefault="005012F8" w:rsidP="005012F8">
          <w:pPr>
            <w:pStyle w:val="TOC2"/>
            <w:tabs>
              <w:tab w:val="right" w:leader="dot" w:pos="9062"/>
            </w:tabs>
            <w:spacing w:line="360" w:lineRule="auto"/>
            <w:ind w:left="0"/>
            <w:rPr>
              <w:rFonts w:ascii="Arial" w:eastAsiaTheme="minorEastAsia" w:hAnsi="Arial" w:cs="Arial"/>
              <w:noProof/>
              <w:sz w:val="22"/>
              <w:lang w:eastAsia="hu-HU"/>
            </w:rPr>
          </w:pPr>
          <w:hyperlink w:anchor="_Toc57179116" w:history="1">
            <w:r w:rsidRPr="005012F8">
              <w:rPr>
                <w:rStyle w:val="Hyperlink"/>
                <w:rFonts w:ascii="Arial" w:hAnsi="Arial" w:cs="Arial"/>
                <w:noProof/>
                <w:color w:val="auto"/>
                <w:sz w:val="22"/>
                <w:lang w:val="en-GB"/>
              </w:rPr>
              <w:t>Host Country Nationals' Attitudes, Social Support and Willingness to Work with Expatriates (Sokro and Pillay, 2019)</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_Toc57179116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12</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7" w:history="1">
            <w:r w:rsidRPr="005012F8">
              <w:rPr>
                <w:rStyle w:val="Hyperlink"/>
                <w:rFonts w:ascii="Arial" w:hAnsi="Arial" w:cs="Arial"/>
                <w:noProof/>
                <w:color w:val="auto"/>
                <w:sz w:val="22"/>
                <w:lang w:val="en-GB"/>
              </w:rPr>
              <w:t>Conclusion and Recommendations</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_Toc57179117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14</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8" w:history="1">
            <w:r w:rsidRPr="005012F8">
              <w:rPr>
                <w:rStyle w:val="Hyperlink"/>
                <w:rFonts w:ascii="Arial" w:hAnsi="Arial" w:cs="Arial"/>
                <w:noProof/>
                <w:color w:val="auto"/>
                <w:sz w:val="22"/>
                <w:lang w:val="en-AU"/>
              </w:rPr>
              <w:t>Bibliography</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_Toc57179118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15</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9" w:history="1">
            <w:r w:rsidRPr="005012F8">
              <w:rPr>
                <w:rStyle w:val="Hyperlink"/>
                <w:rFonts w:ascii="Arial" w:hAnsi="Arial" w:cs="Arial"/>
                <w:noProof/>
                <w:color w:val="auto"/>
                <w:sz w:val="22"/>
                <w:lang w:val="en-GB"/>
              </w:rPr>
              <w:t>Appendices – Links</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_Toc57179119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17</w:t>
            </w:r>
            <w:r w:rsidRPr="005012F8">
              <w:rPr>
                <w:rFonts w:ascii="Arial" w:hAnsi="Arial" w:cs="Arial"/>
                <w:noProof/>
                <w:webHidden/>
                <w:sz w:val="22"/>
              </w:rPr>
              <w:fldChar w:fldCharType="end"/>
            </w:r>
          </w:hyperlink>
        </w:p>
        <w:p w:rsidR="005012F8" w:rsidRPr="005012F8" w:rsidRDefault="005012F8" w:rsidP="005012F8">
          <w:pPr>
            <w:spacing w:line="360" w:lineRule="auto"/>
            <w:rPr>
              <w:rFonts w:ascii="Arial" w:hAnsi="Arial" w:cs="Arial"/>
              <w:sz w:val="22"/>
            </w:rPr>
          </w:pPr>
          <w:r w:rsidRPr="005012F8">
            <w:rPr>
              <w:rFonts w:ascii="Arial" w:hAnsi="Arial" w:cs="Arial"/>
              <w:b/>
              <w:bCs/>
              <w:sz w:val="22"/>
            </w:rPr>
            <w:fldChar w:fldCharType="end"/>
          </w:r>
        </w:p>
      </w:sdtContent>
    </w:sdt>
    <w:p w:rsidR="005012F8" w:rsidRPr="005012F8" w:rsidRDefault="005012F8" w:rsidP="005012F8">
      <w:pPr>
        <w:spacing w:line="360" w:lineRule="auto"/>
        <w:rPr>
          <w:rFonts w:ascii="Arial" w:hAnsi="Arial" w:cs="Arial"/>
          <w:sz w:val="22"/>
          <w:lang w:val="en-GB"/>
        </w:rPr>
      </w:pPr>
      <w:r w:rsidRPr="005012F8">
        <w:rPr>
          <w:rFonts w:ascii="Arial" w:hAnsi="Arial" w:cs="Arial"/>
          <w:sz w:val="22"/>
          <w:lang w:val="en-GB"/>
        </w:rPr>
        <w:br w:type="page"/>
      </w:r>
    </w:p>
    <w:p w:rsidR="005012F8" w:rsidRPr="00A42DA0" w:rsidRDefault="005012F8" w:rsidP="005012F8">
      <w:pPr>
        <w:pStyle w:val="Heading1"/>
        <w:spacing w:line="360" w:lineRule="auto"/>
        <w:jc w:val="center"/>
        <w:rPr>
          <w:rFonts w:ascii="Arial" w:hAnsi="Arial" w:cs="Arial"/>
          <w:b/>
          <w:bCs/>
          <w:color w:val="auto"/>
          <w:sz w:val="22"/>
          <w:szCs w:val="22"/>
          <w:lang w:val="en-GB"/>
        </w:rPr>
      </w:pPr>
      <w:bookmarkStart w:id="5" w:name="_Toc57179111"/>
      <w:r w:rsidRPr="00A42DA0">
        <w:rPr>
          <w:rFonts w:ascii="Arial" w:hAnsi="Arial" w:cs="Arial"/>
          <w:b/>
          <w:bCs/>
          <w:color w:val="auto"/>
          <w:sz w:val="22"/>
          <w:szCs w:val="22"/>
          <w:lang w:val="en-GB"/>
        </w:rPr>
        <w:lastRenderedPageBreak/>
        <w:t>Abstract</w:t>
      </w:r>
      <w:bookmarkEnd w:id="5"/>
    </w:p>
    <w:p w:rsidR="005012F8" w:rsidRPr="005012F8" w:rsidRDefault="005012F8" w:rsidP="005012F8">
      <w:pPr>
        <w:spacing w:line="360" w:lineRule="auto"/>
        <w:rPr>
          <w:rFonts w:ascii="Arial" w:hAnsi="Arial" w:cs="Arial"/>
          <w:sz w:val="22"/>
          <w:lang w:val="en-GB"/>
        </w:rPr>
      </w:pPr>
    </w:p>
    <w:p w:rsidR="005012F8" w:rsidRPr="004B4974" w:rsidRDefault="005012F8" w:rsidP="005012F8">
      <w:pPr>
        <w:spacing w:line="360" w:lineRule="auto"/>
        <w:jc w:val="both"/>
        <w:rPr>
          <w:rFonts w:ascii="Arial" w:hAnsi="Arial" w:cs="Arial"/>
          <w:iCs/>
          <w:sz w:val="22"/>
          <w:lang w:val="en-GB"/>
        </w:rPr>
      </w:pPr>
      <w:r w:rsidRPr="004B4974">
        <w:rPr>
          <w:rFonts w:ascii="Arial" w:hAnsi="Arial" w:cs="Arial"/>
          <w:iCs/>
          <w:sz w:val="22"/>
          <w:lang w:val="en-GB"/>
        </w:rPr>
        <w:t xml:space="preserve">Academic research papers without exception undergo a rigorous process of peer review, predominantly focusing on the strength of links to existing theories and the robustness of the methodological design to produce reliable and valid findings. However, not a single research paper is without limitations and/or alternative methodological designs. The report analyses two </w:t>
      </w:r>
      <w:proofErr w:type="gramStart"/>
      <w:r w:rsidRPr="004B4974">
        <w:rPr>
          <w:rFonts w:ascii="Arial" w:hAnsi="Arial" w:cs="Arial"/>
          <w:iCs/>
          <w:sz w:val="22"/>
          <w:lang w:val="en-GB"/>
        </w:rPr>
        <w:t>fairly recent</w:t>
      </w:r>
      <w:proofErr w:type="gramEnd"/>
      <w:r w:rsidRPr="004B4974">
        <w:rPr>
          <w:rFonts w:ascii="Arial" w:hAnsi="Arial" w:cs="Arial"/>
          <w:iCs/>
          <w:sz w:val="22"/>
          <w:lang w:val="en-GB"/>
        </w:rPr>
        <w:t xml:space="preserve"> publications in two journals rated as 1-star by the Chartered Association of Business Schools (Equality, Diversity and Inclusion: An International Journal and Global Business Review). Both articles touch upon highly relevant and contemporary issues of international HRM and expatriate management. The first article discourses the different ways expatriate managers' personality traits influence the process of socialisation and expatriate performance. Suggestions imply the instrumentality for international HR managers to invest more resources into screening expatriate candidates' personality (in addition to traditional competency tests and other forms of pre-departure evaluation) before the commencement of expatriation. The other study also examines the socialisation process of expatriates through the dynamics of the relationship development between expatriates and host country employees. In the first part of the report, each paper's academic contribution and position in the broader literature is analysed. Then, the second part of the report evaluates the suitability of the chosen methodologies, the potential deficiencies (sampling method, the use of quantitative models, and analytical tools), as well as alternative research designs to enhance the outcome of the research for both articles. </w:t>
      </w:r>
    </w:p>
    <w:p w:rsidR="005012F8" w:rsidRPr="005012F8" w:rsidRDefault="005012F8" w:rsidP="005012F8">
      <w:pPr>
        <w:spacing w:line="360" w:lineRule="auto"/>
        <w:jc w:val="both"/>
        <w:rPr>
          <w:rFonts w:ascii="Arial" w:hAnsi="Arial" w:cs="Arial"/>
          <w:i/>
          <w:sz w:val="22"/>
          <w:lang w:val="en-GB"/>
        </w:rPr>
      </w:pPr>
    </w:p>
    <w:p w:rsidR="005012F8" w:rsidRPr="005012F8" w:rsidRDefault="005012F8" w:rsidP="005012F8">
      <w:pPr>
        <w:spacing w:line="360" w:lineRule="auto"/>
        <w:jc w:val="both"/>
        <w:rPr>
          <w:rFonts w:ascii="Arial" w:hAnsi="Arial" w:cs="Arial"/>
          <w:i/>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pStyle w:val="Heading1"/>
        <w:spacing w:line="360" w:lineRule="auto"/>
        <w:rPr>
          <w:rFonts w:ascii="Arial" w:hAnsi="Arial" w:cs="Arial"/>
          <w:b/>
          <w:bCs/>
          <w:color w:val="auto"/>
          <w:sz w:val="22"/>
          <w:szCs w:val="22"/>
          <w:lang w:val="en-AU"/>
        </w:rPr>
      </w:pPr>
      <w:bookmarkStart w:id="6" w:name="_Toc57179112"/>
      <w:r w:rsidRPr="005012F8">
        <w:rPr>
          <w:rFonts w:ascii="Arial" w:hAnsi="Arial" w:cs="Arial"/>
          <w:b/>
          <w:bCs/>
          <w:color w:val="auto"/>
          <w:sz w:val="22"/>
          <w:szCs w:val="22"/>
          <w:lang w:val="en-AU"/>
        </w:rPr>
        <w:lastRenderedPageBreak/>
        <w:t>Introduction</w:t>
      </w:r>
      <w:bookmarkEnd w:id="6"/>
      <w:r w:rsidRPr="005012F8">
        <w:rPr>
          <w:rFonts w:ascii="Arial" w:hAnsi="Arial" w:cs="Arial"/>
          <w:b/>
          <w:bCs/>
          <w:color w:val="auto"/>
          <w:sz w:val="22"/>
          <w:szCs w:val="22"/>
          <w:lang w:val="en-AU"/>
        </w:rPr>
        <w:t xml:space="preserve"> </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There is an imperative for business managers and HR practitioners to understand the management intricacies of expatriation, as well as viable practices to ensure expatriate and organisational success abroad. The two selected articles for the analysis, may, at first sight, appear to cover two scarcely related issues of general management (van der </w:t>
      </w:r>
      <w:proofErr w:type="spellStart"/>
      <w:r w:rsidRPr="005012F8">
        <w:rPr>
          <w:rFonts w:ascii="Arial" w:hAnsi="Arial" w:cs="Arial"/>
          <w:sz w:val="22"/>
          <w:lang w:val="en-AU"/>
        </w:rPr>
        <w:t>Laken</w:t>
      </w:r>
      <w:proofErr w:type="spellEnd"/>
      <w:r w:rsidRPr="005012F8">
        <w:rPr>
          <w:rFonts w:ascii="Arial" w:hAnsi="Arial" w:cs="Arial"/>
          <w:sz w:val="22"/>
          <w:lang w:val="en-AU"/>
        </w:rPr>
        <w:t xml:space="preserve">, van Engen, van </w:t>
      </w:r>
      <w:proofErr w:type="spellStart"/>
      <w:r w:rsidRPr="005012F8">
        <w:rPr>
          <w:rFonts w:ascii="Arial" w:hAnsi="Arial" w:cs="Arial"/>
          <w:sz w:val="22"/>
          <w:lang w:val="en-AU"/>
        </w:rPr>
        <w:t>Veldhoven</w:t>
      </w:r>
      <w:proofErr w:type="spellEnd"/>
      <w:r w:rsidRPr="005012F8">
        <w:rPr>
          <w:rFonts w:ascii="Arial" w:hAnsi="Arial" w:cs="Arial"/>
          <w:sz w:val="22"/>
          <w:lang w:val="en-AU"/>
        </w:rPr>
        <w:t xml:space="preserve"> and Paauwe, 2019). However, as the subsequent analysis presents, the findings from the two journal articles </w:t>
      </w:r>
      <w:proofErr w:type="gramStart"/>
      <w:r w:rsidRPr="005012F8">
        <w:rPr>
          <w:rFonts w:ascii="Arial" w:hAnsi="Arial" w:cs="Arial"/>
          <w:sz w:val="22"/>
          <w:lang w:val="en-AU"/>
        </w:rPr>
        <w:t>can be seen as</w:t>
      </w:r>
      <w:proofErr w:type="gramEnd"/>
      <w:r w:rsidRPr="005012F8">
        <w:rPr>
          <w:rFonts w:ascii="Arial" w:hAnsi="Arial" w:cs="Arial"/>
          <w:sz w:val="22"/>
          <w:lang w:val="en-AU"/>
        </w:rPr>
        <w:t xml:space="preserve"> complementary to each other, with a range of practical suggestions for international firms to better prepare managers for foreign assignments (</w:t>
      </w:r>
      <w:proofErr w:type="spellStart"/>
      <w:r w:rsidRPr="005012F8">
        <w:rPr>
          <w:rFonts w:ascii="Arial" w:hAnsi="Arial" w:cs="Arial"/>
          <w:sz w:val="22"/>
          <w:lang w:val="en-AU"/>
        </w:rPr>
        <w:t>Bednarova</w:t>
      </w:r>
      <w:proofErr w:type="spellEnd"/>
      <w:r w:rsidRPr="005012F8">
        <w:rPr>
          <w:rFonts w:ascii="Arial" w:hAnsi="Arial" w:cs="Arial"/>
          <w:sz w:val="22"/>
          <w:lang w:val="en-AU"/>
        </w:rPr>
        <w:t xml:space="preserve">, 2018). The first article by Bhatti, </w:t>
      </w:r>
      <w:proofErr w:type="spellStart"/>
      <w:r w:rsidRPr="005012F8">
        <w:rPr>
          <w:rFonts w:ascii="Arial" w:hAnsi="Arial" w:cs="Arial"/>
          <w:sz w:val="22"/>
          <w:lang w:val="en-AU"/>
        </w:rPr>
        <w:t>Battour</w:t>
      </w:r>
      <w:proofErr w:type="spellEnd"/>
      <w:r w:rsidRPr="005012F8">
        <w:rPr>
          <w:rFonts w:ascii="Arial" w:hAnsi="Arial" w:cs="Arial"/>
          <w:sz w:val="22"/>
          <w:lang w:val="en-AU"/>
        </w:rPr>
        <w:t xml:space="preserve">, Ismail and </w:t>
      </w:r>
      <w:proofErr w:type="spellStart"/>
      <w:r w:rsidRPr="005012F8">
        <w:rPr>
          <w:rFonts w:ascii="Arial" w:hAnsi="Arial" w:cs="Arial"/>
          <w:sz w:val="22"/>
          <w:lang w:val="en-AU"/>
        </w:rPr>
        <w:t>Sundram</w:t>
      </w:r>
      <w:proofErr w:type="spellEnd"/>
      <w:r w:rsidRPr="005012F8">
        <w:rPr>
          <w:rFonts w:ascii="Arial" w:hAnsi="Arial" w:cs="Arial"/>
          <w:sz w:val="22"/>
          <w:lang w:val="en-AU"/>
        </w:rPr>
        <w:t xml:space="preserve"> (2014) examines the role of expatriates' personality profile in the process of adjustment of job performance. This paper closely fits with those publications underpinning the importance of a robust expatriate selection protocol, so that beyond the professional competencies of candidates, the decision also considers whether and to what extent the expatriate personality may influence job performance and adjustment in a culturally distant environment (Selmer, 1995). The second article focuses on the dynamics of relationship development between expatriates and host country nationals, something that shall also be given management consideration to guarantee a successful expansion strategy abroad. Both articles pertain the general domain of HR/management research, something that coincides with the author's personal interest. Subsequent parts of the report are organised into different subsections. </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The first central part provides the rationale behind choosing the two articles. This part also includes a brief assessment of the results of the findings and the managerial implications, too. Then, the second part explicitly looks at the methodology and the research design of the selected papers. The </w:t>
      </w:r>
      <w:proofErr w:type="gramStart"/>
      <w:r w:rsidRPr="005012F8">
        <w:rPr>
          <w:rFonts w:ascii="Arial" w:hAnsi="Arial" w:cs="Arial"/>
          <w:sz w:val="22"/>
          <w:lang w:val="en-AU"/>
        </w:rPr>
        <w:t>ultimate goal</w:t>
      </w:r>
      <w:proofErr w:type="gramEnd"/>
      <w:r w:rsidRPr="005012F8">
        <w:rPr>
          <w:rFonts w:ascii="Arial" w:hAnsi="Arial" w:cs="Arial"/>
          <w:sz w:val="22"/>
          <w:lang w:val="en-AU"/>
        </w:rPr>
        <w:t xml:space="preserve"> of the analysis is to evaluate the context of using quantitative research techniques, mainly focusing on the philosophical underpinnings, and the associated strengths and weaknesses. Besides, this section also explores alternative methods to identify whether and to what extent the findings through a different research design would, in any way, be different and perhaps more convincing.</w:t>
      </w: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pStyle w:val="Heading1"/>
        <w:spacing w:line="360" w:lineRule="auto"/>
        <w:rPr>
          <w:rFonts w:ascii="Arial" w:hAnsi="Arial" w:cs="Arial"/>
          <w:b/>
          <w:bCs/>
          <w:color w:val="auto"/>
          <w:sz w:val="22"/>
          <w:szCs w:val="22"/>
          <w:lang w:val="en-AU"/>
        </w:rPr>
      </w:pPr>
      <w:bookmarkStart w:id="7" w:name="_Toc57179113"/>
      <w:r w:rsidRPr="005012F8">
        <w:rPr>
          <w:rFonts w:ascii="Arial" w:hAnsi="Arial" w:cs="Arial"/>
          <w:b/>
          <w:bCs/>
          <w:color w:val="auto"/>
          <w:sz w:val="22"/>
          <w:szCs w:val="22"/>
          <w:lang w:val="en-AU"/>
        </w:rPr>
        <w:lastRenderedPageBreak/>
        <w:t>The rationale for Choice of Articles</w:t>
      </w:r>
      <w:bookmarkEnd w:id="7"/>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rPr>
        <w:t>As suggested in the introduction part of the research paper,</w:t>
      </w:r>
      <w:r w:rsidR="00852585">
        <w:rPr>
          <w:rFonts w:ascii="Arial" w:hAnsi="Arial" w:cs="Arial"/>
          <w:sz w:val="22"/>
        </w:rPr>
        <w:t xml:space="preserve"> </w:t>
      </w:r>
      <w:r w:rsidRPr="005012F8">
        <w:rPr>
          <w:rFonts w:ascii="Arial" w:hAnsi="Arial" w:cs="Arial"/>
          <w:sz w:val="22"/>
        </w:rPr>
        <w:t>there is a mounting</w:t>
      </w:r>
      <w:r w:rsidR="00852585">
        <w:rPr>
          <w:rFonts w:ascii="Arial" w:hAnsi="Arial" w:cs="Arial"/>
          <w:sz w:val="22"/>
        </w:rPr>
        <w:t xml:space="preserve"> </w:t>
      </w:r>
      <w:r w:rsidRPr="005012F8">
        <w:rPr>
          <w:rFonts w:ascii="Arial" w:hAnsi="Arial" w:cs="Arial"/>
          <w:sz w:val="22"/>
        </w:rPr>
        <w:t xml:space="preserve">demand for firms to expand into untapped foreign markets. </w:t>
      </w:r>
      <w:r w:rsidRPr="005012F8">
        <w:rPr>
          <w:rFonts w:ascii="Arial" w:hAnsi="Arial" w:cs="Arial"/>
          <w:sz w:val="22"/>
          <w:lang w:val="en-AU"/>
        </w:rPr>
        <w:t xml:space="preserve">Depending on the scale and scope of the expansion strategy, firms can choose from a variety of options to expand internationally, ranging from sporadic export activities (the lowest risk and the lowest involvement action) to the establishment of foreign subsidiaries (Harris, 2012).  Regardless of the actions selected, cross-cultural interaction is inevitable, which requires both expatriates and host country nationals to remain aware of cross-cultural differences and to engage in behavioural adjustment (Jordan and Cartwright, 1998). In practice, this behavioural adjustment is not necessarily a simple task, particularly if expatriates and home country nationals experience the culture shock phenomenon (Albrecht, 2001). </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Culture shock is an innate human reaction to uncertainty, especially in a new social environment where accustomed cultural and behavioural norms are being challenged.  As a result, individuals experiencing culture shock develop a range of cognitive responses, including a feeling of being helpless, anger, and resignation towards other colleagues</w:t>
      </w:r>
      <w:r w:rsidR="00704810">
        <w:rPr>
          <w:rFonts w:ascii="Arial" w:hAnsi="Arial" w:cs="Arial"/>
          <w:sz w:val="22"/>
          <w:lang w:val="en-AU"/>
        </w:rPr>
        <w:t xml:space="preserve"> </w:t>
      </w:r>
      <w:r w:rsidRPr="005012F8">
        <w:rPr>
          <w:rFonts w:ascii="Arial" w:hAnsi="Arial" w:cs="Arial"/>
          <w:sz w:val="22"/>
          <w:lang w:val="en-AU"/>
        </w:rPr>
        <w:t xml:space="preserve">(Albrecht, 2001).  </w:t>
      </w:r>
      <w:proofErr w:type="gramStart"/>
      <w:r w:rsidRPr="005012F8">
        <w:rPr>
          <w:rFonts w:ascii="Arial" w:hAnsi="Arial" w:cs="Arial"/>
          <w:sz w:val="22"/>
          <w:lang w:val="en-AU"/>
        </w:rPr>
        <w:t>Needless to say, the</w:t>
      </w:r>
      <w:proofErr w:type="gramEnd"/>
      <w:r w:rsidRPr="005012F8">
        <w:rPr>
          <w:rFonts w:ascii="Arial" w:hAnsi="Arial" w:cs="Arial"/>
          <w:sz w:val="22"/>
          <w:lang w:val="en-AU"/>
        </w:rPr>
        <w:t xml:space="preserve"> length and the severity of culture shock differ across personalities.  Therefore, </w:t>
      </w:r>
      <w:proofErr w:type="gramStart"/>
      <w:r w:rsidRPr="005012F8">
        <w:rPr>
          <w:rFonts w:ascii="Arial" w:hAnsi="Arial" w:cs="Arial"/>
          <w:sz w:val="22"/>
          <w:lang w:val="en-AU"/>
        </w:rPr>
        <w:t>some  individuals</w:t>
      </w:r>
      <w:proofErr w:type="gramEnd"/>
      <w:r w:rsidRPr="005012F8">
        <w:rPr>
          <w:rFonts w:ascii="Arial" w:hAnsi="Arial" w:cs="Arial"/>
          <w:sz w:val="22"/>
          <w:lang w:val="en-AU"/>
        </w:rPr>
        <w:t xml:space="preserve">  are  better  prepared  for  adjustments  than  others (Albrecht, 2001). The earliest selection protocols for expatriate assignments, for the most part, exclusively looked at technical competencies, and other aspects e.g. psychological readiness and personality were mostly neglected.</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While there have been several suggestions made in the broader literature on expatriate assignments, not many studies expanded to testing the extent to which personality traits in any way associated with expatriate performance (Salgado, 2017). Whilst the chosen article cannot represent the entire population of the expatriate community, some of the preliminary findings can greatly add to the extant body of literature in at least two ways (Salgado, 2017). First, the accumulation of research evidence on the predictive potential of personality traits on expatriate performance and subsequent relationship with host country nationals entails a palpable practitioner rationale. This issue is particularly relevant if organisations and HR managers are turning to unconventional selection methods to predict managers' performance in an institutionally and culturally different business environment. Second, while personality traits cannot be changed, for the most part, a solid comprehension of the influence of the different personality traits (openness, neuroticism, agreeableness, extraversion and conscientiousness), can assist training managers to develop pre-departure training materials to address the most common sources of adjustment difficulties. These insights can help to equip expatriates with coping skills to reduce the adjustment period, and ultimately, to nurture positive and mutually supportive relationships with host country nationals (Salgado, 2017). In </w:t>
      </w:r>
      <w:r w:rsidRPr="005012F8">
        <w:rPr>
          <w:rFonts w:ascii="Arial" w:hAnsi="Arial" w:cs="Arial"/>
          <w:sz w:val="22"/>
          <w:lang w:val="en-AU"/>
        </w:rPr>
        <w:lastRenderedPageBreak/>
        <w:t>this interpretation, the quantitative findings from both studies can be embedded in a diversity of organisational settings (with the inclusion criterion of having at least subsidiaries operating outside the parent company's home country).</w:t>
      </w:r>
    </w:p>
    <w:p w:rsidR="005012F8" w:rsidRPr="005012F8" w:rsidRDefault="005012F8" w:rsidP="005012F8">
      <w:pPr>
        <w:spacing w:line="360" w:lineRule="auto"/>
        <w:jc w:val="both"/>
        <w:rPr>
          <w:rFonts w:ascii="Arial" w:hAnsi="Arial" w:cs="Arial"/>
          <w:sz w:val="22"/>
          <w:lang w:val="en-AU"/>
        </w:rPr>
      </w:pP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article approaches the research topic from an entirely different perspective. The main objective of the study involved the in-depth quantitative examination of host country nationals' attitudes towards expatriate managers, the inclination of host country nationals to extend social support, and the willingness to co-work with expatriates. The study is situated in Ghana. Concerning the methodological scale and design, the authors provided a reasonably clear account of the justifications made, including the list of variables observed in the study. Tables and other visuals were pervasively used in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work similarly to Bhatti, </w:t>
      </w:r>
      <w:proofErr w:type="spellStart"/>
      <w:r w:rsidRPr="005012F8">
        <w:rPr>
          <w:rFonts w:ascii="Arial" w:hAnsi="Arial" w:cs="Arial"/>
          <w:sz w:val="22"/>
          <w:lang w:val="en-AU"/>
        </w:rPr>
        <w:t>Battour</w:t>
      </w:r>
      <w:proofErr w:type="spellEnd"/>
      <w:r w:rsidRPr="005012F8">
        <w:rPr>
          <w:rFonts w:ascii="Arial" w:hAnsi="Arial" w:cs="Arial"/>
          <w:sz w:val="22"/>
          <w:lang w:val="en-AU"/>
        </w:rPr>
        <w:t xml:space="preserve">, Ismail and </w:t>
      </w:r>
      <w:proofErr w:type="spellStart"/>
      <w:r w:rsidRPr="005012F8">
        <w:rPr>
          <w:rFonts w:ascii="Arial" w:hAnsi="Arial" w:cs="Arial"/>
          <w:sz w:val="22"/>
          <w:lang w:val="en-AU"/>
        </w:rPr>
        <w:t>Sundram</w:t>
      </w:r>
      <w:proofErr w:type="spellEnd"/>
      <w:r w:rsidRPr="005012F8">
        <w:rPr>
          <w:rFonts w:ascii="Arial" w:hAnsi="Arial" w:cs="Arial"/>
          <w:sz w:val="22"/>
          <w:lang w:val="en-AU"/>
        </w:rPr>
        <w:t xml:space="preserve"> </w:t>
      </w:r>
      <w:r w:rsidR="00BB4A74">
        <w:rPr>
          <w:rFonts w:ascii="Arial" w:hAnsi="Arial" w:cs="Arial"/>
          <w:sz w:val="22"/>
          <w:lang w:val="en-AU"/>
        </w:rPr>
        <w:t>(</w:t>
      </w:r>
      <w:r w:rsidRPr="005012F8">
        <w:rPr>
          <w:rFonts w:ascii="Arial" w:hAnsi="Arial" w:cs="Arial"/>
          <w:sz w:val="22"/>
          <w:lang w:val="en-AU"/>
        </w:rPr>
        <w:t xml:space="preserve">2014). The discussion chapter precisely detailed how the paper fits into the broader literature and into the specific research that also serves as the purpose to justify the methodology applied. Key insights exposed that host country nationals' attitude towards expatriate managers positively changes inclination towards the provision of social support. As such, host county nationals play a significant role in expatriates' socialisation process, implying that the dynamics of expatriate-host country </w:t>
      </w:r>
      <w:proofErr w:type="gramStart"/>
      <w:r w:rsidRPr="005012F8">
        <w:rPr>
          <w:rFonts w:ascii="Arial" w:hAnsi="Arial" w:cs="Arial"/>
          <w:sz w:val="22"/>
          <w:lang w:val="en-AU"/>
        </w:rPr>
        <w:t>employees</w:t>
      </w:r>
      <w:proofErr w:type="gramEnd"/>
      <w:r w:rsidRPr="005012F8">
        <w:rPr>
          <w:rFonts w:ascii="Arial" w:hAnsi="Arial" w:cs="Arial"/>
          <w:sz w:val="22"/>
          <w:lang w:val="en-AU"/>
        </w:rPr>
        <w:t xml:space="preserve"> relationships is a research area in need of additional inquiries (to triangulate and to validate the findings). Besides,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emphasised the importance of investing more resources into exploring the facilitating factors of expatriate socialisation.</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 The process of expatriate socialisation (and the success thereof) in Bhatti, </w:t>
      </w:r>
      <w:proofErr w:type="spellStart"/>
      <w:r w:rsidRPr="005012F8">
        <w:rPr>
          <w:rFonts w:ascii="Arial" w:hAnsi="Arial" w:cs="Arial"/>
          <w:sz w:val="22"/>
          <w:lang w:val="en-AU"/>
        </w:rPr>
        <w:t>Battour</w:t>
      </w:r>
      <w:proofErr w:type="spellEnd"/>
      <w:r w:rsidRPr="005012F8">
        <w:rPr>
          <w:rFonts w:ascii="Arial" w:hAnsi="Arial" w:cs="Arial"/>
          <w:sz w:val="22"/>
          <w:lang w:val="en-AU"/>
        </w:rPr>
        <w:t xml:space="preserve">, Ismail and </w:t>
      </w:r>
      <w:proofErr w:type="spellStart"/>
      <w:r w:rsidRPr="005012F8">
        <w:rPr>
          <w:rFonts w:ascii="Arial" w:hAnsi="Arial" w:cs="Arial"/>
          <w:sz w:val="22"/>
          <w:lang w:val="en-AU"/>
        </w:rPr>
        <w:t>Sundram's</w:t>
      </w:r>
      <w:proofErr w:type="spellEnd"/>
      <w:r w:rsidRPr="005012F8">
        <w:rPr>
          <w:rFonts w:ascii="Arial" w:hAnsi="Arial" w:cs="Arial"/>
          <w:sz w:val="22"/>
          <w:lang w:val="en-AU"/>
        </w:rPr>
        <w:t xml:space="preserve"> (2014) view is mostly based on personality traits. Even though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would not inevitably reject the trait-based approach to expatriate adjustment and performance, the authors implicitly argued the need for expanding the scope of the investigation from the viewpoint of host country employees. This scope of investigation shall include the perspectives of host country nationals and their attitudes to expatriates, that is shown to be one of the critical antecedents of </w:t>
      </w:r>
      <w:proofErr w:type="gramStart"/>
      <w:r w:rsidRPr="005012F8">
        <w:rPr>
          <w:rFonts w:ascii="Arial" w:hAnsi="Arial" w:cs="Arial"/>
          <w:sz w:val="22"/>
          <w:lang w:val="en-AU"/>
        </w:rPr>
        <w:t>expatriates</w:t>
      </w:r>
      <w:proofErr w:type="gramEnd"/>
      <w:r w:rsidRPr="005012F8">
        <w:rPr>
          <w:rFonts w:ascii="Arial" w:hAnsi="Arial" w:cs="Arial"/>
          <w:sz w:val="22"/>
          <w:lang w:val="en-AU"/>
        </w:rPr>
        <w:t xml:space="preserve"> process of socialisation in the host country environment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As an interim conclusion, both articles touched upon   contemporary   international   management   and   HR   issues   to   discover   actionable organisational solutions to maximise the probability of expatriate success.  The next main section of the report critically discusses the research designs and the methodologies used</w:t>
      </w: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pStyle w:val="Heading1"/>
        <w:spacing w:line="360" w:lineRule="auto"/>
        <w:rPr>
          <w:rFonts w:ascii="Arial" w:hAnsi="Arial" w:cs="Arial"/>
          <w:b/>
          <w:bCs/>
          <w:color w:val="auto"/>
          <w:sz w:val="22"/>
          <w:szCs w:val="22"/>
          <w:lang w:val="en-AU"/>
        </w:rPr>
      </w:pPr>
      <w:bookmarkStart w:id="8" w:name="_Toc57179114"/>
      <w:r w:rsidRPr="005012F8">
        <w:rPr>
          <w:rFonts w:ascii="Arial" w:hAnsi="Arial" w:cs="Arial"/>
          <w:b/>
          <w:bCs/>
          <w:color w:val="auto"/>
          <w:sz w:val="22"/>
          <w:szCs w:val="22"/>
          <w:lang w:val="en-AU"/>
        </w:rPr>
        <w:lastRenderedPageBreak/>
        <w:t>Discussion of Methodology and Research Design</w:t>
      </w:r>
      <w:bookmarkEnd w:id="8"/>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Prior to turning to the critique of the cited papers' research design, it is indispensable to provide a brief overview of the characteristics of quantitative research (</w:t>
      </w:r>
      <w:proofErr w:type="spellStart"/>
      <w:r w:rsidRPr="005012F8">
        <w:rPr>
          <w:rFonts w:ascii="Arial" w:hAnsi="Arial" w:cs="Arial"/>
          <w:sz w:val="22"/>
          <w:lang w:val="en-GB"/>
        </w:rPr>
        <w:t>Balnaves</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Caputi</w:t>
      </w:r>
      <w:proofErr w:type="spellEnd"/>
      <w:r w:rsidRPr="005012F8">
        <w:rPr>
          <w:rFonts w:ascii="Arial" w:hAnsi="Arial" w:cs="Arial"/>
          <w:sz w:val="22"/>
          <w:lang w:val="en-GB"/>
        </w:rPr>
        <w:t>, 2014). A quantitative study, as the name implies, make use of advanced statistical and mathematical tools to discover the correlations between dependent and independent variables. These variables are then tested to construct purely objective, and, if needed, to present conclusive statements (assuming that a particular study applied a sample size capable of representing different strata of the population within an acceptable range of accuracy) (</w:t>
      </w:r>
      <w:proofErr w:type="spellStart"/>
      <w:r w:rsidRPr="005012F8">
        <w:rPr>
          <w:rFonts w:ascii="Arial" w:hAnsi="Arial" w:cs="Arial"/>
          <w:sz w:val="22"/>
          <w:lang w:val="en-GB"/>
        </w:rPr>
        <w:t>Balnaves</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Caputi</w:t>
      </w:r>
      <w:proofErr w:type="spellEnd"/>
      <w:r w:rsidRPr="005012F8">
        <w:rPr>
          <w:rFonts w:ascii="Arial" w:hAnsi="Arial" w:cs="Arial"/>
          <w:sz w:val="22"/>
          <w:lang w:val="en-GB"/>
        </w:rPr>
        <w:t>, 2014). A quantitative study, therefore, presents the findings 'as is' in a value-free manner, underpinned by a robust statistical analysis to either accept or reject the tentative hypothesis (Vogt, 2011). The structured characteristic of quantitative research designs leads to an accurate description of the cause-and-effect relationships (Vogt, 2011). Thus, ideally, the findings are not only reliable but also generalisable to the entire population. Suppose a study/research design does not allow for generalisation for any kind due to the small sample size. In that case, there is still an opportunity for future research to test the variables and to validate the findings in an entirely different research setting e.g. in a different organisation or a different institutional, cultural environment</w:t>
      </w:r>
      <w:r w:rsidR="00704810">
        <w:rPr>
          <w:rFonts w:ascii="Arial" w:hAnsi="Arial" w:cs="Arial"/>
          <w:sz w:val="22"/>
          <w:lang w:val="en-GB"/>
        </w:rPr>
        <w:t xml:space="preserve"> </w:t>
      </w:r>
      <w:r w:rsidRPr="005012F8">
        <w:rPr>
          <w:rFonts w:ascii="Arial" w:hAnsi="Arial" w:cs="Arial"/>
          <w:sz w:val="22"/>
          <w:lang w:val="en-GB"/>
        </w:rPr>
        <w:t>(</w:t>
      </w:r>
      <w:proofErr w:type="spellStart"/>
      <w:r w:rsidRPr="005012F8">
        <w:rPr>
          <w:rFonts w:ascii="Arial" w:hAnsi="Arial" w:cs="Arial"/>
          <w:sz w:val="22"/>
          <w:lang w:val="en-GB"/>
        </w:rPr>
        <w:t>Saridakis</w:t>
      </w:r>
      <w:proofErr w:type="spellEnd"/>
      <w:r w:rsidRPr="005012F8">
        <w:rPr>
          <w:rFonts w:ascii="Arial" w:hAnsi="Arial" w:cs="Arial"/>
          <w:sz w:val="22"/>
          <w:lang w:val="en-GB"/>
        </w:rPr>
        <w:t xml:space="preserve"> and Cowling, 2020). </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Common to most quantitative research methods is the relatively low time requirements for collecting a </w:t>
      </w:r>
      <w:proofErr w:type="gramStart"/>
      <w:r w:rsidRPr="005012F8">
        <w:rPr>
          <w:rFonts w:ascii="Arial" w:hAnsi="Arial" w:cs="Arial"/>
          <w:sz w:val="22"/>
          <w:lang w:val="en-GB"/>
        </w:rPr>
        <w:t>sufficient amount of</w:t>
      </w:r>
      <w:proofErr w:type="gramEnd"/>
      <w:r w:rsidRPr="005012F8">
        <w:rPr>
          <w:rFonts w:ascii="Arial" w:hAnsi="Arial" w:cs="Arial"/>
          <w:sz w:val="22"/>
          <w:lang w:val="en-GB"/>
        </w:rPr>
        <w:t xml:space="preserve"> data, especially if the survey instrument is self-administered, without the researcher's direct involvement (as it would be the case in most qualitative studies). Second to this, quantitative studies generally reach large sample respondents, making the (statistical) inferences more accurate, if not entirely representative of the research population e.g. all expatriate managers and home country nationals of a country (</w:t>
      </w:r>
      <w:proofErr w:type="spellStart"/>
      <w:r w:rsidRPr="005012F8">
        <w:rPr>
          <w:rFonts w:ascii="Arial" w:hAnsi="Arial" w:cs="Arial"/>
          <w:sz w:val="22"/>
          <w:lang w:val="en-GB"/>
        </w:rPr>
        <w:t>Saridakis</w:t>
      </w:r>
      <w:proofErr w:type="spellEnd"/>
      <w:r w:rsidRPr="005012F8">
        <w:rPr>
          <w:rFonts w:ascii="Arial" w:hAnsi="Arial" w:cs="Arial"/>
          <w:sz w:val="22"/>
          <w:lang w:val="en-GB"/>
        </w:rPr>
        <w:t xml:space="preserve"> and Cowling, 2020). Third to this, the burden of participation of minimal - most surveys do not require more than 10-15 minutes of respondents' time. In contrast, most qualitative studies e.g. interviews and/or focus group discussions attract substantially more commitment both from the researcher and the research subjects (Thomas, 2003).</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 Sometimes the research topic involves sensitive issues research subjects may not be willing to discuss openly e.g. attitudes to expatriates. In these circumstances, the anonymity of most form of quantitative designs can significantly improve participation rates (Neuman, 2003). Beyond these benefits of quantitative studies (existing under the positivist research philosophy and the objectivist epistemology), there are common limitations. These limitations shall be </w:t>
      </w:r>
      <w:proofErr w:type="gramStart"/>
      <w:r w:rsidRPr="005012F8">
        <w:rPr>
          <w:rFonts w:ascii="Arial" w:hAnsi="Arial" w:cs="Arial"/>
          <w:sz w:val="22"/>
          <w:lang w:val="en-GB"/>
        </w:rPr>
        <w:t>compared and contrasted</w:t>
      </w:r>
      <w:proofErr w:type="gramEnd"/>
      <w:r w:rsidRPr="005012F8">
        <w:rPr>
          <w:rFonts w:ascii="Arial" w:hAnsi="Arial" w:cs="Arial"/>
          <w:sz w:val="22"/>
          <w:lang w:val="en-GB"/>
        </w:rPr>
        <w:t xml:space="preserve"> with the research problem and resources to ensure if indeed a quantitative research design is the most conducive to generating a greater comprehension of a management problem. In Neuman's (2003) evaluation, quantitative research designs suffer from the following constraints and possibly distorting effects: </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lastRenderedPageBreak/>
        <w:t>lack of direct interaction with research subjects;</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t>the lack of ability to verify if research subjects thoroughly understood the questions in the research instrument e.g. questionnaire;</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t>Feedback from research subjects are minimal and</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t xml:space="preserve">Quantitative research methods are inflexible, and the pre-emptively provided answers may not coincide with the researcher's desired answer. </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The </w:t>
      </w:r>
      <w:proofErr w:type="gramStart"/>
      <w:r w:rsidRPr="005012F8">
        <w:rPr>
          <w:rFonts w:ascii="Arial" w:hAnsi="Arial" w:cs="Arial"/>
          <w:sz w:val="22"/>
          <w:lang w:val="en-GB"/>
        </w:rPr>
        <w:t>aforementioned limitations</w:t>
      </w:r>
      <w:proofErr w:type="gramEnd"/>
      <w:r w:rsidRPr="005012F8">
        <w:rPr>
          <w:rFonts w:ascii="Arial" w:hAnsi="Arial" w:cs="Arial"/>
          <w:sz w:val="22"/>
          <w:lang w:val="en-GB"/>
        </w:rPr>
        <w:t xml:space="preserve"> do not equally apply to all research papers, as it is possible that owing to the unique nature of the research problem, quantitative methods are by order of magnitude more applicable than qualitative methods (Neuman, 2003). However, it shall be borne in consideration that in the domain of social sciences, not all aspect of the reality (inclusive of structures and agencies) can be quantified. In this regard, the observable reality does not, under all circumstances, exposes the socially constructed reality. In management and leadership research in an international environment, it may be necessary to explore feelings, emotions, beliefs, and other non-quantifiable conditioners of social actors' behaviour</w:t>
      </w:r>
      <w:r w:rsidR="00EB103C">
        <w:rPr>
          <w:rFonts w:ascii="Arial" w:hAnsi="Arial" w:cs="Arial"/>
          <w:sz w:val="22"/>
          <w:lang w:val="en-GB"/>
        </w:rPr>
        <w:t>, for example,</w:t>
      </w:r>
      <w:r w:rsidRPr="005012F8">
        <w:rPr>
          <w:rFonts w:ascii="Arial" w:hAnsi="Arial" w:cs="Arial"/>
          <w:sz w:val="22"/>
          <w:lang w:val="en-GB"/>
        </w:rPr>
        <w:t xml:space="preserve"> expatriates and host country nationals (Edwards, </w:t>
      </w:r>
      <w:proofErr w:type="spellStart"/>
      <w:r w:rsidRPr="005012F8">
        <w:rPr>
          <w:rFonts w:ascii="Arial" w:hAnsi="Arial" w:cs="Arial"/>
          <w:sz w:val="22"/>
          <w:lang w:val="en-GB"/>
        </w:rPr>
        <w:t>O'Mahoney</w:t>
      </w:r>
      <w:proofErr w:type="spellEnd"/>
      <w:r w:rsidRPr="005012F8">
        <w:rPr>
          <w:rFonts w:ascii="Arial" w:hAnsi="Arial" w:cs="Arial"/>
          <w:sz w:val="22"/>
          <w:lang w:val="en-GB"/>
        </w:rPr>
        <w:t xml:space="preserve"> and Vincent, 2018).</w:t>
      </w:r>
    </w:p>
    <w:p w:rsidR="005012F8" w:rsidRPr="00264097" w:rsidRDefault="005012F8" w:rsidP="005012F8">
      <w:pPr>
        <w:pStyle w:val="Heading2"/>
        <w:spacing w:line="360" w:lineRule="auto"/>
        <w:rPr>
          <w:rFonts w:ascii="Arial" w:hAnsi="Arial" w:cs="Arial"/>
          <w:b/>
          <w:bCs/>
          <w:color w:val="auto"/>
          <w:sz w:val="22"/>
          <w:szCs w:val="22"/>
        </w:rPr>
      </w:pPr>
      <w:bookmarkStart w:id="9" w:name="_Toc57179115"/>
      <w:r w:rsidRPr="00264097">
        <w:rPr>
          <w:rFonts w:ascii="Arial" w:hAnsi="Arial" w:cs="Arial"/>
          <w:b/>
          <w:bCs/>
          <w:color w:val="auto"/>
          <w:sz w:val="22"/>
          <w:szCs w:val="22"/>
        </w:rPr>
        <w:t>Personality Traits and Expatriate Adjustment (Bhatti, Battour, Ismail and Sundram 2014)</w:t>
      </w:r>
      <w:bookmarkEnd w:id="9"/>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Bhatti, </w:t>
      </w:r>
      <w:proofErr w:type="spellStart"/>
      <w:r w:rsidRPr="005012F8">
        <w:rPr>
          <w:rFonts w:ascii="Arial" w:hAnsi="Arial" w:cs="Arial"/>
          <w:sz w:val="22"/>
          <w:lang w:val="en-GB"/>
        </w:rPr>
        <w:t>Battour</w:t>
      </w:r>
      <w:proofErr w:type="spellEnd"/>
      <w:r w:rsidRPr="005012F8">
        <w:rPr>
          <w:rFonts w:ascii="Arial" w:hAnsi="Arial" w:cs="Arial"/>
          <w:sz w:val="22"/>
          <w:lang w:val="en-GB"/>
        </w:rPr>
        <w:t xml:space="preserve">, Ismail and </w:t>
      </w:r>
      <w:proofErr w:type="spellStart"/>
      <w:r w:rsidRPr="005012F8">
        <w:rPr>
          <w:rFonts w:ascii="Arial" w:hAnsi="Arial" w:cs="Arial"/>
          <w:sz w:val="22"/>
          <w:lang w:val="en-GB"/>
        </w:rPr>
        <w:t>Sundram</w:t>
      </w:r>
      <w:proofErr w:type="spellEnd"/>
      <w:r w:rsidRPr="005012F8">
        <w:rPr>
          <w:rFonts w:ascii="Arial" w:hAnsi="Arial" w:cs="Arial"/>
          <w:sz w:val="22"/>
          <w:lang w:val="en-GB"/>
        </w:rPr>
        <w:t xml:space="preserve"> (2014) research sample was based on the input of 230 expatriate managers and co-workers in Malaysia, including host country and third-country nationals. A rating-scale questionnaire was introduced to expatriates and host/third-country nationals. However, the content of the questionnaires sent out to expatriates and host/third-country nationals was not identical. The authors cite papers on the common method bias habitually used in expatriate management research, leading to common issues and distorting effects if expatriates/research subjects provide information on dependent and independent variables. Out of the 230 dispatched questionnaires, 201 were used for the analysis, which is an above-average response rate for survey-based studies. The theoretical framework presented in figure 1 clearly explained how the big five personality traits were operationalised into testable variables. </w:t>
      </w:r>
    </w:p>
    <w:p w:rsidR="005012F8" w:rsidRPr="005012F8" w:rsidRDefault="005012F8" w:rsidP="005012F8">
      <w:pPr>
        <w:keepNext/>
        <w:spacing w:line="360" w:lineRule="auto"/>
        <w:jc w:val="both"/>
        <w:rPr>
          <w:rFonts w:ascii="Arial" w:hAnsi="Arial" w:cs="Arial"/>
          <w:sz w:val="22"/>
        </w:rPr>
      </w:pPr>
      <w:r w:rsidRPr="005012F8">
        <w:rPr>
          <w:rFonts w:ascii="Arial" w:hAnsi="Arial" w:cs="Arial"/>
          <w:noProof/>
          <w:sz w:val="22"/>
          <w:lang w:eastAsia="hu-HU"/>
        </w:rPr>
        <w:lastRenderedPageBreak/>
        <w:t xml:space="preserve"> </w:t>
      </w:r>
      <w:r w:rsidRPr="005012F8">
        <w:rPr>
          <w:rFonts w:ascii="Arial" w:hAnsi="Arial" w:cs="Arial"/>
          <w:noProof/>
          <w:sz w:val="22"/>
          <w:lang w:eastAsia="hu-HU"/>
        </w:rPr>
        <w:drawing>
          <wp:inline distT="0" distB="0" distL="0" distR="0" wp14:anchorId="79808411" wp14:editId="52578014">
            <wp:extent cx="5760720" cy="2357755"/>
            <wp:effectExtent l="0" t="0" r="0" b="444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60720" cy="2357755"/>
                    </a:xfrm>
                    <a:prstGeom prst="rect">
                      <a:avLst/>
                    </a:prstGeom>
                  </pic:spPr>
                </pic:pic>
              </a:graphicData>
            </a:graphic>
          </wp:inline>
        </w:drawing>
      </w:r>
    </w:p>
    <w:p w:rsidR="005012F8" w:rsidRPr="005012F8" w:rsidRDefault="005012F8" w:rsidP="005012F8">
      <w:pPr>
        <w:pStyle w:val="Caption"/>
        <w:spacing w:line="360" w:lineRule="auto"/>
        <w:jc w:val="both"/>
        <w:rPr>
          <w:rFonts w:ascii="Arial" w:hAnsi="Arial" w:cs="Arial"/>
          <w:color w:val="auto"/>
          <w:sz w:val="22"/>
          <w:szCs w:val="22"/>
          <w:lang w:val="en-GB"/>
        </w:rPr>
      </w:pPr>
      <w:r w:rsidRPr="005012F8">
        <w:rPr>
          <w:rFonts w:ascii="Arial" w:hAnsi="Arial" w:cs="Arial"/>
          <w:color w:val="auto"/>
          <w:sz w:val="22"/>
          <w:szCs w:val="22"/>
          <w:lang w:val="en-GB"/>
        </w:rPr>
        <w:t xml:space="preserve">Figure 1 - Bhatti, </w:t>
      </w:r>
      <w:proofErr w:type="spellStart"/>
      <w:r w:rsidRPr="005012F8">
        <w:rPr>
          <w:rFonts w:ascii="Arial" w:hAnsi="Arial" w:cs="Arial"/>
          <w:color w:val="auto"/>
          <w:sz w:val="22"/>
          <w:szCs w:val="22"/>
          <w:lang w:val="en-GB"/>
        </w:rPr>
        <w:t>Battour</w:t>
      </w:r>
      <w:proofErr w:type="spellEnd"/>
      <w:r w:rsidRPr="005012F8">
        <w:rPr>
          <w:rFonts w:ascii="Arial" w:hAnsi="Arial" w:cs="Arial"/>
          <w:color w:val="auto"/>
          <w:sz w:val="22"/>
          <w:szCs w:val="22"/>
          <w:lang w:val="en-GB"/>
        </w:rPr>
        <w:t xml:space="preserve">, Ismail and </w:t>
      </w:r>
      <w:proofErr w:type="spellStart"/>
      <w:r w:rsidRPr="005012F8">
        <w:rPr>
          <w:rFonts w:ascii="Arial" w:hAnsi="Arial" w:cs="Arial"/>
          <w:color w:val="auto"/>
          <w:sz w:val="22"/>
          <w:szCs w:val="22"/>
          <w:lang w:val="en-GB"/>
        </w:rPr>
        <w:t>Sundram</w:t>
      </w:r>
      <w:proofErr w:type="spellEnd"/>
      <w:r w:rsidRPr="005012F8">
        <w:rPr>
          <w:rFonts w:ascii="Arial" w:hAnsi="Arial" w:cs="Arial"/>
          <w:color w:val="auto"/>
          <w:sz w:val="22"/>
          <w:szCs w:val="22"/>
          <w:lang w:val="en-GB"/>
        </w:rPr>
        <w:t xml:space="preserve"> (2014) Conceptual Model</w:t>
      </w:r>
    </w:p>
    <w:p w:rsidR="005012F8" w:rsidRPr="005012F8" w:rsidRDefault="005012F8" w:rsidP="005012F8">
      <w:pPr>
        <w:spacing w:line="360" w:lineRule="auto"/>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In terms of the scales used in the primary research instrument, the authors explain the number of items used for each of the five personality traits, and for the measurement of expatriate readiness. An appendix containing these scales and subscales would have been beneficial for subsequent research users not just to appreciate the different elements of the research instrument. At this point of the analysis, a concise reference to the use of scales in research in needed. On one hand, scales are incredibly helpful in coding and retrieving responses – with the aid of statistical software e.g. SPPS, the findings can be quickly and effectively presented (</w:t>
      </w:r>
      <w:proofErr w:type="spellStart"/>
      <w:r w:rsidRPr="005012F8">
        <w:rPr>
          <w:rFonts w:ascii="Arial" w:hAnsi="Arial" w:cs="Arial"/>
          <w:sz w:val="22"/>
          <w:lang w:val="en-GB"/>
        </w:rPr>
        <w:t>Ghuman</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Aswathappa</w:t>
      </w:r>
      <w:proofErr w:type="spellEnd"/>
      <w:r w:rsidRPr="005012F8">
        <w:rPr>
          <w:rFonts w:ascii="Arial" w:hAnsi="Arial" w:cs="Arial"/>
          <w:sz w:val="22"/>
          <w:lang w:val="en-GB"/>
        </w:rPr>
        <w:t>, 2010). On the other, and there is a pending risk of scales' inaccurate measurement of the sample's attitudes, as the distance between the different gradients may be perceived quite differently.</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Moreover, some respondents may refrain from using the options at either extreme end of the scale, even if these could realistically portray actual attitudes (</w:t>
      </w:r>
      <w:proofErr w:type="spellStart"/>
      <w:r w:rsidRPr="005012F8">
        <w:rPr>
          <w:rFonts w:ascii="Arial" w:hAnsi="Arial" w:cs="Arial"/>
          <w:sz w:val="22"/>
          <w:lang w:val="en-GB"/>
        </w:rPr>
        <w:t>Ghuman</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Aswathappa</w:t>
      </w:r>
      <w:proofErr w:type="spellEnd"/>
      <w:r w:rsidRPr="005012F8">
        <w:rPr>
          <w:rFonts w:ascii="Arial" w:hAnsi="Arial" w:cs="Arial"/>
          <w:sz w:val="22"/>
          <w:lang w:val="en-GB"/>
        </w:rPr>
        <w:t xml:space="preserve">, 2010). The study could have mentioned these limitations to enhance reliability. The demographic composition of the sample is presented in </w:t>
      </w:r>
      <w:proofErr w:type="gramStart"/>
      <w:r w:rsidRPr="005012F8">
        <w:rPr>
          <w:rFonts w:ascii="Arial" w:hAnsi="Arial" w:cs="Arial"/>
          <w:sz w:val="22"/>
          <w:lang w:val="en-GB"/>
        </w:rPr>
        <w:t>sufficient</w:t>
      </w:r>
      <w:proofErr w:type="gramEnd"/>
      <w:r w:rsidRPr="005012F8">
        <w:rPr>
          <w:rFonts w:ascii="Arial" w:hAnsi="Arial" w:cs="Arial"/>
          <w:sz w:val="22"/>
          <w:lang w:val="en-GB"/>
        </w:rPr>
        <w:t xml:space="preserve"> detail, including the nationality of expatriates. However, the analysis of the findings remained somewhat unspecific to the influence of nationality on expatriates' performance and socialisation e.g. the physic distance between the expatriate's and the host country nationals' cultures. The use of SEM (Structured Equation Modelling) is justified, considering that the conceptual model entailed multiple testable variables (see figure 1). However, it might lead to an overly complicated research design (i.e. the small sample design alone would not warrant the use of SEM). Lastly, the calculations and the visuals provided in the article displayed calculations of the discriminant validity of the model used </w:t>
      </w:r>
      <w:r w:rsidR="00CE5978">
        <w:rPr>
          <w:rFonts w:ascii="Arial" w:hAnsi="Arial" w:cs="Arial"/>
          <w:sz w:val="22"/>
          <w:lang w:val="en-GB"/>
        </w:rPr>
        <w:t>(</w:t>
      </w:r>
      <w:proofErr w:type="spellStart"/>
      <w:r w:rsidR="00CE5978" w:rsidRPr="00CE5978">
        <w:rPr>
          <w:rFonts w:ascii="Arial" w:hAnsi="Arial" w:cs="Arial"/>
          <w:sz w:val="22"/>
          <w:lang w:val="en-GB"/>
        </w:rPr>
        <w:t>Argyrous</w:t>
      </w:r>
      <w:proofErr w:type="spellEnd"/>
      <w:r w:rsidR="00CE5978" w:rsidRPr="00CE5978">
        <w:rPr>
          <w:rFonts w:ascii="Arial" w:hAnsi="Arial" w:cs="Arial"/>
          <w:sz w:val="22"/>
          <w:lang w:val="en-GB"/>
        </w:rPr>
        <w:t>,</w:t>
      </w:r>
      <w:r w:rsidR="00CE5978">
        <w:rPr>
          <w:rFonts w:ascii="Arial" w:hAnsi="Arial" w:cs="Arial"/>
          <w:sz w:val="22"/>
          <w:lang w:val="en-GB"/>
        </w:rPr>
        <w:t xml:space="preserve"> </w:t>
      </w:r>
      <w:r w:rsidR="00CE5978" w:rsidRPr="00CE5978">
        <w:rPr>
          <w:rFonts w:ascii="Arial" w:hAnsi="Arial" w:cs="Arial"/>
          <w:sz w:val="22"/>
          <w:lang w:val="en-GB"/>
        </w:rPr>
        <w:t>2011)</w:t>
      </w:r>
      <w:r w:rsidR="00CE5978">
        <w:rPr>
          <w:rFonts w:ascii="Arial" w:hAnsi="Arial" w:cs="Arial"/>
          <w:sz w:val="22"/>
          <w:lang w:val="en-GB"/>
        </w:rPr>
        <w:t>.</w:t>
      </w:r>
      <w:r w:rsidR="00CE5978" w:rsidRPr="00CE5978">
        <w:rPr>
          <w:rFonts w:ascii="Arial" w:hAnsi="Arial" w:cs="Arial"/>
          <w:sz w:val="22"/>
          <w:lang w:val="en-GB"/>
        </w:rPr>
        <w:t xml:space="preserve"> </w:t>
      </w:r>
      <w:r w:rsidRPr="005012F8">
        <w:rPr>
          <w:rFonts w:ascii="Arial" w:hAnsi="Arial" w:cs="Arial"/>
          <w:sz w:val="22"/>
          <w:lang w:val="en-GB"/>
        </w:rPr>
        <w:t>All hypotheses were subject to robust testing (t-</w:t>
      </w:r>
      <w:r w:rsidRPr="005012F8">
        <w:rPr>
          <w:rFonts w:ascii="Arial" w:hAnsi="Arial" w:cs="Arial"/>
          <w:sz w:val="22"/>
          <w:lang w:val="en-GB"/>
        </w:rPr>
        <w:lastRenderedPageBreak/>
        <w:t>value), and the implications of the hypothesis testing (i.e. the statistical significance between the variables) were discussed. In the final part of the study, the acknowledgement of the limitations</w:t>
      </w:r>
      <w:r w:rsidR="00BB4A74">
        <w:rPr>
          <w:rFonts w:ascii="Arial" w:hAnsi="Arial" w:cs="Arial"/>
          <w:sz w:val="22"/>
          <w:lang w:val="en-GB"/>
        </w:rPr>
        <w:t xml:space="preserve">, for instance; </w:t>
      </w:r>
      <w:r w:rsidRPr="005012F8">
        <w:rPr>
          <w:rFonts w:ascii="Arial" w:hAnsi="Arial" w:cs="Arial"/>
          <w:sz w:val="22"/>
          <w:lang w:val="en-GB"/>
        </w:rPr>
        <w:t xml:space="preserve">the small sample size partly questioning the adequacy of using highly elaborate statistical methods, the self-reported nature of data collection, and the limited generalizability of the findings (though the latter limitation is unlikely to be an issue). Depending on available research resources, alternative research method could have involved a more diverse sample </w:t>
      </w:r>
      <w:r w:rsidR="00BB4A74">
        <w:rPr>
          <w:rFonts w:ascii="Arial" w:hAnsi="Arial" w:cs="Arial"/>
          <w:sz w:val="22"/>
          <w:lang w:val="en-GB"/>
        </w:rPr>
        <w:t>such as</w:t>
      </w:r>
      <w:r w:rsidRPr="005012F8">
        <w:rPr>
          <w:rFonts w:ascii="Arial" w:hAnsi="Arial" w:cs="Arial"/>
          <w:sz w:val="22"/>
          <w:lang w:val="en-GB"/>
        </w:rPr>
        <w:t xml:space="preserve"> expatriates from more countries and questionnaire deployed in more than just a single research setting, and perhaps a more straightforward research design </w:t>
      </w:r>
      <w:r w:rsidR="00BB4A74">
        <w:rPr>
          <w:rFonts w:ascii="Arial" w:hAnsi="Arial" w:cs="Arial"/>
          <w:sz w:val="22"/>
          <w:lang w:val="en-GB"/>
        </w:rPr>
        <w:t xml:space="preserve">like </w:t>
      </w:r>
      <w:r w:rsidR="00BB4A74" w:rsidRPr="005012F8">
        <w:rPr>
          <w:rFonts w:ascii="Arial" w:hAnsi="Arial" w:cs="Arial"/>
          <w:sz w:val="22"/>
          <w:lang w:val="en-GB"/>
        </w:rPr>
        <w:t>fewer variable</w:t>
      </w:r>
      <w:r w:rsidR="00BB4A74">
        <w:rPr>
          <w:rFonts w:ascii="Arial" w:hAnsi="Arial" w:cs="Arial"/>
          <w:sz w:val="22"/>
          <w:lang w:val="en-GB"/>
        </w:rPr>
        <w:t>s</w:t>
      </w:r>
      <w:r w:rsidRPr="005012F8">
        <w:rPr>
          <w:rFonts w:ascii="Arial" w:hAnsi="Arial" w:cs="Arial"/>
          <w:sz w:val="22"/>
          <w:lang w:val="en-GB"/>
        </w:rPr>
        <w:t>. Hypothetically, the inclusion of more diverse perspectives could have yielded different findings e.g. different weights of each personality trait in the adjustment process, and perhaps additional details on the currently under-theorised correlations between expatriate adjustment, personality traits and job performance</w:t>
      </w:r>
      <w:r w:rsidR="00593EC9">
        <w:rPr>
          <w:rFonts w:ascii="Arial" w:hAnsi="Arial" w:cs="Arial"/>
          <w:sz w:val="22"/>
          <w:lang w:val="en-GB"/>
        </w:rPr>
        <w:t xml:space="preserve"> (</w:t>
      </w:r>
      <w:r w:rsidR="00593EC9" w:rsidRPr="00593EC9">
        <w:rPr>
          <w:rFonts w:ascii="Arial" w:hAnsi="Arial" w:cs="Arial"/>
          <w:sz w:val="22"/>
          <w:lang w:val="en-GB"/>
        </w:rPr>
        <w:t>Field,</w:t>
      </w:r>
      <w:r w:rsidR="00593EC9">
        <w:rPr>
          <w:rFonts w:ascii="Arial" w:hAnsi="Arial" w:cs="Arial"/>
          <w:sz w:val="22"/>
          <w:lang w:val="en-GB"/>
        </w:rPr>
        <w:t xml:space="preserve"> </w:t>
      </w:r>
      <w:r w:rsidR="00593EC9" w:rsidRPr="00593EC9">
        <w:rPr>
          <w:rFonts w:ascii="Arial" w:hAnsi="Arial" w:cs="Arial"/>
          <w:sz w:val="22"/>
          <w:lang w:val="en-GB"/>
        </w:rPr>
        <w:t>2017)</w:t>
      </w:r>
      <w:r w:rsidR="00593EC9">
        <w:rPr>
          <w:rFonts w:ascii="Arial" w:hAnsi="Arial" w:cs="Arial"/>
          <w:sz w:val="22"/>
          <w:lang w:val="en-GB"/>
        </w:rPr>
        <w:t>.</w:t>
      </w:r>
    </w:p>
    <w:p w:rsidR="005012F8" w:rsidRPr="005012F8" w:rsidRDefault="005012F8" w:rsidP="005012F8">
      <w:pPr>
        <w:pStyle w:val="Heading2"/>
        <w:spacing w:line="360" w:lineRule="auto"/>
        <w:rPr>
          <w:rFonts w:ascii="Arial" w:hAnsi="Arial" w:cs="Arial"/>
          <w:b/>
          <w:bCs/>
          <w:color w:val="auto"/>
          <w:sz w:val="22"/>
          <w:szCs w:val="22"/>
          <w:lang w:val="en-GB"/>
        </w:rPr>
      </w:pPr>
      <w:bookmarkStart w:id="10" w:name="_Toc57179116"/>
      <w:r w:rsidRPr="005012F8">
        <w:rPr>
          <w:rFonts w:ascii="Arial" w:hAnsi="Arial" w:cs="Arial"/>
          <w:b/>
          <w:bCs/>
          <w:color w:val="auto"/>
          <w:sz w:val="22"/>
          <w:szCs w:val="22"/>
          <w:lang w:val="en-GB"/>
        </w:rPr>
        <w:t>Host Country Nationals' Attitudes, Social Support and Willingness to Work with Expatriates (</w:t>
      </w:r>
      <w:proofErr w:type="spellStart"/>
      <w:r w:rsidRPr="005012F8">
        <w:rPr>
          <w:rFonts w:ascii="Arial" w:hAnsi="Arial" w:cs="Arial"/>
          <w:b/>
          <w:bCs/>
          <w:color w:val="auto"/>
          <w:sz w:val="22"/>
          <w:szCs w:val="22"/>
          <w:lang w:val="en-GB"/>
        </w:rPr>
        <w:t>Sokro</w:t>
      </w:r>
      <w:proofErr w:type="spellEnd"/>
      <w:r w:rsidRPr="005012F8">
        <w:rPr>
          <w:rFonts w:ascii="Arial" w:hAnsi="Arial" w:cs="Arial"/>
          <w:b/>
          <w:bCs/>
          <w:color w:val="auto"/>
          <w:sz w:val="22"/>
          <w:szCs w:val="22"/>
          <w:lang w:val="en-GB"/>
        </w:rPr>
        <w:t xml:space="preserve"> and Pillay, 2019)</w:t>
      </w:r>
      <w:bookmarkEnd w:id="10"/>
    </w:p>
    <w:p w:rsidR="005012F8" w:rsidRPr="005012F8" w:rsidRDefault="005012F8" w:rsidP="005012F8">
      <w:pPr>
        <w:spacing w:line="360" w:lineRule="auto"/>
        <w:jc w:val="both"/>
        <w:rPr>
          <w:rFonts w:ascii="Arial" w:hAnsi="Arial" w:cs="Arial"/>
          <w:sz w:val="22"/>
          <w:lang w:val="en-GB"/>
        </w:rPr>
      </w:pPr>
      <w:proofErr w:type="spellStart"/>
      <w:r w:rsidRPr="005012F8">
        <w:rPr>
          <w:rFonts w:ascii="Arial" w:hAnsi="Arial" w:cs="Arial"/>
          <w:sz w:val="22"/>
          <w:lang w:val="en-GB"/>
        </w:rPr>
        <w:t>Sokro</w:t>
      </w:r>
      <w:proofErr w:type="spellEnd"/>
      <w:r w:rsidRPr="005012F8">
        <w:rPr>
          <w:rFonts w:ascii="Arial" w:hAnsi="Arial" w:cs="Arial"/>
          <w:sz w:val="22"/>
          <w:lang w:val="en-GB"/>
        </w:rPr>
        <w:t xml:space="preserve"> and Pillay (2019) research method, at first sight, appear to be more complicated than the methodology used in the previous paper. This, at first sight, signals a firm adherence to academic rigour as far as the research process is concerned (whether and to what extent this impair or improve the relevance of the research for practitioners is an entirely different issue). Comparably to Bhatti, </w:t>
      </w:r>
      <w:proofErr w:type="spellStart"/>
      <w:r w:rsidRPr="005012F8">
        <w:rPr>
          <w:rFonts w:ascii="Arial" w:hAnsi="Arial" w:cs="Arial"/>
          <w:sz w:val="22"/>
          <w:lang w:val="en-GB"/>
        </w:rPr>
        <w:t>Battour</w:t>
      </w:r>
      <w:proofErr w:type="spellEnd"/>
      <w:r w:rsidRPr="005012F8">
        <w:rPr>
          <w:rFonts w:ascii="Arial" w:hAnsi="Arial" w:cs="Arial"/>
          <w:sz w:val="22"/>
          <w:lang w:val="en-GB"/>
        </w:rPr>
        <w:t xml:space="preserve">, Ismail and </w:t>
      </w:r>
      <w:proofErr w:type="spellStart"/>
      <w:r w:rsidRPr="005012F8">
        <w:rPr>
          <w:rFonts w:ascii="Arial" w:hAnsi="Arial" w:cs="Arial"/>
          <w:sz w:val="22"/>
          <w:lang w:val="en-GB"/>
        </w:rPr>
        <w:t>Sundram's</w:t>
      </w:r>
      <w:proofErr w:type="spellEnd"/>
      <w:r w:rsidRPr="005012F8">
        <w:rPr>
          <w:rFonts w:ascii="Arial" w:hAnsi="Arial" w:cs="Arial"/>
          <w:sz w:val="22"/>
          <w:lang w:val="en-GB"/>
        </w:rPr>
        <w:t xml:space="preserve"> (2014) research, the sample size is also quite small (a total of 221 returned questionnaires), making the extrapolation of the findings beyond the immediate research environment improbable. The characteristics of the sample are detailed, as well as the applied analytical/statistical methods (descriptive statistics, bivariate correlations and multiple regression analysis). The regression model and its elements are displayed in the article, as well as the tested variables. This transparency in the model enhances credibility and conforms to standard research practice. Comparably to Bhatti, </w:t>
      </w:r>
      <w:proofErr w:type="spellStart"/>
      <w:r w:rsidRPr="005012F8">
        <w:rPr>
          <w:rFonts w:ascii="Arial" w:hAnsi="Arial" w:cs="Arial"/>
          <w:sz w:val="22"/>
          <w:lang w:val="en-GB"/>
        </w:rPr>
        <w:t>Battour</w:t>
      </w:r>
      <w:proofErr w:type="spellEnd"/>
      <w:r w:rsidRPr="005012F8">
        <w:rPr>
          <w:rFonts w:ascii="Arial" w:hAnsi="Arial" w:cs="Arial"/>
          <w:sz w:val="22"/>
          <w:lang w:val="en-GB"/>
        </w:rPr>
        <w:t xml:space="preserve">, Ismail and </w:t>
      </w:r>
      <w:proofErr w:type="spellStart"/>
      <w:r w:rsidRPr="005012F8">
        <w:rPr>
          <w:rFonts w:ascii="Arial" w:hAnsi="Arial" w:cs="Arial"/>
          <w:sz w:val="22"/>
          <w:lang w:val="en-GB"/>
        </w:rPr>
        <w:t>Sundram</w:t>
      </w:r>
      <w:proofErr w:type="spellEnd"/>
      <w:r w:rsidRPr="005012F8">
        <w:rPr>
          <w:rFonts w:ascii="Arial" w:hAnsi="Arial" w:cs="Arial"/>
          <w:sz w:val="22"/>
          <w:lang w:val="en-GB"/>
        </w:rPr>
        <w:t xml:space="preserve"> (2014), this study has also made use of a 7-point </w:t>
      </w:r>
      <w:r w:rsidR="00BC5EB0" w:rsidRPr="005012F8">
        <w:rPr>
          <w:rFonts w:ascii="Arial" w:hAnsi="Arial" w:cs="Arial"/>
          <w:sz w:val="22"/>
          <w:lang w:val="en-GB"/>
        </w:rPr>
        <w:t>liker</w:t>
      </w:r>
      <w:r w:rsidRPr="005012F8">
        <w:rPr>
          <w:rFonts w:ascii="Arial" w:hAnsi="Arial" w:cs="Arial"/>
          <w:sz w:val="22"/>
          <w:lang w:val="en-GB"/>
        </w:rPr>
        <w:t xml:space="preserve"> scale, with options ranging from strongly agree to strongly disagree.</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Limitations of using scales were discoursed in the previous section, and these conceivably apply to this research paper as well. The demographic characteristics of research participants were summarised and tabulated, though the links between attitudes to expatriate managers and willingness to extend social support during the expatriate socialisation process could have been made more explicit. The variables included host country nationals' perceived adaptation, transformational capacity, openness, professionalism, perceived justice, length of experience (working alongside expatriate managers), position (in the organisation), gender, and age</w:t>
      </w:r>
      <w:r w:rsidR="003D4F16">
        <w:rPr>
          <w:rFonts w:ascii="Arial" w:hAnsi="Arial" w:cs="Arial"/>
          <w:sz w:val="22"/>
          <w:lang w:val="en-GB"/>
        </w:rPr>
        <w:t xml:space="preserve"> (</w:t>
      </w:r>
      <w:proofErr w:type="spellStart"/>
      <w:r w:rsidR="003D4F16" w:rsidRPr="003D4F16">
        <w:rPr>
          <w:rFonts w:ascii="Arial" w:hAnsi="Arial" w:cs="Arial"/>
          <w:sz w:val="22"/>
          <w:lang w:val="en-GB"/>
        </w:rPr>
        <w:t>Argyrous</w:t>
      </w:r>
      <w:proofErr w:type="spellEnd"/>
      <w:r w:rsidR="003D4F16" w:rsidRPr="003D4F16">
        <w:rPr>
          <w:rFonts w:ascii="Arial" w:hAnsi="Arial" w:cs="Arial"/>
          <w:sz w:val="22"/>
          <w:lang w:val="en-GB"/>
        </w:rPr>
        <w:t>, 2011)</w:t>
      </w:r>
      <w:r w:rsidR="003D4F16">
        <w:rPr>
          <w:rFonts w:ascii="Arial" w:hAnsi="Arial" w:cs="Arial"/>
          <w:sz w:val="22"/>
          <w:lang w:val="en-GB"/>
        </w:rPr>
        <w:t xml:space="preserve">. </w:t>
      </w:r>
      <w:r w:rsidRPr="005012F8">
        <w:rPr>
          <w:rFonts w:ascii="Arial" w:hAnsi="Arial" w:cs="Arial"/>
          <w:sz w:val="22"/>
          <w:lang w:val="en-GB"/>
        </w:rPr>
        <w:t xml:space="preserve">These variables also appear in other research papers as well, which would present a strong basis for cross-references. Unexpectedly, the correlations between the </w:t>
      </w:r>
      <w:r w:rsidRPr="005012F8">
        <w:rPr>
          <w:rFonts w:ascii="Arial" w:hAnsi="Arial" w:cs="Arial"/>
          <w:sz w:val="22"/>
          <w:lang w:val="en-GB"/>
        </w:rPr>
        <w:lastRenderedPageBreak/>
        <w:t xml:space="preserve">variables (standardised coefficients and p-values) were described in not more than a single paragraph. However, the lengthier discussion of the practical implications has partially compensated for this deficiency. Briefly, apart from perceived professionalism, other variables do not have any significant impact on the provision of social support and the consequent relationship development. Though the study might be among the few publications revolving around the expatriate-host country employee relationship development, many of the statements deduced from the statistical analysis are certainly not extraordinary, yet alone novel or of significant importance. For instance, the authors claim that (p.1193) a "healthy and positive relationship among HCNs and expatriates could play a significant role in shaping the perceptions of HCNs towards expatriate employees in host (country) subsidiaries", a finding mostly confirmed by other research papers, though perhaps in a mostly different research environment. The research topic indisputably refers to topic multinational organisations and HR managers/leaders collaborating with members of the expatriate community would find relevant. As many of the implications are not linked to the statistical analysis (or the links are not clearly noted), the managerial implications are at best, dubious. Apart from some of the explicitly stated limitations (the small sample size and the limited geographic focus of the study), there are additional recommendations for the paper not just to improve the quality of the findings, but also the robustness of the study. </w:t>
      </w:r>
      <w:r w:rsidR="00EB103C" w:rsidRPr="005012F8">
        <w:rPr>
          <w:rFonts w:ascii="Arial" w:hAnsi="Arial" w:cs="Arial"/>
          <w:sz w:val="22"/>
          <w:lang w:val="en-GB"/>
        </w:rPr>
        <w:t>First</w:t>
      </w:r>
      <w:r w:rsidRPr="005012F8">
        <w:rPr>
          <w:rFonts w:ascii="Arial" w:hAnsi="Arial" w:cs="Arial"/>
          <w:sz w:val="22"/>
          <w:lang w:val="en-GB"/>
        </w:rPr>
        <w:t>, the regression model in the study is perhaps too complicated for the research problem and the article's length. In hindsight, it would have been better to use either descriptive, simple inferential, or descriptive-inferential statistical models instead of highly complex regressions</w:t>
      </w:r>
      <w:r w:rsidR="007C0BAB">
        <w:rPr>
          <w:rFonts w:ascii="Arial" w:hAnsi="Arial" w:cs="Arial"/>
          <w:sz w:val="22"/>
          <w:lang w:val="en-GB"/>
        </w:rPr>
        <w:t xml:space="preserve"> (</w:t>
      </w:r>
      <w:r w:rsidR="007C0BAB" w:rsidRPr="007C0BAB">
        <w:rPr>
          <w:rFonts w:ascii="Arial" w:hAnsi="Arial" w:cs="Arial"/>
          <w:sz w:val="22"/>
          <w:lang w:val="en-GB"/>
        </w:rPr>
        <w:t>Frost, 2018)</w:t>
      </w:r>
      <w:r w:rsidR="007C0BAB">
        <w:rPr>
          <w:rFonts w:ascii="Arial" w:hAnsi="Arial" w:cs="Arial"/>
          <w:sz w:val="22"/>
          <w:lang w:val="en-GB"/>
        </w:rPr>
        <w:t>.</w:t>
      </w:r>
      <w:r w:rsidR="007C0BAB" w:rsidRPr="007C0BAB">
        <w:rPr>
          <w:rFonts w:ascii="Arial" w:hAnsi="Arial" w:cs="Arial"/>
          <w:sz w:val="22"/>
          <w:lang w:val="en-GB"/>
        </w:rPr>
        <w:t xml:space="preserve"> </w:t>
      </w:r>
      <w:r w:rsidRPr="005012F8">
        <w:rPr>
          <w:rFonts w:ascii="Arial" w:hAnsi="Arial" w:cs="Arial"/>
          <w:sz w:val="22"/>
          <w:lang w:val="en-GB"/>
        </w:rPr>
        <w:t xml:space="preserve"> Second, the use of a simple contingency model is a viable alternative to complex regression models. Third, even if the sample size might not be improved to attain representativeness, the quantitative analysis part should have incorporated a section discoursing how the sample' characteristics may have influenced the results obtained</w:t>
      </w:r>
      <w:r w:rsidR="00CE5978">
        <w:rPr>
          <w:rFonts w:ascii="Arial" w:hAnsi="Arial" w:cs="Arial"/>
          <w:sz w:val="22"/>
          <w:lang w:val="en-GB"/>
        </w:rPr>
        <w:t xml:space="preserve"> (</w:t>
      </w:r>
      <w:r w:rsidR="00CE5978" w:rsidRPr="00CE5978">
        <w:rPr>
          <w:rFonts w:ascii="Arial" w:hAnsi="Arial" w:cs="Arial"/>
          <w:sz w:val="22"/>
          <w:lang w:val="en-GB"/>
        </w:rPr>
        <w:t>Waters</w:t>
      </w:r>
      <w:r w:rsidR="003D4F16">
        <w:rPr>
          <w:rFonts w:ascii="Arial" w:hAnsi="Arial" w:cs="Arial"/>
          <w:sz w:val="22"/>
          <w:lang w:val="en-GB"/>
        </w:rPr>
        <w:t xml:space="preserve"> </w:t>
      </w:r>
      <w:r w:rsidR="00CE5978" w:rsidRPr="00CE5978">
        <w:rPr>
          <w:rFonts w:ascii="Arial" w:hAnsi="Arial" w:cs="Arial"/>
          <w:sz w:val="22"/>
          <w:lang w:val="en-GB"/>
        </w:rPr>
        <w:t>and Waters,</w:t>
      </w:r>
      <w:r w:rsidR="003D4F16">
        <w:rPr>
          <w:rFonts w:ascii="Arial" w:hAnsi="Arial" w:cs="Arial"/>
          <w:sz w:val="22"/>
          <w:lang w:val="en-GB"/>
        </w:rPr>
        <w:t xml:space="preserve"> </w:t>
      </w:r>
      <w:r w:rsidR="00CE5978" w:rsidRPr="00CE5978">
        <w:rPr>
          <w:rFonts w:ascii="Arial" w:hAnsi="Arial" w:cs="Arial"/>
          <w:sz w:val="22"/>
          <w:lang w:val="en-GB"/>
        </w:rPr>
        <w:t>2011)</w:t>
      </w:r>
      <w:r w:rsidR="003D4F16">
        <w:rPr>
          <w:rFonts w:ascii="Arial" w:hAnsi="Arial" w:cs="Arial"/>
          <w:sz w:val="22"/>
          <w:lang w:val="en-GB"/>
        </w:rPr>
        <w:t>.</w:t>
      </w:r>
      <w:r w:rsidRPr="005012F8">
        <w:rPr>
          <w:rFonts w:ascii="Arial" w:hAnsi="Arial" w:cs="Arial"/>
          <w:sz w:val="22"/>
          <w:lang w:val="en-GB"/>
        </w:rPr>
        <w:t xml:space="preserve"> This could have enabled future research users to reliably assess if the findings apply to their organisations and expatriate managers. </w:t>
      </w: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pStyle w:val="Heading1"/>
        <w:spacing w:line="360" w:lineRule="auto"/>
        <w:rPr>
          <w:rFonts w:ascii="Arial" w:hAnsi="Arial" w:cs="Arial"/>
          <w:b/>
          <w:bCs/>
          <w:color w:val="auto"/>
          <w:sz w:val="22"/>
          <w:szCs w:val="22"/>
          <w:lang w:val="en-GB"/>
        </w:rPr>
      </w:pPr>
      <w:bookmarkStart w:id="11" w:name="_Toc57179117"/>
      <w:r w:rsidRPr="005012F8">
        <w:rPr>
          <w:rFonts w:ascii="Arial" w:hAnsi="Arial" w:cs="Arial"/>
          <w:b/>
          <w:bCs/>
          <w:color w:val="auto"/>
          <w:sz w:val="22"/>
          <w:szCs w:val="22"/>
          <w:lang w:val="en-GB"/>
        </w:rPr>
        <w:lastRenderedPageBreak/>
        <w:t>Conclusion and Recommendations</w:t>
      </w:r>
      <w:bookmarkEnd w:id="11"/>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The use of expatriate managers in ensuring successful international operations is by no means a novel phenomenon (Mendenhall, Dunbar and </w:t>
      </w:r>
      <w:proofErr w:type="spellStart"/>
      <w:r w:rsidRPr="005012F8">
        <w:rPr>
          <w:rFonts w:ascii="Arial" w:hAnsi="Arial" w:cs="Arial"/>
          <w:sz w:val="22"/>
          <w:lang w:val="en-GB"/>
        </w:rPr>
        <w:t>Oddou</w:t>
      </w:r>
      <w:proofErr w:type="spellEnd"/>
      <w:r w:rsidRPr="005012F8">
        <w:rPr>
          <w:rFonts w:ascii="Arial" w:hAnsi="Arial" w:cs="Arial"/>
          <w:sz w:val="22"/>
          <w:lang w:val="en-GB"/>
        </w:rPr>
        <w:t>, 1987). In fact, a substantial amount of literature is readily available on advising organisations on best practices to maximise the probability of successful expatriation. Nevertheless, practice shows that many organisations fail to adequately prepare expatriate managers for foreign assignments, partly by the fact that there is a deleterious tendency to downplay the importance of interpersonal interactions with host country nationals and prior preparation/training (</w:t>
      </w:r>
      <w:proofErr w:type="spellStart"/>
      <w:r w:rsidRPr="005012F8">
        <w:rPr>
          <w:rFonts w:ascii="Arial" w:hAnsi="Arial" w:cs="Arial"/>
          <w:sz w:val="22"/>
          <w:lang w:val="en-GB"/>
        </w:rPr>
        <w:t>Guttorsen</w:t>
      </w:r>
      <w:proofErr w:type="spellEnd"/>
      <w:r w:rsidRPr="005012F8">
        <w:rPr>
          <w:rFonts w:ascii="Arial" w:hAnsi="Arial" w:cs="Arial"/>
          <w:sz w:val="22"/>
          <w:lang w:val="en-GB"/>
        </w:rPr>
        <w:t>, 2018).</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To conclude, both articles have employed an elaborate research methodology to advance the current state of understanding on expatriate’s socialisation process in a culturally different business environment. Most notably, the robustness of the methodological process undertaken appeared fairly convincing during the analysis of the two sources, and most likely, other reviewers would also agree that if only the methodological design is considered, both articles can be valuable contributions to the extant body of literature on expatriate socialisation and relationship development with host country nationals. For the most part, the chosen methodological designs were justified by making references to valid and perhaps also reliable constructs used in previous research papers. In this respect, the study clearly rests on testable propositions, something that can also </w:t>
      </w:r>
      <w:proofErr w:type="gramStart"/>
      <w:r w:rsidRPr="005012F8">
        <w:rPr>
          <w:rFonts w:ascii="Arial" w:hAnsi="Arial" w:cs="Arial"/>
          <w:sz w:val="22"/>
          <w:lang w:val="en-GB"/>
        </w:rPr>
        <w:t>be seen as</w:t>
      </w:r>
      <w:proofErr w:type="gramEnd"/>
      <w:r w:rsidRPr="005012F8">
        <w:rPr>
          <w:rFonts w:ascii="Arial" w:hAnsi="Arial" w:cs="Arial"/>
          <w:sz w:val="22"/>
          <w:lang w:val="en-GB"/>
        </w:rPr>
        <w:t xml:space="preserve"> a methodological strength of other papers. </w:t>
      </w:r>
      <w:proofErr w:type="gramStart"/>
      <w:r w:rsidRPr="005012F8">
        <w:rPr>
          <w:rFonts w:ascii="Arial" w:hAnsi="Arial" w:cs="Arial"/>
          <w:sz w:val="22"/>
          <w:lang w:val="en-GB"/>
        </w:rPr>
        <w:t>That being said, the</w:t>
      </w:r>
      <w:proofErr w:type="gramEnd"/>
      <w:r w:rsidRPr="005012F8">
        <w:rPr>
          <w:rFonts w:ascii="Arial" w:hAnsi="Arial" w:cs="Arial"/>
          <w:sz w:val="22"/>
          <w:lang w:val="en-GB"/>
        </w:rPr>
        <w:t xml:space="preserve"> replication of the studies (in terms of methodology) is likely to be a straightforward task, as the testable constructs were clearly described in both research papers.  Nevertheless, for the most part, the quantitative research approach appeared to complex in both studies perhaps beyond the practitioner understanding of the research papers. Even though the review did not intentionally discuss the practical relevance and the future usability of the findings beyond the narrow sphere of Academia, there are some pending issues inherent to both research papers. Through specific attention to these issues, the quality of both papers can be notably improved in order to achieve a higher classification. While it is difficult to disregard the elaborateness of the methods used, it seems that the methods used was not proportional to the complexity of the research problems</w:t>
      </w:r>
      <w:r w:rsidR="00667CDB">
        <w:rPr>
          <w:rFonts w:ascii="Arial" w:hAnsi="Arial" w:cs="Arial"/>
          <w:sz w:val="22"/>
          <w:lang w:val="en-GB"/>
        </w:rPr>
        <w:t xml:space="preserve"> (</w:t>
      </w:r>
      <w:r w:rsidR="00667CDB" w:rsidRPr="00543D84">
        <w:rPr>
          <w:rFonts w:ascii="Arial" w:hAnsi="Arial" w:cs="Arial"/>
          <w:sz w:val="22"/>
          <w:lang w:val="en-GB"/>
        </w:rPr>
        <w:t>Waters</w:t>
      </w:r>
      <w:r w:rsidR="00667CDB">
        <w:rPr>
          <w:rFonts w:ascii="Arial" w:hAnsi="Arial" w:cs="Arial"/>
          <w:sz w:val="22"/>
          <w:lang w:val="en-GB"/>
        </w:rPr>
        <w:t xml:space="preserve"> </w:t>
      </w:r>
      <w:r w:rsidR="00667CDB" w:rsidRPr="00543D84">
        <w:rPr>
          <w:rFonts w:ascii="Arial" w:hAnsi="Arial" w:cs="Arial"/>
          <w:sz w:val="22"/>
          <w:lang w:val="en-GB"/>
        </w:rPr>
        <w:t>and Waters, 2011)</w:t>
      </w:r>
      <w:r w:rsidR="00667CDB">
        <w:rPr>
          <w:rFonts w:ascii="Arial" w:hAnsi="Arial" w:cs="Arial"/>
          <w:sz w:val="22"/>
          <w:lang w:val="en-GB"/>
        </w:rPr>
        <w:t>.</w:t>
      </w:r>
      <w:r w:rsidR="00667CDB" w:rsidRPr="00543D84">
        <w:rPr>
          <w:rFonts w:ascii="Arial" w:hAnsi="Arial" w:cs="Arial"/>
          <w:sz w:val="22"/>
          <w:lang w:val="en-GB"/>
        </w:rPr>
        <w:t xml:space="preserve"> </w:t>
      </w:r>
      <w:r w:rsidRPr="005012F8">
        <w:rPr>
          <w:rFonts w:ascii="Arial" w:hAnsi="Arial" w:cs="Arial"/>
          <w:sz w:val="22"/>
          <w:lang w:val="en-GB"/>
        </w:rPr>
        <w:t xml:space="preserve"> For instance, it would have been beneficial to use simpler analysis, given that the dependent and the independent variables (as inferred from previous studies) were clearly identified. The use of Likert scales could have been replaced by close-ended structured questionnaires, and perhaps a mixed- or multi-method research design could have been a methodologically justified, as many issues pertaining to expatriates’ performance and process may not be explored in its entirety through an exclusively quantitative methodology. Certainly, the Likert scale simplified data collection and analysis, but at the same time, the scale could have notably distorted the validity and the reliability of the findings. Lastly, but not least importantly, it would </w:t>
      </w:r>
      <w:r w:rsidRPr="005012F8">
        <w:rPr>
          <w:rFonts w:ascii="Arial" w:hAnsi="Arial" w:cs="Arial"/>
          <w:sz w:val="22"/>
          <w:lang w:val="en-GB"/>
        </w:rPr>
        <w:lastRenderedPageBreak/>
        <w:t xml:space="preserve">have been beneficial to increase the sample size, though </w:t>
      </w:r>
      <w:proofErr w:type="gramStart"/>
      <w:r w:rsidRPr="005012F8">
        <w:rPr>
          <w:rFonts w:ascii="Arial" w:hAnsi="Arial" w:cs="Arial"/>
          <w:sz w:val="22"/>
          <w:lang w:val="en-GB"/>
        </w:rPr>
        <w:t>in light of</w:t>
      </w:r>
      <w:proofErr w:type="gramEnd"/>
      <w:r w:rsidRPr="005012F8">
        <w:rPr>
          <w:rFonts w:ascii="Arial" w:hAnsi="Arial" w:cs="Arial"/>
          <w:sz w:val="22"/>
          <w:lang w:val="en-GB"/>
        </w:rPr>
        <w:t xml:space="preserve"> research constraints, this weakness is entirely acceptable and alone can be accepted as a methodological limitation known to many other studies as well.  </w:t>
      </w:r>
    </w:p>
    <w:p w:rsidR="005012F8" w:rsidRPr="005012F8" w:rsidRDefault="005012F8" w:rsidP="005012F8">
      <w:pPr>
        <w:spacing w:line="360" w:lineRule="auto"/>
        <w:rPr>
          <w:rFonts w:ascii="Arial" w:hAnsi="Arial" w:cs="Arial"/>
          <w:sz w:val="22"/>
          <w:lang w:val="en-GB"/>
        </w:rPr>
      </w:pPr>
      <w:r w:rsidRPr="005012F8">
        <w:rPr>
          <w:rFonts w:ascii="Arial" w:hAnsi="Arial" w:cs="Arial"/>
          <w:sz w:val="22"/>
          <w:lang w:val="en-GB"/>
        </w:rPr>
        <w:br w:type="page"/>
      </w:r>
    </w:p>
    <w:p w:rsidR="005012F8" w:rsidRPr="005012F8" w:rsidRDefault="005012F8" w:rsidP="005012F8">
      <w:pPr>
        <w:pStyle w:val="Heading1"/>
        <w:spacing w:line="360" w:lineRule="auto"/>
        <w:rPr>
          <w:rFonts w:ascii="Arial" w:hAnsi="Arial" w:cs="Arial"/>
          <w:b/>
          <w:bCs/>
          <w:color w:val="auto"/>
          <w:sz w:val="22"/>
          <w:szCs w:val="22"/>
          <w:lang w:val="en-AU"/>
        </w:rPr>
      </w:pPr>
      <w:bookmarkStart w:id="12" w:name="_Toc57179118"/>
      <w:r w:rsidRPr="005012F8">
        <w:rPr>
          <w:rFonts w:ascii="Arial" w:hAnsi="Arial" w:cs="Arial"/>
          <w:b/>
          <w:bCs/>
          <w:color w:val="auto"/>
          <w:sz w:val="22"/>
          <w:szCs w:val="22"/>
          <w:lang w:val="en-AU"/>
        </w:rPr>
        <w:lastRenderedPageBreak/>
        <w:t>Bibliography</w:t>
      </w:r>
      <w:bookmarkEnd w:id="12"/>
    </w:p>
    <w:p w:rsid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Albrecht, M. </w:t>
      </w:r>
      <w:r w:rsidR="00F03AE3">
        <w:rPr>
          <w:rFonts w:ascii="Arial" w:hAnsi="Arial" w:cs="Arial"/>
          <w:sz w:val="22"/>
          <w:szCs w:val="22"/>
          <w:lang w:val="en-GB"/>
        </w:rPr>
        <w:t>(</w:t>
      </w:r>
      <w:r w:rsidRPr="005012F8">
        <w:rPr>
          <w:rFonts w:ascii="Arial" w:hAnsi="Arial" w:cs="Arial"/>
          <w:sz w:val="22"/>
          <w:szCs w:val="22"/>
          <w:lang w:val="en-GB"/>
        </w:rPr>
        <w:t>2001</w:t>
      </w:r>
      <w:r w:rsidR="00F03AE3">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International HRM</w:t>
      </w:r>
      <w:r w:rsidRPr="005012F8">
        <w:rPr>
          <w:rFonts w:ascii="Arial" w:hAnsi="Arial" w:cs="Arial"/>
          <w:sz w:val="22"/>
          <w:szCs w:val="22"/>
          <w:lang w:val="en-GB"/>
        </w:rPr>
        <w:t>. Oxford, UK: Blackwell Publishers.</w:t>
      </w:r>
    </w:p>
    <w:p w:rsidR="00D36224" w:rsidRPr="005012F8" w:rsidRDefault="00D36224" w:rsidP="005012F8">
      <w:pPr>
        <w:pStyle w:val="NormalWeb"/>
        <w:spacing w:before="0" w:beforeAutospacing="0" w:after="180" w:afterAutospacing="0" w:line="360" w:lineRule="auto"/>
        <w:rPr>
          <w:rFonts w:ascii="Arial" w:hAnsi="Arial" w:cs="Arial"/>
          <w:sz w:val="22"/>
          <w:szCs w:val="22"/>
          <w:lang w:val="en-GB"/>
        </w:rPr>
      </w:pPr>
      <w:bookmarkStart w:id="13" w:name="_Hlk57934292"/>
      <w:proofErr w:type="spellStart"/>
      <w:r w:rsidRPr="00D36224">
        <w:rPr>
          <w:rFonts w:ascii="Arial" w:hAnsi="Arial" w:cs="Arial"/>
          <w:sz w:val="22"/>
          <w:szCs w:val="22"/>
          <w:lang w:val="en-GB"/>
        </w:rPr>
        <w:t>Argyrous</w:t>
      </w:r>
      <w:proofErr w:type="spellEnd"/>
      <w:r w:rsidRPr="00D36224">
        <w:rPr>
          <w:rFonts w:ascii="Arial" w:hAnsi="Arial" w:cs="Arial"/>
          <w:sz w:val="22"/>
          <w:szCs w:val="22"/>
          <w:lang w:val="en-GB"/>
        </w:rPr>
        <w:t xml:space="preserve">, G. (2011) </w:t>
      </w:r>
      <w:bookmarkEnd w:id="13"/>
      <w:r w:rsidRPr="003E2C01">
        <w:rPr>
          <w:rFonts w:ascii="Arial" w:hAnsi="Arial" w:cs="Arial"/>
          <w:i/>
          <w:iCs/>
          <w:sz w:val="22"/>
          <w:szCs w:val="22"/>
          <w:lang w:val="en-GB"/>
        </w:rPr>
        <w:t>Statistics for Research</w:t>
      </w:r>
      <w:r w:rsidRPr="00D36224">
        <w:rPr>
          <w:rFonts w:ascii="Arial" w:hAnsi="Arial" w:cs="Arial"/>
          <w:sz w:val="22"/>
          <w:szCs w:val="22"/>
          <w:lang w:val="en-GB"/>
        </w:rPr>
        <w:t>: with A Guide to SPSS, 3rd ed, London: Sage.</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Balnaves</w:t>
      </w:r>
      <w:proofErr w:type="spellEnd"/>
      <w:r w:rsidRPr="005012F8">
        <w:rPr>
          <w:rFonts w:ascii="Arial" w:hAnsi="Arial" w:cs="Arial"/>
          <w:sz w:val="22"/>
          <w:szCs w:val="22"/>
          <w:lang w:val="en-GB"/>
        </w:rPr>
        <w:t xml:space="preserve">, M. and </w:t>
      </w:r>
      <w:proofErr w:type="spellStart"/>
      <w:r w:rsidRPr="005012F8">
        <w:rPr>
          <w:rFonts w:ascii="Arial" w:hAnsi="Arial" w:cs="Arial"/>
          <w:sz w:val="22"/>
          <w:szCs w:val="22"/>
          <w:lang w:val="en-GB"/>
        </w:rPr>
        <w:t>Caputi</w:t>
      </w:r>
      <w:proofErr w:type="spellEnd"/>
      <w:r w:rsidRPr="005012F8">
        <w:rPr>
          <w:rFonts w:ascii="Arial" w:hAnsi="Arial" w:cs="Arial"/>
          <w:sz w:val="22"/>
          <w:szCs w:val="22"/>
          <w:lang w:val="en-GB"/>
        </w:rPr>
        <w:t xml:space="preserve">, P. </w:t>
      </w:r>
      <w:r w:rsidR="00F03AE3">
        <w:rPr>
          <w:rFonts w:ascii="Arial" w:hAnsi="Arial" w:cs="Arial"/>
          <w:sz w:val="22"/>
          <w:szCs w:val="22"/>
          <w:lang w:val="en-GB"/>
        </w:rPr>
        <w:t>(</w:t>
      </w:r>
      <w:r w:rsidRPr="005012F8">
        <w:rPr>
          <w:rFonts w:ascii="Arial" w:hAnsi="Arial" w:cs="Arial"/>
          <w:sz w:val="22"/>
          <w:szCs w:val="22"/>
          <w:lang w:val="en-GB"/>
        </w:rPr>
        <w:t>2014</w:t>
      </w:r>
      <w:r w:rsidR="00F03AE3">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Introduction </w:t>
      </w:r>
      <w:proofErr w:type="gramStart"/>
      <w:r w:rsidRPr="005012F8">
        <w:rPr>
          <w:rFonts w:ascii="Arial" w:hAnsi="Arial" w:cs="Arial"/>
          <w:i/>
          <w:iCs/>
          <w:sz w:val="22"/>
          <w:szCs w:val="22"/>
          <w:lang w:val="en-GB"/>
        </w:rPr>
        <w:t>To</w:t>
      </w:r>
      <w:proofErr w:type="gramEnd"/>
      <w:r w:rsidRPr="005012F8">
        <w:rPr>
          <w:rFonts w:ascii="Arial" w:hAnsi="Arial" w:cs="Arial"/>
          <w:i/>
          <w:iCs/>
          <w:sz w:val="22"/>
          <w:szCs w:val="22"/>
          <w:lang w:val="en-GB"/>
        </w:rPr>
        <w:t xml:space="preserve"> Quantitative Research Methods</w:t>
      </w:r>
      <w:r w:rsidRPr="005012F8">
        <w:rPr>
          <w:rFonts w:ascii="Arial" w:hAnsi="Arial" w:cs="Arial"/>
          <w:sz w:val="22"/>
          <w:szCs w:val="22"/>
          <w:lang w:val="en-GB"/>
        </w:rPr>
        <w:t>. USA: SAGE Publications Ltd.</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Bednarova</w:t>
      </w:r>
      <w:proofErr w:type="spellEnd"/>
      <w:r w:rsidRPr="005012F8">
        <w:rPr>
          <w:rFonts w:ascii="Arial" w:hAnsi="Arial" w:cs="Arial"/>
          <w:sz w:val="22"/>
          <w:szCs w:val="22"/>
          <w:lang w:val="en-GB"/>
        </w:rPr>
        <w:t xml:space="preserve">, L. </w:t>
      </w:r>
      <w:r w:rsidR="00F03AE3">
        <w:rPr>
          <w:rFonts w:ascii="Arial" w:hAnsi="Arial" w:cs="Arial"/>
          <w:sz w:val="22"/>
          <w:szCs w:val="22"/>
          <w:lang w:val="en-GB"/>
        </w:rPr>
        <w:t>(</w:t>
      </w:r>
      <w:r w:rsidRPr="005012F8">
        <w:rPr>
          <w:rFonts w:ascii="Arial" w:hAnsi="Arial" w:cs="Arial"/>
          <w:sz w:val="22"/>
          <w:szCs w:val="22"/>
          <w:lang w:val="en-GB"/>
        </w:rPr>
        <w:t>2018</w:t>
      </w:r>
      <w:r w:rsidR="00F03AE3">
        <w:rPr>
          <w:rFonts w:ascii="Arial" w:hAnsi="Arial" w:cs="Arial"/>
          <w:sz w:val="22"/>
          <w:szCs w:val="22"/>
          <w:lang w:val="en-GB"/>
        </w:rPr>
        <w:t>)</w:t>
      </w:r>
      <w:r w:rsidRPr="005012F8">
        <w:rPr>
          <w:rFonts w:ascii="Arial" w:hAnsi="Arial" w:cs="Arial"/>
          <w:sz w:val="22"/>
          <w:szCs w:val="22"/>
          <w:lang w:val="en-GB"/>
        </w:rPr>
        <w:t xml:space="preserve"> The analysis of success factors in terms of adaptation of expatriates to work in international organisations. </w:t>
      </w:r>
      <w:r w:rsidRPr="005012F8">
        <w:rPr>
          <w:rFonts w:ascii="Arial" w:hAnsi="Arial" w:cs="Arial"/>
          <w:i/>
          <w:iCs/>
          <w:sz w:val="22"/>
          <w:szCs w:val="22"/>
          <w:lang w:val="en-GB"/>
        </w:rPr>
        <w:t>Polish Journal of Management Studies</w:t>
      </w:r>
      <w:r w:rsidRPr="005012F8">
        <w:rPr>
          <w:rFonts w:ascii="Arial" w:hAnsi="Arial" w:cs="Arial"/>
          <w:sz w:val="22"/>
          <w:szCs w:val="22"/>
          <w:lang w:val="en-GB"/>
        </w:rPr>
        <w:t>, 1(17), pp.59-61.</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Bhatti, M., </w:t>
      </w:r>
      <w:proofErr w:type="spellStart"/>
      <w:r w:rsidRPr="005012F8">
        <w:rPr>
          <w:rFonts w:ascii="Arial" w:hAnsi="Arial" w:cs="Arial"/>
          <w:sz w:val="22"/>
          <w:szCs w:val="22"/>
          <w:lang w:val="en-GB"/>
        </w:rPr>
        <w:t>Battour</w:t>
      </w:r>
      <w:proofErr w:type="spellEnd"/>
      <w:r w:rsidRPr="005012F8">
        <w:rPr>
          <w:rFonts w:ascii="Arial" w:hAnsi="Arial" w:cs="Arial"/>
          <w:sz w:val="22"/>
          <w:szCs w:val="22"/>
          <w:lang w:val="en-GB"/>
        </w:rPr>
        <w:t xml:space="preserve">, M., Ismail, A. and </w:t>
      </w:r>
      <w:proofErr w:type="spellStart"/>
      <w:r w:rsidRPr="005012F8">
        <w:rPr>
          <w:rFonts w:ascii="Arial" w:hAnsi="Arial" w:cs="Arial"/>
          <w:sz w:val="22"/>
          <w:szCs w:val="22"/>
          <w:lang w:val="en-GB"/>
        </w:rPr>
        <w:t>Sundram</w:t>
      </w:r>
      <w:proofErr w:type="spellEnd"/>
      <w:r w:rsidRPr="005012F8">
        <w:rPr>
          <w:rFonts w:ascii="Arial" w:hAnsi="Arial" w:cs="Arial"/>
          <w:sz w:val="22"/>
          <w:szCs w:val="22"/>
          <w:lang w:val="en-GB"/>
        </w:rPr>
        <w:t>, V.</w:t>
      </w:r>
      <w:r w:rsidR="00D65602">
        <w:rPr>
          <w:rFonts w:ascii="Arial" w:hAnsi="Arial" w:cs="Arial"/>
          <w:sz w:val="22"/>
          <w:szCs w:val="22"/>
          <w:lang w:val="en-GB"/>
        </w:rPr>
        <w:t xml:space="preserve"> (</w:t>
      </w:r>
      <w:r w:rsidRPr="005012F8">
        <w:rPr>
          <w:rFonts w:ascii="Arial" w:hAnsi="Arial" w:cs="Arial"/>
          <w:sz w:val="22"/>
          <w:szCs w:val="22"/>
          <w:lang w:val="en-GB"/>
        </w:rPr>
        <w:t>2014</w:t>
      </w:r>
      <w:r w:rsidR="00D65602">
        <w:rPr>
          <w:rFonts w:ascii="Arial" w:hAnsi="Arial" w:cs="Arial"/>
          <w:sz w:val="22"/>
          <w:szCs w:val="22"/>
          <w:lang w:val="en-GB"/>
        </w:rPr>
        <w:t>)</w:t>
      </w:r>
      <w:r w:rsidRPr="005012F8">
        <w:rPr>
          <w:rFonts w:ascii="Arial" w:hAnsi="Arial" w:cs="Arial"/>
          <w:sz w:val="22"/>
          <w:szCs w:val="22"/>
          <w:lang w:val="en-GB"/>
        </w:rPr>
        <w:t xml:space="preserve">. Effects of personality traits (big five) on </w:t>
      </w:r>
      <w:proofErr w:type="gramStart"/>
      <w:r w:rsidRPr="005012F8">
        <w:rPr>
          <w:rFonts w:ascii="Arial" w:hAnsi="Arial" w:cs="Arial"/>
          <w:sz w:val="22"/>
          <w:szCs w:val="22"/>
          <w:lang w:val="en-GB"/>
        </w:rPr>
        <w:t>expatriates</w:t>
      </w:r>
      <w:proofErr w:type="gramEnd"/>
      <w:r w:rsidRPr="005012F8">
        <w:rPr>
          <w:rFonts w:ascii="Arial" w:hAnsi="Arial" w:cs="Arial"/>
          <w:sz w:val="22"/>
          <w:szCs w:val="22"/>
          <w:lang w:val="en-GB"/>
        </w:rPr>
        <w:t xml:space="preserve"> adjustment and job performance. </w:t>
      </w:r>
      <w:r w:rsidRPr="005012F8">
        <w:rPr>
          <w:rFonts w:ascii="Arial" w:hAnsi="Arial" w:cs="Arial"/>
          <w:i/>
          <w:iCs/>
          <w:sz w:val="22"/>
          <w:szCs w:val="22"/>
          <w:lang w:val="en-GB"/>
        </w:rPr>
        <w:t>Equality, Diversity and Inclusion: An International Journal</w:t>
      </w:r>
      <w:r w:rsidRPr="005012F8">
        <w:rPr>
          <w:rFonts w:ascii="Arial" w:hAnsi="Arial" w:cs="Arial"/>
          <w:sz w:val="22"/>
          <w:szCs w:val="22"/>
          <w:lang w:val="en-GB"/>
        </w:rPr>
        <w:t>, 33(1), pp.73-96.</w:t>
      </w:r>
    </w:p>
    <w:p w:rsid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Edwards, P., </w:t>
      </w:r>
      <w:proofErr w:type="spellStart"/>
      <w:r w:rsidRPr="005012F8">
        <w:rPr>
          <w:rFonts w:ascii="Arial" w:hAnsi="Arial" w:cs="Arial"/>
          <w:sz w:val="22"/>
          <w:szCs w:val="22"/>
          <w:lang w:val="en-GB"/>
        </w:rPr>
        <w:t>O'Mahoney</w:t>
      </w:r>
      <w:proofErr w:type="spellEnd"/>
      <w:r w:rsidRPr="005012F8">
        <w:rPr>
          <w:rFonts w:ascii="Arial" w:hAnsi="Arial" w:cs="Arial"/>
          <w:sz w:val="22"/>
          <w:szCs w:val="22"/>
          <w:lang w:val="en-GB"/>
        </w:rPr>
        <w:t xml:space="preserve">, J. and Vincent, S. </w:t>
      </w:r>
      <w:r w:rsidR="00D65602">
        <w:rPr>
          <w:rFonts w:ascii="Arial" w:hAnsi="Arial" w:cs="Arial"/>
          <w:sz w:val="22"/>
          <w:szCs w:val="22"/>
          <w:lang w:val="en-GB"/>
        </w:rPr>
        <w:t>(</w:t>
      </w:r>
      <w:r w:rsidRPr="005012F8">
        <w:rPr>
          <w:rFonts w:ascii="Arial" w:hAnsi="Arial" w:cs="Arial"/>
          <w:sz w:val="22"/>
          <w:szCs w:val="22"/>
          <w:lang w:val="en-GB"/>
        </w:rPr>
        <w:t>2018</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Studying Organisations Using Critical Realism</w:t>
      </w:r>
      <w:r w:rsidRPr="005012F8">
        <w:rPr>
          <w:rFonts w:ascii="Arial" w:hAnsi="Arial" w:cs="Arial"/>
          <w:sz w:val="22"/>
          <w:szCs w:val="22"/>
          <w:lang w:val="en-GB"/>
        </w:rPr>
        <w:t>. UK: OUP.</w:t>
      </w:r>
    </w:p>
    <w:p w:rsidR="00593EC9" w:rsidRDefault="00593EC9" w:rsidP="005012F8">
      <w:pPr>
        <w:pStyle w:val="NormalWeb"/>
        <w:spacing w:before="0" w:beforeAutospacing="0" w:after="180" w:afterAutospacing="0" w:line="360" w:lineRule="auto"/>
        <w:rPr>
          <w:rFonts w:ascii="Arial" w:hAnsi="Arial" w:cs="Arial"/>
          <w:sz w:val="22"/>
          <w:szCs w:val="22"/>
          <w:lang w:val="en-GB"/>
        </w:rPr>
      </w:pPr>
      <w:r w:rsidRPr="00593EC9">
        <w:rPr>
          <w:rFonts w:ascii="Arial" w:hAnsi="Arial" w:cs="Arial"/>
          <w:sz w:val="22"/>
          <w:szCs w:val="22"/>
          <w:lang w:val="en-GB"/>
        </w:rPr>
        <w:t xml:space="preserve">Field, A. (2017) </w:t>
      </w:r>
      <w:r w:rsidRPr="003E2C01">
        <w:rPr>
          <w:rFonts w:ascii="Arial" w:hAnsi="Arial" w:cs="Arial"/>
          <w:i/>
          <w:iCs/>
          <w:sz w:val="22"/>
          <w:szCs w:val="22"/>
          <w:lang w:val="en-GB"/>
        </w:rPr>
        <w:t>Discovering statistics using IBM SPSS statistics</w:t>
      </w:r>
      <w:r w:rsidRPr="00593EC9">
        <w:rPr>
          <w:rFonts w:ascii="Arial" w:hAnsi="Arial" w:cs="Arial"/>
          <w:sz w:val="22"/>
          <w:szCs w:val="22"/>
          <w:lang w:val="en-GB"/>
        </w:rPr>
        <w:t>: North American edition. sage.</w:t>
      </w:r>
    </w:p>
    <w:p w:rsidR="00D465F8" w:rsidRPr="005012F8" w:rsidRDefault="007C0BAB" w:rsidP="005012F8">
      <w:pPr>
        <w:pStyle w:val="NormalWeb"/>
        <w:spacing w:before="0" w:beforeAutospacing="0" w:after="180" w:afterAutospacing="0" w:line="360" w:lineRule="auto"/>
        <w:rPr>
          <w:rFonts w:ascii="Arial" w:hAnsi="Arial" w:cs="Arial"/>
          <w:sz w:val="22"/>
          <w:szCs w:val="22"/>
          <w:lang w:val="en-GB"/>
        </w:rPr>
      </w:pPr>
      <w:r w:rsidRPr="007C0BAB">
        <w:rPr>
          <w:rFonts w:ascii="Arial" w:hAnsi="Arial" w:cs="Arial"/>
          <w:sz w:val="22"/>
          <w:szCs w:val="22"/>
          <w:lang w:val="en-GB"/>
        </w:rPr>
        <w:t xml:space="preserve">Frost, R. (2018) </w:t>
      </w:r>
      <w:r w:rsidRPr="003E2C01">
        <w:rPr>
          <w:rFonts w:ascii="Arial" w:hAnsi="Arial" w:cs="Arial"/>
          <w:i/>
          <w:iCs/>
          <w:sz w:val="22"/>
          <w:szCs w:val="22"/>
          <w:lang w:val="en-GB"/>
        </w:rPr>
        <w:t xml:space="preserve">How </w:t>
      </w:r>
      <w:proofErr w:type="gramStart"/>
      <w:r w:rsidRPr="003E2C01">
        <w:rPr>
          <w:rFonts w:ascii="Arial" w:hAnsi="Arial" w:cs="Arial"/>
          <w:i/>
          <w:iCs/>
          <w:sz w:val="22"/>
          <w:szCs w:val="22"/>
          <w:lang w:val="en-GB"/>
        </w:rPr>
        <w:t>To</w:t>
      </w:r>
      <w:proofErr w:type="gramEnd"/>
      <w:r w:rsidRPr="003E2C01">
        <w:rPr>
          <w:rFonts w:ascii="Arial" w:hAnsi="Arial" w:cs="Arial"/>
          <w:i/>
          <w:iCs/>
          <w:sz w:val="22"/>
          <w:szCs w:val="22"/>
          <w:lang w:val="en-GB"/>
        </w:rPr>
        <w:t xml:space="preserve"> Interpret R-squared in Regression Analysis</w:t>
      </w:r>
      <w:r w:rsidRPr="007C0BAB">
        <w:rPr>
          <w:rFonts w:ascii="Arial" w:hAnsi="Arial" w:cs="Arial"/>
          <w:sz w:val="22"/>
          <w:szCs w:val="22"/>
          <w:lang w:val="en-GB"/>
        </w:rPr>
        <w:t xml:space="preserve">. </w:t>
      </w:r>
      <w:r>
        <w:rPr>
          <w:rFonts w:ascii="Arial" w:hAnsi="Arial" w:cs="Arial"/>
          <w:sz w:val="22"/>
          <w:szCs w:val="22"/>
          <w:lang w:val="en-GB"/>
        </w:rPr>
        <w:t>(</w:t>
      </w:r>
      <w:r w:rsidRPr="007C0BAB">
        <w:rPr>
          <w:rFonts w:ascii="Arial" w:hAnsi="Arial" w:cs="Arial"/>
          <w:sz w:val="22"/>
          <w:szCs w:val="22"/>
          <w:lang w:val="en-GB"/>
        </w:rPr>
        <w:t xml:space="preserve">Online] Available at: </w:t>
      </w:r>
      <w:proofErr w:type="gramStart"/>
      <w:r w:rsidRPr="007C0BAB">
        <w:rPr>
          <w:rFonts w:ascii="Arial" w:hAnsi="Arial" w:cs="Arial"/>
          <w:sz w:val="22"/>
          <w:szCs w:val="22"/>
          <w:lang w:val="en-GB"/>
        </w:rPr>
        <w:t>http://statisticsbyjim.com/regression/interpret-r-squared-regression/[</w:t>
      </w:r>
      <w:proofErr w:type="gramEnd"/>
      <w:r w:rsidRPr="007C0BAB">
        <w:rPr>
          <w:rFonts w:ascii="Arial" w:hAnsi="Arial" w:cs="Arial"/>
          <w:sz w:val="22"/>
          <w:szCs w:val="22"/>
          <w:lang w:val="en-GB"/>
        </w:rPr>
        <w:t xml:space="preserve">Accessed </w:t>
      </w:r>
      <w:r>
        <w:rPr>
          <w:rFonts w:ascii="Arial" w:hAnsi="Arial" w:cs="Arial"/>
          <w:sz w:val="22"/>
          <w:szCs w:val="22"/>
          <w:lang w:val="en-GB"/>
        </w:rPr>
        <w:t>19 November</w:t>
      </w:r>
      <w:r w:rsidRPr="007C0BAB">
        <w:rPr>
          <w:rFonts w:ascii="Arial" w:hAnsi="Arial" w:cs="Arial"/>
          <w:sz w:val="22"/>
          <w:szCs w:val="22"/>
          <w:lang w:val="en-GB"/>
        </w:rPr>
        <w:t xml:space="preserve"> 20</w:t>
      </w:r>
      <w:r>
        <w:rPr>
          <w:rFonts w:ascii="Arial" w:hAnsi="Arial" w:cs="Arial"/>
          <w:sz w:val="22"/>
          <w:szCs w:val="22"/>
          <w:lang w:val="en-GB"/>
        </w:rPr>
        <w:t>20)</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Ghuman</w:t>
      </w:r>
      <w:proofErr w:type="spellEnd"/>
      <w:r w:rsidRPr="005012F8">
        <w:rPr>
          <w:rFonts w:ascii="Arial" w:hAnsi="Arial" w:cs="Arial"/>
          <w:sz w:val="22"/>
          <w:szCs w:val="22"/>
          <w:lang w:val="en-GB"/>
        </w:rPr>
        <w:t xml:space="preserve">, K. and </w:t>
      </w:r>
      <w:proofErr w:type="spellStart"/>
      <w:r w:rsidRPr="005012F8">
        <w:rPr>
          <w:rFonts w:ascii="Arial" w:hAnsi="Arial" w:cs="Arial"/>
          <w:sz w:val="22"/>
          <w:szCs w:val="22"/>
          <w:lang w:val="en-GB"/>
        </w:rPr>
        <w:t>Aswathappa</w:t>
      </w:r>
      <w:proofErr w:type="spellEnd"/>
      <w:r w:rsidRPr="005012F8">
        <w:rPr>
          <w:rFonts w:ascii="Arial" w:hAnsi="Arial" w:cs="Arial"/>
          <w:sz w:val="22"/>
          <w:szCs w:val="22"/>
          <w:lang w:val="en-GB"/>
        </w:rPr>
        <w:t>, K.</w:t>
      </w:r>
      <w:r w:rsidR="00D65602">
        <w:rPr>
          <w:rFonts w:ascii="Arial" w:hAnsi="Arial" w:cs="Arial"/>
          <w:sz w:val="22"/>
          <w:szCs w:val="22"/>
          <w:lang w:val="en-GB"/>
        </w:rPr>
        <w:t xml:space="preserve"> (</w:t>
      </w:r>
      <w:r w:rsidRPr="005012F8">
        <w:rPr>
          <w:rFonts w:ascii="Arial" w:hAnsi="Arial" w:cs="Arial"/>
          <w:sz w:val="22"/>
          <w:szCs w:val="22"/>
          <w:lang w:val="en-GB"/>
        </w:rPr>
        <w:t>2010</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Management: Concepts, Practice &amp; Cases</w:t>
      </w:r>
      <w:r w:rsidRPr="005012F8">
        <w:rPr>
          <w:rFonts w:ascii="Arial" w:hAnsi="Arial" w:cs="Arial"/>
          <w:sz w:val="22"/>
          <w:szCs w:val="22"/>
          <w:lang w:val="en-GB"/>
        </w:rPr>
        <w:t>. New Delhi: Tata McGraw Hill.</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Guttorsen</w:t>
      </w:r>
      <w:proofErr w:type="spellEnd"/>
      <w:r w:rsidRPr="005012F8">
        <w:rPr>
          <w:rFonts w:ascii="Arial" w:hAnsi="Arial" w:cs="Arial"/>
          <w:sz w:val="22"/>
          <w:szCs w:val="22"/>
          <w:lang w:val="en-GB"/>
        </w:rPr>
        <w:t>, M.</w:t>
      </w:r>
      <w:r w:rsidR="00D65602">
        <w:rPr>
          <w:rFonts w:ascii="Arial" w:hAnsi="Arial" w:cs="Arial"/>
          <w:sz w:val="22"/>
          <w:szCs w:val="22"/>
          <w:lang w:val="en-GB"/>
        </w:rPr>
        <w:t xml:space="preserve"> (</w:t>
      </w:r>
      <w:r w:rsidRPr="005012F8">
        <w:rPr>
          <w:rFonts w:ascii="Arial" w:hAnsi="Arial" w:cs="Arial"/>
          <w:sz w:val="22"/>
          <w:szCs w:val="22"/>
          <w:lang w:val="en-GB"/>
        </w:rPr>
        <w:t>2018</w:t>
      </w:r>
      <w:r w:rsidR="00D65602">
        <w:rPr>
          <w:rFonts w:ascii="Arial" w:hAnsi="Arial" w:cs="Arial"/>
          <w:sz w:val="22"/>
          <w:szCs w:val="22"/>
          <w:lang w:val="en-GB"/>
        </w:rPr>
        <w:t>)</w:t>
      </w:r>
      <w:r w:rsidRPr="005012F8">
        <w:rPr>
          <w:rFonts w:ascii="Arial" w:hAnsi="Arial" w:cs="Arial"/>
          <w:sz w:val="22"/>
          <w:szCs w:val="22"/>
          <w:lang w:val="en-GB"/>
        </w:rPr>
        <w:t xml:space="preserve"> Revisiting the expatriate failure concept: A qualitative study of Scandinavian expatriates in Hong Kong. </w:t>
      </w:r>
      <w:r w:rsidRPr="005012F8">
        <w:rPr>
          <w:rFonts w:ascii="Arial" w:hAnsi="Arial" w:cs="Arial"/>
          <w:i/>
          <w:iCs/>
          <w:sz w:val="22"/>
          <w:szCs w:val="22"/>
          <w:lang w:val="en-GB"/>
        </w:rPr>
        <w:t>Scandinavian Journal of Management</w:t>
      </w:r>
      <w:r w:rsidRPr="005012F8">
        <w:rPr>
          <w:rFonts w:ascii="Arial" w:hAnsi="Arial" w:cs="Arial"/>
          <w:sz w:val="22"/>
          <w:szCs w:val="22"/>
          <w:lang w:val="en-GB"/>
        </w:rPr>
        <w:t>, 34(2), pp.117-128.</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Harris, M. </w:t>
      </w:r>
      <w:r w:rsidR="00D65602">
        <w:rPr>
          <w:rFonts w:ascii="Arial" w:hAnsi="Arial" w:cs="Arial"/>
          <w:sz w:val="22"/>
          <w:szCs w:val="22"/>
          <w:lang w:val="en-GB"/>
        </w:rPr>
        <w:t>(</w:t>
      </w:r>
      <w:r w:rsidRPr="005012F8">
        <w:rPr>
          <w:rFonts w:ascii="Arial" w:hAnsi="Arial" w:cs="Arial"/>
          <w:sz w:val="22"/>
          <w:szCs w:val="22"/>
          <w:lang w:val="en-GB"/>
        </w:rPr>
        <w:t>2012</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Handbook </w:t>
      </w:r>
      <w:proofErr w:type="gramStart"/>
      <w:r w:rsidRPr="005012F8">
        <w:rPr>
          <w:rFonts w:ascii="Arial" w:hAnsi="Arial" w:cs="Arial"/>
          <w:i/>
          <w:iCs/>
          <w:sz w:val="22"/>
          <w:szCs w:val="22"/>
          <w:lang w:val="en-GB"/>
        </w:rPr>
        <w:t>Of</w:t>
      </w:r>
      <w:proofErr w:type="gramEnd"/>
      <w:r w:rsidRPr="005012F8">
        <w:rPr>
          <w:rFonts w:ascii="Arial" w:hAnsi="Arial" w:cs="Arial"/>
          <w:i/>
          <w:iCs/>
          <w:sz w:val="22"/>
          <w:szCs w:val="22"/>
          <w:lang w:val="en-GB"/>
        </w:rPr>
        <w:t xml:space="preserve"> Research In International Human Resource Management</w:t>
      </w:r>
      <w:r w:rsidRPr="005012F8">
        <w:rPr>
          <w:rFonts w:ascii="Arial" w:hAnsi="Arial" w:cs="Arial"/>
          <w:sz w:val="22"/>
          <w:szCs w:val="22"/>
          <w:lang w:val="en-GB"/>
        </w:rPr>
        <w:t>. Hoboken: Taylor and Francis.</w:t>
      </w:r>
    </w:p>
    <w:p w:rsidR="005012F8" w:rsidRDefault="005012F8" w:rsidP="005012F8">
      <w:pPr>
        <w:pStyle w:val="NormalWeb"/>
        <w:spacing w:before="0" w:beforeAutospacing="0" w:after="180" w:afterAutospacing="0" w:line="360" w:lineRule="auto"/>
        <w:rPr>
          <w:rFonts w:ascii="Arial" w:hAnsi="Arial" w:cs="Arial"/>
          <w:sz w:val="22"/>
          <w:szCs w:val="22"/>
        </w:rPr>
      </w:pPr>
      <w:r w:rsidRPr="005012F8">
        <w:rPr>
          <w:rFonts w:ascii="Arial" w:hAnsi="Arial" w:cs="Arial"/>
          <w:sz w:val="22"/>
          <w:szCs w:val="22"/>
        </w:rPr>
        <w:t xml:space="preserve">Jordan, J. and Cartwright, S. </w:t>
      </w:r>
      <w:r w:rsidR="00D65602">
        <w:rPr>
          <w:rFonts w:ascii="Arial" w:hAnsi="Arial" w:cs="Arial"/>
          <w:sz w:val="22"/>
          <w:szCs w:val="22"/>
        </w:rPr>
        <w:t>(</w:t>
      </w:r>
      <w:r w:rsidRPr="005012F8">
        <w:rPr>
          <w:rFonts w:ascii="Arial" w:hAnsi="Arial" w:cs="Arial"/>
          <w:sz w:val="22"/>
          <w:szCs w:val="22"/>
        </w:rPr>
        <w:t>1998</w:t>
      </w:r>
      <w:r w:rsidR="00D65602">
        <w:rPr>
          <w:rFonts w:ascii="Arial" w:hAnsi="Arial" w:cs="Arial"/>
          <w:sz w:val="22"/>
          <w:szCs w:val="22"/>
        </w:rPr>
        <w:t>)</w:t>
      </w:r>
      <w:r w:rsidRPr="005012F8">
        <w:rPr>
          <w:rFonts w:ascii="Arial" w:hAnsi="Arial" w:cs="Arial"/>
          <w:sz w:val="22"/>
          <w:szCs w:val="22"/>
        </w:rPr>
        <w:t xml:space="preserve"> Selecting expatriate managers: key traits and competencies. </w:t>
      </w:r>
      <w:r w:rsidRPr="005012F8">
        <w:rPr>
          <w:rFonts w:ascii="Arial" w:hAnsi="Arial" w:cs="Arial"/>
          <w:i/>
          <w:iCs/>
          <w:sz w:val="22"/>
          <w:szCs w:val="22"/>
        </w:rPr>
        <w:t>Leadership &amp; Organization Development Journal</w:t>
      </w:r>
      <w:r w:rsidRPr="005012F8">
        <w:rPr>
          <w:rFonts w:ascii="Arial" w:hAnsi="Arial" w:cs="Arial"/>
          <w:sz w:val="22"/>
          <w:szCs w:val="22"/>
        </w:rPr>
        <w:t>, 19(2), pp.89-96.</w:t>
      </w:r>
    </w:p>
    <w:p w:rsidR="00CE5978" w:rsidRPr="005012F8" w:rsidRDefault="00CE5978" w:rsidP="005012F8">
      <w:pPr>
        <w:pStyle w:val="NormalWeb"/>
        <w:spacing w:before="0" w:beforeAutospacing="0" w:after="180" w:afterAutospacing="0" w:line="360" w:lineRule="auto"/>
        <w:rPr>
          <w:rFonts w:ascii="Arial" w:hAnsi="Arial" w:cs="Arial"/>
          <w:sz w:val="22"/>
          <w:szCs w:val="22"/>
        </w:rPr>
      </w:pPr>
      <w:r w:rsidRPr="00CE5978">
        <w:rPr>
          <w:rFonts w:ascii="Arial" w:hAnsi="Arial" w:cs="Arial"/>
          <w:sz w:val="22"/>
          <w:szCs w:val="22"/>
        </w:rPr>
        <w:t xml:space="preserve">Leonardelli, G., &amp; Toh, S. (2011) Perceiving expatriate coworkers as foreigners encourages aid: Social categorization and procedural justice together improve intergroup cooperation and dual identity. </w:t>
      </w:r>
      <w:r w:rsidRPr="003E2C01">
        <w:rPr>
          <w:rFonts w:ascii="Arial" w:hAnsi="Arial" w:cs="Arial"/>
          <w:i/>
          <w:iCs/>
          <w:sz w:val="22"/>
          <w:szCs w:val="22"/>
        </w:rPr>
        <w:t>Psychological Science</w:t>
      </w:r>
      <w:r w:rsidRPr="00CE5978">
        <w:rPr>
          <w:rFonts w:ascii="Arial" w:hAnsi="Arial" w:cs="Arial"/>
          <w:sz w:val="22"/>
          <w:szCs w:val="22"/>
        </w:rPr>
        <w:t>, 22(1), 110–117.</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Mendenhall, M., Dunbar, E. and </w:t>
      </w:r>
      <w:proofErr w:type="spellStart"/>
      <w:r w:rsidRPr="005012F8">
        <w:rPr>
          <w:rFonts w:ascii="Arial" w:hAnsi="Arial" w:cs="Arial"/>
          <w:sz w:val="22"/>
          <w:szCs w:val="22"/>
          <w:lang w:val="en-GB"/>
        </w:rPr>
        <w:t>Oddou</w:t>
      </w:r>
      <w:proofErr w:type="spellEnd"/>
      <w:r w:rsidRPr="005012F8">
        <w:rPr>
          <w:rFonts w:ascii="Arial" w:hAnsi="Arial" w:cs="Arial"/>
          <w:sz w:val="22"/>
          <w:szCs w:val="22"/>
          <w:lang w:val="en-GB"/>
        </w:rPr>
        <w:t>, G.</w:t>
      </w:r>
      <w:r w:rsidR="00D65602">
        <w:rPr>
          <w:rFonts w:ascii="Arial" w:hAnsi="Arial" w:cs="Arial"/>
          <w:sz w:val="22"/>
          <w:szCs w:val="22"/>
          <w:lang w:val="en-GB"/>
        </w:rPr>
        <w:t xml:space="preserve"> (</w:t>
      </w:r>
      <w:r w:rsidRPr="005012F8">
        <w:rPr>
          <w:rFonts w:ascii="Arial" w:hAnsi="Arial" w:cs="Arial"/>
          <w:sz w:val="22"/>
          <w:szCs w:val="22"/>
          <w:lang w:val="en-GB"/>
        </w:rPr>
        <w:t>1987</w:t>
      </w:r>
      <w:r w:rsidR="00D65602">
        <w:rPr>
          <w:rFonts w:ascii="Arial" w:hAnsi="Arial" w:cs="Arial"/>
          <w:sz w:val="22"/>
          <w:szCs w:val="22"/>
          <w:lang w:val="en-GB"/>
        </w:rPr>
        <w:t>)</w:t>
      </w:r>
      <w:r w:rsidRPr="005012F8">
        <w:rPr>
          <w:rFonts w:ascii="Arial" w:hAnsi="Arial" w:cs="Arial"/>
          <w:sz w:val="22"/>
          <w:szCs w:val="22"/>
          <w:lang w:val="en-GB"/>
        </w:rPr>
        <w:t xml:space="preserve"> Expatriate Selection, Training and Career-Pathing: A Review and Critique. </w:t>
      </w:r>
      <w:r w:rsidRPr="005012F8">
        <w:rPr>
          <w:rFonts w:ascii="Arial" w:hAnsi="Arial" w:cs="Arial"/>
          <w:i/>
          <w:iCs/>
          <w:sz w:val="22"/>
          <w:szCs w:val="22"/>
          <w:lang w:val="en-GB"/>
        </w:rPr>
        <w:t>Human Resource Management</w:t>
      </w:r>
      <w:r w:rsidRPr="005012F8">
        <w:rPr>
          <w:rFonts w:ascii="Arial" w:hAnsi="Arial" w:cs="Arial"/>
          <w:sz w:val="22"/>
          <w:szCs w:val="22"/>
          <w:lang w:val="en-GB"/>
        </w:rPr>
        <w:t>, 26(3), pp.331-345.</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lastRenderedPageBreak/>
        <w:t xml:space="preserve">Neuman, W. </w:t>
      </w:r>
      <w:r w:rsidR="00D65602">
        <w:rPr>
          <w:rFonts w:ascii="Arial" w:hAnsi="Arial" w:cs="Arial"/>
          <w:sz w:val="22"/>
          <w:szCs w:val="22"/>
          <w:lang w:val="en-GB"/>
        </w:rPr>
        <w:t>(</w:t>
      </w:r>
      <w:r w:rsidRPr="005012F8">
        <w:rPr>
          <w:rFonts w:ascii="Arial" w:hAnsi="Arial" w:cs="Arial"/>
          <w:sz w:val="22"/>
          <w:szCs w:val="22"/>
          <w:lang w:val="en-GB"/>
        </w:rPr>
        <w:t>2003</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Workbook </w:t>
      </w:r>
      <w:proofErr w:type="gramStart"/>
      <w:r w:rsidRPr="005012F8">
        <w:rPr>
          <w:rFonts w:ascii="Arial" w:hAnsi="Arial" w:cs="Arial"/>
          <w:i/>
          <w:iCs/>
          <w:sz w:val="22"/>
          <w:szCs w:val="22"/>
          <w:lang w:val="en-GB"/>
        </w:rPr>
        <w:t>For</w:t>
      </w:r>
      <w:proofErr w:type="gramEnd"/>
      <w:r w:rsidRPr="005012F8">
        <w:rPr>
          <w:rFonts w:ascii="Arial" w:hAnsi="Arial" w:cs="Arial"/>
          <w:i/>
          <w:iCs/>
          <w:sz w:val="22"/>
          <w:szCs w:val="22"/>
          <w:lang w:val="en-GB"/>
        </w:rPr>
        <w:t xml:space="preserve"> Social Research Methods</w:t>
      </w:r>
      <w:r w:rsidRPr="005012F8">
        <w:rPr>
          <w:rFonts w:ascii="Arial" w:hAnsi="Arial" w:cs="Arial"/>
          <w:sz w:val="22"/>
          <w:szCs w:val="22"/>
          <w:lang w:val="en-GB"/>
        </w:rPr>
        <w:t xml:space="preserve">. Boston: </w:t>
      </w:r>
      <w:proofErr w:type="spellStart"/>
      <w:r w:rsidRPr="005012F8">
        <w:rPr>
          <w:rFonts w:ascii="Arial" w:hAnsi="Arial" w:cs="Arial"/>
          <w:sz w:val="22"/>
          <w:szCs w:val="22"/>
          <w:lang w:val="en-GB"/>
        </w:rPr>
        <w:t>Allyn</w:t>
      </w:r>
      <w:proofErr w:type="spellEnd"/>
      <w:r w:rsidRPr="005012F8">
        <w:rPr>
          <w:rFonts w:ascii="Arial" w:hAnsi="Arial" w:cs="Arial"/>
          <w:sz w:val="22"/>
          <w:szCs w:val="22"/>
          <w:lang w:val="en-GB"/>
        </w:rPr>
        <w:t xml:space="preserve"> and Bacon.</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Salgado, J.</w:t>
      </w:r>
      <w:r w:rsidR="00D65602">
        <w:rPr>
          <w:rFonts w:ascii="Arial" w:hAnsi="Arial" w:cs="Arial"/>
          <w:sz w:val="22"/>
          <w:szCs w:val="22"/>
          <w:lang w:val="en-GB"/>
        </w:rPr>
        <w:t xml:space="preserve"> (</w:t>
      </w:r>
      <w:r w:rsidRPr="005012F8">
        <w:rPr>
          <w:rFonts w:ascii="Arial" w:hAnsi="Arial" w:cs="Arial"/>
          <w:sz w:val="22"/>
          <w:szCs w:val="22"/>
          <w:lang w:val="en-GB"/>
        </w:rPr>
        <w:t>2017</w:t>
      </w:r>
      <w:r w:rsidR="00D65602">
        <w:rPr>
          <w:rFonts w:ascii="Arial" w:hAnsi="Arial" w:cs="Arial"/>
          <w:sz w:val="22"/>
          <w:szCs w:val="22"/>
          <w:lang w:val="en-GB"/>
        </w:rPr>
        <w:t>)</w:t>
      </w:r>
      <w:r w:rsidRPr="005012F8">
        <w:rPr>
          <w:rFonts w:ascii="Arial" w:hAnsi="Arial" w:cs="Arial"/>
          <w:sz w:val="22"/>
          <w:szCs w:val="22"/>
          <w:lang w:val="en-GB"/>
        </w:rPr>
        <w:t xml:space="preserve"> Predicting expatriate effectiveness: The role of personality, cross</w:t>
      </w:r>
      <w:r w:rsidRPr="005012F8">
        <w:rPr>
          <w:rFonts w:ascii="Cambria Math" w:hAnsi="Cambria Math" w:cs="Cambria Math"/>
          <w:sz w:val="22"/>
          <w:szCs w:val="22"/>
          <w:lang w:val="en-GB"/>
        </w:rPr>
        <w:t>‐</w:t>
      </w:r>
      <w:r w:rsidRPr="005012F8">
        <w:rPr>
          <w:rFonts w:ascii="Arial" w:hAnsi="Arial" w:cs="Arial"/>
          <w:sz w:val="22"/>
          <w:szCs w:val="22"/>
          <w:lang w:val="en-GB"/>
        </w:rPr>
        <w:t>cultural adjustment, and organisational support. </w:t>
      </w:r>
      <w:r w:rsidRPr="005012F8">
        <w:rPr>
          <w:rFonts w:ascii="Arial" w:hAnsi="Arial" w:cs="Arial"/>
          <w:i/>
          <w:iCs/>
          <w:sz w:val="22"/>
          <w:szCs w:val="22"/>
          <w:lang w:val="en-GB"/>
        </w:rPr>
        <w:t>International Journal of Selection</w:t>
      </w:r>
      <w:r w:rsidRPr="005012F8">
        <w:rPr>
          <w:rFonts w:ascii="Arial" w:hAnsi="Arial" w:cs="Arial"/>
          <w:sz w:val="22"/>
          <w:szCs w:val="22"/>
          <w:lang w:val="en-GB"/>
        </w:rPr>
        <w:t>, 4(4), pp.44-52.</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Saridakis</w:t>
      </w:r>
      <w:proofErr w:type="spellEnd"/>
      <w:r w:rsidRPr="005012F8">
        <w:rPr>
          <w:rFonts w:ascii="Arial" w:hAnsi="Arial" w:cs="Arial"/>
          <w:sz w:val="22"/>
          <w:szCs w:val="22"/>
          <w:lang w:val="en-GB"/>
        </w:rPr>
        <w:t>, G. and Cowling, M.</w:t>
      </w:r>
      <w:r w:rsidR="00D65602">
        <w:rPr>
          <w:rFonts w:ascii="Arial" w:hAnsi="Arial" w:cs="Arial"/>
          <w:sz w:val="22"/>
          <w:szCs w:val="22"/>
          <w:lang w:val="en-GB"/>
        </w:rPr>
        <w:t xml:space="preserve"> (</w:t>
      </w:r>
      <w:r w:rsidRPr="005012F8">
        <w:rPr>
          <w:rFonts w:ascii="Arial" w:hAnsi="Arial" w:cs="Arial"/>
          <w:sz w:val="22"/>
          <w:szCs w:val="22"/>
          <w:lang w:val="en-GB"/>
        </w:rPr>
        <w:t>2020</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Handbook </w:t>
      </w:r>
      <w:proofErr w:type="gramStart"/>
      <w:r w:rsidRPr="005012F8">
        <w:rPr>
          <w:rFonts w:ascii="Arial" w:hAnsi="Arial" w:cs="Arial"/>
          <w:i/>
          <w:iCs/>
          <w:sz w:val="22"/>
          <w:szCs w:val="22"/>
          <w:lang w:val="en-GB"/>
        </w:rPr>
        <w:t>Of</w:t>
      </w:r>
      <w:proofErr w:type="gramEnd"/>
      <w:r w:rsidRPr="005012F8">
        <w:rPr>
          <w:rFonts w:ascii="Arial" w:hAnsi="Arial" w:cs="Arial"/>
          <w:i/>
          <w:iCs/>
          <w:sz w:val="22"/>
          <w:szCs w:val="22"/>
          <w:lang w:val="en-GB"/>
        </w:rPr>
        <w:t xml:space="preserve"> Quantitative Research Methods In Entrepreneurship</w:t>
      </w:r>
      <w:r w:rsidRPr="005012F8">
        <w:rPr>
          <w:rFonts w:ascii="Arial" w:hAnsi="Arial" w:cs="Arial"/>
          <w:sz w:val="22"/>
          <w:szCs w:val="22"/>
          <w:lang w:val="en-GB"/>
        </w:rPr>
        <w:t>. Cheltenham, UK: Edward Elgar Publishing Limited.</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Selmer, J. </w:t>
      </w:r>
      <w:r w:rsidR="00D65602">
        <w:rPr>
          <w:rFonts w:ascii="Arial" w:hAnsi="Arial" w:cs="Arial"/>
          <w:sz w:val="22"/>
          <w:szCs w:val="22"/>
          <w:lang w:val="en-GB"/>
        </w:rPr>
        <w:t>(</w:t>
      </w:r>
      <w:r w:rsidRPr="005012F8">
        <w:rPr>
          <w:rFonts w:ascii="Arial" w:hAnsi="Arial" w:cs="Arial"/>
          <w:sz w:val="22"/>
          <w:szCs w:val="22"/>
          <w:lang w:val="en-GB"/>
        </w:rPr>
        <w:t>1995</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Expatriate Management</w:t>
      </w:r>
      <w:r w:rsidRPr="005012F8">
        <w:rPr>
          <w:rFonts w:ascii="Arial" w:hAnsi="Arial" w:cs="Arial"/>
          <w:sz w:val="22"/>
          <w:szCs w:val="22"/>
          <w:lang w:val="en-GB"/>
        </w:rPr>
        <w:t>. Westport, Conn.: Quorum Books.</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Sokro</w:t>
      </w:r>
      <w:proofErr w:type="spellEnd"/>
      <w:r w:rsidRPr="005012F8">
        <w:rPr>
          <w:rFonts w:ascii="Arial" w:hAnsi="Arial" w:cs="Arial"/>
          <w:sz w:val="22"/>
          <w:szCs w:val="22"/>
          <w:lang w:val="en-GB"/>
        </w:rPr>
        <w:t xml:space="preserve">, E. and Pillay, S. </w:t>
      </w:r>
      <w:r w:rsidR="00D65602">
        <w:rPr>
          <w:rFonts w:ascii="Arial" w:hAnsi="Arial" w:cs="Arial"/>
          <w:sz w:val="22"/>
          <w:szCs w:val="22"/>
          <w:lang w:val="en-GB"/>
        </w:rPr>
        <w:t>(</w:t>
      </w:r>
      <w:r w:rsidRPr="005012F8">
        <w:rPr>
          <w:rFonts w:ascii="Arial" w:hAnsi="Arial" w:cs="Arial"/>
          <w:sz w:val="22"/>
          <w:szCs w:val="22"/>
          <w:lang w:val="en-GB"/>
        </w:rPr>
        <w:t>2019</w:t>
      </w:r>
      <w:r w:rsidR="00D65602">
        <w:rPr>
          <w:rFonts w:ascii="Arial" w:hAnsi="Arial" w:cs="Arial"/>
          <w:sz w:val="22"/>
          <w:szCs w:val="22"/>
          <w:lang w:val="en-GB"/>
        </w:rPr>
        <w:t>)</w:t>
      </w:r>
      <w:r w:rsidRPr="005012F8">
        <w:rPr>
          <w:rFonts w:ascii="Arial" w:hAnsi="Arial" w:cs="Arial"/>
          <w:sz w:val="22"/>
          <w:szCs w:val="22"/>
          <w:lang w:val="en-GB"/>
        </w:rPr>
        <w:t xml:space="preserve"> Host Country Nationals' Attitudes, Social Support and Willingness to Work with Expatriates. </w:t>
      </w:r>
      <w:r w:rsidRPr="005012F8">
        <w:rPr>
          <w:rFonts w:ascii="Arial" w:hAnsi="Arial" w:cs="Arial"/>
          <w:i/>
          <w:iCs/>
          <w:sz w:val="22"/>
          <w:szCs w:val="22"/>
          <w:lang w:val="en-GB"/>
        </w:rPr>
        <w:t>Global Business Review</w:t>
      </w:r>
      <w:r w:rsidRPr="005012F8">
        <w:rPr>
          <w:rFonts w:ascii="Arial" w:hAnsi="Arial" w:cs="Arial"/>
          <w:sz w:val="22"/>
          <w:szCs w:val="22"/>
          <w:lang w:val="en-GB"/>
        </w:rPr>
        <w:t>, 21(5), pp.1184-1199.</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Thomas, R. </w:t>
      </w:r>
      <w:r w:rsidR="00D65602">
        <w:rPr>
          <w:rFonts w:ascii="Arial" w:hAnsi="Arial" w:cs="Arial"/>
          <w:sz w:val="22"/>
          <w:szCs w:val="22"/>
          <w:lang w:val="en-GB"/>
        </w:rPr>
        <w:t>(</w:t>
      </w:r>
      <w:r w:rsidRPr="005012F8">
        <w:rPr>
          <w:rFonts w:ascii="Arial" w:hAnsi="Arial" w:cs="Arial"/>
          <w:sz w:val="22"/>
          <w:szCs w:val="22"/>
          <w:lang w:val="en-GB"/>
        </w:rPr>
        <w:t>2003</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Blending Qualitative &amp; Quantitative Research Methods </w:t>
      </w:r>
      <w:proofErr w:type="gramStart"/>
      <w:r w:rsidRPr="005012F8">
        <w:rPr>
          <w:rFonts w:ascii="Arial" w:hAnsi="Arial" w:cs="Arial"/>
          <w:i/>
          <w:iCs/>
          <w:sz w:val="22"/>
          <w:szCs w:val="22"/>
          <w:lang w:val="en-GB"/>
        </w:rPr>
        <w:t>In</w:t>
      </w:r>
      <w:proofErr w:type="gramEnd"/>
      <w:r w:rsidRPr="005012F8">
        <w:rPr>
          <w:rFonts w:ascii="Arial" w:hAnsi="Arial" w:cs="Arial"/>
          <w:i/>
          <w:iCs/>
          <w:sz w:val="22"/>
          <w:szCs w:val="22"/>
          <w:lang w:val="en-GB"/>
        </w:rPr>
        <w:t xml:space="preserve"> Theses And Dissertations</w:t>
      </w:r>
      <w:r w:rsidRPr="005012F8">
        <w:rPr>
          <w:rFonts w:ascii="Arial" w:hAnsi="Arial" w:cs="Arial"/>
          <w:sz w:val="22"/>
          <w:szCs w:val="22"/>
          <w:lang w:val="en-GB"/>
        </w:rPr>
        <w:t>. Thousand Oaks, Calif.: Corwin Press.</w:t>
      </w:r>
    </w:p>
    <w:p w:rsidR="005012F8" w:rsidRPr="005012F8" w:rsidRDefault="005012F8" w:rsidP="005012F8">
      <w:pPr>
        <w:pStyle w:val="NormalWeb"/>
        <w:spacing w:before="0" w:beforeAutospacing="0" w:after="180" w:afterAutospacing="0" w:line="360" w:lineRule="auto"/>
        <w:rPr>
          <w:rFonts w:ascii="Arial" w:hAnsi="Arial" w:cs="Arial"/>
          <w:sz w:val="22"/>
          <w:szCs w:val="22"/>
        </w:rPr>
      </w:pPr>
      <w:r w:rsidRPr="005012F8">
        <w:rPr>
          <w:rFonts w:ascii="Arial" w:hAnsi="Arial" w:cs="Arial"/>
          <w:sz w:val="22"/>
          <w:szCs w:val="22"/>
        </w:rPr>
        <w:t xml:space="preserve">van der Laken, P., van Engen, M., van Veldhoven, M. and Paauwe, J. </w:t>
      </w:r>
      <w:r w:rsidR="00D65602">
        <w:rPr>
          <w:rFonts w:ascii="Arial" w:hAnsi="Arial" w:cs="Arial"/>
          <w:sz w:val="22"/>
          <w:szCs w:val="22"/>
        </w:rPr>
        <w:t>(</w:t>
      </w:r>
      <w:r w:rsidRPr="005012F8">
        <w:rPr>
          <w:rFonts w:ascii="Arial" w:hAnsi="Arial" w:cs="Arial"/>
          <w:sz w:val="22"/>
          <w:szCs w:val="22"/>
        </w:rPr>
        <w:t>2019</w:t>
      </w:r>
      <w:r w:rsidR="00D65602">
        <w:rPr>
          <w:rFonts w:ascii="Arial" w:hAnsi="Arial" w:cs="Arial"/>
          <w:sz w:val="22"/>
          <w:szCs w:val="22"/>
        </w:rPr>
        <w:t>)</w:t>
      </w:r>
      <w:r w:rsidRPr="005012F8">
        <w:rPr>
          <w:rFonts w:ascii="Arial" w:hAnsi="Arial" w:cs="Arial"/>
          <w:sz w:val="22"/>
          <w:szCs w:val="22"/>
        </w:rPr>
        <w:t xml:space="preserve"> Fostering expatriate success: A meta-analysis of the differential benefits of social support. </w:t>
      </w:r>
      <w:r w:rsidRPr="005012F8">
        <w:rPr>
          <w:rFonts w:ascii="Arial" w:hAnsi="Arial" w:cs="Arial"/>
          <w:i/>
          <w:iCs/>
          <w:sz w:val="22"/>
          <w:szCs w:val="22"/>
        </w:rPr>
        <w:t>Human Resource Management Review</w:t>
      </w:r>
      <w:r w:rsidRPr="005012F8">
        <w:rPr>
          <w:rFonts w:ascii="Arial" w:hAnsi="Arial" w:cs="Arial"/>
          <w:sz w:val="22"/>
          <w:szCs w:val="22"/>
        </w:rPr>
        <w:t>, 29(4), pp.100-116.</w:t>
      </w:r>
    </w:p>
    <w:p w:rsid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Vogt, W. </w:t>
      </w:r>
      <w:r w:rsidR="00D65602">
        <w:rPr>
          <w:rFonts w:ascii="Arial" w:hAnsi="Arial" w:cs="Arial"/>
          <w:sz w:val="22"/>
          <w:szCs w:val="22"/>
          <w:lang w:val="en-GB"/>
        </w:rPr>
        <w:t>(</w:t>
      </w:r>
      <w:r w:rsidRPr="005012F8">
        <w:rPr>
          <w:rFonts w:ascii="Arial" w:hAnsi="Arial" w:cs="Arial"/>
          <w:sz w:val="22"/>
          <w:szCs w:val="22"/>
          <w:lang w:val="en-GB"/>
        </w:rPr>
        <w:t>2011</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SAGE Quantitative Research Methods</w:t>
      </w:r>
      <w:r w:rsidRPr="005012F8">
        <w:rPr>
          <w:rFonts w:ascii="Arial" w:hAnsi="Arial" w:cs="Arial"/>
          <w:sz w:val="22"/>
          <w:szCs w:val="22"/>
          <w:lang w:val="en-GB"/>
        </w:rPr>
        <w:t>. London: SAGE.</w:t>
      </w:r>
    </w:p>
    <w:p w:rsidR="00543D84" w:rsidRPr="005012F8" w:rsidRDefault="00543D84" w:rsidP="005012F8">
      <w:pPr>
        <w:pStyle w:val="NormalWeb"/>
        <w:spacing w:before="0" w:beforeAutospacing="0" w:after="180" w:afterAutospacing="0" w:line="360" w:lineRule="auto"/>
        <w:rPr>
          <w:rFonts w:ascii="Arial" w:hAnsi="Arial" w:cs="Arial"/>
          <w:sz w:val="22"/>
          <w:szCs w:val="22"/>
          <w:lang w:val="en-GB"/>
        </w:rPr>
      </w:pPr>
      <w:bookmarkStart w:id="14" w:name="_Hlk57934859"/>
      <w:r w:rsidRPr="00543D84">
        <w:rPr>
          <w:rFonts w:ascii="Arial" w:hAnsi="Arial" w:cs="Arial"/>
          <w:sz w:val="22"/>
          <w:szCs w:val="22"/>
          <w:lang w:val="en-GB"/>
        </w:rPr>
        <w:t xml:space="preserve">Waters, D. and Waters, C. D. J. (2011) </w:t>
      </w:r>
      <w:bookmarkEnd w:id="14"/>
      <w:r w:rsidRPr="003E2C01">
        <w:rPr>
          <w:rFonts w:ascii="Arial" w:hAnsi="Arial" w:cs="Arial"/>
          <w:i/>
          <w:iCs/>
          <w:sz w:val="22"/>
          <w:szCs w:val="22"/>
          <w:lang w:val="en-GB"/>
        </w:rPr>
        <w:t>Quantitative methods for business</w:t>
      </w:r>
      <w:r w:rsidRPr="00543D84">
        <w:rPr>
          <w:rFonts w:ascii="Arial" w:hAnsi="Arial" w:cs="Arial"/>
          <w:sz w:val="22"/>
          <w:szCs w:val="22"/>
          <w:lang w:val="en-GB"/>
        </w:rPr>
        <w:t>. 5th edition. Pearson Education.</w:t>
      </w:r>
    </w:p>
    <w:p w:rsidR="005012F8" w:rsidRPr="005012F8" w:rsidRDefault="005012F8" w:rsidP="005012F8">
      <w:pPr>
        <w:spacing w:line="360" w:lineRule="auto"/>
        <w:rPr>
          <w:rFonts w:ascii="Arial" w:eastAsia="Times New Roman" w:hAnsi="Arial" w:cs="Arial"/>
          <w:sz w:val="22"/>
          <w:lang w:val="en-GB" w:eastAsia="hu-HU"/>
        </w:rPr>
      </w:pPr>
      <w:r w:rsidRPr="005012F8">
        <w:rPr>
          <w:rFonts w:ascii="Arial" w:hAnsi="Arial" w:cs="Arial"/>
          <w:sz w:val="22"/>
          <w:lang w:val="en-GB"/>
        </w:rPr>
        <w:br w:type="page"/>
      </w:r>
    </w:p>
    <w:p w:rsidR="005012F8" w:rsidRPr="005012F8" w:rsidRDefault="005012F8" w:rsidP="005012F8">
      <w:pPr>
        <w:pStyle w:val="Heading1"/>
        <w:spacing w:line="360" w:lineRule="auto"/>
        <w:rPr>
          <w:rFonts w:ascii="Arial" w:hAnsi="Arial" w:cs="Arial"/>
          <w:color w:val="auto"/>
          <w:sz w:val="22"/>
          <w:szCs w:val="22"/>
          <w:lang w:val="en-GB"/>
        </w:rPr>
      </w:pPr>
      <w:bookmarkStart w:id="15" w:name="_Toc57179119"/>
      <w:r w:rsidRPr="005012F8">
        <w:rPr>
          <w:rFonts w:ascii="Arial" w:hAnsi="Arial" w:cs="Arial"/>
          <w:color w:val="auto"/>
          <w:sz w:val="22"/>
          <w:szCs w:val="22"/>
          <w:lang w:val="en-GB"/>
        </w:rPr>
        <w:lastRenderedPageBreak/>
        <w:t>Appendices – Links</w:t>
      </w:r>
      <w:bookmarkEnd w:id="15"/>
    </w:p>
    <w:p w:rsidR="005012F8" w:rsidRPr="005012F8" w:rsidRDefault="005012F8" w:rsidP="005012F8">
      <w:pPr>
        <w:spacing w:line="360" w:lineRule="auto"/>
        <w:rPr>
          <w:rFonts w:ascii="Arial" w:hAnsi="Arial" w:cs="Arial"/>
          <w:sz w:val="22"/>
          <w:lang w:val="en-GB"/>
        </w:rPr>
      </w:pPr>
    </w:p>
    <w:p w:rsidR="005012F8" w:rsidRPr="005012F8" w:rsidRDefault="005012F8" w:rsidP="005012F8">
      <w:pPr>
        <w:pStyle w:val="ListParagraph"/>
        <w:numPr>
          <w:ilvl w:val="0"/>
          <w:numId w:val="2"/>
        </w:numPr>
        <w:spacing w:line="360" w:lineRule="auto"/>
        <w:rPr>
          <w:rFonts w:ascii="Arial" w:hAnsi="Arial" w:cs="Arial"/>
          <w:sz w:val="22"/>
          <w:lang w:val="en-GB"/>
        </w:rPr>
      </w:pPr>
      <w:hyperlink r:id="rId6" w:history="1">
        <w:r w:rsidRPr="005012F8">
          <w:rPr>
            <w:rStyle w:val="Hyperlink"/>
            <w:rFonts w:ascii="Arial" w:hAnsi="Arial" w:cs="Arial"/>
            <w:color w:val="auto"/>
            <w:sz w:val="22"/>
            <w:lang w:val="en-GB"/>
          </w:rPr>
          <w:t>https://journals.sagepub.com/do</w:t>
        </w:r>
        <w:r w:rsidRPr="005012F8">
          <w:rPr>
            <w:rStyle w:val="Hyperlink"/>
            <w:rFonts w:ascii="Arial" w:hAnsi="Arial" w:cs="Arial"/>
            <w:color w:val="auto"/>
            <w:sz w:val="22"/>
            <w:lang w:val="en-GB"/>
          </w:rPr>
          <w:t>i</w:t>
        </w:r>
        <w:r w:rsidRPr="005012F8">
          <w:rPr>
            <w:rStyle w:val="Hyperlink"/>
            <w:rFonts w:ascii="Arial" w:hAnsi="Arial" w:cs="Arial"/>
            <w:color w:val="auto"/>
            <w:sz w:val="22"/>
            <w:lang w:val="en-GB"/>
          </w:rPr>
          <w:t>/10.1177/0972150919857012</w:t>
        </w:r>
      </w:hyperlink>
    </w:p>
    <w:p w:rsidR="005012F8" w:rsidRPr="005012F8" w:rsidRDefault="005012F8" w:rsidP="005012F8">
      <w:pPr>
        <w:spacing w:line="360" w:lineRule="auto"/>
        <w:rPr>
          <w:rFonts w:ascii="Arial" w:hAnsi="Arial" w:cs="Arial"/>
          <w:sz w:val="22"/>
          <w:lang w:val="en-GB"/>
        </w:rPr>
      </w:pPr>
    </w:p>
    <w:p w:rsidR="005012F8" w:rsidRPr="005012F8" w:rsidRDefault="005012F8" w:rsidP="005012F8">
      <w:pPr>
        <w:pStyle w:val="ListParagraph"/>
        <w:numPr>
          <w:ilvl w:val="0"/>
          <w:numId w:val="2"/>
        </w:numPr>
        <w:spacing w:line="360" w:lineRule="auto"/>
        <w:rPr>
          <w:rFonts w:ascii="Arial" w:hAnsi="Arial" w:cs="Arial"/>
          <w:sz w:val="22"/>
          <w:lang w:val="en-GB"/>
        </w:rPr>
      </w:pPr>
      <w:hyperlink r:id="rId7" w:history="1">
        <w:r w:rsidRPr="005012F8">
          <w:rPr>
            <w:rStyle w:val="Hyperlink"/>
            <w:rFonts w:ascii="Arial" w:hAnsi="Arial" w:cs="Arial"/>
            <w:color w:val="auto"/>
            <w:sz w:val="22"/>
            <w:lang w:val="en-GB"/>
          </w:rPr>
          <w:t>https://www.emerald.com/insight/content/doi/10.1108/EDI-01-2013-0001/full/html</w:t>
        </w:r>
      </w:hyperlink>
    </w:p>
    <w:p w:rsidR="005012F8" w:rsidRPr="005012F8" w:rsidRDefault="005012F8" w:rsidP="005012F8">
      <w:pPr>
        <w:spacing w:line="360" w:lineRule="auto"/>
        <w:rPr>
          <w:rFonts w:ascii="Arial" w:hAnsi="Arial" w:cs="Arial"/>
          <w:sz w:val="22"/>
          <w:lang w:val="en-GB"/>
        </w:rPr>
      </w:pPr>
    </w:p>
    <w:p w:rsidR="005012F8" w:rsidRPr="005012F8" w:rsidRDefault="005012F8" w:rsidP="005012F8">
      <w:pPr>
        <w:spacing w:line="360" w:lineRule="auto"/>
        <w:rPr>
          <w:rFonts w:ascii="Arial" w:hAnsi="Arial" w:cs="Arial"/>
          <w:sz w:val="22"/>
          <w:lang w:val="en-GB"/>
        </w:rPr>
      </w:pPr>
    </w:p>
    <w:p w:rsidR="005012F8" w:rsidRPr="005012F8" w:rsidRDefault="005012F8" w:rsidP="005012F8">
      <w:pPr>
        <w:spacing w:line="360" w:lineRule="auto"/>
        <w:rPr>
          <w:rFonts w:ascii="Arial" w:hAnsi="Arial" w:cs="Arial"/>
          <w:sz w:val="22"/>
          <w:lang w:val="en-GB"/>
        </w:rPr>
      </w:pP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
    <w:p w:rsidR="005012F8" w:rsidRPr="005012F8" w:rsidRDefault="005012F8" w:rsidP="005012F8">
      <w:pPr>
        <w:spacing w:line="360" w:lineRule="auto"/>
        <w:rPr>
          <w:rFonts w:ascii="Arial" w:hAnsi="Arial" w:cs="Arial"/>
          <w:sz w:val="22"/>
        </w:rPr>
      </w:pPr>
    </w:p>
    <w:sectPr w:rsidR="005012F8" w:rsidRPr="005012F8">
      <w:footerReference w:type="default" r:id="rId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108952"/>
      <w:docPartObj>
        <w:docPartGallery w:val="Page Numbers (Bottom of Page)"/>
        <w:docPartUnique/>
      </w:docPartObj>
    </w:sdtPr>
    <w:sdtEndPr/>
    <w:sdtContent>
      <w:p w:rsidR="00582223" w:rsidRDefault="00D653FC">
        <w:pPr>
          <w:pStyle w:val="Footer"/>
          <w:jc w:val="center"/>
        </w:pPr>
        <w:r>
          <w:fldChar w:fldCharType="begin"/>
        </w:r>
        <w:r>
          <w:instrText>PAGE   \* MERGEFORMAT</w:instrText>
        </w:r>
        <w:r>
          <w:fldChar w:fldCharType="separate"/>
        </w:r>
        <w:r>
          <w:rPr>
            <w:noProof/>
          </w:rPr>
          <w:t>16</w:t>
        </w:r>
        <w:r>
          <w:fldChar w:fldCharType="end"/>
        </w:r>
      </w:p>
    </w:sdtContent>
  </w:sdt>
  <w:p w:rsidR="00582223" w:rsidRDefault="00D653F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2C13"/>
    <w:multiLevelType w:val="hybridMultilevel"/>
    <w:tmpl w:val="760C0D3C"/>
    <w:lvl w:ilvl="0" w:tplc="040E0011">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70874663"/>
    <w:multiLevelType w:val="hybridMultilevel"/>
    <w:tmpl w:val="1B5CFD38"/>
    <w:lvl w:ilvl="0" w:tplc="040E0011">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2F8"/>
    <w:rsid w:val="00234748"/>
    <w:rsid w:val="00264097"/>
    <w:rsid w:val="003D4F16"/>
    <w:rsid w:val="003E2C01"/>
    <w:rsid w:val="004B4974"/>
    <w:rsid w:val="005012F8"/>
    <w:rsid w:val="00543D84"/>
    <w:rsid w:val="00593EC9"/>
    <w:rsid w:val="00667CDB"/>
    <w:rsid w:val="00704810"/>
    <w:rsid w:val="007B6247"/>
    <w:rsid w:val="007C0BAB"/>
    <w:rsid w:val="00852585"/>
    <w:rsid w:val="00A42DA0"/>
    <w:rsid w:val="00B25FE8"/>
    <w:rsid w:val="00BB4A74"/>
    <w:rsid w:val="00BC5EB0"/>
    <w:rsid w:val="00CE5978"/>
    <w:rsid w:val="00D36224"/>
    <w:rsid w:val="00D465F8"/>
    <w:rsid w:val="00D653FC"/>
    <w:rsid w:val="00D65602"/>
    <w:rsid w:val="00DA7D01"/>
    <w:rsid w:val="00EB103C"/>
    <w:rsid w:val="00F03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6D269"/>
  <w15:chartTrackingRefBased/>
  <w15:docId w15:val="{332E53DB-1C55-49A7-948A-1F3AC46E4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2F8"/>
    <w:rPr>
      <w:rFonts w:ascii="Times New Roman" w:hAnsi="Times New Roman"/>
      <w:sz w:val="24"/>
      <w:lang w:val="hu-HU"/>
    </w:rPr>
  </w:style>
  <w:style w:type="paragraph" w:styleId="Heading1">
    <w:name w:val="heading 1"/>
    <w:basedOn w:val="Normal"/>
    <w:next w:val="Normal"/>
    <w:link w:val="Heading1Char"/>
    <w:uiPriority w:val="9"/>
    <w:qFormat/>
    <w:rsid w:val="00501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12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2F8"/>
    <w:rPr>
      <w:rFonts w:asciiTheme="majorHAnsi" w:eastAsiaTheme="majorEastAsia" w:hAnsiTheme="majorHAnsi" w:cstheme="majorBidi"/>
      <w:color w:val="2F5496" w:themeColor="accent1" w:themeShade="BF"/>
      <w:sz w:val="32"/>
      <w:szCs w:val="32"/>
      <w:lang w:val="hu-HU"/>
    </w:rPr>
  </w:style>
  <w:style w:type="character" w:customStyle="1" w:styleId="Heading2Char">
    <w:name w:val="Heading 2 Char"/>
    <w:basedOn w:val="DefaultParagraphFont"/>
    <w:link w:val="Heading2"/>
    <w:uiPriority w:val="9"/>
    <w:rsid w:val="005012F8"/>
    <w:rPr>
      <w:rFonts w:asciiTheme="majorHAnsi" w:eastAsiaTheme="majorEastAsia" w:hAnsiTheme="majorHAnsi" w:cstheme="majorBidi"/>
      <w:color w:val="2F5496" w:themeColor="accent1" w:themeShade="BF"/>
      <w:sz w:val="26"/>
      <w:szCs w:val="26"/>
      <w:lang w:val="hu-HU"/>
    </w:rPr>
  </w:style>
  <w:style w:type="paragraph" w:styleId="TOCHeading">
    <w:name w:val="TOC Heading"/>
    <w:basedOn w:val="Heading1"/>
    <w:next w:val="Normal"/>
    <w:uiPriority w:val="39"/>
    <w:unhideWhenUsed/>
    <w:qFormat/>
    <w:rsid w:val="005012F8"/>
    <w:pPr>
      <w:outlineLvl w:val="9"/>
    </w:pPr>
    <w:rPr>
      <w:lang w:eastAsia="hu-HU"/>
    </w:rPr>
  </w:style>
  <w:style w:type="paragraph" w:styleId="TOC1">
    <w:name w:val="toc 1"/>
    <w:basedOn w:val="Normal"/>
    <w:next w:val="Normal"/>
    <w:autoRedefine/>
    <w:uiPriority w:val="39"/>
    <w:unhideWhenUsed/>
    <w:rsid w:val="005012F8"/>
    <w:pPr>
      <w:spacing w:after="100"/>
    </w:pPr>
  </w:style>
  <w:style w:type="character" w:styleId="Hyperlink">
    <w:name w:val="Hyperlink"/>
    <w:basedOn w:val="DefaultParagraphFont"/>
    <w:uiPriority w:val="99"/>
    <w:unhideWhenUsed/>
    <w:rsid w:val="005012F8"/>
    <w:rPr>
      <w:color w:val="0563C1" w:themeColor="hyperlink"/>
      <w:u w:val="single"/>
    </w:rPr>
  </w:style>
  <w:style w:type="paragraph" w:styleId="Footer">
    <w:name w:val="footer"/>
    <w:basedOn w:val="Normal"/>
    <w:link w:val="FooterChar"/>
    <w:uiPriority w:val="99"/>
    <w:unhideWhenUsed/>
    <w:rsid w:val="005012F8"/>
    <w:pPr>
      <w:tabs>
        <w:tab w:val="center" w:pos="4536"/>
        <w:tab w:val="right" w:pos="9072"/>
      </w:tabs>
      <w:spacing w:after="0" w:line="240" w:lineRule="auto"/>
    </w:pPr>
  </w:style>
  <w:style w:type="character" w:customStyle="1" w:styleId="FooterChar">
    <w:name w:val="Footer Char"/>
    <w:basedOn w:val="DefaultParagraphFont"/>
    <w:link w:val="Footer"/>
    <w:uiPriority w:val="99"/>
    <w:rsid w:val="005012F8"/>
    <w:rPr>
      <w:rFonts w:ascii="Times New Roman" w:hAnsi="Times New Roman"/>
      <w:sz w:val="24"/>
      <w:lang w:val="hu-HU"/>
    </w:rPr>
  </w:style>
  <w:style w:type="paragraph" w:styleId="ListParagraph">
    <w:name w:val="List Paragraph"/>
    <w:basedOn w:val="Normal"/>
    <w:uiPriority w:val="34"/>
    <w:qFormat/>
    <w:rsid w:val="005012F8"/>
    <w:pPr>
      <w:ind w:left="720"/>
      <w:contextualSpacing/>
    </w:pPr>
  </w:style>
  <w:style w:type="paragraph" w:styleId="Caption">
    <w:name w:val="caption"/>
    <w:basedOn w:val="Normal"/>
    <w:next w:val="Normal"/>
    <w:uiPriority w:val="35"/>
    <w:unhideWhenUsed/>
    <w:qFormat/>
    <w:rsid w:val="005012F8"/>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5012F8"/>
    <w:pPr>
      <w:spacing w:after="100"/>
      <w:ind w:left="240"/>
    </w:pPr>
  </w:style>
  <w:style w:type="paragraph" w:styleId="NormalWeb">
    <w:name w:val="Normal (Web)"/>
    <w:basedOn w:val="Normal"/>
    <w:uiPriority w:val="99"/>
    <w:unhideWhenUsed/>
    <w:rsid w:val="005012F8"/>
    <w:pPr>
      <w:spacing w:before="100" w:beforeAutospacing="1" w:after="100" w:afterAutospacing="1" w:line="240" w:lineRule="auto"/>
    </w:pPr>
    <w:rPr>
      <w:rFonts w:eastAsia="Times New Roman" w:cs="Times New Roman"/>
      <w:szCs w:val="24"/>
      <w:lang w:eastAsia="hu-HU"/>
    </w:rPr>
  </w:style>
  <w:style w:type="character" w:styleId="FollowedHyperlink">
    <w:name w:val="FollowedHyperlink"/>
    <w:basedOn w:val="DefaultParagraphFont"/>
    <w:uiPriority w:val="99"/>
    <w:semiHidden/>
    <w:unhideWhenUsed/>
    <w:rsid w:val="003E2C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085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merald.com/insight/content/doi/10.1108/EDI-01-2013-0001/ful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10.1177/0972150919857012"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4668</Words>
  <Characters>26611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2020-12-04T01:02:00Z</dcterms:created>
  <dcterms:modified xsi:type="dcterms:W3CDTF">2020-12-04T01:02:00Z</dcterms:modified>
</cp:coreProperties>
</file>