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443A481B"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CF6737">
        <w:rPr>
          <w:rFonts w:ascii="Arial" w:hAnsi="Arial" w:cs="Arial"/>
          <w:sz w:val="28"/>
          <w:szCs w:val="28"/>
        </w:rPr>
        <w:t>2417</w:t>
      </w:r>
      <w:r w:rsidR="00E12E65">
        <w:rPr>
          <w:rFonts w:ascii="Arial" w:hAnsi="Arial" w:cs="Arial"/>
          <w:sz w:val="28"/>
          <w:szCs w:val="28"/>
        </w:rPr>
        <w:t>904</w:t>
      </w:r>
    </w:p>
    <w:p w14:paraId="01D5D8DB" w14:textId="03ED09ED" w:rsidR="00FF5B70" w:rsidRPr="00AD0E8D" w:rsidRDefault="00FF5B70" w:rsidP="00041A5A">
      <w:pPr>
        <w:spacing w:line="360" w:lineRule="auto"/>
        <w:rPr>
          <w:rFonts w:ascii="Arial" w:hAnsi="Arial" w:cs="Arial"/>
          <w:sz w:val="28"/>
          <w:szCs w:val="28"/>
        </w:rPr>
      </w:pPr>
    </w:p>
    <w:p w14:paraId="37A27DB3" w14:textId="44D66117"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proofErr w:type="spellStart"/>
      <w:r w:rsidR="00E12E65">
        <w:rPr>
          <w:rFonts w:ascii="Arial" w:hAnsi="Arial" w:cs="Arial"/>
          <w:sz w:val="28"/>
          <w:szCs w:val="28"/>
        </w:rPr>
        <w:t>Bouadoua</w:t>
      </w:r>
      <w:proofErr w:type="spellEnd"/>
      <w:r w:rsidR="00E12E65">
        <w:rPr>
          <w:rFonts w:ascii="Arial" w:hAnsi="Arial" w:cs="Arial"/>
          <w:sz w:val="28"/>
          <w:szCs w:val="28"/>
        </w:rPr>
        <w:t xml:space="preserve"> sylvie kouao</w:t>
      </w:r>
    </w:p>
    <w:p w14:paraId="638A4615" w14:textId="77777777" w:rsidR="00715990" w:rsidRPr="00AD0E8D" w:rsidRDefault="00715990" w:rsidP="00041A5A">
      <w:pPr>
        <w:spacing w:line="360" w:lineRule="auto"/>
        <w:rPr>
          <w:rFonts w:ascii="Arial" w:hAnsi="Arial" w:cs="Arial"/>
          <w:sz w:val="28"/>
          <w:szCs w:val="28"/>
        </w:rPr>
      </w:pPr>
    </w:p>
    <w:p w14:paraId="0B04E018" w14:textId="07873147"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E12E65">
        <w:rPr>
          <w:rFonts w:ascii="Arial" w:hAnsi="Arial" w:cs="Arial"/>
          <w:sz w:val="28"/>
          <w:szCs w:val="28"/>
        </w:rPr>
        <w:t>10/07/2026</w:t>
      </w:r>
    </w:p>
    <w:p w14:paraId="19AA26A9" w14:textId="2F99F205" w:rsidR="00FF5B70" w:rsidRPr="00AD0E8D" w:rsidRDefault="00FF5B70" w:rsidP="00041A5A">
      <w:pPr>
        <w:spacing w:line="360" w:lineRule="auto"/>
        <w:rPr>
          <w:rFonts w:ascii="Arial" w:hAnsi="Arial" w:cs="Arial"/>
          <w:sz w:val="28"/>
          <w:szCs w:val="28"/>
        </w:rPr>
      </w:pPr>
    </w:p>
    <w:p w14:paraId="3FE66E60" w14:textId="07CA20BA"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0D3243">
        <w:rPr>
          <w:rFonts w:ascii="Segoe UI" w:hAnsi="Segoe UI" w:cs="Segoe UI"/>
          <w:color w:val="1D2125"/>
          <w:sz w:val="36"/>
          <w:szCs w:val="36"/>
          <w:shd w:val="clear" w:color="auto" w:fill="FFFFFF"/>
        </w:rPr>
        <w:t> </w:t>
      </w:r>
      <w:r w:rsidR="000D3243" w:rsidRPr="000D3243">
        <w:rPr>
          <w:rStyle w:val="Strong"/>
          <w:rFonts w:ascii="Segoe UI" w:hAnsi="Segoe UI" w:cs="Segoe UI"/>
          <w:b w:val="0"/>
          <w:bCs w:val="0"/>
          <w:color w:val="1D2125"/>
          <w:sz w:val="28"/>
          <w:szCs w:val="28"/>
          <w:shd w:val="clear" w:color="auto" w:fill="FFFFFF"/>
        </w:rPr>
        <w:t>Muhammed Khan</w:t>
      </w:r>
    </w:p>
    <w:p w14:paraId="5BD313B6" w14:textId="4BA804DC" w:rsidR="00715990" w:rsidRPr="00AD0E8D" w:rsidRDefault="00715990" w:rsidP="00041A5A">
      <w:pPr>
        <w:spacing w:line="360" w:lineRule="auto"/>
        <w:rPr>
          <w:rFonts w:ascii="Arial" w:hAnsi="Arial" w:cs="Arial"/>
          <w:sz w:val="22"/>
        </w:rPr>
      </w:pPr>
    </w:p>
    <w:p w14:paraId="7936B259" w14:textId="77777777" w:rsidR="0051103B" w:rsidRDefault="0051103B" w:rsidP="0051103B">
      <w:pPr>
        <w:spacing w:line="360" w:lineRule="auto"/>
        <w:rPr>
          <w:rFonts w:ascii="Arial" w:hAnsi="Arial" w:cs="Arial"/>
          <w:sz w:val="22"/>
        </w:rPr>
      </w:pPr>
    </w:p>
    <w:p w14:paraId="36C425AC" w14:textId="77777777" w:rsidR="0051103B" w:rsidRDefault="0051103B" w:rsidP="0051103B">
      <w:pPr>
        <w:spacing w:line="360" w:lineRule="auto"/>
        <w:rPr>
          <w:rFonts w:ascii="Arial" w:hAnsi="Arial" w:cs="Arial"/>
          <w:sz w:val="22"/>
        </w:rPr>
      </w:pPr>
    </w:p>
    <w:p w14:paraId="1FBD3D1C" w14:textId="77777777" w:rsidR="0051103B" w:rsidRDefault="0051103B" w:rsidP="0051103B">
      <w:pPr>
        <w:spacing w:line="360" w:lineRule="auto"/>
        <w:rPr>
          <w:rFonts w:ascii="Arial" w:hAnsi="Arial" w:cs="Arial"/>
          <w:sz w:val="22"/>
        </w:rPr>
      </w:pPr>
    </w:p>
    <w:p w14:paraId="18745601" w14:textId="77777777" w:rsidR="0051103B" w:rsidRDefault="0051103B" w:rsidP="0051103B">
      <w:pPr>
        <w:spacing w:line="360" w:lineRule="auto"/>
        <w:rPr>
          <w:rFonts w:ascii="Arial" w:hAnsi="Arial" w:cs="Arial"/>
          <w:sz w:val="22"/>
        </w:rPr>
      </w:pPr>
    </w:p>
    <w:p w14:paraId="1836C108" w14:textId="77777777" w:rsidR="0051103B" w:rsidRDefault="0051103B" w:rsidP="0051103B">
      <w:pPr>
        <w:spacing w:line="360" w:lineRule="auto"/>
        <w:rPr>
          <w:rFonts w:ascii="Arial" w:hAnsi="Arial" w:cs="Arial"/>
          <w:sz w:val="22"/>
        </w:rPr>
      </w:pPr>
    </w:p>
    <w:p w14:paraId="6D0BC0AD" w14:textId="77777777" w:rsidR="0051103B" w:rsidRDefault="0051103B" w:rsidP="0051103B">
      <w:pPr>
        <w:spacing w:line="360" w:lineRule="auto"/>
        <w:rPr>
          <w:rFonts w:ascii="Arial" w:hAnsi="Arial" w:cs="Arial"/>
          <w:sz w:val="22"/>
        </w:rPr>
      </w:pPr>
    </w:p>
    <w:p w14:paraId="4A2F7F56" w14:textId="77777777" w:rsidR="0051103B" w:rsidRDefault="0051103B" w:rsidP="0051103B">
      <w:pPr>
        <w:spacing w:line="360" w:lineRule="auto"/>
        <w:rPr>
          <w:rFonts w:ascii="Arial" w:hAnsi="Arial" w:cs="Arial"/>
          <w:sz w:val="22"/>
        </w:rPr>
      </w:pPr>
    </w:p>
    <w:p w14:paraId="543AF1AF" w14:textId="77777777" w:rsidR="0051103B" w:rsidRDefault="0051103B" w:rsidP="0051103B">
      <w:pPr>
        <w:spacing w:line="360" w:lineRule="auto"/>
        <w:rPr>
          <w:rFonts w:ascii="Arial" w:hAnsi="Arial" w:cs="Arial"/>
          <w:sz w:val="22"/>
        </w:rPr>
      </w:pPr>
    </w:p>
    <w:p w14:paraId="39C51AA6" w14:textId="3B3B9919" w:rsidR="007A6E15" w:rsidRPr="000F39F7" w:rsidRDefault="00A630D3" w:rsidP="007A6E15">
      <w:pPr>
        <w:spacing w:line="360" w:lineRule="auto"/>
        <w:rPr>
          <w:rFonts w:eastAsia="Times New Roman" w:cs="Times New Roman"/>
          <w:b/>
          <w:bCs/>
          <w:sz w:val="27"/>
          <w:szCs w:val="27"/>
          <w:lang w:eastAsia="en-GB"/>
        </w:rPr>
      </w:pPr>
      <w:r w:rsidRPr="000F143D">
        <w:rPr>
          <w:rFonts w:ascii="Arial" w:hAnsi="Arial" w:cs="Arial"/>
          <w:b/>
          <w:bCs/>
          <w:sz w:val="32"/>
          <w:szCs w:val="32"/>
        </w:rPr>
        <w:lastRenderedPageBreak/>
        <w:t xml:space="preserve">  </w:t>
      </w:r>
    </w:p>
    <w:p w14:paraId="7DA50296" w14:textId="6DFA8BCB" w:rsidR="005E019B" w:rsidRPr="0051103B" w:rsidRDefault="005E019B" w:rsidP="0051103B">
      <w:pPr>
        <w:spacing w:line="360" w:lineRule="auto"/>
        <w:rPr>
          <w:rFonts w:ascii="Arial" w:hAnsi="Arial" w:cs="Arial"/>
          <w:sz w:val="22"/>
        </w:rPr>
      </w:pPr>
      <w:r w:rsidRPr="005E019B">
        <w:rPr>
          <w:rFonts w:ascii="Arial" w:eastAsia="Times New Roman" w:hAnsi="Arial" w:cs="Arial"/>
          <w:b/>
          <w:bCs/>
          <w:kern w:val="36"/>
          <w:sz w:val="32"/>
          <w:szCs w:val="32"/>
          <w:lang w:eastAsia="en-GB"/>
        </w:rPr>
        <w:t>Residential Care Barriers Contributing to Delayed Hospital Discharge in the UK: A Scoping Review</w:t>
      </w:r>
    </w:p>
    <w:p w14:paraId="3E613957" w14:textId="6B35CAD7" w:rsidR="005E019B" w:rsidRPr="005E019B" w:rsidRDefault="004D2F0B" w:rsidP="005E019B">
      <w:pPr>
        <w:spacing w:before="100" w:beforeAutospacing="1" w:after="100" w:afterAutospacing="1" w:line="240" w:lineRule="auto"/>
        <w:outlineLvl w:val="1"/>
        <w:rPr>
          <w:rFonts w:ascii="Arial" w:eastAsia="Times New Roman" w:hAnsi="Arial" w:cs="Arial"/>
          <w:b/>
          <w:bCs/>
          <w:szCs w:val="24"/>
          <w:lang w:eastAsia="en-GB"/>
        </w:rPr>
      </w:pPr>
      <w:r>
        <w:rPr>
          <w:rFonts w:ascii="Arial" w:eastAsia="Times New Roman" w:hAnsi="Arial" w:cs="Arial"/>
          <w:b/>
          <w:bCs/>
          <w:szCs w:val="24"/>
          <w:lang w:eastAsia="en-GB"/>
        </w:rPr>
        <w:t>1)</w:t>
      </w:r>
      <w:r w:rsidR="005E019B" w:rsidRPr="005E019B">
        <w:rPr>
          <w:rFonts w:ascii="Arial" w:eastAsia="Times New Roman" w:hAnsi="Arial" w:cs="Arial"/>
          <w:b/>
          <w:bCs/>
          <w:szCs w:val="24"/>
          <w:lang w:eastAsia="en-GB"/>
        </w:rPr>
        <w:t>Review Question</w:t>
      </w:r>
    </w:p>
    <w:p w14:paraId="32E19A65" w14:textId="4ED02CE1" w:rsidR="005E019B" w:rsidRPr="005E019B" w:rsidRDefault="005E019B" w:rsidP="005E019B">
      <w:p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t>What residential care-related factors contribute to delayed hospital discharge in the UK?</w:t>
      </w:r>
    </w:p>
    <w:p w14:paraId="13ECDBBA" w14:textId="45039632" w:rsidR="005E019B" w:rsidRPr="005E019B" w:rsidRDefault="004D2F0B" w:rsidP="005E019B">
      <w:pPr>
        <w:spacing w:before="100" w:beforeAutospacing="1" w:after="100" w:afterAutospacing="1" w:line="240" w:lineRule="auto"/>
        <w:outlineLvl w:val="1"/>
        <w:rPr>
          <w:rFonts w:ascii="Arial" w:eastAsia="Times New Roman" w:hAnsi="Arial" w:cs="Arial"/>
          <w:b/>
          <w:bCs/>
          <w:szCs w:val="24"/>
          <w:lang w:eastAsia="en-GB"/>
        </w:rPr>
      </w:pPr>
      <w:r>
        <w:rPr>
          <w:rFonts w:ascii="Arial" w:eastAsia="Times New Roman" w:hAnsi="Arial" w:cs="Arial"/>
          <w:b/>
          <w:bCs/>
          <w:szCs w:val="24"/>
          <w:lang w:eastAsia="en-GB"/>
        </w:rPr>
        <w:t>2)</w:t>
      </w:r>
      <w:r w:rsidR="005E019B" w:rsidRPr="005E019B">
        <w:rPr>
          <w:rFonts w:ascii="Arial" w:eastAsia="Times New Roman" w:hAnsi="Arial" w:cs="Arial"/>
          <w:b/>
          <w:bCs/>
          <w:szCs w:val="24"/>
          <w:lang w:eastAsia="en-GB"/>
        </w:rPr>
        <w:t>Rationale</w:t>
      </w:r>
    </w:p>
    <w:p w14:paraId="00B6298B" w14:textId="5ECCDFB0" w:rsidR="005E019B" w:rsidRPr="005E019B" w:rsidRDefault="005E019B" w:rsidP="005E019B">
      <w:p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t>Delayed hospital discharge, often referred to as delayed transfers of care (DTOCs), remains a major challenge within the UK health and social care system. NHS England reports that many delays occur because patients are waiting for residential or nursing home placements, care assessments, or community support packages. Evidence suggests that limited residential care capacity, workforce shortages, and funding pressures significantly contribute to these delays (Glasby et al., 2021). As a result, hospital bed occupancy increases, healthcare costs rise, and patient outcomes may worsen, particularly among older adults who are more vulnerable to functional decline during prolonged hospital stays (Oliver, 2022). The findings may help inform policy, service planning, and future research aimed at improving discharge pathways.</w:t>
      </w:r>
    </w:p>
    <w:p w14:paraId="67646B19" w14:textId="34E7A35B" w:rsidR="005E019B" w:rsidRPr="005E019B" w:rsidRDefault="004D2F0B" w:rsidP="005E019B">
      <w:pPr>
        <w:spacing w:before="100" w:beforeAutospacing="1" w:after="100" w:afterAutospacing="1" w:line="240" w:lineRule="auto"/>
        <w:outlineLvl w:val="1"/>
        <w:rPr>
          <w:rFonts w:ascii="Arial" w:eastAsia="Times New Roman" w:hAnsi="Arial" w:cs="Arial"/>
          <w:b/>
          <w:bCs/>
          <w:szCs w:val="24"/>
          <w:lang w:eastAsia="en-GB"/>
        </w:rPr>
      </w:pPr>
      <w:r>
        <w:rPr>
          <w:rFonts w:ascii="Arial" w:eastAsia="Times New Roman" w:hAnsi="Arial" w:cs="Arial"/>
          <w:b/>
          <w:bCs/>
          <w:szCs w:val="24"/>
          <w:lang w:eastAsia="en-GB"/>
        </w:rPr>
        <w:t>3)</w:t>
      </w:r>
      <w:r w:rsidR="005E019B" w:rsidRPr="005E019B">
        <w:rPr>
          <w:rFonts w:ascii="Arial" w:eastAsia="Times New Roman" w:hAnsi="Arial" w:cs="Arial"/>
          <w:b/>
          <w:bCs/>
          <w:szCs w:val="24"/>
          <w:lang w:eastAsia="en-GB"/>
        </w:rPr>
        <w:t>Objectives</w:t>
      </w:r>
    </w:p>
    <w:p w14:paraId="126D815E" w14:textId="77777777" w:rsidR="005E019B" w:rsidRPr="005E019B" w:rsidRDefault="005E019B" w:rsidP="005E019B">
      <w:p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t>The review aims to identify and synthesise evidence on residential care factors contributing to delayed hospital discharge in the UK. Specifically, it will:</w:t>
      </w:r>
    </w:p>
    <w:p w14:paraId="0E08A594" w14:textId="77777777" w:rsidR="005E019B" w:rsidRPr="005E019B" w:rsidRDefault="005E019B" w:rsidP="005E019B">
      <w:pPr>
        <w:numPr>
          <w:ilvl w:val="0"/>
          <w:numId w:val="3"/>
        </w:num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t>Map the types of residential care-related delays reported in the literature, including care home capacity shortages, staffing issues, assessment delays, and coordination challenges.</w:t>
      </w:r>
    </w:p>
    <w:p w14:paraId="7CC4DB9B" w14:textId="77777777" w:rsidR="005E019B" w:rsidRPr="005E019B" w:rsidRDefault="005E019B" w:rsidP="005E019B">
      <w:pPr>
        <w:numPr>
          <w:ilvl w:val="0"/>
          <w:numId w:val="3"/>
        </w:num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t>Explore interventions, policies, and models of care designed to reduce discharge delays.</w:t>
      </w:r>
    </w:p>
    <w:p w14:paraId="2729B608" w14:textId="77777777" w:rsidR="005E019B" w:rsidRPr="005E019B" w:rsidRDefault="005E019B" w:rsidP="005E019B">
      <w:pPr>
        <w:numPr>
          <w:ilvl w:val="0"/>
          <w:numId w:val="3"/>
        </w:num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t>Identify gaps in current evidence and recommend areas for future research and service improvement.</w:t>
      </w:r>
    </w:p>
    <w:p w14:paraId="063919F7" w14:textId="378163EA" w:rsidR="005E019B" w:rsidRPr="005E019B" w:rsidRDefault="000E671C" w:rsidP="005E019B">
      <w:pPr>
        <w:spacing w:before="100" w:beforeAutospacing="1" w:after="100" w:afterAutospacing="1" w:line="240" w:lineRule="auto"/>
        <w:outlineLvl w:val="1"/>
        <w:rPr>
          <w:rFonts w:ascii="Arial" w:eastAsia="Times New Roman" w:hAnsi="Arial" w:cs="Arial"/>
          <w:b/>
          <w:bCs/>
          <w:szCs w:val="24"/>
          <w:lang w:eastAsia="en-GB"/>
        </w:rPr>
      </w:pPr>
      <w:r>
        <w:rPr>
          <w:rFonts w:ascii="Arial" w:eastAsia="Times New Roman" w:hAnsi="Arial" w:cs="Arial"/>
          <w:b/>
          <w:bCs/>
          <w:szCs w:val="24"/>
          <w:lang w:eastAsia="en-GB"/>
        </w:rPr>
        <w:t>4)</w:t>
      </w:r>
      <w:r w:rsidR="005E019B" w:rsidRPr="005E019B">
        <w:rPr>
          <w:rFonts w:ascii="Arial" w:eastAsia="Times New Roman" w:hAnsi="Arial" w:cs="Arial"/>
          <w:b/>
          <w:bCs/>
          <w:szCs w:val="24"/>
          <w:lang w:eastAsia="en-GB"/>
        </w:rPr>
        <w:t>Methods</w:t>
      </w:r>
    </w:p>
    <w:p w14:paraId="57A5D007" w14:textId="2DFA38A2" w:rsidR="005E019B" w:rsidRPr="005E019B" w:rsidRDefault="005E019B" w:rsidP="005E019B">
      <w:p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t xml:space="preserve">This scoping review will follow the Arksey and O’Malley (2005) framework, enhanced by guidance from the Joanna Briggs Institute (Peters et al., 2020). Peer-reviewed primary and secondary studies published from 2010 onwards will be included to ensure relevance to contemporary UK practice. Searches will be conducted in CINAHL, MEDLINE, PubMed, Scopus, and Social Care Online using terms related to hospital discharge, delayed transfers of care, residential care, nursing homes, social care capacity, </w:t>
      </w:r>
      <w:r w:rsidR="00B74C2C">
        <w:rPr>
          <w:rFonts w:ascii="Arial" w:eastAsia="Times New Roman" w:hAnsi="Arial" w:cs="Arial"/>
          <w:szCs w:val="24"/>
          <w:lang w:eastAsia="en-GB"/>
        </w:rPr>
        <w:t>in</w:t>
      </w:r>
      <w:r w:rsidRPr="005E019B">
        <w:rPr>
          <w:rFonts w:ascii="Arial" w:eastAsia="Times New Roman" w:hAnsi="Arial" w:cs="Arial"/>
          <w:szCs w:val="24"/>
          <w:lang w:eastAsia="en-GB"/>
        </w:rPr>
        <w:t xml:space="preserve"> the UK.</w:t>
      </w:r>
    </w:p>
    <w:p w14:paraId="0F2A7855" w14:textId="77777777" w:rsidR="005E019B" w:rsidRPr="005E019B" w:rsidRDefault="005E019B" w:rsidP="005E019B">
      <w:p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lastRenderedPageBreak/>
        <w:t>Inclusion criteria will consist of UK-based studies examining discharge delays linked to residential or nursing care. Qualitative, quantitative, mixed-methods, and review studies will be considered. Non-UK studies, opinion papers without empirical evidence, and studies unrelated to adult social care will be excluded. Data will be extracted using a structured charting form and analysed through narrative synthesis to identify recurring barriers, system-level challenges, and proposed solutions.</w:t>
      </w:r>
    </w:p>
    <w:p w14:paraId="6B571BE9" w14:textId="549E4DC2" w:rsidR="005E019B" w:rsidRPr="005E019B" w:rsidRDefault="000E671C" w:rsidP="005E019B">
      <w:pPr>
        <w:spacing w:before="100" w:beforeAutospacing="1" w:after="100" w:afterAutospacing="1" w:line="240" w:lineRule="auto"/>
        <w:outlineLvl w:val="1"/>
        <w:rPr>
          <w:rFonts w:ascii="Arial" w:eastAsia="Times New Roman" w:hAnsi="Arial" w:cs="Arial"/>
          <w:b/>
          <w:bCs/>
          <w:szCs w:val="24"/>
          <w:lang w:eastAsia="en-GB"/>
        </w:rPr>
      </w:pPr>
      <w:r>
        <w:rPr>
          <w:rFonts w:ascii="Arial" w:eastAsia="Times New Roman" w:hAnsi="Arial" w:cs="Arial"/>
          <w:b/>
          <w:bCs/>
          <w:szCs w:val="24"/>
          <w:lang w:eastAsia="en-GB"/>
        </w:rPr>
        <w:t>5)</w:t>
      </w:r>
      <w:r w:rsidR="005E019B" w:rsidRPr="005E019B">
        <w:rPr>
          <w:rFonts w:ascii="Arial" w:eastAsia="Times New Roman" w:hAnsi="Arial" w:cs="Arial"/>
          <w:b/>
          <w:bCs/>
          <w:szCs w:val="24"/>
          <w:lang w:eastAsia="en-GB"/>
        </w:rPr>
        <w:t>Ethical Considerations</w:t>
      </w:r>
    </w:p>
    <w:p w14:paraId="07D69AFB" w14:textId="312305EB" w:rsidR="005E019B" w:rsidRPr="005E019B" w:rsidRDefault="005E019B" w:rsidP="005E019B">
      <w:pPr>
        <w:spacing w:before="100" w:beforeAutospacing="1" w:after="100" w:afterAutospacing="1" w:line="240" w:lineRule="auto"/>
        <w:rPr>
          <w:rFonts w:ascii="Arial" w:eastAsia="Times New Roman" w:hAnsi="Arial" w:cs="Arial"/>
          <w:szCs w:val="24"/>
          <w:lang w:eastAsia="en-GB"/>
        </w:rPr>
      </w:pPr>
      <w:r w:rsidRPr="005E019B">
        <w:rPr>
          <w:rFonts w:ascii="Arial" w:eastAsia="Times New Roman" w:hAnsi="Arial" w:cs="Arial"/>
          <w:szCs w:val="24"/>
          <w:lang w:eastAsia="en-GB"/>
        </w:rPr>
        <w:t xml:space="preserve">As this study is a scoping review of </w:t>
      </w:r>
      <w:r w:rsidR="00794707">
        <w:rPr>
          <w:rFonts w:ascii="Arial" w:eastAsia="Times New Roman" w:hAnsi="Arial" w:cs="Arial"/>
          <w:szCs w:val="24"/>
          <w:lang w:eastAsia="en-GB"/>
        </w:rPr>
        <w:t>the published literature, it will not involve human participants, the collection of personal data</w:t>
      </w:r>
      <w:r w:rsidRPr="005E019B">
        <w:rPr>
          <w:rFonts w:ascii="Arial" w:eastAsia="Times New Roman" w:hAnsi="Arial" w:cs="Arial"/>
          <w:szCs w:val="24"/>
          <w:lang w:eastAsia="en-GB"/>
        </w:rPr>
        <w:t xml:space="preserve">, or direct patient contact. Therefore, formal ethical approval is not required. However, the review will be conducted </w:t>
      </w:r>
      <w:r w:rsidR="00794707">
        <w:rPr>
          <w:rFonts w:ascii="Arial" w:eastAsia="Times New Roman" w:hAnsi="Arial" w:cs="Arial"/>
          <w:szCs w:val="24"/>
          <w:lang w:eastAsia="en-GB"/>
        </w:rPr>
        <w:t>in accordance with the</w:t>
      </w:r>
      <w:r w:rsidRPr="005E019B">
        <w:rPr>
          <w:rFonts w:ascii="Arial" w:eastAsia="Times New Roman" w:hAnsi="Arial" w:cs="Arial"/>
          <w:szCs w:val="24"/>
          <w:lang w:eastAsia="en-GB"/>
        </w:rPr>
        <w:t xml:space="preserve"> principles of academic integrity, transparency, and accurate reporting. </w:t>
      </w: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397EEDE5" w14:textId="77777777" w:rsidR="000F39F7" w:rsidRDefault="000F39F7" w:rsidP="000F39F7">
      <w:pPr>
        <w:spacing w:line="360" w:lineRule="auto"/>
        <w:rPr>
          <w:rFonts w:ascii="Arial" w:hAnsi="Arial" w:cs="Arial"/>
          <w:sz w:val="22"/>
        </w:rPr>
      </w:pPr>
    </w:p>
    <w:p w14:paraId="26FA66AD" w14:textId="77777777" w:rsidR="000F39F7" w:rsidRDefault="000F39F7" w:rsidP="000F39F7">
      <w:pPr>
        <w:spacing w:line="360" w:lineRule="auto"/>
        <w:rPr>
          <w:rFonts w:ascii="Arial" w:hAnsi="Arial" w:cs="Arial"/>
          <w:sz w:val="22"/>
        </w:rPr>
      </w:pPr>
    </w:p>
    <w:p w14:paraId="49CBA9A8" w14:textId="77777777" w:rsidR="000F39F7" w:rsidRDefault="000F39F7" w:rsidP="000F39F7">
      <w:pPr>
        <w:spacing w:line="360" w:lineRule="auto"/>
        <w:rPr>
          <w:rFonts w:ascii="Arial" w:hAnsi="Arial" w:cs="Arial"/>
          <w:sz w:val="22"/>
        </w:rPr>
      </w:pPr>
    </w:p>
    <w:p w14:paraId="7E7E337A" w14:textId="77777777" w:rsidR="000F39F7" w:rsidRDefault="000F39F7" w:rsidP="000F39F7">
      <w:pPr>
        <w:spacing w:line="360" w:lineRule="auto"/>
        <w:rPr>
          <w:rFonts w:ascii="Arial" w:hAnsi="Arial" w:cs="Arial"/>
          <w:sz w:val="22"/>
        </w:rPr>
      </w:pPr>
    </w:p>
    <w:p w14:paraId="2280E9B9" w14:textId="77777777" w:rsidR="000F39F7" w:rsidRDefault="000F39F7" w:rsidP="000F39F7">
      <w:pPr>
        <w:spacing w:line="360" w:lineRule="auto"/>
        <w:rPr>
          <w:rFonts w:ascii="Arial" w:hAnsi="Arial" w:cs="Arial"/>
          <w:sz w:val="22"/>
        </w:rPr>
      </w:pPr>
    </w:p>
    <w:p w14:paraId="1727E990" w14:textId="77777777" w:rsidR="000F39F7" w:rsidRDefault="000F39F7" w:rsidP="000F39F7">
      <w:pPr>
        <w:spacing w:line="360" w:lineRule="auto"/>
        <w:rPr>
          <w:rFonts w:ascii="Arial" w:hAnsi="Arial" w:cs="Arial"/>
          <w:sz w:val="22"/>
        </w:rPr>
      </w:pPr>
    </w:p>
    <w:p w14:paraId="0AB76538" w14:textId="77777777" w:rsidR="000F39F7" w:rsidRDefault="000F39F7" w:rsidP="000F39F7">
      <w:pPr>
        <w:spacing w:line="360" w:lineRule="auto"/>
        <w:rPr>
          <w:rFonts w:ascii="Arial" w:hAnsi="Arial" w:cs="Arial"/>
          <w:sz w:val="22"/>
        </w:rPr>
      </w:pPr>
    </w:p>
    <w:p w14:paraId="40A9111D" w14:textId="77777777" w:rsidR="000F39F7" w:rsidRDefault="000F39F7" w:rsidP="000F39F7">
      <w:pPr>
        <w:spacing w:line="360" w:lineRule="auto"/>
        <w:rPr>
          <w:rFonts w:ascii="Arial" w:hAnsi="Arial" w:cs="Arial"/>
          <w:sz w:val="22"/>
        </w:rPr>
      </w:pPr>
    </w:p>
    <w:p w14:paraId="415CCB34" w14:textId="77777777" w:rsidR="000F39F7" w:rsidRDefault="000F39F7" w:rsidP="000F39F7">
      <w:pPr>
        <w:spacing w:line="360" w:lineRule="auto"/>
        <w:rPr>
          <w:rFonts w:ascii="Arial" w:hAnsi="Arial" w:cs="Arial"/>
          <w:sz w:val="22"/>
        </w:rPr>
      </w:pPr>
    </w:p>
    <w:p w14:paraId="4C8C79A7" w14:textId="77777777" w:rsidR="000F39F7" w:rsidRDefault="000F39F7" w:rsidP="000F39F7">
      <w:pPr>
        <w:spacing w:line="360" w:lineRule="auto"/>
        <w:rPr>
          <w:rFonts w:ascii="Arial" w:hAnsi="Arial" w:cs="Arial"/>
          <w:sz w:val="22"/>
        </w:rPr>
      </w:pPr>
    </w:p>
    <w:p w14:paraId="3121071A" w14:textId="77777777" w:rsidR="000F39F7" w:rsidRDefault="000F39F7" w:rsidP="000F39F7">
      <w:pPr>
        <w:spacing w:line="360" w:lineRule="auto"/>
        <w:rPr>
          <w:rFonts w:ascii="Arial" w:hAnsi="Arial" w:cs="Arial"/>
          <w:sz w:val="22"/>
        </w:rPr>
      </w:pPr>
    </w:p>
    <w:p w14:paraId="1941F3F9" w14:textId="77777777" w:rsidR="000F39F7" w:rsidRDefault="000F39F7" w:rsidP="000F39F7">
      <w:pPr>
        <w:spacing w:line="360" w:lineRule="auto"/>
        <w:rPr>
          <w:rFonts w:ascii="Arial" w:hAnsi="Arial" w:cs="Arial"/>
          <w:sz w:val="22"/>
        </w:rPr>
      </w:pPr>
    </w:p>
    <w:p w14:paraId="3B867E4A" w14:textId="77777777" w:rsidR="000F39F7" w:rsidRDefault="000F39F7" w:rsidP="000F39F7">
      <w:pPr>
        <w:spacing w:line="360" w:lineRule="auto"/>
        <w:rPr>
          <w:rFonts w:ascii="Arial" w:hAnsi="Arial" w:cs="Arial"/>
          <w:sz w:val="22"/>
        </w:rPr>
      </w:pPr>
    </w:p>
    <w:p w14:paraId="09227401" w14:textId="77777777" w:rsidR="000F39F7" w:rsidRDefault="000F39F7" w:rsidP="000F39F7">
      <w:pPr>
        <w:spacing w:line="360" w:lineRule="auto"/>
        <w:rPr>
          <w:rFonts w:ascii="Arial" w:hAnsi="Arial" w:cs="Arial"/>
          <w:sz w:val="22"/>
        </w:rPr>
      </w:pPr>
    </w:p>
    <w:p w14:paraId="000C63C8" w14:textId="77777777" w:rsidR="000F39F7" w:rsidRDefault="000F39F7" w:rsidP="000F39F7">
      <w:pPr>
        <w:spacing w:line="360" w:lineRule="auto"/>
        <w:rPr>
          <w:rFonts w:ascii="Arial" w:hAnsi="Arial" w:cs="Arial"/>
          <w:sz w:val="22"/>
        </w:rPr>
      </w:pPr>
    </w:p>
    <w:p w14:paraId="58338052" w14:textId="77777777" w:rsidR="000F39F7" w:rsidRDefault="000F39F7" w:rsidP="000F39F7">
      <w:pPr>
        <w:spacing w:line="360" w:lineRule="auto"/>
        <w:rPr>
          <w:rFonts w:ascii="Arial" w:hAnsi="Arial" w:cs="Arial"/>
          <w:sz w:val="22"/>
        </w:rPr>
      </w:pPr>
    </w:p>
    <w:p w14:paraId="41A8F903" w14:textId="0A3C84C9" w:rsidR="000F39F7" w:rsidRPr="000F39F7" w:rsidRDefault="000E671C" w:rsidP="000F39F7">
      <w:pPr>
        <w:spacing w:before="100" w:beforeAutospacing="1" w:after="100" w:afterAutospacing="1" w:line="240" w:lineRule="auto"/>
        <w:outlineLvl w:val="2"/>
        <w:rPr>
          <w:rFonts w:eastAsia="Times New Roman" w:cs="Times New Roman"/>
          <w:b/>
          <w:bCs/>
          <w:sz w:val="27"/>
          <w:szCs w:val="27"/>
          <w:lang w:eastAsia="en-GB"/>
        </w:rPr>
      </w:pPr>
      <w:r>
        <w:rPr>
          <w:rFonts w:eastAsia="Times New Roman" w:cs="Times New Roman"/>
          <w:b/>
          <w:bCs/>
          <w:sz w:val="27"/>
          <w:szCs w:val="27"/>
          <w:lang w:eastAsia="en-GB"/>
        </w:rPr>
        <w:t>6)</w:t>
      </w:r>
      <w:r w:rsidR="000F39F7" w:rsidRPr="000F39F7">
        <w:rPr>
          <w:rFonts w:eastAsia="Times New Roman" w:cs="Times New Roman"/>
          <w:b/>
          <w:bCs/>
          <w:sz w:val="27"/>
          <w:szCs w:val="27"/>
          <w:lang w:eastAsia="en-GB"/>
        </w:rPr>
        <w:t xml:space="preserve">Reference List </w:t>
      </w:r>
    </w:p>
    <w:p w14:paraId="0A65B352" w14:textId="77777777" w:rsidR="000F39F7" w:rsidRPr="000F39F7" w:rsidRDefault="000F39F7" w:rsidP="000F39F7">
      <w:pPr>
        <w:spacing w:before="100" w:beforeAutospacing="1" w:after="100" w:afterAutospacing="1" w:line="240" w:lineRule="auto"/>
        <w:rPr>
          <w:rFonts w:eastAsia="Times New Roman" w:cs="Times New Roman"/>
          <w:szCs w:val="24"/>
          <w:lang w:eastAsia="en-GB"/>
        </w:rPr>
      </w:pPr>
      <w:r w:rsidRPr="000F39F7">
        <w:rPr>
          <w:rFonts w:eastAsia="Times New Roman" w:cs="Times New Roman"/>
          <w:szCs w:val="24"/>
          <w:lang w:eastAsia="en-GB"/>
        </w:rPr>
        <w:t xml:space="preserve">Arksey, H. and O’Malley, L. (2005) ‘Scoping studies: towards a methodological framework’, </w:t>
      </w:r>
      <w:r w:rsidRPr="000F39F7">
        <w:rPr>
          <w:rFonts w:eastAsia="Times New Roman" w:cs="Times New Roman"/>
          <w:i/>
          <w:iCs/>
          <w:szCs w:val="24"/>
          <w:lang w:eastAsia="en-GB"/>
        </w:rPr>
        <w:t>International Journal of Social Research Methodology</w:t>
      </w:r>
      <w:r w:rsidRPr="000F39F7">
        <w:rPr>
          <w:rFonts w:eastAsia="Times New Roman" w:cs="Times New Roman"/>
          <w:szCs w:val="24"/>
          <w:lang w:eastAsia="en-GB"/>
        </w:rPr>
        <w:t>, 8(1), pp. 19–32.</w:t>
      </w:r>
    </w:p>
    <w:p w14:paraId="7A9D1259" w14:textId="07658BBC" w:rsidR="000F39F7" w:rsidRPr="000F39F7" w:rsidRDefault="000F39F7" w:rsidP="000F39F7">
      <w:pPr>
        <w:spacing w:before="100" w:beforeAutospacing="1" w:after="100" w:afterAutospacing="1" w:line="240" w:lineRule="auto"/>
        <w:rPr>
          <w:rFonts w:eastAsia="Times New Roman" w:cs="Times New Roman"/>
          <w:szCs w:val="24"/>
          <w:lang w:eastAsia="en-GB"/>
        </w:rPr>
      </w:pPr>
      <w:r w:rsidRPr="000F39F7">
        <w:rPr>
          <w:rFonts w:eastAsia="Times New Roman" w:cs="Times New Roman"/>
          <w:szCs w:val="24"/>
          <w:lang w:eastAsia="en-GB"/>
        </w:rPr>
        <w:t xml:space="preserve">Glasby, J., Zhang, Y. and Bennett, M. (2021) ‘A lost decade? Understanding the long-term decline in adult social care </w:t>
      </w:r>
      <w:r w:rsidR="00D754FA">
        <w:rPr>
          <w:rFonts w:eastAsia="Times New Roman" w:cs="Times New Roman"/>
          <w:szCs w:val="24"/>
          <w:lang w:eastAsia="en-GB"/>
        </w:rPr>
        <w:t>staffing '</w:t>
      </w:r>
      <w:r w:rsidRPr="000F39F7">
        <w:rPr>
          <w:rFonts w:eastAsia="Times New Roman" w:cs="Times New Roman"/>
          <w:szCs w:val="24"/>
          <w:lang w:eastAsia="en-GB"/>
        </w:rPr>
        <w:t xml:space="preserve">, </w:t>
      </w:r>
      <w:r w:rsidRPr="000F39F7">
        <w:rPr>
          <w:rFonts w:eastAsia="Times New Roman" w:cs="Times New Roman"/>
          <w:i/>
          <w:iCs/>
          <w:szCs w:val="24"/>
          <w:lang w:eastAsia="en-GB"/>
        </w:rPr>
        <w:t>Social Policy &amp; Administration</w:t>
      </w:r>
      <w:r w:rsidRPr="000F39F7">
        <w:rPr>
          <w:rFonts w:eastAsia="Times New Roman" w:cs="Times New Roman"/>
          <w:szCs w:val="24"/>
          <w:lang w:eastAsia="en-GB"/>
        </w:rPr>
        <w:t>, 55(6), pp. 1021–1038.</w:t>
      </w:r>
    </w:p>
    <w:p w14:paraId="76D5DE0F" w14:textId="29D42F7B" w:rsidR="000F39F7" w:rsidRPr="000F39F7" w:rsidRDefault="000F39F7" w:rsidP="000F39F7">
      <w:pPr>
        <w:spacing w:before="100" w:beforeAutospacing="1" w:after="100" w:afterAutospacing="1" w:line="240" w:lineRule="auto"/>
        <w:rPr>
          <w:rFonts w:eastAsia="Times New Roman" w:cs="Times New Roman"/>
          <w:szCs w:val="24"/>
          <w:lang w:eastAsia="en-GB"/>
        </w:rPr>
      </w:pPr>
      <w:r w:rsidRPr="000F39F7">
        <w:rPr>
          <w:rFonts w:eastAsia="Times New Roman" w:cs="Times New Roman"/>
          <w:szCs w:val="24"/>
          <w:lang w:eastAsia="en-GB"/>
        </w:rPr>
        <w:t>NHS England (2023)</w:t>
      </w:r>
      <w:r w:rsidR="003A4489">
        <w:rPr>
          <w:rFonts w:eastAsia="Times New Roman" w:cs="Times New Roman"/>
          <w:szCs w:val="24"/>
          <w:lang w:eastAsia="en-GB"/>
        </w:rPr>
        <w:t>.</w:t>
      </w:r>
      <w:r w:rsidRPr="000F39F7">
        <w:rPr>
          <w:rFonts w:eastAsia="Times New Roman" w:cs="Times New Roman"/>
          <w:szCs w:val="24"/>
          <w:lang w:eastAsia="en-GB"/>
        </w:rPr>
        <w:t xml:space="preserve"> </w:t>
      </w:r>
      <w:r w:rsidRPr="000F39F7">
        <w:rPr>
          <w:rFonts w:eastAsia="Times New Roman" w:cs="Times New Roman"/>
          <w:i/>
          <w:iCs/>
          <w:szCs w:val="24"/>
          <w:lang w:eastAsia="en-GB"/>
        </w:rPr>
        <w:t>Delayed Discharges Monthly Statistics</w:t>
      </w:r>
      <w:r w:rsidRPr="000F39F7">
        <w:rPr>
          <w:rFonts w:eastAsia="Times New Roman" w:cs="Times New Roman"/>
          <w:szCs w:val="24"/>
          <w:lang w:eastAsia="en-GB"/>
        </w:rPr>
        <w:t xml:space="preserve">. Available at: </w:t>
      </w:r>
      <w:hyperlink r:id="rId8" w:tgtFrame="_blank" w:history="1">
        <w:r w:rsidRPr="000F39F7">
          <w:rPr>
            <w:rFonts w:eastAsia="Times New Roman" w:cs="Times New Roman"/>
            <w:color w:val="0000FF"/>
            <w:szCs w:val="24"/>
            <w:u w:val="single"/>
            <w:lang w:eastAsia="en-GB"/>
          </w:rPr>
          <w:t>NHS England</w:t>
        </w:r>
      </w:hyperlink>
      <w:r w:rsidRPr="000F39F7">
        <w:rPr>
          <w:rFonts w:eastAsia="Times New Roman" w:cs="Times New Roman"/>
          <w:szCs w:val="24"/>
          <w:lang w:eastAsia="en-GB"/>
        </w:rPr>
        <w:t xml:space="preserve"> (Accessed: 17 June 2026).</w:t>
      </w:r>
    </w:p>
    <w:p w14:paraId="05B4DDDD" w14:textId="77777777" w:rsidR="000F39F7" w:rsidRPr="000F39F7" w:rsidRDefault="000F39F7" w:rsidP="000F39F7">
      <w:pPr>
        <w:spacing w:before="100" w:beforeAutospacing="1" w:after="100" w:afterAutospacing="1" w:line="240" w:lineRule="auto"/>
        <w:rPr>
          <w:rFonts w:eastAsia="Times New Roman" w:cs="Times New Roman"/>
          <w:szCs w:val="24"/>
          <w:lang w:eastAsia="en-GB"/>
        </w:rPr>
      </w:pPr>
      <w:r w:rsidRPr="000F39F7">
        <w:rPr>
          <w:rFonts w:eastAsia="Times New Roman" w:cs="Times New Roman"/>
          <w:szCs w:val="24"/>
          <w:lang w:eastAsia="en-GB"/>
        </w:rPr>
        <w:t xml:space="preserve">Oliver, D. (2022) ‘Delayed transfers of care: causes and solutions’, </w:t>
      </w:r>
      <w:r w:rsidRPr="000F39F7">
        <w:rPr>
          <w:rFonts w:eastAsia="Times New Roman" w:cs="Times New Roman"/>
          <w:i/>
          <w:iCs/>
          <w:szCs w:val="24"/>
          <w:lang w:eastAsia="en-GB"/>
        </w:rPr>
        <w:t>Clinical Medicine</w:t>
      </w:r>
      <w:r w:rsidRPr="000F39F7">
        <w:rPr>
          <w:rFonts w:eastAsia="Times New Roman" w:cs="Times New Roman"/>
          <w:szCs w:val="24"/>
          <w:lang w:eastAsia="en-GB"/>
        </w:rPr>
        <w:t>, 22(1), pp. 6–9.</w:t>
      </w:r>
    </w:p>
    <w:p w14:paraId="06B016DE" w14:textId="4AA3FE33" w:rsidR="000F39F7" w:rsidRPr="000F39F7" w:rsidRDefault="000F39F7" w:rsidP="000F39F7">
      <w:pPr>
        <w:spacing w:before="100" w:beforeAutospacing="1" w:after="100" w:afterAutospacing="1" w:line="240" w:lineRule="auto"/>
        <w:rPr>
          <w:rFonts w:eastAsia="Times New Roman" w:cs="Times New Roman"/>
          <w:szCs w:val="24"/>
          <w:lang w:eastAsia="en-GB"/>
        </w:rPr>
      </w:pPr>
      <w:r w:rsidRPr="000F39F7">
        <w:rPr>
          <w:rFonts w:eastAsia="Times New Roman" w:cs="Times New Roman"/>
          <w:szCs w:val="24"/>
          <w:lang w:eastAsia="en-GB"/>
        </w:rPr>
        <w:t xml:space="preserve">Peters, M.D.J., Marnie, C., </w:t>
      </w:r>
      <w:proofErr w:type="spellStart"/>
      <w:r w:rsidRPr="000F39F7">
        <w:rPr>
          <w:rFonts w:eastAsia="Times New Roman" w:cs="Times New Roman"/>
          <w:szCs w:val="24"/>
          <w:lang w:eastAsia="en-GB"/>
        </w:rPr>
        <w:t>Tricco</w:t>
      </w:r>
      <w:proofErr w:type="spellEnd"/>
      <w:r w:rsidRPr="000F39F7">
        <w:rPr>
          <w:rFonts w:eastAsia="Times New Roman" w:cs="Times New Roman"/>
          <w:szCs w:val="24"/>
          <w:lang w:eastAsia="en-GB"/>
        </w:rPr>
        <w:t>, A.C., Pollock, D., Munn, Z., Alexander, L., McInerney, P., Godfrey, C.M. and Khalil, H. (2020)</w:t>
      </w:r>
      <w:r w:rsidR="003A4489">
        <w:rPr>
          <w:rFonts w:eastAsia="Times New Roman" w:cs="Times New Roman"/>
          <w:szCs w:val="24"/>
          <w:lang w:eastAsia="en-GB"/>
        </w:rPr>
        <w:t>.</w:t>
      </w:r>
      <w:r w:rsidRPr="000F39F7">
        <w:rPr>
          <w:rFonts w:eastAsia="Times New Roman" w:cs="Times New Roman"/>
          <w:szCs w:val="24"/>
          <w:lang w:eastAsia="en-GB"/>
        </w:rPr>
        <w:t xml:space="preserve"> </w:t>
      </w:r>
      <w:r w:rsidRPr="000F39F7">
        <w:rPr>
          <w:rFonts w:eastAsia="Times New Roman" w:cs="Times New Roman"/>
          <w:i/>
          <w:iCs/>
          <w:szCs w:val="24"/>
          <w:lang w:eastAsia="en-GB"/>
        </w:rPr>
        <w:t>Updated methodological guidance for the conduct of scoping reviews</w:t>
      </w:r>
      <w:r w:rsidRPr="000F39F7">
        <w:rPr>
          <w:rFonts w:eastAsia="Times New Roman" w:cs="Times New Roman"/>
          <w:szCs w:val="24"/>
          <w:lang w:eastAsia="en-GB"/>
        </w:rPr>
        <w:t xml:space="preserve">. In: </w:t>
      </w:r>
      <w:proofErr w:type="spellStart"/>
      <w:r w:rsidRPr="000F39F7">
        <w:rPr>
          <w:rFonts w:eastAsia="Times New Roman" w:cs="Times New Roman"/>
          <w:szCs w:val="24"/>
          <w:lang w:eastAsia="en-GB"/>
        </w:rPr>
        <w:t>Aromataris</w:t>
      </w:r>
      <w:proofErr w:type="spellEnd"/>
      <w:r w:rsidRPr="000F39F7">
        <w:rPr>
          <w:rFonts w:eastAsia="Times New Roman" w:cs="Times New Roman"/>
          <w:szCs w:val="24"/>
          <w:lang w:eastAsia="en-GB"/>
        </w:rPr>
        <w:t xml:space="preserve">, E. and Munn, Z. (eds.) </w:t>
      </w:r>
      <w:r w:rsidRPr="000F39F7">
        <w:rPr>
          <w:rFonts w:eastAsia="Times New Roman" w:cs="Times New Roman"/>
          <w:i/>
          <w:iCs/>
          <w:szCs w:val="24"/>
          <w:lang w:eastAsia="en-GB"/>
        </w:rPr>
        <w:t>JBI Manual for Evidence Synthesis</w:t>
      </w:r>
      <w:r w:rsidRPr="000F39F7">
        <w:rPr>
          <w:rFonts w:eastAsia="Times New Roman" w:cs="Times New Roman"/>
          <w:szCs w:val="24"/>
          <w:lang w:eastAsia="en-GB"/>
        </w:rPr>
        <w:t xml:space="preserve">. Adelaide: Joanna Briggs Institute. Available at: </w:t>
      </w:r>
      <w:hyperlink r:id="rId9" w:tgtFrame="_blank" w:history="1">
        <w:r w:rsidRPr="000F39F7">
          <w:rPr>
            <w:rFonts w:eastAsia="Times New Roman" w:cs="Times New Roman"/>
            <w:color w:val="0000FF"/>
            <w:szCs w:val="24"/>
            <w:u w:val="single"/>
            <w:lang w:eastAsia="en-GB"/>
          </w:rPr>
          <w:t>JBI Manual for Evidence Synthesis</w:t>
        </w:r>
      </w:hyperlink>
      <w:r w:rsidRPr="000F39F7">
        <w:rPr>
          <w:rFonts w:eastAsia="Times New Roman" w:cs="Times New Roman"/>
          <w:szCs w:val="24"/>
          <w:lang w:eastAsia="en-GB"/>
        </w:rPr>
        <w:t xml:space="preserve"> (Accessed: 24 June 2026).</w:t>
      </w:r>
    </w:p>
    <w:p w14:paraId="76621265" w14:textId="77777777" w:rsidR="000F39F7" w:rsidRDefault="000F39F7" w:rsidP="000F39F7">
      <w:pPr>
        <w:spacing w:line="360" w:lineRule="auto"/>
        <w:rPr>
          <w:rFonts w:ascii="Arial" w:hAnsi="Arial" w:cs="Arial"/>
          <w:sz w:val="22"/>
        </w:rPr>
      </w:pPr>
    </w:p>
    <w:p w14:paraId="6A365981" w14:textId="77777777" w:rsidR="000F39F7" w:rsidRDefault="000F39F7" w:rsidP="000F39F7">
      <w:pPr>
        <w:spacing w:line="360" w:lineRule="auto"/>
        <w:rPr>
          <w:rFonts w:ascii="Arial" w:hAnsi="Arial" w:cs="Arial"/>
          <w:sz w:val="22"/>
        </w:rPr>
      </w:pPr>
    </w:p>
    <w:p w14:paraId="2BD6167B" w14:textId="77777777" w:rsidR="000F39F7" w:rsidRDefault="000F39F7" w:rsidP="000F39F7">
      <w:pPr>
        <w:spacing w:line="360" w:lineRule="auto"/>
        <w:rPr>
          <w:rFonts w:ascii="Arial" w:hAnsi="Arial" w:cs="Arial"/>
          <w:sz w:val="22"/>
        </w:rPr>
      </w:pPr>
    </w:p>
    <w:p w14:paraId="7C4A0272" w14:textId="77777777" w:rsidR="000F39F7" w:rsidRDefault="000F39F7" w:rsidP="000F39F7">
      <w:pPr>
        <w:spacing w:line="360" w:lineRule="auto"/>
        <w:rPr>
          <w:rFonts w:ascii="Arial" w:hAnsi="Arial" w:cs="Arial"/>
          <w:sz w:val="22"/>
        </w:rPr>
      </w:pPr>
    </w:p>
    <w:p w14:paraId="2208261E" w14:textId="77777777" w:rsidR="000F39F7" w:rsidRDefault="000F39F7" w:rsidP="000F39F7">
      <w:pPr>
        <w:spacing w:line="360" w:lineRule="auto"/>
        <w:rPr>
          <w:rFonts w:ascii="Arial" w:hAnsi="Arial" w:cs="Arial"/>
          <w:sz w:val="22"/>
        </w:rPr>
      </w:pPr>
    </w:p>
    <w:p w14:paraId="17E62A43" w14:textId="77777777" w:rsidR="000F39F7" w:rsidRDefault="000F39F7" w:rsidP="000F39F7">
      <w:pPr>
        <w:spacing w:line="360" w:lineRule="auto"/>
        <w:rPr>
          <w:rFonts w:ascii="Arial" w:hAnsi="Arial" w:cs="Arial"/>
          <w:sz w:val="22"/>
        </w:rPr>
      </w:pPr>
    </w:p>
    <w:p w14:paraId="5495BCC1" w14:textId="77777777" w:rsidR="009B106E" w:rsidRPr="00C92D8E" w:rsidRDefault="009B106E" w:rsidP="009B106E"/>
    <w:p w14:paraId="0F771E2B" w14:textId="77777777" w:rsidR="009B106E" w:rsidRPr="00AD0E8D" w:rsidRDefault="009B106E" w:rsidP="009B106E">
      <w:pPr>
        <w:rPr>
          <w:rFonts w:ascii="Arial" w:hAnsi="Arial" w:cs="Arial"/>
          <w:sz w:val="22"/>
        </w:rPr>
      </w:pPr>
    </w:p>
    <w:p w14:paraId="67CD1A3B" w14:textId="77777777" w:rsidR="009B106E" w:rsidRPr="00AD0E8D" w:rsidRDefault="009B106E" w:rsidP="009B106E">
      <w:pPr>
        <w:rPr>
          <w:rFonts w:ascii="Arial" w:hAnsi="Arial" w:cs="Arial"/>
          <w:sz w:val="22"/>
        </w:rPr>
      </w:pPr>
    </w:p>
    <w:p w14:paraId="427435A1" w14:textId="77777777" w:rsidR="009B106E" w:rsidRPr="00AD0E8D" w:rsidRDefault="009B106E" w:rsidP="009B106E">
      <w:pPr>
        <w:rPr>
          <w:rFonts w:ascii="Arial" w:hAnsi="Arial" w:cs="Arial"/>
          <w:sz w:val="22"/>
        </w:rPr>
      </w:pPr>
    </w:p>
    <w:p w14:paraId="262C8CA3" w14:textId="7F3A466A" w:rsidR="00545684" w:rsidRDefault="00545684" w:rsidP="00AD0E8D">
      <w:pPr>
        <w:pStyle w:val="Heading1"/>
      </w:pPr>
    </w:p>
    <w:p w14:paraId="2FCF2E58" w14:textId="77777777" w:rsidR="009B106E" w:rsidRDefault="009B106E" w:rsidP="009B106E"/>
    <w:p w14:paraId="1CEC6FAC" w14:textId="77777777" w:rsidR="009B106E" w:rsidRPr="009B106E" w:rsidRDefault="009B106E" w:rsidP="009B106E"/>
    <w:p w14:paraId="754CEB55" w14:textId="77777777" w:rsidR="00545684" w:rsidRPr="00AD0E8D" w:rsidRDefault="00545684" w:rsidP="00041A5A">
      <w:pPr>
        <w:spacing w:line="360" w:lineRule="auto"/>
        <w:rPr>
          <w:rFonts w:ascii="Arial" w:hAnsi="Arial" w:cs="Arial"/>
          <w:sz w:val="22"/>
        </w:rPr>
      </w:pPr>
    </w:p>
    <w:p w14:paraId="5BC91157" w14:textId="77777777" w:rsidR="00545684" w:rsidRPr="00AD0E8D" w:rsidRDefault="00545684" w:rsidP="00041A5A">
      <w:pPr>
        <w:spacing w:line="360" w:lineRule="auto"/>
        <w:rPr>
          <w:rFonts w:ascii="Arial" w:hAnsi="Arial" w:cs="Arial"/>
          <w:sz w:val="22"/>
        </w:rPr>
      </w:pPr>
    </w:p>
    <w:sectPr w:rsidR="00545684" w:rsidRPr="00AD0E8D"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E8101" w14:textId="77777777" w:rsidR="00A86790" w:rsidRDefault="00A86790" w:rsidP="00545684">
      <w:pPr>
        <w:spacing w:after="0" w:line="240" w:lineRule="auto"/>
      </w:pPr>
      <w:r>
        <w:separator/>
      </w:r>
    </w:p>
  </w:endnote>
  <w:endnote w:type="continuationSeparator" w:id="0">
    <w:p w14:paraId="6883758A" w14:textId="77777777" w:rsidR="00A86790" w:rsidRDefault="00A8679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86C16" w14:textId="77777777" w:rsidR="00A86790" w:rsidRDefault="00A86790" w:rsidP="00545684">
      <w:pPr>
        <w:spacing w:after="0" w:line="240" w:lineRule="auto"/>
      </w:pPr>
      <w:r>
        <w:separator/>
      </w:r>
    </w:p>
  </w:footnote>
  <w:footnote w:type="continuationSeparator" w:id="0">
    <w:p w14:paraId="79E382E6" w14:textId="77777777" w:rsidR="00A86790" w:rsidRDefault="00A86790"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576DF"/>
    <w:multiLevelType w:val="multilevel"/>
    <w:tmpl w:val="44642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DC695C"/>
    <w:multiLevelType w:val="multilevel"/>
    <w:tmpl w:val="9BAC7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102237290">
    <w:abstractNumId w:val="1"/>
  </w:num>
  <w:num w:numId="3" w16cid:durableId="1253662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955C5"/>
    <w:rsid w:val="000A5161"/>
    <w:rsid w:val="000B7CD5"/>
    <w:rsid w:val="000D3243"/>
    <w:rsid w:val="000E671C"/>
    <w:rsid w:val="000F143D"/>
    <w:rsid w:val="000F39F7"/>
    <w:rsid w:val="00134C1B"/>
    <w:rsid w:val="0014525B"/>
    <w:rsid w:val="001807BC"/>
    <w:rsid w:val="00216C85"/>
    <w:rsid w:val="00217228"/>
    <w:rsid w:val="00260277"/>
    <w:rsid w:val="00273EDD"/>
    <w:rsid w:val="002A15DA"/>
    <w:rsid w:val="002B0368"/>
    <w:rsid w:val="002C3965"/>
    <w:rsid w:val="002D6572"/>
    <w:rsid w:val="00321C4C"/>
    <w:rsid w:val="00380294"/>
    <w:rsid w:val="003A220F"/>
    <w:rsid w:val="003A4489"/>
    <w:rsid w:val="003B5B7F"/>
    <w:rsid w:val="004903AA"/>
    <w:rsid w:val="004D2F0B"/>
    <w:rsid w:val="004E6C3B"/>
    <w:rsid w:val="0051103B"/>
    <w:rsid w:val="00545684"/>
    <w:rsid w:val="0056648D"/>
    <w:rsid w:val="00572783"/>
    <w:rsid w:val="005A0D03"/>
    <w:rsid w:val="005E019B"/>
    <w:rsid w:val="005F6295"/>
    <w:rsid w:val="0061260B"/>
    <w:rsid w:val="00641AFB"/>
    <w:rsid w:val="006A5688"/>
    <w:rsid w:val="00715990"/>
    <w:rsid w:val="00784670"/>
    <w:rsid w:val="00792527"/>
    <w:rsid w:val="00794707"/>
    <w:rsid w:val="007A6E15"/>
    <w:rsid w:val="00845C3D"/>
    <w:rsid w:val="00866B7B"/>
    <w:rsid w:val="008B3293"/>
    <w:rsid w:val="008E5015"/>
    <w:rsid w:val="00950C4F"/>
    <w:rsid w:val="009549A1"/>
    <w:rsid w:val="00972599"/>
    <w:rsid w:val="009B106E"/>
    <w:rsid w:val="009C5F0E"/>
    <w:rsid w:val="009D1D1E"/>
    <w:rsid w:val="009D3125"/>
    <w:rsid w:val="00A035FD"/>
    <w:rsid w:val="00A046DE"/>
    <w:rsid w:val="00A37ED4"/>
    <w:rsid w:val="00A630D3"/>
    <w:rsid w:val="00A86790"/>
    <w:rsid w:val="00AD0E8D"/>
    <w:rsid w:val="00B3742A"/>
    <w:rsid w:val="00B50E18"/>
    <w:rsid w:val="00B74390"/>
    <w:rsid w:val="00B74C2C"/>
    <w:rsid w:val="00B83A22"/>
    <w:rsid w:val="00BC5A9C"/>
    <w:rsid w:val="00BD427D"/>
    <w:rsid w:val="00C92D8E"/>
    <w:rsid w:val="00CE711D"/>
    <w:rsid w:val="00CF6737"/>
    <w:rsid w:val="00D754FA"/>
    <w:rsid w:val="00D769F0"/>
    <w:rsid w:val="00DF6D9D"/>
    <w:rsid w:val="00E12E65"/>
    <w:rsid w:val="00E614D4"/>
    <w:rsid w:val="00F278D4"/>
    <w:rsid w:val="00F42BB5"/>
    <w:rsid w:val="00F5060D"/>
    <w:rsid w:val="00F96FE3"/>
    <w:rsid w:val="00FB7B14"/>
    <w:rsid w:val="00FE618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Strong">
    <w:name w:val="Strong"/>
    <w:basedOn w:val="DefaultParagraphFont"/>
    <w:uiPriority w:val="22"/>
    <w:qFormat/>
    <w:rsid w:val="000D32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bi-global-wiki.refined.site/space/MANUA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83F44-9C40-4423-A0CD-03E0F6CB7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662</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sylvie kouao</cp:lastModifiedBy>
  <cp:revision>5</cp:revision>
  <dcterms:created xsi:type="dcterms:W3CDTF">2026-07-08T08:56:00Z</dcterms:created>
  <dcterms:modified xsi:type="dcterms:W3CDTF">2026-07-08T09:02:00Z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d15ac94c-43ed-4978-89da-70b38b33065c</vt:lpwstr>
  </property>
</Properties>
</file>