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316F00" w:rsidRDefault="008C05DD">
      <w:pPr>
        <w:spacing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NEGLIGENCE</w:t>
      </w:r>
    </w:p>
    <w:p w14:paraId="061A7881" w14:textId="77777777" w:rsidR="00EA5306" w:rsidRDefault="00EA5306">
      <w:pPr>
        <w:spacing w:line="480" w:lineRule="auto"/>
        <w:jc w:val="center"/>
        <w:rPr>
          <w:rFonts w:ascii="Times New Roman" w:eastAsia="Times New Roman" w:hAnsi="Times New Roman" w:cs="Times New Roman"/>
          <w:b/>
          <w:color w:val="000000"/>
          <w:sz w:val="24"/>
          <w:szCs w:val="24"/>
        </w:rPr>
      </w:pPr>
    </w:p>
    <w:p w14:paraId="0000000D" w14:textId="507726DB" w:rsidR="00316F00" w:rsidRDefault="008C05DD" w:rsidP="00EA5306">
      <w:pPr>
        <w:spacing w:line="48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D71E63">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w:t>
      </w:r>
      <w:proofErr w:type="spellStart"/>
      <w:r w:rsidR="00D71E63">
        <w:rPr>
          <w:rFonts w:ascii="Times New Roman" w:eastAsia="Times New Roman" w:hAnsi="Times New Roman" w:cs="Times New Roman"/>
          <w:color w:val="000000"/>
          <w:sz w:val="24"/>
          <w:szCs w:val="24"/>
        </w:rPr>
        <w:t>Forida</w:t>
      </w:r>
      <w:proofErr w:type="spellEnd"/>
      <w:r w:rsidR="00D71E63">
        <w:rPr>
          <w:rFonts w:ascii="Times New Roman" w:eastAsia="Times New Roman" w:hAnsi="Times New Roman" w:cs="Times New Roman"/>
          <w:color w:val="000000"/>
          <w:sz w:val="24"/>
          <w:szCs w:val="24"/>
        </w:rPr>
        <w:t xml:space="preserve"> </w:t>
      </w:r>
      <w:proofErr w:type="spellStart"/>
      <w:r w:rsidR="00D71E63">
        <w:rPr>
          <w:rFonts w:ascii="Times New Roman" w:eastAsia="Times New Roman" w:hAnsi="Times New Roman" w:cs="Times New Roman"/>
          <w:color w:val="000000"/>
          <w:sz w:val="24"/>
          <w:szCs w:val="24"/>
        </w:rPr>
        <w:t>Yeasmin</w:t>
      </w:r>
      <w:proofErr w:type="spellEnd"/>
      <w:r>
        <w:rPr>
          <w:rFonts w:ascii="Times New Roman" w:eastAsia="Times New Roman" w:hAnsi="Times New Roman" w:cs="Times New Roman"/>
          <w:color w:val="000000"/>
          <w:sz w:val="24"/>
          <w:szCs w:val="24"/>
        </w:rPr>
        <w:t>)</w:t>
      </w:r>
    </w:p>
    <w:p w14:paraId="408D9147" w14:textId="41514609" w:rsidR="00EA5306" w:rsidRDefault="00EA5306" w:rsidP="00EA5306">
      <w:pPr>
        <w:spacing w:line="480" w:lineRule="auto"/>
        <w:rPr>
          <w:rFonts w:ascii="Times New Roman" w:eastAsia="Times New Roman" w:hAnsi="Times New Roman" w:cs="Times New Roman"/>
          <w:color w:val="000000"/>
          <w:sz w:val="24"/>
          <w:szCs w:val="24"/>
        </w:rPr>
      </w:pPr>
    </w:p>
    <w:p w14:paraId="0000000E" w14:textId="77777777" w:rsidR="00316F00" w:rsidRDefault="008C05DD">
      <w:pPr>
        <w:rPr>
          <w:rFonts w:ascii="Times New Roman" w:eastAsia="Times New Roman" w:hAnsi="Times New Roman" w:cs="Times New Roman"/>
          <w:b/>
          <w:i/>
          <w:color w:val="000000"/>
          <w:sz w:val="24"/>
          <w:szCs w:val="24"/>
        </w:rPr>
      </w:pPr>
      <w:r>
        <w:br w:type="page"/>
      </w:r>
    </w:p>
    <w:p w14:paraId="0000000F" w14:textId="77777777" w:rsidR="00316F00" w:rsidRDefault="008C05DD">
      <w:pPr>
        <w:pBdr>
          <w:top w:val="nil"/>
          <w:left w:val="nil"/>
          <w:bottom w:val="nil"/>
          <w:right w:val="nil"/>
          <w:between w:val="nil"/>
        </w:pBdr>
        <w:tabs>
          <w:tab w:val="right" w:pos="9350"/>
        </w:tabs>
        <w:spacing w:after="100"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Table of Contents </w:t>
      </w:r>
    </w:p>
    <w:p w14:paraId="00000010" w14:textId="77777777" w:rsidR="00316F00" w:rsidRDefault="00316F00">
      <w:pPr>
        <w:keepNext/>
        <w:keepLines/>
        <w:pBdr>
          <w:top w:val="nil"/>
          <w:left w:val="nil"/>
          <w:bottom w:val="nil"/>
          <w:right w:val="nil"/>
          <w:between w:val="nil"/>
        </w:pBdr>
        <w:spacing w:before="240" w:after="0"/>
        <w:rPr>
          <w:color w:val="2F5496"/>
          <w:sz w:val="32"/>
          <w:szCs w:val="32"/>
        </w:rPr>
      </w:pPr>
      <w:bookmarkStart w:id="0" w:name="_heading=h.gjdgxs" w:colFirst="0" w:colLast="0"/>
      <w:bookmarkEnd w:id="0"/>
    </w:p>
    <w:sdt>
      <w:sdtPr>
        <w:id w:val="-1432274258"/>
        <w:docPartObj>
          <w:docPartGallery w:val="Table of Contents"/>
          <w:docPartUnique/>
        </w:docPartObj>
      </w:sdtPr>
      <w:sdtEndPr/>
      <w:sdtContent>
        <w:p w14:paraId="00000011" w14:textId="77777777" w:rsidR="00316F00" w:rsidRDefault="008C05DD">
          <w:pPr>
            <w:pBdr>
              <w:top w:val="nil"/>
              <w:left w:val="nil"/>
              <w:bottom w:val="nil"/>
              <w:right w:val="nil"/>
              <w:between w:val="nil"/>
            </w:pBdr>
            <w:tabs>
              <w:tab w:val="right" w:pos="9350"/>
            </w:tabs>
            <w:spacing w:after="100" w:line="480" w:lineRule="auto"/>
            <w:jc w:val="center"/>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30j0zll">
            <w:r>
              <w:rPr>
                <w:rFonts w:ascii="Times New Roman" w:eastAsia="Times New Roman" w:hAnsi="Times New Roman" w:cs="Times New Roman"/>
                <w:color w:val="000000"/>
                <w:sz w:val="24"/>
                <w:szCs w:val="24"/>
              </w:rPr>
              <w:t>Breach of the Duty and the Standard of the Care</w:t>
            </w:r>
            <w:r>
              <w:rPr>
                <w:rFonts w:ascii="Times New Roman" w:eastAsia="Times New Roman" w:hAnsi="Times New Roman" w:cs="Times New Roman"/>
                <w:color w:val="000000"/>
                <w:sz w:val="24"/>
                <w:szCs w:val="24"/>
              </w:rPr>
              <w:tab/>
              <w:t>3</w:t>
            </w:r>
          </w:hyperlink>
        </w:p>
        <w:p w14:paraId="00000012" w14:textId="77777777" w:rsidR="00316F00" w:rsidRDefault="00270AFE">
          <w:pPr>
            <w:pBdr>
              <w:top w:val="nil"/>
              <w:left w:val="nil"/>
              <w:bottom w:val="nil"/>
              <w:right w:val="nil"/>
              <w:between w:val="nil"/>
            </w:pBdr>
            <w:tabs>
              <w:tab w:val="right" w:pos="9350"/>
            </w:tabs>
            <w:spacing w:after="100" w:line="480" w:lineRule="auto"/>
            <w:jc w:val="center"/>
            <w:rPr>
              <w:rFonts w:ascii="Times New Roman" w:eastAsia="Times New Roman" w:hAnsi="Times New Roman" w:cs="Times New Roman"/>
              <w:color w:val="000000"/>
              <w:sz w:val="24"/>
              <w:szCs w:val="24"/>
            </w:rPr>
          </w:pPr>
          <w:hyperlink w:anchor="_heading=h.3znysh7">
            <w:r w:rsidR="008C05DD">
              <w:rPr>
                <w:rFonts w:ascii="Times New Roman" w:eastAsia="Times New Roman" w:hAnsi="Times New Roman" w:cs="Times New Roman"/>
                <w:color w:val="000000"/>
                <w:sz w:val="24"/>
                <w:szCs w:val="24"/>
              </w:rPr>
              <w:t>Determining the Normal of Care for Dissimilar Perpetrators</w:t>
            </w:r>
            <w:r w:rsidR="008C05DD">
              <w:rPr>
                <w:rFonts w:ascii="Times New Roman" w:eastAsia="Times New Roman" w:hAnsi="Times New Roman" w:cs="Times New Roman"/>
                <w:color w:val="000000"/>
                <w:sz w:val="24"/>
                <w:szCs w:val="24"/>
              </w:rPr>
              <w:tab/>
              <w:t>4</w:t>
            </w:r>
          </w:hyperlink>
        </w:p>
        <w:p w14:paraId="00000013" w14:textId="77777777" w:rsidR="00316F00" w:rsidRDefault="00270AFE">
          <w:pPr>
            <w:pBdr>
              <w:top w:val="nil"/>
              <w:left w:val="nil"/>
              <w:bottom w:val="nil"/>
              <w:right w:val="nil"/>
              <w:between w:val="nil"/>
            </w:pBdr>
            <w:tabs>
              <w:tab w:val="right" w:pos="9350"/>
            </w:tabs>
            <w:spacing w:after="100" w:line="480" w:lineRule="auto"/>
            <w:jc w:val="center"/>
            <w:rPr>
              <w:rFonts w:ascii="Times New Roman" w:eastAsia="Times New Roman" w:hAnsi="Times New Roman" w:cs="Times New Roman"/>
              <w:color w:val="000000"/>
              <w:sz w:val="24"/>
              <w:szCs w:val="24"/>
            </w:rPr>
          </w:pPr>
          <w:hyperlink w:anchor="_heading=h.2et92p0">
            <w:r w:rsidR="008C05DD">
              <w:rPr>
                <w:rFonts w:ascii="Times New Roman" w:eastAsia="Times New Roman" w:hAnsi="Times New Roman" w:cs="Times New Roman"/>
                <w:color w:val="000000"/>
                <w:sz w:val="24"/>
                <w:szCs w:val="24"/>
              </w:rPr>
              <w:t>Factors that provides the breach of the standard of care:</w:t>
            </w:r>
            <w:r w:rsidR="008C05DD">
              <w:rPr>
                <w:rFonts w:ascii="Times New Roman" w:eastAsia="Times New Roman" w:hAnsi="Times New Roman" w:cs="Times New Roman"/>
                <w:color w:val="000000"/>
                <w:sz w:val="24"/>
                <w:szCs w:val="24"/>
              </w:rPr>
              <w:tab/>
              <w:t>6</w:t>
            </w:r>
          </w:hyperlink>
        </w:p>
        <w:p w14:paraId="00000014" w14:textId="77777777" w:rsidR="00316F00" w:rsidRDefault="00270AFE" w:rsidP="00DF7DF9">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tyjcwt">
            <w:r w:rsidR="008C05DD">
              <w:rPr>
                <w:rFonts w:ascii="Times New Roman" w:eastAsia="Times New Roman" w:hAnsi="Times New Roman" w:cs="Times New Roman"/>
                <w:color w:val="000000"/>
                <w:sz w:val="24"/>
                <w:szCs w:val="24"/>
              </w:rPr>
              <w:t>Magnitude of Risk</w:t>
            </w:r>
            <w:r w:rsidR="008C05DD">
              <w:rPr>
                <w:rFonts w:ascii="Times New Roman" w:eastAsia="Times New Roman" w:hAnsi="Times New Roman" w:cs="Times New Roman"/>
                <w:color w:val="000000"/>
                <w:sz w:val="24"/>
                <w:szCs w:val="24"/>
              </w:rPr>
              <w:tab/>
              <w:t>6</w:t>
            </w:r>
          </w:hyperlink>
        </w:p>
        <w:p w14:paraId="00000015" w14:textId="77777777" w:rsidR="00316F00" w:rsidRDefault="00270AFE" w:rsidP="00DF7DF9">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dy6vkm">
            <w:r w:rsidR="008C05DD">
              <w:rPr>
                <w:rFonts w:ascii="Times New Roman" w:eastAsia="Times New Roman" w:hAnsi="Times New Roman" w:cs="Times New Roman"/>
                <w:color w:val="000000"/>
                <w:sz w:val="24"/>
                <w:szCs w:val="24"/>
              </w:rPr>
              <w:t>Protection Cost</w:t>
            </w:r>
            <w:r w:rsidR="008C05DD">
              <w:rPr>
                <w:rFonts w:ascii="Times New Roman" w:eastAsia="Times New Roman" w:hAnsi="Times New Roman" w:cs="Times New Roman"/>
                <w:color w:val="000000"/>
                <w:sz w:val="24"/>
                <w:szCs w:val="24"/>
              </w:rPr>
              <w:tab/>
              <w:t>7</w:t>
            </w:r>
          </w:hyperlink>
        </w:p>
        <w:p w14:paraId="00000016" w14:textId="77777777" w:rsidR="00316F00" w:rsidRDefault="00270AFE">
          <w:pPr>
            <w:pBdr>
              <w:top w:val="nil"/>
              <w:left w:val="nil"/>
              <w:bottom w:val="nil"/>
              <w:right w:val="nil"/>
              <w:between w:val="nil"/>
            </w:pBdr>
            <w:tabs>
              <w:tab w:val="right" w:pos="9350"/>
            </w:tabs>
            <w:spacing w:after="100" w:line="480" w:lineRule="auto"/>
            <w:jc w:val="center"/>
            <w:rPr>
              <w:rFonts w:ascii="Times New Roman" w:eastAsia="Times New Roman" w:hAnsi="Times New Roman" w:cs="Times New Roman"/>
              <w:color w:val="000000"/>
              <w:sz w:val="24"/>
              <w:szCs w:val="24"/>
            </w:rPr>
          </w:pPr>
          <w:hyperlink w:anchor="_heading=h.1t3h5sf">
            <w:r w:rsidR="008C05DD">
              <w:rPr>
                <w:rFonts w:ascii="Times New Roman" w:eastAsia="Times New Roman" w:hAnsi="Times New Roman" w:cs="Times New Roman"/>
                <w:color w:val="000000"/>
                <w:sz w:val="24"/>
                <w:szCs w:val="24"/>
              </w:rPr>
              <w:t>Sporting Events</w:t>
            </w:r>
            <w:r w:rsidR="008C05DD">
              <w:rPr>
                <w:rFonts w:ascii="Times New Roman" w:eastAsia="Times New Roman" w:hAnsi="Times New Roman" w:cs="Times New Roman"/>
                <w:color w:val="000000"/>
                <w:sz w:val="24"/>
                <w:szCs w:val="24"/>
              </w:rPr>
              <w:tab/>
              <w:t>8</w:t>
            </w:r>
          </w:hyperlink>
        </w:p>
        <w:p w14:paraId="00000017" w14:textId="77777777" w:rsidR="00316F00" w:rsidRDefault="00270AFE">
          <w:pPr>
            <w:pBdr>
              <w:top w:val="nil"/>
              <w:left w:val="nil"/>
              <w:bottom w:val="nil"/>
              <w:right w:val="nil"/>
              <w:between w:val="nil"/>
            </w:pBdr>
            <w:tabs>
              <w:tab w:val="right" w:pos="9350"/>
            </w:tabs>
            <w:spacing w:after="100" w:line="480" w:lineRule="auto"/>
            <w:jc w:val="center"/>
            <w:rPr>
              <w:rFonts w:ascii="Times New Roman" w:eastAsia="Times New Roman" w:hAnsi="Times New Roman" w:cs="Times New Roman"/>
              <w:color w:val="000000"/>
              <w:sz w:val="24"/>
              <w:szCs w:val="24"/>
            </w:rPr>
          </w:pPr>
          <w:hyperlink w:anchor="_heading=h.4d34og8">
            <w:r w:rsidR="008C05DD">
              <w:rPr>
                <w:rFonts w:ascii="Times New Roman" w:eastAsia="Times New Roman" w:hAnsi="Times New Roman" w:cs="Times New Roman"/>
                <w:color w:val="000000"/>
                <w:sz w:val="24"/>
                <w:szCs w:val="24"/>
              </w:rPr>
              <w:t>Horseplay</w:t>
            </w:r>
            <w:r w:rsidR="008C05DD">
              <w:rPr>
                <w:rFonts w:ascii="Times New Roman" w:eastAsia="Times New Roman" w:hAnsi="Times New Roman" w:cs="Times New Roman"/>
                <w:color w:val="000000"/>
                <w:sz w:val="24"/>
                <w:szCs w:val="24"/>
              </w:rPr>
              <w:tab/>
              <w:t>9</w:t>
            </w:r>
          </w:hyperlink>
        </w:p>
        <w:p w14:paraId="00000018" w14:textId="77777777" w:rsidR="00316F00" w:rsidRDefault="00270AFE">
          <w:pPr>
            <w:pBdr>
              <w:top w:val="nil"/>
              <w:left w:val="nil"/>
              <w:bottom w:val="nil"/>
              <w:right w:val="nil"/>
              <w:between w:val="nil"/>
            </w:pBdr>
            <w:tabs>
              <w:tab w:val="right" w:pos="9350"/>
            </w:tabs>
            <w:spacing w:after="100" w:line="480" w:lineRule="auto"/>
            <w:jc w:val="center"/>
            <w:rPr>
              <w:rFonts w:ascii="Times New Roman" w:eastAsia="Times New Roman" w:hAnsi="Times New Roman" w:cs="Times New Roman"/>
              <w:color w:val="000000"/>
              <w:sz w:val="24"/>
              <w:szCs w:val="24"/>
            </w:rPr>
          </w:pPr>
          <w:hyperlink w:anchor="_heading=h.2s8eyo1">
            <w:r w:rsidR="008C05DD">
              <w:rPr>
                <w:rFonts w:ascii="Times New Roman" w:eastAsia="Times New Roman" w:hAnsi="Times New Roman" w:cs="Times New Roman"/>
                <w:color w:val="000000"/>
                <w:sz w:val="24"/>
                <w:szCs w:val="24"/>
              </w:rPr>
              <w:t>Bibliography</w:t>
            </w:r>
            <w:r w:rsidR="008C05DD">
              <w:rPr>
                <w:rFonts w:ascii="Times New Roman" w:eastAsia="Times New Roman" w:hAnsi="Times New Roman" w:cs="Times New Roman"/>
                <w:color w:val="000000"/>
                <w:sz w:val="24"/>
                <w:szCs w:val="24"/>
              </w:rPr>
              <w:tab/>
              <w:t>12</w:t>
            </w:r>
          </w:hyperlink>
        </w:p>
        <w:p w14:paraId="00000019" w14:textId="77777777" w:rsidR="00316F00" w:rsidRDefault="00270AFE" w:rsidP="00DF7DF9">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17dp8vu">
            <w:r w:rsidR="008C05DD">
              <w:rPr>
                <w:rFonts w:ascii="Times New Roman" w:eastAsia="Times New Roman" w:hAnsi="Times New Roman" w:cs="Times New Roman"/>
                <w:color w:val="000000"/>
                <w:sz w:val="24"/>
                <w:szCs w:val="24"/>
              </w:rPr>
              <w:t>References</w:t>
            </w:r>
            <w:r w:rsidR="008C05DD">
              <w:rPr>
                <w:rFonts w:ascii="Times New Roman" w:eastAsia="Times New Roman" w:hAnsi="Times New Roman" w:cs="Times New Roman"/>
                <w:color w:val="000000"/>
                <w:sz w:val="24"/>
                <w:szCs w:val="24"/>
              </w:rPr>
              <w:tab/>
              <w:t>12</w:t>
            </w:r>
          </w:hyperlink>
        </w:p>
        <w:p w14:paraId="0000001A" w14:textId="77777777" w:rsidR="00316F00" w:rsidRDefault="00270AFE" w:rsidP="00DF7DF9">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lnxbz9">
            <w:r w:rsidR="008C05DD">
              <w:rPr>
                <w:rFonts w:ascii="Times New Roman" w:eastAsia="Times New Roman" w:hAnsi="Times New Roman" w:cs="Times New Roman"/>
                <w:color w:val="000000"/>
                <w:sz w:val="24"/>
                <w:szCs w:val="24"/>
              </w:rPr>
              <w:t>Act/Case Law</w:t>
            </w:r>
            <w:r w:rsidR="008C05DD">
              <w:rPr>
                <w:rFonts w:ascii="Times New Roman" w:eastAsia="Times New Roman" w:hAnsi="Times New Roman" w:cs="Times New Roman"/>
                <w:color w:val="000000"/>
                <w:sz w:val="24"/>
                <w:szCs w:val="24"/>
              </w:rPr>
              <w:tab/>
              <w:t>13</w:t>
            </w:r>
          </w:hyperlink>
        </w:p>
        <w:p w14:paraId="0000001B" w14:textId="77777777" w:rsidR="00316F00" w:rsidRDefault="008C05DD">
          <w:r>
            <w:fldChar w:fldCharType="end"/>
          </w:r>
        </w:p>
      </w:sdtContent>
    </w:sdt>
    <w:p w14:paraId="0000001C" w14:textId="77777777" w:rsidR="00316F00" w:rsidRDefault="00316F00">
      <w:pPr>
        <w:pStyle w:val="Heading1"/>
        <w:spacing w:line="480" w:lineRule="auto"/>
        <w:jc w:val="both"/>
        <w:rPr>
          <w:rFonts w:ascii="Times New Roman" w:eastAsia="Times New Roman" w:hAnsi="Times New Roman" w:cs="Times New Roman"/>
          <w:color w:val="000000"/>
          <w:sz w:val="24"/>
          <w:szCs w:val="24"/>
        </w:rPr>
      </w:pPr>
    </w:p>
    <w:p w14:paraId="0000001D" w14:textId="77777777" w:rsidR="00316F00" w:rsidRDefault="008C05DD">
      <w:pPr>
        <w:rPr>
          <w:rFonts w:ascii="Times New Roman" w:eastAsia="Times New Roman" w:hAnsi="Times New Roman" w:cs="Times New Roman"/>
          <w:color w:val="000000"/>
          <w:sz w:val="24"/>
          <w:szCs w:val="24"/>
        </w:rPr>
      </w:pPr>
      <w:r>
        <w:br w:type="page"/>
      </w:r>
    </w:p>
    <w:p w14:paraId="0000001E" w14:textId="77777777" w:rsidR="00316F00" w:rsidRDefault="008C05DD">
      <w:pPr>
        <w:pStyle w:val="Heading1"/>
        <w:spacing w:line="480" w:lineRule="auto"/>
        <w:jc w:val="both"/>
        <w:rPr>
          <w:rFonts w:ascii="Times New Roman" w:eastAsia="Times New Roman" w:hAnsi="Times New Roman" w:cs="Times New Roman"/>
          <w:b/>
          <w:i/>
          <w:color w:val="000000"/>
          <w:sz w:val="24"/>
          <w:szCs w:val="24"/>
        </w:rPr>
      </w:pPr>
      <w:bookmarkStart w:id="1" w:name="_heading=h.30j0zll" w:colFirst="0" w:colLast="0"/>
      <w:bookmarkEnd w:id="1"/>
      <w:r>
        <w:rPr>
          <w:rFonts w:ascii="Times New Roman" w:eastAsia="Times New Roman" w:hAnsi="Times New Roman" w:cs="Times New Roman"/>
          <w:b/>
          <w:i/>
          <w:color w:val="000000"/>
          <w:sz w:val="24"/>
          <w:szCs w:val="24"/>
        </w:rPr>
        <w:lastRenderedPageBreak/>
        <w:t>Breach of the Duty and the Standard of the Care</w:t>
      </w:r>
    </w:p>
    <w:p w14:paraId="0000001F" w14:textId="21B87789" w:rsidR="00316F00" w:rsidRDefault="008C05DD">
      <w:pPr>
        <w:pBdr>
          <w:top w:val="nil"/>
          <w:left w:val="nil"/>
          <w:bottom w:val="nil"/>
          <w:right w:val="nil"/>
          <w:between w:val="nil"/>
        </w:pBdr>
        <w:shd w:val="clear" w:color="auto" w:fill="FFFFFF"/>
        <w:spacing w:after="280"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duty of care is defined as the legal obligation in order to take the steps that are reasonable not to cause foreseeable harm towards another person or thei</w:t>
      </w:r>
      <w:r w:rsidR="00DF7DF9">
        <w:rPr>
          <w:rFonts w:ascii="Times New Roman" w:eastAsia="Times New Roman" w:hAnsi="Times New Roman" w:cs="Times New Roman"/>
          <w:color w:val="000000"/>
          <w:sz w:val="24"/>
          <w:szCs w:val="24"/>
        </w:rPr>
        <w:t>r property. In addition to this</w:t>
      </w:r>
      <w:r>
        <w:rPr>
          <w:rFonts w:ascii="Times New Roman" w:eastAsia="Times New Roman" w:hAnsi="Times New Roman" w:cs="Times New Roman"/>
          <w:color w:val="000000"/>
          <w:sz w:val="24"/>
          <w:szCs w:val="24"/>
        </w:rPr>
        <w:t xml:space="preserve"> the duty </w:t>
      </w:r>
      <w:r>
        <w:rPr>
          <w:rFonts w:ascii="Times New Roman" w:eastAsia="Times New Roman" w:hAnsi="Times New Roman" w:cs="Times New Roman"/>
          <w:sz w:val="24"/>
          <w:szCs w:val="24"/>
        </w:rPr>
        <w:t>of care</w:t>
      </w:r>
      <w:r>
        <w:rPr>
          <w:rFonts w:ascii="Times New Roman" w:eastAsia="Times New Roman" w:hAnsi="Times New Roman" w:cs="Times New Roman"/>
          <w:color w:val="000000"/>
          <w:sz w:val="24"/>
          <w:szCs w:val="24"/>
        </w:rPr>
        <w:t xml:space="preserve"> is breached when someone </w:t>
      </w:r>
      <w:r>
        <w:rPr>
          <w:rFonts w:ascii="Times New Roman" w:eastAsia="Times New Roman" w:hAnsi="Times New Roman" w:cs="Times New Roman"/>
          <w:sz w:val="24"/>
          <w:szCs w:val="24"/>
        </w:rPr>
        <w:t>has</w:t>
      </w:r>
      <w:r>
        <w:rPr>
          <w:rFonts w:ascii="Times New Roman" w:eastAsia="Times New Roman" w:hAnsi="Times New Roman" w:cs="Times New Roman"/>
          <w:color w:val="000000"/>
          <w:sz w:val="24"/>
          <w:szCs w:val="24"/>
        </w:rPr>
        <w:t xml:space="preserve"> an injury for the reason of the action of another person at the point when it was reasonably predictable that the action could be causing injury and the person </w:t>
      </w:r>
      <w:r>
        <w:rPr>
          <w:rFonts w:ascii="Times New Roman" w:eastAsia="Times New Roman" w:hAnsi="Times New Roman" w:cs="Times New Roman"/>
          <w:sz w:val="24"/>
          <w:szCs w:val="24"/>
        </w:rPr>
        <w:t>reasonably</w:t>
      </w:r>
      <w:r>
        <w:rPr>
          <w:rFonts w:ascii="Times New Roman" w:eastAsia="Times New Roman" w:hAnsi="Times New Roman" w:cs="Times New Roman"/>
          <w:color w:val="000000"/>
          <w:sz w:val="24"/>
          <w:szCs w:val="24"/>
        </w:rPr>
        <w:t xml:space="preserve"> in the same position would not have been acting in that similar way. </w:t>
      </w:r>
      <w:r>
        <w:rPr>
          <w:rFonts w:ascii="Times New Roman" w:eastAsia="Times New Roman" w:hAnsi="Times New Roman" w:cs="Times New Roman"/>
          <w:color w:val="000000"/>
          <w:sz w:val="24"/>
          <w:szCs w:val="24"/>
          <w:vertAlign w:val="superscript"/>
        </w:rPr>
        <w:footnoteReference w:id="1"/>
      </w:r>
      <w:r>
        <w:rPr>
          <w:rFonts w:ascii="Times New Roman" w:eastAsia="Times New Roman" w:hAnsi="Times New Roman" w:cs="Times New Roman"/>
          <w:color w:val="000000"/>
          <w:sz w:val="24"/>
          <w:szCs w:val="24"/>
        </w:rPr>
        <w:t xml:space="preserve">Once the duty of the care has been originating out, it is essential to </w:t>
      </w:r>
      <w:r>
        <w:rPr>
          <w:rFonts w:ascii="Times New Roman" w:eastAsia="Times New Roman" w:hAnsi="Times New Roman" w:cs="Times New Roman"/>
          <w:sz w:val="24"/>
          <w:szCs w:val="24"/>
        </w:rPr>
        <w:t>inquire whether</w:t>
      </w:r>
      <w:r>
        <w:rPr>
          <w:rFonts w:ascii="Times New Roman" w:eastAsia="Times New Roman" w:hAnsi="Times New Roman" w:cs="Times New Roman"/>
          <w:color w:val="000000"/>
          <w:sz w:val="24"/>
          <w:szCs w:val="24"/>
        </w:rPr>
        <w:t xml:space="preserve"> the perpetrator has been acting similarly as it to have penetrated that duty of the care. At the time, when it is completed, it is similarly essential in order to inspect the movements of the defendants in order to understand that they have underlined little of this ordinary. </w:t>
      </w:r>
    </w:p>
    <w:p w14:paraId="00000020" w14:textId="77777777" w:rsidR="00316F00" w:rsidRDefault="008C05DD">
      <w:pPr>
        <w:pBdr>
          <w:top w:val="nil"/>
          <w:left w:val="nil"/>
          <w:bottom w:val="nil"/>
          <w:right w:val="nil"/>
          <w:between w:val="nil"/>
        </w:pBdr>
        <w:shd w:val="clear" w:color="auto" w:fill="FFFFFF"/>
        <w:spacing w:after="280" w:line="480" w:lineRule="auto"/>
        <w:ind w:firstLine="720"/>
        <w:jc w:val="both"/>
        <w:rPr>
          <w:rFonts w:ascii="Times New Roman" w:eastAsia="Times New Roman" w:hAnsi="Times New Roman" w:cs="Times New Roman"/>
          <w:color w:val="000000"/>
          <w:sz w:val="24"/>
          <w:szCs w:val="24"/>
        </w:rPr>
      </w:pPr>
      <w:bookmarkStart w:id="3" w:name="_heading=h.1fob9te" w:colFirst="0" w:colLast="0"/>
      <w:bookmarkEnd w:id="3"/>
      <w:r>
        <w:rPr>
          <w:rFonts w:ascii="Times New Roman" w:eastAsia="Times New Roman" w:hAnsi="Times New Roman" w:cs="Times New Roman"/>
          <w:sz w:val="24"/>
          <w:szCs w:val="24"/>
        </w:rPr>
        <w:t>Beforehand</w:t>
      </w:r>
      <w:r>
        <w:rPr>
          <w:rFonts w:ascii="Times New Roman" w:eastAsia="Times New Roman" w:hAnsi="Times New Roman" w:cs="Times New Roman"/>
          <w:color w:val="000000"/>
          <w:sz w:val="24"/>
          <w:szCs w:val="24"/>
        </w:rPr>
        <w:t xml:space="preserve">, it must be taken into accordance that the care of the standard is </w:t>
      </w:r>
      <w:r>
        <w:rPr>
          <w:rFonts w:ascii="Times New Roman" w:eastAsia="Times New Roman" w:hAnsi="Times New Roman" w:cs="Times New Roman"/>
          <w:sz w:val="24"/>
          <w:szCs w:val="24"/>
        </w:rPr>
        <w:t>continuously grounded</w:t>
      </w:r>
      <w:r>
        <w:rPr>
          <w:rFonts w:ascii="Times New Roman" w:eastAsia="Times New Roman" w:hAnsi="Times New Roman" w:cs="Times New Roman"/>
          <w:color w:val="000000"/>
          <w:sz w:val="24"/>
          <w:szCs w:val="24"/>
        </w:rPr>
        <w:t xml:space="preserve"> on the reason in a </w:t>
      </w:r>
      <w:r>
        <w:rPr>
          <w:rFonts w:ascii="Times New Roman" w:eastAsia="Times New Roman" w:hAnsi="Times New Roman" w:cs="Times New Roman"/>
          <w:sz w:val="24"/>
          <w:szCs w:val="24"/>
        </w:rPr>
        <w:t>forceful</w:t>
      </w:r>
      <w:r>
        <w:rPr>
          <w:rFonts w:ascii="Times New Roman" w:eastAsia="Times New Roman" w:hAnsi="Times New Roman" w:cs="Times New Roman"/>
          <w:color w:val="000000"/>
          <w:sz w:val="24"/>
          <w:szCs w:val="24"/>
        </w:rPr>
        <w:t xml:space="preserve"> manner. </w:t>
      </w:r>
      <w:r>
        <w:rPr>
          <w:rFonts w:ascii="Times New Roman" w:eastAsia="Times New Roman" w:hAnsi="Times New Roman" w:cs="Times New Roman"/>
          <w:color w:val="000000"/>
          <w:sz w:val="24"/>
          <w:szCs w:val="24"/>
          <w:vertAlign w:val="superscript"/>
        </w:rPr>
        <w:footnoteReference w:id="2"/>
      </w:r>
      <w:r>
        <w:rPr>
          <w:rFonts w:ascii="Times New Roman" w:eastAsia="Times New Roman" w:hAnsi="Times New Roman" w:cs="Times New Roman"/>
          <w:color w:val="000000"/>
          <w:sz w:val="24"/>
          <w:szCs w:val="24"/>
        </w:rPr>
        <w:t xml:space="preserve">Additionally, this means that the benches are not going to </w:t>
      </w:r>
      <w:r>
        <w:rPr>
          <w:rFonts w:ascii="Times New Roman" w:eastAsia="Times New Roman" w:hAnsi="Times New Roman" w:cs="Times New Roman"/>
          <w:sz w:val="24"/>
          <w:szCs w:val="24"/>
        </w:rPr>
        <w:t>enquire to the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defendants whether</w:t>
      </w:r>
      <w:r>
        <w:rPr>
          <w:rFonts w:ascii="Times New Roman" w:eastAsia="Times New Roman" w:hAnsi="Times New Roman" w:cs="Times New Roman"/>
          <w:color w:val="000000"/>
          <w:sz w:val="24"/>
          <w:szCs w:val="24"/>
        </w:rPr>
        <w:t xml:space="preserve"> they have predicted a sure consequence or not, but </w:t>
      </w:r>
      <w:r>
        <w:rPr>
          <w:rFonts w:ascii="Times New Roman" w:eastAsia="Times New Roman" w:hAnsi="Times New Roman" w:cs="Times New Roman"/>
          <w:sz w:val="24"/>
          <w:szCs w:val="24"/>
        </w:rPr>
        <w:t>rather</w:t>
      </w:r>
      <w:r>
        <w:rPr>
          <w:rFonts w:ascii="Times New Roman" w:eastAsia="Times New Roman" w:hAnsi="Times New Roman" w:cs="Times New Roman"/>
          <w:color w:val="000000"/>
          <w:sz w:val="24"/>
          <w:szCs w:val="24"/>
        </w:rPr>
        <w:t xml:space="preserve"> they are going to pursue out the effort that the </w:t>
      </w:r>
      <w:r>
        <w:rPr>
          <w:rFonts w:ascii="Times New Roman" w:eastAsia="Times New Roman" w:hAnsi="Times New Roman" w:cs="Times New Roman"/>
          <w:sz w:val="24"/>
          <w:szCs w:val="24"/>
        </w:rPr>
        <w:t>perpetrator must</w:t>
      </w:r>
      <w:r>
        <w:rPr>
          <w:rFonts w:ascii="Times New Roman" w:eastAsia="Times New Roman" w:hAnsi="Times New Roman" w:cs="Times New Roman"/>
          <w:color w:val="000000"/>
          <w:sz w:val="24"/>
          <w:szCs w:val="24"/>
        </w:rPr>
        <w:t xml:space="preserve"> have predicted. This, however, </w:t>
      </w:r>
      <w:r>
        <w:rPr>
          <w:rFonts w:ascii="Times New Roman" w:eastAsia="Times New Roman" w:hAnsi="Times New Roman" w:cs="Times New Roman"/>
          <w:sz w:val="24"/>
          <w:szCs w:val="24"/>
        </w:rPr>
        <w:t>the income</w:t>
      </w:r>
      <w:r>
        <w:rPr>
          <w:rFonts w:ascii="Times New Roman" w:eastAsia="Times New Roman" w:hAnsi="Times New Roman" w:cs="Times New Roman"/>
          <w:color w:val="000000"/>
          <w:sz w:val="24"/>
          <w:szCs w:val="24"/>
        </w:rPr>
        <w:t xml:space="preserve"> that the bags that are involved extremely have improbable consequences are not probable to be fruitful. Additionally, the case of the </w:t>
      </w:r>
      <w:proofErr w:type="spellStart"/>
      <w:r>
        <w:rPr>
          <w:rFonts w:ascii="Times New Roman" w:eastAsia="Times New Roman" w:hAnsi="Times New Roman" w:cs="Times New Roman"/>
          <w:color w:val="000000"/>
          <w:sz w:val="24"/>
          <w:szCs w:val="24"/>
        </w:rPr>
        <w:t>Fardon</w:t>
      </w:r>
      <w:proofErr w:type="spellEnd"/>
      <w:r>
        <w:rPr>
          <w:rFonts w:ascii="Times New Roman" w:eastAsia="Times New Roman" w:hAnsi="Times New Roman" w:cs="Times New Roman"/>
          <w:color w:val="000000"/>
          <w:sz w:val="24"/>
          <w:szCs w:val="24"/>
        </w:rPr>
        <w:t xml:space="preserve"> V Harcourt </w:t>
      </w:r>
      <w:proofErr w:type="spellStart"/>
      <w:r>
        <w:rPr>
          <w:rFonts w:ascii="Times New Roman" w:eastAsia="Times New Roman" w:hAnsi="Times New Roman" w:cs="Times New Roman"/>
          <w:color w:val="000000"/>
          <w:sz w:val="24"/>
          <w:szCs w:val="24"/>
        </w:rPr>
        <w:t>Rivington</w:t>
      </w:r>
      <w:proofErr w:type="spellEnd"/>
      <w:r>
        <w:rPr>
          <w:rFonts w:ascii="Times New Roman" w:eastAsia="Times New Roman" w:hAnsi="Times New Roman" w:cs="Times New Roman"/>
          <w:color w:val="000000"/>
          <w:sz w:val="24"/>
          <w:szCs w:val="24"/>
        </w:rPr>
        <w:t xml:space="preserve"> [1932].</w:t>
      </w:r>
      <w:r>
        <w:rPr>
          <w:rFonts w:ascii="Times New Roman" w:eastAsia="Times New Roman" w:hAnsi="Times New Roman" w:cs="Times New Roman"/>
          <w:color w:val="000000"/>
          <w:sz w:val="24"/>
          <w:szCs w:val="24"/>
          <w:vertAlign w:val="superscript"/>
        </w:rPr>
        <w:footnoteReference w:id="3"/>
      </w:r>
      <w:r>
        <w:rPr>
          <w:rFonts w:ascii="Times New Roman" w:eastAsia="Times New Roman" w:hAnsi="Times New Roman" w:cs="Times New Roman"/>
          <w:color w:val="000000"/>
          <w:sz w:val="24"/>
          <w:szCs w:val="24"/>
        </w:rPr>
        <w:t xml:space="preserve"> In this case, the dog of the defendant, which is typically docile, was left in the care of the defendant. In the premises of the care, the dog started to jump around and start to bark as well and meanwhile doing so; the dog has smashed a window that produces the outcome in the entering of the glass in the eye of the claimants. In addition to this, the court ruled with the outcome saying that it is a fantastic possibility and therefore, it cannot be predicted. Concurrently, the perpetrator was only </w:t>
      </w:r>
      <w:r>
        <w:rPr>
          <w:rFonts w:ascii="Times New Roman" w:eastAsia="Times New Roman" w:hAnsi="Times New Roman" w:cs="Times New Roman"/>
          <w:color w:val="000000"/>
          <w:sz w:val="24"/>
          <w:szCs w:val="24"/>
        </w:rPr>
        <w:lastRenderedPageBreak/>
        <w:t xml:space="preserve">grateful in order to evade the rational likelihoods. So, previously commerce with the bizarre option or the sensible likelihood. If the response to this query is found to be formed, then the benches are dubious in order to the law that the responsibility of the upkeep was unfortunately broken. </w:t>
      </w:r>
    </w:p>
    <w:p w14:paraId="00000021" w14:textId="77777777" w:rsidR="00316F00" w:rsidRDefault="008C05DD">
      <w:pPr>
        <w:pStyle w:val="Heading1"/>
        <w:spacing w:line="480" w:lineRule="auto"/>
        <w:jc w:val="both"/>
        <w:rPr>
          <w:rFonts w:ascii="Times New Roman" w:eastAsia="Times New Roman" w:hAnsi="Times New Roman" w:cs="Times New Roman"/>
          <w:b/>
          <w:i/>
          <w:color w:val="000000"/>
          <w:sz w:val="24"/>
          <w:szCs w:val="24"/>
        </w:rPr>
      </w:pPr>
      <w:bookmarkStart w:id="4" w:name="_heading=h.3znysh7" w:colFirst="0" w:colLast="0"/>
      <w:bookmarkEnd w:id="4"/>
      <w:r>
        <w:rPr>
          <w:rFonts w:ascii="Times New Roman" w:eastAsia="Times New Roman" w:hAnsi="Times New Roman" w:cs="Times New Roman"/>
          <w:b/>
          <w:i/>
          <w:color w:val="000000"/>
          <w:sz w:val="24"/>
          <w:szCs w:val="24"/>
        </w:rPr>
        <w:t>Determining the Normal of Care for Dissimilar Perpetrators</w:t>
      </w:r>
    </w:p>
    <w:p w14:paraId="00000022" w14:textId="77777777" w:rsidR="00316F00" w:rsidRDefault="008C05DD">
      <w:pPr>
        <w:pBdr>
          <w:top w:val="nil"/>
          <w:left w:val="nil"/>
          <w:bottom w:val="nil"/>
          <w:right w:val="nil"/>
          <w:between w:val="nil"/>
        </w:pBdr>
        <w:shd w:val="clear" w:color="auto" w:fill="FFFFFF"/>
        <w:spacing w:after="280"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life of the responsibility of overhaul has not been </w:t>
      </w:r>
      <w:r>
        <w:rPr>
          <w:rFonts w:ascii="Times New Roman" w:eastAsia="Times New Roman" w:hAnsi="Times New Roman" w:cs="Times New Roman"/>
          <w:sz w:val="24"/>
          <w:szCs w:val="24"/>
        </w:rPr>
        <w:t>mandated by faultless</w:t>
      </w:r>
      <w:r>
        <w:rPr>
          <w:rFonts w:ascii="Times New Roman" w:eastAsia="Times New Roman" w:hAnsi="Times New Roman" w:cs="Times New Roman"/>
          <w:color w:val="000000"/>
          <w:sz w:val="24"/>
          <w:szCs w:val="24"/>
        </w:rPr>
        <w:t xml:space="preserve"> performance. At the same time, there is particularly the duty </w:t>
      </w:r>
      <w:r>
        <w:rPr>
          <w:rFonts w:ascii="Times New Roman" w:eastAsia="Times New Roman" w:hAnsi="Times New Roman" w:cs="Times New Roman"/>
          <w:sz w:val="24"/>
          <w:szCs w:val="24"/>
        </w:rPr>
        <w:t>of care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amid</w:t>
      </w:r>
      <w:r>
        <w:rPr>
          <w:rFonts w:ascii="Times New Roman" w:eastAsia="Times New Roman" w:hAnsi="Times New Roman" w:cs="Times New Roman"/>
          <w:color w:val="000000"/>
          <w:sz w:val="24"/>
          <w:szCs w:val="24"/>
        </w:rPr>
        <w:t xml:space="preserve"> the motorists and the additional workers of the road, in addition to this </w:t>
      </w:r>
      <w:r>
        <w:rPr>
          <w:rFonts w:ascii="Times New Roman" w:eastAsia="Times New Roman" w:hAnsi="Times New Roman" w:cs="Times New Roman"/>
          <w:sz w:val="24"/>
          <w:szCs w:val="24"/>
        </w:rPr>
        <w:t>duty not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mandating</w:t>
      </w:r>
      <w:r>
        <w:rPr>
          <w:rFonts w:ascii="Times New Roman" w:eastAsia="Times New Roman" w:hAnsi="Times New Roman" w:cs="Times New Roman"/>
          <w:color w:val="000000"/>
          <w:sz w:val="24"/>
          <w:szCs w:val="24"/>
        </w:rPr>
        <w:t xml:space="preserve"> that every driver must be perfectly driving. Despite this, the law has struck a balance amid providing compensation at the time when the failure has been usually outstandingly bad, and at the time when the accident is </w:t>
      </w:r>
      <w:r>
        <w:rPr>
          <w:rFonts w:ascii="Times New Roman" w:eastAsia="Times New Roman" w:hAnsi="Times New Roman" w:cs="Times New Roman"/>
          <w:sz w:val="24"/>
          <w:szCs w:val="24"/>
        </w:rPr>
        <w:t>genuine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vertAlign w:val="superscript"/>
        </w:rPr>
        <w:footnoteReference w:id="4"/>
      </w:r>
      <w:r>
        <w:rPr>
          <w:rFonts w:ascii="Times New Roman" w:eastAsia="Times New Roman" w:hAnsi="Times New Roman" w:cs="Times New Roman"/>
          <w:color w:val="000000"/>
          <w:sz w:val="24"/>
          <w:szCs w:val="24"/>
        </w:rPr>
        <w:t>The case, namely the Donoghue vs Stevenson,</w:t>
      </w:r>
      <w:r>
        <w:rPr>
          <w:rFonts w:ascii="Times New Roman" w:eastAsia="Times New Roman" w:hAnsi="Times New Roman" w:cs="Times New Roman"/>
          <w:color w:val="000000"/>
          <w:sz w:val="24"/>
          <w:szCs w:val="24"/>
          <w:vertAlign w:val="superscript"/>
        </w:rPr>
        <w:footnoteReference w:id="5"/>
      </w:r>
      <w:r>
        <w:rPr>
          <w:rFonts w:ascii="Times New Roman" w:eastAsia="Times New Roman" w:hAnsi="Times New Roman" w:cs="Times New Roman"/>
          <w:color w:val="000000"/>
          <w:sz w:val="24"/>
          <w:szCs w:val="24"/>
        </w:rPr>
        <w:t xml:space="preserve"> had held that the defendants towards the normal of the sensible guy. </w:t>
      </w:r>
    </w:p>
    <w:p w14:paraId="00000023" w14:textId="77777777" w:rsidR="00316F00" w:rsidRDefault="008C05DD">
      <w:pPr>
        <w:pBdr>
          <w:top w:val="nil"/>
          <w:left w:val="nil"/>
          <w:bottom w:val="nil"/>
          <w:right w:val="nil"/>
          <w:between w:val="nil"/>
        </w:pBdr>
        <w:shd w:val="clear" w:color="auto" w:fill="FFFFFF"/>
        <w:spacing w:after="280"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Meanwhile, if the perpetrator has been acting in a reasonable way that they will not have been breaching the responsibility of the upkeep and vice versa, though, this has been apparently suggesting that the perpetrators are continuously arbitrated in contrary to be against the standards of the objective at the place where it does not exist some sort of possibility to change the examination that is dependent on the defendant physiognomies. The overall law is that perpetrators tend to be predictable to performance in a way that is a sensible equal of the ability that is present in the action which is undertaken by them. </w:t>
      </w:r>
      <w:r>
        <w:rPr>
          <w:rFonts w:ascii="Times New Roman" w:eastAsia="Times New Roman" w:hAnsi="Times New Roman" w:cs="Times New Roman"/>
          <w:color w:val="000000"/>
          <w:sz w:val="24"/>
          <w:szCs w:val="24"/>
          <w:vertAlign w:val="superscript"/>
        </w:rPr>
        <w:footnoteReference w:id="6"/>
      </w:r>
      <w:r>
        <w:rPr>
          <w:rFonts w:ascii="Times New Roman" w:eastAsia="Times New Roman" w:hAnsi="Times New Roman" w:cs="Times New Roman"/>
          <w:color w:val="000000"/>
          <w:sz w:val="24"/>
          <w:szCs w:val="24"/>
        </w:rPr>
        <w:t xml:space="preserve">The best consideration to understand is the case of </w:t>
      </w:r>
      <w:proofErr w:type="spellStart"/>
      <w:r>
        <w:rPr>
          <w:rFonts w:ascii="Times New Roman" w:eastAsia="Times New Roman" w:hAnsi="Times New Roman" w:cs="Times New Roman"/>
          <w:color w:val="000000"/>
          <w:sz w:val="24"/>
          <w:szCs w:val="24"/>
        </w:rPr>
        <w:t>Nettleship</w:t>
      </w:r>
      <w:proofErr w:type="spellEnd"/>
      <w:r>
        <w:rPr>
          <w:rFonts w:ascii="Times New Roman" w:eastAsia="Times New Roman" w:hAnsi="Times New Roman" w:cs="Times New Roman"/>
          <w:color w:val="000000"/>
          <w:sz w:val="24"/>
          <w:szCs w:val="24"/>
        </w:rPr>
        <w:t xml:space="preserve"> Vs Watson. </w:t>
      </w:r>
      <w:r>
        <w:rPr>
          <w:rFonts w:ascii="Times New Roman" w:eastAsia="Times New Roman" w:hAnsi="Times New Roman" w:cs="Times New Roman"/>
          <w:color w:val="000000"/>
          <w:sz w:val="24"/>
          <w:szCs w:val="24"/>
          <w:vertAlign w:val="superscript"/>
        </w:rPr>
        <w:footnoteReference w:id="7"/>
      </w:r>
      <w:r>
        <w:rPr>
          <w:rFonts w:ascii="Times New Roman" w:eastAsia="Times New Roman" w:hAnsi="Times New Roman" w:cs="Times New Roman"/>
          <w:color w:val="000000"/>
          <w:sz w:val="24"/>
          <w:szCs w:val="24"/>
        </w:rPr>
        <w:t xml:space="preserve"> In this case, the defendant was the learned driver and taking the classes from the friend, which is the applicant. Previously, approving to inculcate her, the applicant has </w:t>
      </w:r>
      <w:r>
        <w:rPr>
          <w:rFonts w:ascii="Times New Roman" w:eastAsia="Times New Roman" w:hAnsi="Times New Roman" w:cs="Times New Roman"/>
          <w:color w:val="000000"/>
          <w:sz w:val="24"/>
          <w:szCs w:val="24"/>
        </w:rPr>
        <w:lastRenderedPageBreak/>
        <w:t xml:space="preserve">checked in order to understand if the offender's cover is covering the travellers. After the rotating of the bend, the applicant has inquired to the perpetrator to flatten up the manoeuvre. At this moment, she got </w:t>
      </w:r>
      <w:r>
        <w:rPr>
          <w:rFonts w:ascii="Times New Roman" w:eastAsia="Times New Roman" w:hAnsi="Times New Roman" w:cs="Times New Roman"/>
          <w:sz w:val="24"/>
          <w:szCs w:val="24"/>
        </w:rPr>
        <w:t>freaked out</w:t>
      </w:r>
      <w:r>
        <w:rPr>
          <w:rFonts w:ascii="Times New Roman" w:eastAsia="Times New Roman" w:hAnsi="Times New Roman" w:cs="Times New Roman"/>
          <w:color w:val="000000"/>
          <w:sz w:val="24"/>
          <w:szCs w:val="24"/>
        </w:rPr>
        <w:t xml:space="preserve">, and at the time when the applicant was going to clutch the manoeuvre, the car went down and stopped at the streetlight. </w:t>
      </w:r>
      <w:r>
        <w:rPr>
          <w:rFonts w:ascii="Times New Roman" w:eastAsia="Times New Roman" w:hAnsi="Times New Roman" w:cs="Times New Roman"/>
          <w:color w:val="000000"/>
          <w:sz w:val="24"/>
          <w:szCs w:val="24"/>
          <w:vertAlign w:val="superscript"/>
        </w:rPr>
        <w:footnoteReference w:id="8"/>
      </w:r>
      <w:r>
        <w:rPr>
          <w:rFonts w:ascii="Times New Roman" w:eastAsia="Times New Roman" w:hAnsi="Times New Roman" w:cs="Times New Roman"/>
          <w:color w:val="000000"/>
          <w:sz w:val="24"/>
          <w:szCs w:val="24"/>
        </w:rPr>
        <w:t xml:space="preserve">The outcome of this that came forward was that the claimant's arm got fractured. In doing so, the defendant has argued on the two points. The very first one is that the learner driver should be judged in the contradiction of the inferior normal of the care and short her movements have not breached the customary of the care </w:t>
      </w:r>
      <w:r>
        <w:rPr>
          <w:rFonts w:ascii="Times New Roman" w:eastAsia="Times New Roman" w:hAnsi="Times New Roman" w:cs="Times New Roman"/>
          <w:sz w:val="24"/>
          <w:szCs w:val="24"/>
        </w:rPr>
        <w:t>of</w:t>
      </w:r>
      <w:r>
        <w:rPr>
          <w:rFonts w:ascii="Times New Roman" w:eastAsia="Times New Roman" w:hAnsi="Times New Roman" w:cs="Times New Roman"/>
          <w:color w:val="000000"/>
          <w:sz w:val="24"/>
          <w:szCs w:val="24"/>
        </w:rPr>
        <w:t xml:space="preserve"> the beginner motorist. And the second point is that since the applicant has decided in order to get into the carriage with the beginner, protection of the unpaid taking of the danger </w:t>
      </w:r>
      <w:r>
        <w:rPr>
          <w:rFonts w:ascii="Times New Roman" w:eastAsia="Times New Roman" w:hAnsi="Times New Roman" w:cs="Times New Roman"/>
          <w:sz w:val="24"/>
          <w:szCs w:val="24"/>
        </w:rPr>
        <w:t>is</w:t>
      </w:r>
      <w:r>
        <w:rPr>
          <w:rFonts w:ascii="Times New Roman" w:eastAsia="Times New Roman" w:hAnsi="Times New Roman" w:cs="Times New Roman"/>
          <w:color w:val="000000"/>
          <w:sz w:val="24"/>
          <w:szCs w:val="24"/>
        </w:rPr>
        <w:t xml:space="preserve"> practical. </w:t>
      </w:r>
    </w:p>
    <w:p w14:paraId="00000024" w14:textId="77777777" w:rsidR="00316F00" w:rsidRDefault="008C05DD">
      <w:pPr>
        <w:pBdr>
          <w:top w:val="nil"/>
          <w:left w:val="nil"/>
          <w:bottom w:val="nil"/>
          <w:right w:val="nil"/>
          <w:between w:val="nil"/>
        </w:pBdr>
        <w:shd w:val="clear" w:color="auto" w:fill="FFFFFF"/>
        <w:spacing w:after="280"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Eventually, both of these urgings were unsuccessful, and the judges apprehended that somebody who is undertaking the job shall be arbitrated in the contradiction of the standard of the sensibly fit and the capable being that is undertaking the task. Moreover, the additional quarrel was unsuccessful for the reason that the plaintiff does not surrender the privileges that are being established by him when he is checking the insurance of the motorist. </w:t>
      </w:r>
      <w:r>
        <w:rPr>
          <w:rFonts w:ascii="Times New Roman" w:eastAsia="Times New Roman" w:hAnsi="Times New Roman" w:cs="Times New Roman"/>
          <w:color w:val="000000"/>
          <w:sz w:val="24"/>
          <w:szCs w:val="24"/>
          <w:vertAlign w:val="superscript"/>
        </w:rPr>
        <w:footnoteReference w:id="9"/>
      </w:r>
      <w:r>
        <w:rPr>
          <w:rFonts w:ascii="Times New Roman" w:eastAsia="Times New Roman" w:hAnsi="Times New Roman" w:cs="Times New Roman"/>
          <w:color w:val="000000"/>
          <w:sz w:val="24"/>
          <w:szCs w:val="24"/>
        </w:rPr>
        <w:t xml:space="preserve">Thus, the courts have not distinguished the scheme of the capability at </w:t>
      </w:r>
      <w:r>
        <w:rPr>
          <w:rFonts w:ascii="Times New Roman" w:eastAsia="Times New Roman" w:hAnsi="Times New Roman" w:cs="Times New Roman"/>
          <w:sz w:val="24"/>
          <w:szCs w:val="24"/>
        </w:rPr>
        <w:t>least</w:t>
      </w:r>
      <w:r>
        <w:rPr>
          <w:rFonts w:ascii="Times New Roman" w:eastAsia="Times New Roman" w:hAnsi="Times New Roman" w:cs="Times New Roman"/>
          <w:color w:val="000000"/>
          <w:sz w:val="24"/>
          <w:szCs w:val="24"/>
        </w:rPr>
        <w:t xml:space="preserve"> as distant as that knowledge a novel sort of ability is taken into </w:t>
      </w:r>
      <w:r>
        <w:rPr>
          <w:rFonts w:ascii="Times New Roman" w:eastAsia="Times New Roman" w:hAnsi="Times New Roman" w:cs="Times New Roman"/>
          <w:sz w:val="24"/>
          <w:szCs w:val="24"/>
        </w:rPr>
        <w:t>accordance with</w:t>
      </w:r>
      <w:r>
        <w:rPr>
          <w:rFonts w:ascii="Times New Roman" w:eastAsia="Times New Roman" w:hAnsi="Times New Roman" w:cs="Times New Roman"/>
          <w:color w:val="000000"/>
          <w:sz w:val="24"/>
          <w:szCs w:val="24"/>
        </w:rPr>
        <w:t xml:space="preserve">. So, in short, the standard of care is predictable. For example, a coyer who is amateur is similar as the standard of care is predictable for the reasonable archer that is competent as well. Overall, this means that the defendant could not </w:t>
      </w:r>
      <w:r>
        <w:rPr>
          <w:rFonts w:ascii="Times New Roman" w:eastAsia="Times New Roman" w:hAnsi="Times New Roman" w:cs="Times New Roman"/>
          <w:sz w:val="24"/>
          <w:szCs w:val="24"/>
        </w:rPr>
        <w:t>trust their</w:t>
      </w:r>
      <w:r>
        <w:rPr>
          <w:rFonts w:ascii="Times New Roman" w:eastAsia="Times New Roman" w:hAnsi="Times New Roman" w:cs="Times New Roman"/>
          <w:color w:val="000000"/>
          <w:sz w:val="24"/>
          <w:szCs w:val="24"/>
        </w:rPr>
        <w:t xml:space="preserve"> absence of ability or the information of the protection. And the greatest vital overall code is related to the breach and is, therefore, it is specified that the appropriate normal of the upkeep is defined as that of the sensibly capable being that is </w:t>
      </w:r>
      <w:r>
        <w:rPr>
          <w:rFonts w:ascii="Times New Roman" w:eastAsia="Times New Roman" w:hAnsi="Times New Roman" w:cs="Times New Roman"/>
          <w:sz w:val="24"/>
          <w:szCs w:val="24"/>
        </w:rPr>
        <w:t>responsible for</w:t>
      </w:r>
      <w:r>
        <w:rPr>
          <w:rFonts w:ascii="Times New Roman" w:eastAsia="Times New Roman" w:hAnsi="Times New Roman" w:cs="Times New Roman"/>
          <w:color w:val="000000"/>
          <w:sz w:val="24"/>
          <w:szCs w:val="24"/>
        </w:rPr>
        <w:t xml:space="preserve"> that particular action. </w:t>
      </w:r>
    </w:p>
    <w:p w14:paraId="00000025" w14:textId="77777777" w:rsidR="00316F00" w:rsidRDefault="008C05DD">
      <w:pPr>
        <w:pStyle w:val="Heading1"/>
        <w:spacing w:line="480" w:lineRule="auto"/>
        <w:jc w:val="both"/>
        <w:rPr>
          <w:rFonts w:ascii="Times New Roman" w:eastAsia="Times New Roman" w:hAnsi="Times New Roman" w:cs="Times New Roman"/>
          <w:b/>
          <w:i/>
          <w:color w:val="000000"/>
          <w:sz w:val="24"/>
          <w:szCs w:val="24"/>
        </w:rPr>
      </w:pPr>
      <w:bookmarkStart w:id="5" w:name="_heading=h.2et92p0" w:colFirst="0" w:colLast="0"/>
      <w:bookmarkEnd w:id="5"/>
      <w:r>
        <w:rPr>
          <w:rFonts w:ascii="Times New Roman" w:eastAsia="Times New Roman" w:hAnsi="Times New Roman" w:cs="Times New Roman"/>
          <w:b/>
          <w:i/>
          <w:color w:val="000000"/>
          <w:sz w:val="24"/>
          <w:szCs w:val="24"/>
        </w:rPr>
        <w:lastRenderedPageBreak/>
        <w:t xml:space="preserve">Factors that provides the breach of the standard of care: </w:t>
      </w:r>
    </w:p>
    <w:p w14:paraId="00000026" w14:textId="77777777" w:rsidR="00316F00" w:rsidRDefault="008C05DD">
      <w:pPr>
        <w:spacing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courts, however, are going to </w:t>
      </w:r>
      <w:r>
        <w:rPr>
          <w:rFonts w:ascii="Times New Roman" w:eastAsia="Times New Roman" w:hAnsi="Times New Roman" w:cs="Times New Roman"/>
          <w:sz w:val="24"/>
          <w:szCs w:val="24"/>
        </w:rPr>
        <w:t>look at</w:t>
      </w:r>
      <w:r>
        <w:rPr>
          <w:rFonts w:ascii="Times New Roman" w:eastAsia="Times New Roman" w:hAnsi="Times New Roman" w:cs="Times New Roman"/>
          <w:color w:val="000000"/>
          <w:sz w:val="24"/>
          <w:szCs w:val="24"/>
        </w:rPr>
        <w:t xml:space="preserve"> the novel situation, which tends to defy the abrupt and rapid orientation to the being in terms of their sole conditions and the facts.</w:t>
      </w:r>
      <w:r>
        <w:rPr>
          <w:rFonts w:ascii="Times New Roman" w:eastAsia="Times New Roman" w:hAnsi="Times New Roman" w:cs="Times New Roman"/>
          <w:color w:val="000000"/>
          <w:sz w:val="24"/>
          <w:szCs w:val="24"/>
          <w:vertAlign w:val="superscript"/>
        </w:rPr>
        <w:footnoteReference w:id="10"/>
      </w:r>
      <w:r>
        <w:rPr>
          <w:rFonts w:ascii="Times New Roman" w:eastAsia="Times New Roman" w:hAnsi="Times New Roman" w:cs="Times New Roman"/>
          <w:color w:val="000000"/>
          <w:sz w:val="24"/>
          <w:szCs w:val="24"/>
        </w:rPr>
        <w:t xml:space="preserve"> In short, for this reason, the court has created a framework that is being dealt with the factors and the reasons that surround the given incidence </w:t>
      </w:r>
      <w:r>
        <w:rPr>
          <w:rFonts w:ascii="Times New Roman" w:eastAsia="Times New Roman" w:hAnsi="Times New Roman" w:cs="Times New Roman"/>
          <w:sz w:val="24"/>
          <w:szCs w:val="24"/>
        </w:rPr>
        <w:t>of negligence</w:t>
      </w:r>
      <w:r>
        <w:rPr>
          <w:rFonts w:ascii="Times New Roman" w:eastAsia="Times New Roman" w:hAnsi="Times New Roman" w:cs="Times New Roman"/>
          <w:color w:val="000000"/>
          <w:sz w:val="24"/>
          <w:szCs w:val="24"/>
        </w:rPr>
        <w:t xml:space="preserve">.  </w:t>
      </w:r>
    </w:p>
    <w:p w14:paraId="00000027" w14:textId="77777777" w:rsidR="00316F00" w:rsidRDefault="008C05DD">
      <w:pPr>
        <w:pStyle w:val="Heading2"/>
        <w:spacing w:line="480" w:lineRule="auto"/>
        <w:jc w:val="both"/>
        <w:rPr>
          <w:rFonts w:ascii="Times New Roman" w:eastAsia="Times New Roman" w:hAnsi="Times New Roman" w:cs="Times New Roman"/>
          <w:i/>
          <w:color w:val="000000"/>
          <w:sz w:val="24"/>
          <w:szCs w:val="24"/>
        </w:rPr>
      </w:pPr>
      <w:bookmarkStart w:id="6" w:name="_heading=h.tyjcwt" w:colFirst="0" w:colLast="0"/>
      <w:bookmarkEnd w:id="6"/>
      <w:r>
        <w:rPr>
          <w:rFonts w:ascii="Times New Roman" w:eastAsia="Times New Roman" w:hAnsi="Times New Roman" w:cs="Times New Roman"/>
          <w:i/>
          <w:color w:val="000000"/>
          <w:sz w:val="24"/>
          <w:szCs w:val="24"/>
        </w:rPr>
        <w:t>Magnitude of Risk</w:t>
      </w:r>
    </w:p>
    <w:p w14:paraId="00000028" w14:textId="77777777" w:rsidR="00316F00" w:rsidRDefault="008C05DD">
      <w:pPr>
        <w:spacing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are two methods, or it can be said as the ways through which the greatness of the danger is affecting the standard of the care. The first amongst </w:t>
      </w:r>
      <w:r>
        <w:rPr>
          <w:rFonts w:ascii="Times New Roman" w:eastAsia="Times New Roman" w:hAnsi="Times New Roman" w:cs="Times New Roman"/>
          <w:sz w:val="24"/>
          <w:szCs w:val="24"/>
        </w:rPr>
        <w:t>these</w:t>
      </w:r>
      <w:r>
        <w:rPr>
          <w:rFonts w:ascii="Times New Roman" w:eastAsia="Times New Roman" w:hAnsi="Times New Roman" w:cs="Times New Roman"/>
          <w:color w:val="000000"/>
          <w:sz w:val="24"/>
          <w:szCs w:val="24"/>
        </w:rPr>
        <w:t xml:space="preserve"> is the likelihood of the occurrence of the danger, and the additional one is the importance of the danger that is tortuous. For instance, if the risk is pronounced chiefly, then there will be anticipation that the sensible being will be acting in order to prevent the occurrence of the risk. In the case of Bolton Vs Stone and Miller Vs Jackson, both of the cases involve the damages that are caused by the errant balls that are used in cricket. In accordance with this, in the previous incident, it was evident that the cricket balls have infrequently absented the crushed of the cricket; therefore, the jeopardy of the injury was a little less. </w:t>
      </w:r>
      <w:r>
        <w:rPr>
          <w:rFonts w:ascii="Times New Roman" w:eastAsia="Times New Roman" w:hAnsi="Times New Roman" w:cs="Times New Roman"/>
          <w:color w:val="000000"/>
          <w:sz w:val="24"/>
          <w:szCs w:val="24"/>
          <w:vertAlign w:val="superscript"/>
        </w:rPr>
        <w:footnoteReference w:id="11"/>
      </w:r>
      <w:r>
        <w:rPr>
          <w:rFonts w:ascii="Times New Roman" w:eastAsia="Times New Roman" w:hAnsi="Times New Roman" w:cs="Times New Roman"/>
          <w:color w:val="000000"/>
          <w:sz w:val="24"/>
          <w:szCs w:val="24"/>
        </w:rPr>
        <w:t xml:space="preserve">On the </w:t>
      </w:r>
      <w:r>
        <w:rPr>
          <w:rFonts w:ascii="Times New Roman" w:eastAsia="Times New Roman" w:hAnsi="Times New Roman" w:cs="Times New Roman"/>
          <w:sz w:val="24"/>
          <w:szCs w:val="24"/>
        </w:rPr>
        <w:t>other hand</w:t>
      </w:r>
      <w:r>
        <w:rPr>
          <w:rFonts w:ascii="Times New Roman" w:eastAsia="Times New Roman" w:hAnsi="Times New Roman" w:cs="Times New Roman"/>
          <w:color w:val="000000"/>
          <w:sz w:val="24"/>
          <w:szCs w:val="24"/>
        </w:rPr>
        <w:t xml:space="preserve">, in the concluding case, the cricket balls have left the ground quite a lot of times every season, which points to the risk of the reoccurrence. Nevertheless, the damage in both of the cases was similar, and the negligence was evident in the latter case </w:t>
      </w:r>
      <w:r>
        <w:rPr>
          <w:rFonts w:ascii="Times New Roman" w:eastAsia="Times New Roman" w:hAnsi="Times New Roman" w:cs="Times New Roman"/>
          <w:sz w:val="24"/>
          <w:szCs w:val="24"/>
        </w:rPr>
        <w:t>as the</w:t>
      </w:r>
      <w:r>
        <w:rPr>
          <w:rFonts w:ascii="Times New Roman" w:eastAsia="Times New Roman" w:hAnsi="Times New Roman" w:cs="Times New Roman"/>
          <w:color w:val="000000"/>
          <w:sz w:val="24"/>
          <w:szCs w:val="24"/>
        </w:rPr>
        <w:t xml:space="preserve"> likelihood of the injury was higher, so this applied to the breach of the standard of care. </w:t>
      </w:r>
      <w:r>
        <w:rPr>
          <w:rFonts w:ascii="Times New Roman" w:eastAsia="Times New Roman" w:hAnsi="Times New Roman" w:cs="Times New Roman"/>
          <w:color w:val="000000"/>
          <w:sz w:val="24"/>
          <w:szCs w:val="24"/>
          <w:vertAlign w:val="superscript"/>
        </w:rPr>
        <w:footnoteReference w:id="12"/>
      </w:r>
    </w:p>
    <w:p w14:paraId="00000029" w14:textId="77777777" w:rsidR="00316F00" w:rsidRDefault="008C05DD">
      <w:pPr>
        <w:pStyle w:val="Heading2"/>
        <w:spacing w:line="480" w:lineRule="auto"/>
        <w:jc w:val="both"/>
        <w:rPr>
          <w:rFonts w:ascii="Times New Roman" w:eastAsia="Times New Roman" w:hAnsi="Times New Roman" w:cs="Times New Roman"/>
          <w:i/>
          <w:color w:val="000000"/>
          <w:sz w:val="24"/>
          <w:szCs w:val="24"/>
        </w:rPr>
      </w:pPr>
      <w:bookmarkStart w:id="7" w:name="_heading=h.3dy6vkm" w:colFirst="0" w:colLast="0"/>
      <w:bookmarkEnd w:id="7"/>
      <w:r>
        <w:rPr>
          <w:rFonts w:ascii="Times New Roman" w:eastAsia="Times New Roman" w:hAnsi="Times New Roman" w:cs="Times New Roman"/>
          <w:i/>
          <w:color w:val="000000"/>
          <w:sz w:val="24"/>
          <w:szCs w:val="24"/>
        </w:rPr>
        <w:t>Protection Cost</w:t>
      </w:r>
    </w:p>
    <w:p w14:paraId="0000002A" w14:textId="77777777" w:rsidR="00316F00" w:rsidRDefault="008C05DD">
      <w:pPr>
        <w:pBdr>
          <w:top w:val="nil"/>
          <w:left w:val="nil"/>
          <w:bottom w:val="nil"/>
          <w:right w:val="nil"/>
          <w:between w:val="nil"/>
        </w:pBdr>
        <w:shd w:val="clear" w:color="auto" w:fill="FFFFFF"/>
        <w:spacing w:after="280"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protection of the cost tends to be considered by the court when it applies to the standard of care. In short, the inferior the price of the protection, the more sensible it is going to </w:t>
      </w:r>
      <w:r>
        <w:rPr>
          <w:rFonts w:ascii="Times New Roman" w:eastAsia="Times New Roman" w:hAnsi="Times New Roman" w:cs="Times New Roman"/>
          <w:sz w:val="24"/>
          <w:szCs w:val="24"/>
        </w:rPr>
        <w:t>be for</w:t>
      </w:r>
      <w:r>
        <w:rPr>
          <w:rFonts w:ascii="Times New Roman" w:eastAsia="Times New Roman" w:hAnsi="Times New Roman" w:cs="Times New Roman"/>
          <w:color w:val="000000"/>
          <w:sz w:val="24"/>
          <w:szCs w:val="24"/>
        </w:rPr>
        <w:t xml:space="preserve"> the </w:t>
      </w:r>
      <w:r>
        <w:rPr>
          <w:rFonts w:ascii="Times New Roman" w:eastAsia="Times New Roman" w:hAnsi="Times New Roman" w:cs="Times New Roman"/>
          <w:sz w:val="24"/>
          <w:szCs w:val="24"/>
        </w:rPr>
        <w:lastRenderedPageBreak/>
        <w:t>perpetrator to</w:t>
      </w:r>
      <w:r>
        <w:rPr>
          <w:rFonts w:ascii="Times New Roman" w:eastAsia="Times New Roman" w:hAnsi="Times New Roman" w:cs="Times New Roman"/>
          <w:color w:val="000000"/>
          <w:sz w:val="24"/>
          <w:szCs w:val="24"/>
        </w:rPr>
        <w:t xml:space="preserve"> be </w:t>
      </w:r>
      <w:r>
        <w:rPr>
          <w:rFonts w:ascii="Times New Roman" w:eastAsia="Times New Roman" w:hAnsi="Times New Roman" w:cs="Times New Roman"/>
          <w:sz w:val="24"/>
          <w:szCs w:val="24"/>
        </w:rPr>
        <w:t>detained</w:t>
      </w:r>
      <w:r>
        <w:rPr>
          <w:rFonts w:ascii="Times New Roman" w:eastAsia="Times New Roman" w:hAnsi="Times New Roman" w:cs="Times New Roman"/>
          <w:color w:val="000000"/>
          <w:sz w:val="24"/>
          <w:szCs w:val="24"/>
        </w:rPr>
        <w:t xml:space="preserve">. Moreover, the case of Latimer Vs AEC Ltd is the best explanation for this. In addition to this, the claimant was employed in the factory that became flooded after the occurrence of the weighty gale. </w:t>
      </w:r>
      <w:r>
        <w:rPr>
          <w:rFonts w:ascii="Times New Roman" w:eastAsia="Times New Roman" w:hAnsi="Times New Roman" w:cs="Times New Roman"/>
          <w:color w:val="000000"/>
          <w:sz w:val="24"/>
          <w:szCs w:val="24"/>
          <w:vertAlign w:val="superscript"/>
        </w:rPr>
        <w:footnoteReference w:id="13"/>
      </w:r>
      <w:r>
        <w:rPr>
          <w:rFonts w:ascii="Times New Roman" w:eastAsia="Times New Roman" w:hAnsi="Times New Roman" w:cs="Times New Roman"/>
          <w:color w:val="000000"/>
          <w:sz w:val="24"/>
          <w:szCs w:val="24"/>
        </w:rPr>
        <w:t>Consequently, the rainwater was varied up with the oil-based chilling cause is utilised in the sweatshop and this has left an oily movie on the ground of the factory after the aquatic was exhausted out. At the same time, the perpetrators have feasted the sawdust over the majority of the base since they do not have sufficient sawdust in order to shelter the total of it. However, the applicant suffered from the injury when he slipped on the floor that was uncovered.</w:t>
      </w:r>
      <w:r>
        <w:rPr>
          <w:rFonts w:ascii="Times New Roman" w:eastAsia="Times New Roman" w:hAnsi="Times New Roman" w:cs="Times New Roman"/>
          <w:color w:val="000000"/>
          <w:sz w:val="24"/>
          <w:szCs w:val="24"/>
          <w:vertAlign w:val="superscript"/>
        </w:rPr>
        <w:footnoteReference w:id="14"/>
      </w:r>
      <w:r>
        <w:rPr>
          <w:rFonts w:ascii="Times New Roman" w:eastAsia="Times New Roman" w:hAnsi="Times New Roman" w:cs="Times New Roman"/>
          <w:color w:val="000000"/>
          <w:sz w:val="24"/>
          <w:szCs w:val="24"/>
        </w:rPr>
        <w:t xml:space="preserve"> In terms of that, the right thought was unsuccessful. The possible and the only method to prevent the danger would have been to shut off the pretentious share of the shop pending it has been completely drained off, and this was detained to be a </w:t>
      </w:r>
      <w:r>
        <w:rPr>
          <w:rFonts w:ascii="Times New Roman" w:eastAsia="Times New Roman" w:hAnsi="Times New Roman" w:cs="Times New Roman"/>
          <w:sz w:val="24"/>
          <w:szCs w:val="24"/>
        </w:rPr>
        <w:t>disproportionately</w:t>
      </w:r>
      <w:r>
        <w:rPr>
          <w:rFonts w:ascii="Times New Roman" w:eastAsia="Times New Roman" w:hAnsi="Times New Roman" w:cs="Times New Roman"/>
          <w:color w:val="000000"/>
          <w:sz w:val="24"/>
          <w:szCs w:val="24"/>
        </w:rPr>
        <w:t xml:space="preserve"> luxurious step to be occupied. As such, not the final of the affected unit of the sweatshop does not open the sensible standard </w:t>
      </w:r>
      <w:r>
        <w:rPr>
          <w:rFonts w:ascii="Times New Roman" w:eastAsia="Times New Roman" w:hAnsi="Times New Roman" w:cs="Times New Roman"/>
          <w:sz w:val="24"/>
          <w:szCs w:val="24"/>
        </w:rPr>
        <w:t>of care</w:t>
      </w:r>
      <w:r>
        <w:rPr>
          <w:rFonts w:ascii="Times New Roman" w:eastAsia="Times New Roman" w:hAnsi="Times New Roman" w:cs="Times New Roman"/>
          <w:color w:val="000000"/>
          <w:sz w:val="24"/>
          <w:szCs w:val="24"/>
        </w:rPr>
        <w:t xml:space="preserve">, and the right was initially botched. </w:t>
      </w:r>
    </w:p>
    <w:p w14:paraId="0000002B" w14:textId="77777777" w:rsidR="00316F00" w:rsidRDefault="008C05DD">
      <w:pPr>
        <w:pStyle w:val="Heading1"/>
        <w:spacing w:line="480" w:lineRule="auto"/>
        <w:jc w:val="both"/>
        <w:rPr>
          <w:rFonts w:ascii="Times New Roman" w:eastAsia="Times New Roman" w:hAnsi="Times New Roman" w:cs="Times New Roman"/>
          <w:b/>
          <w:i/>
          <w:color w:val="000000"/>
          <w:sz w:val="24"/>
          <w:szCs w:val="24"/>
        </w:rPr>
      </w:pPr>
      <w:bookmarkStart w:id="8" w:name="_heading=h.1t3h5sf" w:colFirst="0" w:colLast="0"/>
      <w:bookmarkEnd w:id="8"/>
      <w:r>
        <w:rPr>
          <w:rFonts w:ascii="Times New Roman" w:eastAsia="Times New Roman" w:hAnsi="Times New Roman" w:cs="Times New Roman"/>
          <w:b/>
          <w:i/>
          <w:color w:val="000000"/>
          <w:sz w:val="24"/>
          <w:szCs w:val="24"/>
        </w:rPr>
        <w:t>Sporting Events</w:t>
      </w:r>
    </w:p>
    <w:p w14:paraId="0000002C" w14:textId="77777777" w:rsidR="00316F00" w:rsidRDefault="008C05DD">
      <w:pPr>
        <w:pBdr>
          <w:top w:val="nil"/>
          <w:left w:val="nil"/>
          <w:bottom w:val="nil"/>
          <w:right w:val="nil"/>
          <w:between w:val="nil"/>
        </w:pBdr>
        <w:shd w:val="clear" w:color="auto" w:fill="FFFFFF"/>
        <w:spacing w:after="280"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benches will likewise smear an alternate norm of upkeep to those partaking in games than it normally would. This is shown in </w:t>
      </w:r>
      <w:r>
        <w:rPr>
          <w:rFonts w:ascii="Times New Roman" w:eastAsia="Times New Roman" w:hAnsi="Times New Roman" w:cs="Times New Roman"/>
          <w:sz w:val="24"/>
          <w:szCs w:val="24"/>
        </w:rPr>
        <w:t>Wooldridge</w:t>
      </w:r>
      <w:r>
        <w:rPr>
          <w:rFonts w:ascii="Times New Roman" w:eastAsia="Times New Roman" w:hAnsi="Times New Roman" w:cs="Times New Roman"/>
          <w:color w:val="000000"/>
          <w:sz w:val="24"/>
          <w:szCs w:val="24"/>
        </w:rPr>
        <w:t xml:space="preserve"> v Sumner [1963] 2 QB 43</w:t>
      </w:r>
      <w:r>
        <w:rPr>
          <w:rFonts w:ascii="Times New Roman" w:eastAsia="Times New Roman" w:hAnsi="Times New Roman" w:cs="Times New Roman"/>
          <w:color w:val="000000"/>
          <w:sz w:val="24"/>
          <w:szCs w:val="24"/>
          <w:vertAlign w:val="superscript"/>
        </w:rPr>
        <w:footnoteReference w:id="15"/>
      </w:r>
      <w:r>
        <w:rPr>
          <w:rFonts w:ascii="Times New Roman" w:eastAsia="Times New Roman" w:hAnsi="Times New Roman" w:cs="Times New Roman"/>
          <w:color w:val="000000"/>
          <w:sz w:val="24"/>
          <w:szCs w:val="24"/>
        </w:rPr>
        <w:t xml:space="preserve">. The litigant was partaking in a riding occasion when his pony ran wild, left-hand the pathway and harmed a watching picture taker. It was held that there was no carelessness concerning the proviso, somewhat an essential mistake of judgment (which may sensibly be complete by a member.) </w:t>
      </w:r>
      <w:r>
        <w:rPr>
          <w:rFonts w:ascii="Times New Roman" w:eastAsia="Times New Roman" w:hAnsi="Times New Roman" w:cs="Times New Roman"/>
          <w:color w:val="000000"/>
          <w:sz w:val="24"/>
          <w:szCs w:val="24"/>
          <w:vertAlign w:val="superscript"/>
        </w:rPr>
        <w:footnoteReference w:id="16"/>
      </w:r>
      <w:r>
        <w:rPr>
          <w:rFonts w:ascii="Times New Roman" w:eastAsia="Times New Roman" w:hAnsi="Times New Roman" w:cs="Times New Roman"/>
          <w:color w:val="000000"/>
          <w:sz w:val="24"/>
          <w:szCs w:val="24"/>
        </w:rPr>
        <w:t xml:space="preserve">The basis behind such a choice is additionally inferred upon by </w:t>
      </w:r>
      <w:proofErr w:type="spellStart"/>
      <w:r>
        <w:rPr>
          <w:rFonts w:ascii="Times New Roman" w:eastAsia="Times New Roman" w:hAnsi="Times New Roman" w:cs="Times New Roman"/>
          <w:color w:val="000000"/>
          <w:sz w:val="24"/>
          <w:szCs w:val="24"/>
        </w:rPr>
        <w:t>Diplock</w:t>
      </w:r>
      <w:proofErr w:type="spellEnd"/>
      <w:r>
        <w:rPr>
          <w:rFonts w:ascii="Times New Roman" w:eastAsia="Times New Roman" w:hAnsi="Times New Roman" w:cs="Times New Roman"/>
          <w:color w:val="000000"/>
          <w:sz w:val="24"/>
          <w:szCs w:val="24"/>
        </w:rPr>
        <w:t xml:space="preserve"> LJ at 67: "A sensible onlooker going too </w:t>
      </w:r>
      <w:r>
        <w:rPr>
          <w:rFonts w:ascii="Times New Roman" w:eastAsia="Times New Roman" w:hAnsi="Times New Roman" w:cs="Times New Roman"/>
          <w:sz w:val="24"/>
          <w:szCs w:val="24"/>
        </w:rPr>
        <w:t>deliberately to observe</w:t>
      </w:r>
      <w:r>
        <w:rPr>
          <w:rFonts w:ascii="Times New Roman" w:eastAsia="Times New Roman" w:hAnsi="Times New Roman" w:cs="Times New Roman"/>
          <w:color w:val="000000"/>
          <w:sz w:val="24"/>
          <w:szCs w:val="24"/>
        </w:rPr>
        <w:t xml:space="preserve"> any game or contest knows and wants that a sensible member </w:t>
      </w:r>
      <w:r>
        <w:rPr>
          <w:rFonts w:ascii="Times New Roman" w:eastAsia="Times New Roman" w:hAnsi="Times New Roman" w:cs="Times New Roman"/>
          <w:color w:val="000000"/>
          <w:sz w:val="24"/>
          <w:szCs w:val="24"/>
        </w:rPr>
        <w:lastRenderedPageBreak/>
        <w:t xml:space="preserve">will focus his endeavours on winning. If the member does as such focus his </w:t>
      </w:r>
      <w:r>
        <w:rPr>
          <w:rFonts w:ascii="Times New Roman" w:eastAsia="Times New Roman" w:hAnsi="Times New Roman" w:cs="Times New Roman"/>
          <w:sz w:val="24"/>
          <w:szCs w:val="24"/>
        </w:rPr>
        <w:t>consideration on whether</w:t>
      </w:r>
      <w:r>
        <w:rPr>
          <w:rFonts w:ascii="Times New Roman" w:eastAsia="Times New Roman" w:hAnsi="Times New Roman" w:cs="Times New Roman"/>
          <w:color w:val="000000"/>
          <w:sz w:val="24"/>
          <w:szCs w:val="24"/>
        </w:rPr>
        <w:t xml:space="preserve"> or not any slip-up he makes </w:t>
      </w:r>
      <w:r>
        <w:rPr>
          <w:rFonts w:ascii="Times New Roman" w:eastAsia="Times New Roman" w:hAnsi="Times New Roman" w:cs="Times New Roman"/>
          <w:sz w:val="24"/>
          <w:szCs w:val="24"/>
        </w:rPr>
        <w:t>adds</w:t>
      </w:r>
      <w:r>
        <w:rPr>
          <w:rFonts w:ascii="Times New Roman" w:eastAsia="Times New Roman" w:hAnsi="Times New Roman" w:cs="Times New Roman"/>
          <w:color w:val="000000"/>
          <w:sz w:val="24"/>
          <w:szCs w:val="24"/>
        </w:rPr>
        <w:t xml:space="preserve"> up to a break of obligation to take sensible consideration should assess these </w:t>
      </w:r>
      <w:r>
        <w:rPr>
          <w:rFonts w:ascii="Times New Roman" w:eastAsia="Times New Roman" w:hAnsi="Times New Roman" w:cs="Times New Roman"/>
          <w:sz w:val="24"/>
          <w:szCs w:val="24"/>
        </w:rPr>
        <w:t>conditions' '</w:t>
      </w:r>
      <w:r>
        <w:rPr>
          <w:rFonts w:ascii="Times New Roman" w:eastAsia="Times New Roman" w:hAnsi="Times New Roman" w:cs="Times New Roman"/>
          <w:color w:val="000000"/>
          <w:sz w:val="24"/>
          <w:szCs w:val="24"/>
        </w:rPr>
        <w:t xml:space="preserve">. Basically, </w:t>
      </w:r>
      <w:proofErr w:type="spellStart"/>
      <w:r>
        <w:rPr>
          <w:rFonts w:ascii="Times New Roman" w:eastAsia="Times New Roman" w:hAnsi="Times New Roman" w:cs="Times New Roman"/>
          <w:color w:val="000000"/>
          <w:sz w:val="24"/>
          <w:szCs w:val="24"/>
        </w:rPr>
        <w:t>Diplock</w:t>
      </w:r>
      <w:proofErr w:type="spellEnd"/>
      <w:r>
        <w:rPr>
          <w:rFonts w:ascii="Times New Roman" w:eastAsia="Times New Roman" w:hAnsi="Times New Roman" w:cs="Times New Roman"/>
          <w:color w:val="000000"/>
          <w:sz w:val="24"/>
          <w:szCs w:val="24"/>
        </w:rPr>
        <w:t xml:space="preserve"> LJ takes note of the inborn dangers implied in tiring movements - they often contain poignant faster or extra </w:t>
      </w:r>
      <w:r>
        <w:rPr>
          <w:rFonts w:ascii="Times New Roman" w:eastAsia="Times New Roman" w:hAnsi="Times New Roman" w:cs="Times New Roman"/>
          <w:sz w:val="24"/>
          <w:szCs w:val="24"/>
        </w:rPr>
        <w:t>unrestrained less</w:t>
      </w:r>
      <w:r>
        <w:rPr>
          <w:rFonts w:ascii="Times New Roman" w:eastAsia="Times New Roman" w:hAnsi="Times New Roman" w:cs="Times New Roman"/>
          <w:color w:val="000000"/>
          <w:sz w:val="24"/>
          <w:szCs w:val="24"/>
        </w:rPr>
        <w:t xml:space="preserve"> than would conventionally be required from a person. </w:t>
      </w:r>
      <w:r>
        <w:rPr>
          <w:rFonts w:ascii="Times New Roman" w:eastAsia="Times New Roman" w:hAnsi="Times New Roman" w:cs="Times New Roman"/>
          <w:color w:val="000000"/>
          <w:sz w:val="24"/>
          <w:szCs w:val="24"/>
          <w:vertAlign w:val="superscript"/>
        </w:rPr>
        <w:footnoteReference w:id="17"/>
      </w:r>
      <w:r>
        <w:rPr>
          <w:rFonts w:ascii="Times New Roman" w:eastAsia="Times New Roman" w:hAnsi="Times New Roman" w:cs="Times New Roman"/>
          <w:color w:val="000000"/>
          <w:sz w:val="24"/>
          <w:szCs w:val="24"/>
        </w:rPr>
        <w:t>Consider the distinction between somebody driving out and about and somebody driving on a race track - while the action is comparative, the normal norm of conduct contrasts significantly. This is considered by the law.</w:t>
      </w:r>
    </w:p>
    <w:p w14:paraId="0000002D" w14:textId="77777777" w:rsidR="00316F00" w:rsidRDefault="008C05DD">
      <w:pPr>
        <w:spacing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Nonetheless, it is valuable as a primary concern that members in donning exercises should, in any case, act in a way sensibly expected of somebody playing that game. This is displayed in Caldwell v Maguire [2001] EWCA </w:t>
      </w:r>
      <w:proofErr w:type="spellStart"/>
      <w:r>
        <w:rPr>
          <w:rFonts w:ascii="Times New Roman" w:eastAsia="Times New Roman" w:hAnsi="Times New Roman" w:cs="Times New Roman"/>
          <w:color w:val="000000"/>
          <w:sz w:val="24"/>
          <w:szCs w:val="24"/>
        </w:rPr>
        <w:t>Civ</w:t>
      </w:r>
      <w:proofErr w:type="spellEnd"/>
      <w:r>
        <w:rPr>
          <w:rFonts w:ascii="Times New Roman" w:eastAsia="Times New Roman" w:hAnsi="Times New Roman" w:cs="Times New Roman"/>
          <w:color w:val="000000"/>
          <w:sz w:val="24"/>
          <w:szCs w:val="24"/>
        </w:rPr>
        <w:t xml:space="preserve"> 1054 - the inquirer was harmed when he tumbled off his pony during a race. It was presented that two other racers had embraced a perilous move, causing the descent</w:t>
      </w:r>
      <w:r>
        <w:rPr>
          <w:rFonts w:ascii="Times New Roman" w:eastAsia="Times New Roman" w:hAnsi="Times New Roman" w:cs="Times New Roman"/>
          <w:color w:val="000000"/>
          <w:sz w:val="24"/>
          <w:szCs w:val="24"/>
          <w:vertAlign w:val="superscript"/>
        </w:rPr>
        <w:footnoteReference w:id="18"/>
      </w:r>
      <w:r>
        <w:rPr>
          <w:rFonts w:ascii="Times New Roman" w:eastAsia="Times New Roman" w:hAnsi="Times New Roman" w:cs="Times New Roman"/>
          <w:color w:val="000000"/>
          <w:sz w:val="24"/>
          <w:szCs w:val="24"/>
        </w:rPr>
        <w:t>. In inspecting the case, the courts noticed that while the principles of conduct that apply in wearing circumstances are lower than those which may apply in daily existence, this doesn't imply that guidelines don't exist in the donning domain by any means. All things considered, brandishing contenders are as yet expected to act sensibly - both as far as adhering to the guidelines of a game and as far as acting with ability and fitness</w:t>
      </w:r>
    </w:p>
    <w:p w14:paraId="0000002E" w14:textId="77777777" w:rsidR="00316F00" w:rsidRDefault="008C05DD">
      <w:pPr>
        <w:pStyle w:val="Heading1"/>
        <w:spacing w:line="480" w:lineRule="auto"/>
        <w:jc w:val="both"/>
        <w:rPr>
          <w:rFonts w:ascii="Times New Roman" w:eastAsia="Times New Roman" w:hAnsi="Times New Roman" w:cs="Times New Roman"/>
          <w:b/>
          <w:i/>
          <w:color w:val="000000"/>
          <w:sz w:val="24"/>
          <w:szCs w:val="24"/>
        </w:rPr>
      </w:pPr>
      <w:bookmarkStart w:id="9" w:name="_heading=h.4d34og8" w:colFirst="0" w:colLast="0"/>
      <w:bookmarkEnd w:id="9"/>
      <w:r>
        <w:rPr>
          <w:rFonts w:ascii="Times New Roman" w:eastAsia="Times New Roman" w:hAnsi="Times New Roman" w:cs="Times New Roman"/>
          <w:b/>
          <w:i/>
          <w:color w:val="000000"/>
          <w:sz w:val="24"/>
          <w:szCs w:val="24"/>
        </w:rPr>
        <w:t xml:space="preserve">Horseplay </w:t>
      </w:r>
    </w:p>
    <w:p w14:paraId="0000002F" w14:textId="77777777" w:rsidR="00316F00" w:rsidRDefault="008C05DD">
      <w:pPr>
        <w:pBdr>
          <w:top w:val="nil"/>
          <w:left w:val="nil"/>
          <w:bottom w:val="nil"/>
          <w:right w:val="nil"/>
          <w:between w:val="nil"/>
        </w:pBdr>
        <w:shd w:val="clear" w:color="auto" w:fill="FFFFFF"/>
        <w:spacing w:after="240"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Everybody realises that youngsters need to mess around and enjoy horseplay. In any case, when crude playing prompts injury and cases are brought, presence of mind directs that appropriate respect must be assumed to the idea of the exercises frolicked and the assent that members get with their association with the movement. With the continuous dread of a US-style pay ethos never a </w:t>
      </w:r>
      <w:r>
        <w:rPr>
          <w:rFonts w:ascii="Times New Roman" w:eastAsia="Times New Roman" w:hAnsi="Times New Roman" w:cs="Times New Roman"/>
          <w:color w:val="000000"/>
          <w:sz w:val="24"/>
          <w:szCs w:val="24"/>
        </w:rPr>
        <w:lastRenderedPageBreak/>
        <w:t>long way from the people's brain, or possibly from the well-known press' plan, it stays as significant as could be expected to figure out where the commandment defines the boundary amid remuneration existence recoverable, and the harmed gathering actuality passed on to tolerate the grievous misfortune short of review</w:t>
      </w:r>
      <w:r>
        <w:rPr>
          <w:rFonts w:ascii="Times New Roman" w:eastAsia="Times New Roman" w:hAnsi="Times New Roman" w:cs="Times New Roman"/>
          <w:color w:val="000000"/>
          <w:sz w:val="24"/>
          <w:szCs w:val="24"/>
          <w:vertAlign w:val="superscript"/>
        </w:rPr>
        <w:footnoteReference w:id="19"/>
      </w:r>
      <w:r>
        <w:rPr>
          <w:rFonts w:ascii="Times New Roman" w:eastAsia="Times New Roman" w:hAnsi="Times New Roman" w:cs="Times New Roman"/>
          <w:color w:val="000000"/>
          <w:sz w:val="24"/>
          <w:szCs w:val="24"/>
        </w:rPr>
        <w:t>. Two Court of Appeal cases best bring into the centre the mind-boggling law around here, Blake v Galloway [2004] 3 All ER 315 ('Blake')</w:t>
      </w:r>
      <w:r>
        <w:rPr>
          <w:rFonts w:ascii="Times New Roman" w:eastAsia="Times New Roman" w:hAnsi="Times New Roman" w:cs="Times New Roman"/>
          <w:color w:val="000000"/>
          <w:sz w:val="24"/>
          <w:szCs w:val="24"/>
          <w:vertAlign w:val="superscript"/>
        </w:rPr>
        <w:footnoteReference w:id="20"/>
      </w:r>
      <w:r>
        <w:rPr>
          <w:rFonts w:ascii="Times New Roman" w:eastAsia="Times New Roman" w:hAnsi="Times New Roman" w:cs="Times New Roman"/>
          <w:color w:val="000000"/>
          <w:sz w:val="24"/>
          <w:szCs w:val="24"/>
        </w:rPr>
        <w:t xml:space="preserve"> and Orchard v Lee [2009] EWCA </w:t>
      </w:r>
      <w:proofErr w:type="spellStart"/>
      <w:r>
        <w:rPr>
          <w:rFonts w:ascii="Times New Roman" w:eastAsia="Times New Roman" w:hAnsi="Times New Roman" w:cs="Times New Roman"/>
          <w:color w:val="000000"/>
          <w:sz w:val="24"/>
          <w:szCs w:val="24"/>
        </w:rPr>
        <w:t>Civ</w:t>
      </w:r>
      <w:proofErr w:type="spellEnd"/>
      <w:r>
        <w:rPr>
          <w:rFonts w:ascii="Times New Roman" w:eastAsia="Times New Roman" w:hAnsi="Times New Roman" w:cs="Times New Roman"/>
          <w:color w:val="000000"/>
          <w:sz w:val="24"/>
          <w:szCs w:val="24"/>
        </w:rPr>
        <w:t xml:space="preserve"> 295, [2009] P.I.Q.R. P16 ('Orchard')</w:t>
      </w:r>
      <w:r>
        <w:rPr>
          <w:rFonts w:ascii="Times New Roman" w:eastAsia="Times New Roman" w:hAnsi="Times New Roman" w:cs="Times New Roman"/>
          <w:color w:val="000000"/>
          <w:sz w:val="24"/>
          <w:szCs w:val="24"/>
          <w:vertAlign w:val="superscript"/>
        </w:rPr>
        <w:footnoteReference w:id="21"/>
      </w:r>
      <w:r>
        <w:rPr>
          <w:rFonts w:ascii="Times New Roman" w:eastAsia="Times New Roman" w:hAnsi="Times New Roman" w:cs="Times New Roman"/>
          <w:color w:val="000000"/>
          <w:sz w:val="24"/>
          <w:szCs w:val="24"/>
        </w:rPr>
        <w:t xml:space="preserve">. Both include claims that a kid had acted carelessly, and in both, a central point of contention was whether there had been a break of the customary law obligation of care. In Blake, the suit was between the two </w:t>
      </w:r>
      <w:r>
        <w:rPr>
          <w:rFonts w:ascii="Times New Roman" w:eastAsia="Times New Roman" w:hAnsi="Times New Roman" w:cs="Times New Roman"/>
          <w:sz w:val="24"/>
          <w:szCs w:val="24"/>
        </w:rPr>
        <w:t>members joking</w:t>
      </w:r>
      <w:r>
        <w:rPr>
          <w:rFonts w:ascii="Times New Roman" w:eastAsia="Times New Roman" w:hAnsi="Times New Roman" w:cs="Times New Roman"/>
          <w:color w:val="000000"/>
          <w:sz w:val="24"/>
          <w:szCs w:val="24"/>
        </w:rPr>
        <w:t xml:space="preserve"> around; in Orchard, just the litigant was a member; the harmed petitioner was a school noon associate regulating the kids. It was not questioned that, as a rule, an obligation of care exists between members in sports and games. </w:t>
      </w:r>
    </w:p>
    <w:p w14:paraId="00000030" w14:textId="77777777" w:rsidR="00316F00" w:rsidRDefault="008C05DD">
      <w:pPr>
        <w:pBdr>
          <w:top w:val="nil"/>
          <w:left w:val="nil"/>
          <w:bottom w:val="nil"/>
          <w:right w:val="nil"/>
          <w:between w:val="nil"/>
        </w:pBdr>
        <w:shd w:val="clear" w:color="auto" w:fill="FFFFFF"/>
        <w:spacing w:after="240"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Considerably more troublesome is whether there has been a break of obligation on the specific realities. Since no specialists were referred to under the watchful eye of the court which managed carelessness according to injury caused throughout clowning around (this is to some degree astonishing as Mullin v Richards [1998] 1 WLR 1304</w:t>
      </w:r>
      <w:r>
        <w:rPr>
          <w:rFonts w:ascii="Times New Roman" w:eastAsia="Times New Roman" w:hAnsi="Times New Roman" w:cs="Times New Roman"/>
          <w:color w:val="000000"/>
          <w:sz w:val="24"/>
          <w:szCs w:val="24"/>
          <w:vertAlign w:val="superscript"/>
        </w:rPr>
        <w:footnoteReference w:id="22"/>
      </w:r>
      <w:r>
        <w:rPr>
          <w:rFonts w:ascii="Times New Roman" w:eastAsia="Times New Roman" w:hAnsi="Times New Roman" w:cs="Times New Roman"/>
          <w:color w:val="000000"/>
          <w:sz w:val="24"/>
          <w:szCs w:val="24"/>
        </w:rPr>
        <w:t xml:space="preserve"> considers the issue comparable to a student being harmed in a homeroom ruler battle), the court turned for help to situations where individuals have been harmed in more directed games and games, for example, </w:t>
      </w:r>
      <w:r>
        <w:rPr>
          <w:rFonts w:ascii="Times New Roman" w:eastAsia="Times New Roman" w:hAnsi="Times New Roman" w:cs="Times New Roman"/>
          <w:sz w:val="24"/>
          <w:szCs w:val="24"/>
        </w:rPr>
        <w:t>horse racing</w:t>
      </w:r>
      <w:r>
        <w:rPr>
          <w:rFonts w:ascii="Times New Roman" w:eastAsia="Times New Roman" w:hAnsi="Times New Roman" w:cs="Times New Roman"/>
          <w:color w:val="000000"/>
          <w:sz w:val="24"/>
          <w:szCs w:val="24"/>
        </w:rPr>
        <w:t xml:space="preserve"> (Wooldridge v Sumner [1963] 2 QB 43</w:t>
      </w:r>
      <w:r>
        <w:rPr>
          <w:rFonts w:ascii="Times New Roman" w:eastAsia="Times New Roman" w:hAnsi="Times New Roman" w:cs="Times New Roman"/>
          <w:color w:val="000000"/>
          <w:sz w:val="24"/>
          <w:szCs w:val="24"/>
          <w:vertAlign w:val="superscript"/>
        </w:rPr>
        <w:footnoteReference w:id="23"/>
      </w:r>
      <w:r>
        <w:rPr>
          <w:rFonts w:ascii="Times New Roman" w:eastAsia="Times New Roman" w:hAnsi="Times New Roman" w:cs="Times New Roman"/>
          <w:color w:val="000000"/>
          <w:sz w:val="24"/>
          <w:szCs w:val="24"/>
        </w:rPr>
        <w:t xml:space="preserve">; Caldwell v Maguire [2002] PIQR P45), football </w:t>
      </w:r>
      <w:r>
        <w:rPr>
          <w:rFonts w:ascii="Times New Roman" w:eastAsia="Times New Roman" w:hAnsi="Times New Roman" w:cs="Times New Roman"/>
          <w:color w:val="000000"/>
          <w:sz w:val="24"/>
          <w:szCs w:val="24"/>
        </w:rPr>
        <w:lastRenderedPageBreak/>
        <w:t>(</w:t>
      </w:r>
      <w:proofErr w:type="spellStart"/>
      <w:r>
        <w:rPr>
          <w:rFonts w:ascii="Times New Roman" w:eastAsia="Times New Roman" w:hAnsi="Times New Roman" w:cs="Times New Roman"/>
          <w:color w:val="000000"/>
          <w:sz w:val="24"/>
          <w:szCs w:val="24"/>
        </w:rPr>
        <w:t>Condron</w:t>
      </w:r>
      <w:proofErr w:type="spellEnd"/>
      <w:r>
        <w:rPr>
          <w:rFonts w:ascii="Times New Roman" w:eastAsia="Times New Roman" w:hAnsi="Times New Roman" w:cs="Times New Roman"/>
          <w:color w:val="000000"/>
          <w:sz w:val="24"/>
          <w:szCs w:val="24"/>
        </w:rPr>
        <w:t xml:space="preserve"> v </w:t>
      </w:r>
      <w:proofErr w:type="spellStart"/>
      <w:r>
        <w:rPr>
          <w:rFonts w:ascii="Times New Roman" w:eastAsia="Times New Roman" w:hAnsi="Times New Roman" w:cs="Times New Roman"/>
          <w:color w:val="000000"/>
          <w:sz w:val="24"/>
          <w:szCs w:val="24"/>
        </w:rPr>
        <w:t>Basi</w:t>
      </w:r>
      <w:proofErr w:type="spellEnd"/>
      <w:r>
        <w:rPr>
          <w:rFonts w:ascii="Times New Roman" w:eastAsia="Times New Roman" w:hAnsi="Times New Roman" w:cs="Times New Roman"/>
          <w:color w:val="000000"/>
          <w:sz w:val="24"/>
          <w:szCs w:val="24"/>
        </w:rPr>
        <w:t xml:space="preserve"> [1985] 2 All ER 453)</w:t>
      </w:r>
      <w:r>
        <w:rPr>
          <w:rFonts w:ascii="Times New Roman" w:eastAsia="Times New Roman" w:hAnsi="Times New Roman" w:cs="Times New Roman"/>
          <w:color w:val="000000"/>
          <w:sz w:val="24"/>
          <w:szCs w:val="24"/>
          <w:vertAlign w:val="superscript"/>
        </w:rPr>
        <w:footnoteReference w:id="24"/>
      </w:r>
      <w:r>
        <w:rPr>
          <w:rFonts w:ascii="Times New Roman" w:eastAsia="Times New Roman" w:hAnsi="Times New Roman" w:cs="Times New Roman"/>
          <w:color w:val="000000"/>
          <w:sz w:val="24"/>
          <w:szCs w:val="24"/>
        </w:rPr>
        <w:t xml:space="preserve"> and water-skiing (</w:t>
      </w:r>
      <w:proofErr w:type="spellStart"/>
      <w:r>
        <w:rPr>
          <w:rFonts w:ascii="Times New Roman" w:eastAsia="Times New Roman" w:hAnsi="Times New Roman" w:cs="Times New Roman"/>
          <w:color w:val="000000"/>
          <w:sz w:val="24"/>
          <w:szCs w:val="24"/>
        </w:rPr>
        <w:t>Rootes</w:t>
      </w:r>
      <w:proofErr w:type="spellEnd"/>
      <w:r>
        <w:rPr>
          <w:rFonts w:ascii="Times New Roman" w:eastAsia="Times New Roman" w:hAnsi="Times New Roman" w:cs="Times New Roman"/>
          <w:color w:val="000000"/>
          <w:sz w:val="24"/>
          <w:szCs w:val="24"/>
        </w:rPr>
        <w:t xml:space="preserve"> v Shelton [1968] ALR 33)</w:t>
      </w:r>
      <w:r>
        <w:rPr>
          <w:rFonts w:ascii="Times New Roman" w:eastAsia="Times New Roman" w:hAnsi="Times New Roman" w:cs="Times New Roman"/>
          <w:color w:val="000000"/>
          <w:sz w:val="24"/>
          <w:szCs w:val="24"/>
          <w:vertAlign w:val="superscript"/>
        </w:rPr>
        <w:footnoteReference w:id="25"/>
      </w:r>
      <w:r>
        <w:rPr>
          <w:rFonts w:ascii="Times New Roman" w:eastAsia="Times New Roman" w:hAnsi="Times New Roman" w:cs="Times New Roman"/>
          <w:color w:val="000000"/>
          <w:sz w:val="24"/>
          <w:szCs w:val="24"/>
        </w:rPr>
        <w:t>, as a matter of fact, a game is just softly controlled.</w:t>
      </w:r>
    </w:p>
    <w:p w14:paraId="00000031" w14:textId="77777777" w:rsidR="00316F00" w:rsidRDefault="008C05DD">
      <w:pPr>
        <w:pBdr>
          <w:top w:val="nil"/>
          <w:left w:val="nil"/>
          <w:bottom w:val="nil"/>
          <w:right w:val="nil"/>
          <w:between w:val="nil"/>
        </w:pBdr>
        <w:shd w:val="clear" w:color="auto" w:fill="FFFFFF"/>
        <w:spacing w:before="280" w:after="280"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these cases, the court considered the standards which empower the court to set up what is expected of members by the norm of care</w:t>
      </w:r>
      <w:r>
        <w:rPr>
          <w:rFonts w:ascii="Times New Roman" w:eastAsia="Times New Roman" w:hAnsi="Times New Roman" w:cs="Times New Roman"/>
          <w:color w:val="000000"/>
          <w:sz w:val="24"/>
          <w:szCs w:val="24"/>
          <w:vertAlign w:val="superscript"/>
        </w:rPr>
        <w:footnoteReference w:id="26"/>
      </w:r>
      <w:r>
        <w:rPr>
          <w:rFonts w:ascii="Times New Roman" w:eastAsia="Times New Roman" w:hAnsi="Times New Roman" w:cs="Times New Roman"/>
          <w:color w:val="000000"/>
          <w:sz w:val="24"/>
          <w:szCs w:val="24"/>
        </w:rPr>
        <w:t xml:space="preserve">. The key standards were: contenders in donning challenges are needed to practice throughout the challenge all consideration that is unbiasedly sensible in the overarching conditions to keep away from injury to individual candidates; the predominant conditions incorporate the object of the challenge, the requests unavoidably made upon the candidates, its intrinsic risks (assuming any), its principles, shows and customs, and the guidelines, abilities and judgment sensibly normal of a contender; in sports, much the same as expert </w:t>
      </w:r>
      <w:r>
        <w:rPr>
          <w:rFonts w:ascii="Times New Roman" w:eastAsia="Times New Roman" w:hAnsi="Times New Roman" w:cs="Times New Roman"/>
          <w:sz w:val="24"/>
          <w:szCs w:val="24"/>
        </w:rPr>
        <w:t>horse racing</w:t>
      </w:r>
      <w:r>
        <w:rPr>
          <w:rFonts w:ascii="Times New Roman" w:eastAsia="Times New Roman" w:hAnsi="Times New Roman" w:cs="Times New Roman"/>
          <w:color w:val="000000"/>
          <w:sz w:val="24"/>
          <w:szCs w:val="24"/>
        </w:rPr>
        <w:t xml:space="preserve"> or genuine football, the idea of the ordinary winning conditions are not the same as, </w:t>
      </w:r>
      <w:proofErr w:type="spellStart"/>
      <w:r>
        <w:rPr>
          <w:rFonts w:ascii="Times New Roman" w:eastAsia="Times New Roman" w:hAnsi="Times New Roman" w:cs="Times New Roman"/>
          <w:color w:val="000000"/>
          <w:sz w:val="24"/>
          <w:szCs w:val="24"/>
        </w:rPr>
        <w:t>eg</w:t>
      </w:r>
      <w:proofErr w:type="spellEnd"/>
      <w:r>
        <w:rPr>
          <w:rFonts w:ascii="Times New Roman" w:eastAsia="Times New Roman" w:hAnsi="Times New Roman" w:cs="Times New Roman"/>
          <w:color w:val="000000"/>
          <w:sz w:val="24"/>
          <w:szCs w:val="24"/>
        </w:rPr>
        <w:t>, taking a stroll in the open country</w:t>
      </w:r>
      <w:r>
        <w:rPr>
          <w:rFonts w:ascii="Times New Roman" w:eastAsia="Times New Roman" w:hAnsi="Times New Roman" w:cs="Times New Roman"/>
          <w:color w:val="000000"/>
          <w:sz w:val="24"/>
          <w:szCs w:val="24"/>
          <w:vertAlign w:val="superscript"/>
        </w:rPr>
        <w:footnoteReference w:id="27"/>
      </w:r>
      <w:r>
        <w:rPr>
          <w:rFonts w:ascii="Times New Roman" w:eastAsia="Times New Roman" w:hAnsi="Times New Roman" w:cs="Times New Roman"/>
          <w:color w:val="000000"/>
          <w:sz w:val="24"/>
          <w:szCs w:val="24"/>
        </w:rPr>
        <w:t>; they can be energetic challenges fundamentally played at rapid, at times with amazing creatures, with every member needed to settle on significant split-second choices; in such winning conditions, there will be no risk in carelessness for mistakes of judgment, oversights or breaches of which any member may be blameworthy with regards to a quick challenge. Something more genuine is required.</w:t>
      </w:r>
    </w:p>
    <w:p w14:paraId="00000032" w14:textId="77777777" w:rsidR="00316F00" w:rsidRDefault="008C05DD">
      <w:pPr>
        <w:rPr>
          <w:rFonts w:ascii="Times New Roman" w:eastAsia="Times New Roman" w:hAnsi="Times New Roman" w:cs="Times New Roman"/>
          <w:b/>
          <w:i/>
          <w:color w:val="000000"/>
          <w:sz w:val="24"/>
          <w:szCs w:val="24"/>
        </w:rPr>
      </w:pPr>
      <w:r>
        <w:br w:type="page"/>
      </w:r>
    </w:p>
    <w:p w14:paraId="00000033" w14:textId="41714F82" w:rsidR="00316F00" w:rsidRDefault="00316F00">
      <w:pPr>
        <w:pStyle w:val="Heading1"/>
        <w:jc w:val="center"/>
        <w:rPr>
          <w:rFonts w:ascii="Times New Roman" w:eastAsia="Times New Roman" w:hAnsi="Times New Roman" w:cs="Times New Roman"/>
          <w:b/>
          <w:i/>
          <w:color w:val="000000"/>
          <w:sz w:val="24"/>
          <w:szCs w:val="24"/>
        </w:rPr>
      </w:pPr>
      <w:bookmarkStart w:id="10" w:name="_heading=h.2s8eyo1" w:colFirst="0" w:colLast="0"/>
      <w:bookmarkEnd w:id="10"/>
    </w:p>
    <w:p w14:paraId="00000034" w14:textId="77777777" w:rsidR="00316F00" w:rsidRDefault="008C05DD">
      <w:pPr>
        <w:pStyle w:val="Heading2"/>
        <w:spacing w:line="480" w:lineRule="auto"/>
        <w:jc w:val="both"/>
        <w:rPr>
          <w:rFonts w:ascii="Times New Roman" w:eastAsia="Times New Roman" w:hAnsi="Times New Roman" w:cs="Times New Roman"/>
          <w:i/>
          <w:color w:val="000000"/>
          <w:sz w:val="24"/>
          <w:szCs w:val="24"/>
        </w:rPr>
      </w:pPr>
      <w:bookmarkStart w:id="11" w:name="_heading=h.17dp8vu" w:colFirst="0" w:colLast="0"/>
      <w:bookmarkEnd w:id="11"/>
      <w:r>
        <w:rPr>
          <w:rFonts w:ascii="Times New Roman" w:eastAsia="Times New Roman" w:hAnsi="Times New Roman" w:cs="Times New Roman"/>
          <w:i/>
          <w:color w:val="000000"/>
          <w:sz w:val="24"/>
          <w:szCs w:val="24"/>
        </w:rPr>
        <w:t xml:space="preserve">References </w:t>
      </w:r>
    </w:p>
    <w:p w14:paraId="00000035" w14:textId="7F470C12" w:rsidR="00316F00" w:rsidRDefault="008C05DD">
      <w:pPr>
        <w:spacing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Cooke, B.K.,</w:t>
      </w:r>
      <w:r w:rsidR="00D71E63">
        <w:rPr>
          <w:rFonts w:ascii="Times New Roman" w:eastAsia="Times New Roman" w:hAnsi="Times New Roman" w:cs="Times New Roman"/>
          <w:color w:val="000000"/>
          <w:sz w:val="24"/>
          <w:szCs w:val="24"/>
        </w:rPr>
        <w:t xml:space="preserve"> ET AL,</w:t>
      </w:r>
      <w:r>
        <w:rPr>
          <w:rFonts w:ascii="Times New Roman" w:eastAsia="Times New Roman" w:hAnsi="Times New Roman" w:cs="Times New Roman"/>
          <w:color w:val="000000"/>
          <w:sz w:val="24"/>
          <w:szCs w:val="24"/>
        </w:rPr>
        <w:t xml:space="preserve"> </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2017</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The elusive standard of care. J Am </w:t>
      </w:r>
      <w:proofErr w:type="spellStart"/>
      <w:r>
        <w:rPr>
          <w:rFonts w:ascii="Times New Roman" w:eastAsia="Times New Roman" w:hAnsi="Times New Roman" w:cs="Times New Roman"/>
          <w:color w:val="000000"/>
          <w:sz w:val="24"/>
          <w:szCs w:val="24"/>
        </w:rPr>
        <w:t>Acad</w:t>
      </w:r>
      <w:proofErr w:type="spellEnd"/>
      <w:r>
        <w:rPr>
          <w:rFonts w:ascii="Times New Roman" w:eastAsia="Times New Roman" w:hAnsi="Times New Roman" w:cs="Times New Roman"/>
          <w:color w:val="000000"/>
          <w:sz w:val="24"/>
          <w:szCs w:val="24"/>
        </w:rPr>
        <w:t xml:space="preserve"> Psychiatry Law</w:t>
      </w:r>
      <w:r w:rsidR="00D71E63">
        <w:rPr>
          <w:rFonts w:ascii="Times New Roman" w:eastAsia="Times New Roman" w:hAnsi="Times New Roman" w:cs="Times New Roman"/>
          <w:color w:val="000000"/>
          <w:sz w:val="24"/>
          <w:szCs w:val="24"/>
        </w:rPr>
        <w:t>.</w:t>
      </w:r>
    </w:p>
    <w:p w14:paraId="00000036" w14:textId="2C70CB4A" w:rsidR="00316F00" w:rsidRDefault="008C05DD">
      <w:pPr>
        <w:spacing w:line="480" w:lineRule="auto"/>
        <w:ind w:left="720" w:hanging="720"/>
        <w:jc w:val="both"/>
        <w:rPr>
          <w:rFonts w:ascii="Times New Roman" w:eastAsia="Times New Roman" w:hAnsi="Times New Roman" w:cs="Times New Roman"/>
          <w:color w:val="000000"/>
          <w:sz w:val="24"/>
          <w:szCs w:val="24"/>
        </w:rPr>
      </w:pPr>
      <w:bookmarkStart w:id="12" w:name="_heading=h.3rdcrjn" w:colFirst="0" w:colLast="0"/>
      <w:bookmarkEnd w:id="12"/>
      <w:proofErr w:type="spellStart"/>
      <w:r>
        <w:rPr>
          <w:rFonts w:ascii="Times New Roman" w:eastAsia="Times New Roman" w:hAnsi="Times New Roman" w:cs="Times New Roman"/>
          <w:color w:val="000000"/>
          <w:sz w:val="24"/>
          <w:szCs w:val="24"/>
        </w:rPr>
        <w:t>Dorfman</w:t>
      </w:r>
      <w:proofErr w:type="spellEnd"/>
      <w:r>
        <w:rPr>
          <w:rFonts w:ascii="Times New Roman" w:eastAsia="Times New Roman" w:hAnsi="Times New Roman" w:cs="Times New Roman"/>
          <w:color w:val="000000"/>
          <w:sz w:val="24"/>
          <w:szCs w:val="24"/>
        </w:rPr>
        <w:t xml:space="preserve">, A., </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2016</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Negligence and accommodation. Legal Theory</w:t>
      </w:r>
      <w:r w:rsidR="00D71E63">
        <w:rPr>
          <w:rFonts w:ascii="Times New Roman" w:eastAsia="Times New Roman" w:hAnsi="Times New Roman" w:cs="Times New Roman"/>
          <w:color w:val="000000"/>
          <w:sz w:val="24"/>
          <w:szCs w:val="24"/>
        </w:rPr>
        <w:t>.</w:t>
      </w:r>
    </w:p>
    <w:p w14:paraId="00000037" w14:textId="53A6B21A" w:rsidR="00316F00" w:rsidRDefault="008C05DD">
      <w:pPr>
        <w:spacing w:line="480" w:lineRule="auto"/>
        <w:ind w:left="720" w:hanging="720"/>
        <w:jc w:val="both"/>
        <w:rPr>
          <w:rFonts w:ascii="Times New Roman" w:eastAsia="Times New Roman" w:hAnsi="Times New Roman" w:cs="Times New Roman"/>
          <w:color w:val="000000"/>
          <w:sz w:val="24"/>
          <w:szCs w:val="24"/>
        </w:rPr>
      </w:pPr>
      <w:bookmarkStart w:id="13" w:name="_heading=h.26in1rg" w:colFirst="0" w:colLast="0"/>
      <w:bookmarkEnd w:id="13"/>
      <w:proofErr w:type="spellStart"/>
      <w:r>
        <w:rPr>
          <w:rFonts w:ascii="Times New Roman" w:eastAsia="Times New Roman" w:hAnsi="Times New Roman" w:cs="Times New Roman"/>
          <w:color w:val="000000"/>
          <w:sz w:val="24"/>
          <w:szCs w:val="24"/>
        </w:rPr>
        <w:t>Goudkamp</w:t>
      </w:r>
      <w:proofErr w:type="spellEnd"/>
      <w:r>
        <w:rPr>
          <w:rFonts w:ascii="Times New Roman" w:eastAsia="Times New Roman" w:hAnsi="Times New Roman" w:cs="Times New Roman"/>
          <w:color w:val="000000"/>
          <w:sz w:val="24"/>
          <w:szCs w:val="24"/>
        </w:rPr>
        <w:t xml:space="preserve">, J., </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2017</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Breach of Duty: A Disappearing Element of the Action in Negligence</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The Cambridge Law Journal</w:t>
      </w:r>
      <w:r w:rsidR="00D71E63">
        <w:rPr>
          <w:rFonts w:ascii="Times New Roman" w:eastAsia="Times New Roman" w:hAnsi="Times New Roman" w:cs="Times New Roman"/>
          <w:color w:val="000000"/>
          <w:sz w:val="24"/>
          <w:szCs w:val="24"/>
        </w:rPr>
        <w:t>.</w:t>
      </w:r>
    </w:p>
    <w:p w14:paraId="00000038" w14:textId="7A91F116" w:rsidR="00316F00" w:rsidRDefault="008C05DD">
      <w:pPr>
        <w:spacing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GREENBERG, M., </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2018</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Webster’s Horse-‐Play.</w:t>
      </w:r>
    </w:p>
    <w:p w14:paraId="00000039" w14:textId="78D1A327" w:rsidR="00316F00" w:rsidRDefault="008C05DD">
      <w:pPr>
        <w:spacing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Kelly, J., </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2019</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Legal issues in midwifery care. In Empowering Decision-Making in Midwifery. Routledge.</w:t>
      </w:r>
    </w:p>
    <w:p w14:paraId="0000003A" w14:textId="38FC83BF" w:rsidR="00316F00" w:rsidRDefault="008C05DD">
      <w:pPr>
        <w:spacing w:line="48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Khalsa</w:t>
      </w:r>
      <w:proofErr w:type="spellEnd"/>
      <w:r>
        <w:rPr>
          <w:rFonts w:ascii="Times New Roman" w:eastAsia="Times New Roman" w:hAnsi="Times New Roman" w:cs="Times New Roman"/>
          <w:color w:val="000000"/>
          <w:sz w:val="24"/>
          <w:szCs w:val="24"/>
        </w:rPr>
        <w:t xml:space="preserve">, K.K., </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1997</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Tort Law-Cause of Action for Negligent Horseplay: </w:t>
      </w:r>
      <w:proofErr w:type="spellStart"/>
      <w:r>
        <w:rPr>
          <w:rFonts w:ascii="Times New Roman" w:eastAsia="Times New Roman" w:hAnsi="Times New Roman" w:cs="Times New Roman"/>
          <w:color w:val="000000"/>
          <w:sz w:val="24"/>
          <w:szCs w:val="24"/>
        </w:rPr>
        <w:t>Yount</w:t>
      </w:r>
      <w:proofErr w:type="spellEnd"/>
      <w:r>
        <w:rPr>
          <w:rFonts w:ascii="Times New Roman" w:eastAsia="Times New Roman" w:hAnsi="Times New Roman" w:cs="Times New Roman"/>
          <w:color w:val="000000"/>
          <w:sz w:val="24"/>
          <w:szCs w:val="24"/>
        </w:rPr>
        <w:t xml:space="preserve"> v. Johnson. NML Rev.</w:t>
      </w:r>
    </w:p>
    <w:p w14:paraId="0000003B" w14:textId="375BE7D2" w:rsidR="00316F00" w:rsidRDefault="008C05DD">
      <w:pPr>
        <w:spacing w:line="48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Khare</w:t>
      </w:r>
      <w:proofErr w:type="spellEnd"/>
      <w:r>
        <w:rPr>
          <w:rFonts w:ascii="Times New Roman" w:eastAsia="Times New Roman" w:hAnsi="Times New Roman" w:cs="Times New Roman"/>
          <w:color w:val="000000"/>
          <w:sz w:val="24"/>
          <w:szCs w:val="24"/>
        </w:rPr>
        <w:t xml:space="preserve">, M., </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2010</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Foul Ball-The Need to Alter Current Liability Standards for Spectator Injuries at Sporting Events. Tex. Rev. </w:t>
      </w:r>
      <w:proofErr w:type="gramStart"/>
      <w:r>
        <w:rPr>
          <w:rFonts w:ascii="Times New Roman" w:eastAsia="Times New Roman" w:hAnsi="Times New Roman" w:cs="Times New Roman"/>
          <w:color w:val="000000"/>
          <w:sz w:val="24"/>
          <w:szCs w:val="24"/>
        </w:rPr>
        <w:t>Ent</w:t>
      </w:r>
      <w:proofErr w:type="gramEnd"/>
      <w:r>
        <w:rPr>
          <w:rFonts w:ascii="Times New Roman" w:eastAsia="Times New Roman" w:hAnsi="Times New Roman" w:cs="Times New Roman"/>
          <w:color w:val="000000"/>
          <w:sz w:val="24"/>
          <w:szCs w:val="24"/>
        </w:rPr>
        <w:t>. &amp; Sports L.</w:t>
      </w:r>
    </w:p>
    <w:p w14:paraId="0000003C" w14:textId="7E843899" w:rsidR="00316F00" w:rsidRDefault="008C05DD">
      <w:pPr>
        <w:spacing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Kopf, K., </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2017</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Horseplay Gone Wrong: A Proposed Model Equine Activity Liability Act. Val. UL Rev</w:t>
      </w:r>
      <w:r w:rsidR="00D71E63">
        <w:rPr>
          <w:rFonts w:ascii="Times New Roman" w:eastAsia="Times New Roman" w:hAnsi="Times New Roman" w:cs="Times New Roman"/>
          <w:color w:val="000000"/>
          <w:sz w:val="24"/>
          <w:szCs w:val="24"/>
        </w:rPr>
        <w:t>.</w:t>
      </w:r>
    </w:p>
    <w:p w14:paraId="0000003D" w14:textId="40440C96" w:rsidR="00316F00" w:rsidRDefault="008C05DD">
      <w:pPr>
        <w:spacing w:line="48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Maksymov</w:t>
      </w:r>
      <w:proofErr w:type="spellEnd"/>
      <w:r>
        <w:rPr>
          <w:rFonts w:ascii="Times New Roman" w:eastAsia="Times New Roman" w:hAnsi="Times New Roman" w:cs="Times New Roman"/>
          <w:color w:val="000000"/>
          <w:sz w:val="24"/>
          <w:szCs w:val="24"/>
        </w:rPr>
        <w:t xml:space="preserve">, E.M. and Nelson, M.W., </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2017</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Malleable standards of care are required by jurors when assessing auditor negligence. The Accounting Review</w:t>
      </w:r>
      <w:r w:rsidR="00D71E63">
        <w:rPr>
          <w:rFonts w:ascii="Times New Roman" w:eastAsia="Times New Roman" w:hAnsi="Times New Roman" w:cs="Times New Roman"/>
          <w:color w:val="000000"/>
          <w:sz w:val="24"/>
          <w:szCs w:val="24"/>
        </w:rPr>
        <w:t>.</w:t>
      </w:r>
    </w:p>
    <w:p w14:paraId="0000003E" w14:textId="0DD93159" w:rsidR="00316F00" w:rsidRDefault="008C05DD">
      <w:pPr>
        <w:spacing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Morris, C., </w:t>
      </w:r>
      <w:r w:rsidR="00D71E63">
        <w:rPr>
          <w:rFonts w:ascii="Times New Roman" w:eastAsia="Times New Roman" w:hAnsi="Times New Roman" w:cs="Times New Roman"/>
          <w:color w:val="000000"/>
          <w:sz w:val="24"/>
          <w:szCs w:val="24"/>
        </w:rPr>
        <w:t>ET AL,</w:t>
      </w:r>
      <w:r>
        <w:rPr>
          <w:rFonts w:ascii="Times New Roman" w:eastAsia="Times New Roman" w:hAnsi="Times New Roman" w:cs="Times New Roman"/>
          <w:color w:val="000000"/>
          <w:sz w:val="24"/>
          <w:szCs w:val="24"/>
        </w:rPr>
        <w:t xml:space="preserve"> </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2019</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Clinical negligence: duty and breach. British dental journal</w:t>
      </w:r>
      <w:r w:rsidR="00D71E63">
        <w:rPr>
          <w:rFonts w:ascii="Times New Roman" w:eastAsia="Times New Roman" w:hAnsi="Times New Roman" w:cs="Times New Roman"/>
          <w:color w:val="000000"/>
          <w:sz w:val="24"/>
          <w:szCs w:val="24"/>
        </w:rPr>
        <w:t>.</w:t>
      </w:r>
    </w:p>
    <w:p w14:paraId="0000003F" w14:textId="52A7B68F" w:rsidR="00316F00" w:rsidRDefault="008C05DD">
      <w:pPr>
        <w:spacing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Tingle, J., </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2002</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Establishing a breach of the duty of care in the tort of negligence: 2. British journal of nursing</w:t>
      </w:r>
      <w:r w:rsidR="00D71E63">
        <w:rPr>
          <w:rFonts w:ascii="Times New Roman" w:eastAsia="Times New Roman" w:hAnsi="Times New Roman" w:cs="Times New Roman"/>
          <w:color w:val="000000"/>
          <w:sz w:val="24"/>
          <w:szCs w:val="24"/>
        </w:rPr>
        <w:t>.</w:t>
      </w:r>
    </w:p>
    <w:p w14:paraId="00000040" w14:textId="06D64CFD" w:rsidR="00316F00" w:rsidRDefault="008C05DD">
      <w:pPr>
        <w:spacing w:line="48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lastRenderedPageBreak/>
        <w:t>Udemezue</w:t>
      </w:r>
      <w:proofErr w:type="spellEnd"/>
      <w:r>
        <w:rPr>
          <w:rFonts w:ascii="Times New Roman" w:eastAsia="Times New Roman" w:hAnsi="Times New Roman" w:cs="Times New Roman"/>
          <w:color w:val="000000"/>
          <w:sz w:val="24"/>
          <w:szCs w:val="24"/>
        </w:rPr>
        <w:t xml:space="preserve">, S. and </w:t>
      </w:r>
      <w:proofErr w:type="spellStart"/>
      <w:r>
        <w:rPr>
          <w:rFonts w:ascii="Times New Roman" w:eastAsia="Times New Roman" w:hAnsi="Times New Roman" w:cs="Times New Roman"/>
          <w:color w:val="000000"/>
          <w:sz w:val="24"/>
          <w:szCs w:val="24"/>
        </w:rPr>
        <w:t>Ojeih</w:t>
      </w:r>
      <w:proofErr w:type="spellEnd"/>
      <w:r>
        <w:rPr>
          <w:rFonts w:ascii="Times New Roman" w:eastAsia="Times New Roman" w:hAnsi="Times New Roman" w:cs="Times New Roman"/>
          <w:color w:val="000000"/>
          <w:sz w:val="24"/>
          <w:szCs w:val="24"/>
        </w:rPr>
        <w:t xml:space="preserve">, C.A., </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2021</w:t>
      </w:r>
      <w:r w:rsidR="00D71E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 Critical Analysis of the Role of Courts in Determining Breach of Duty of Care in the Law of Torts. </w:t>
      </w:r>
    </w:p>
    <w:p w14:paraId="00000041" w14:textId="77777777" w:rsidR="00316F00" w:rsidRDefault="008C05DD">
      <w:pPr>
        <w:pStyle w:val="Heading2"/>
        <w:spacing w:line="480" w:lineRule="auto"/>
        <w:jc w:val="both"/>
        <w:rPr>
          <w:rFonts w:ascii="Times New Roman" w:eastAsia="Times New Roman" w:hAnsi="Times New Roman" w:cs="Times New Roman"/>
          <w:i/>
          <w:color w:val="000000"/>
          <w:sz w:val="24"/>
          <w:szCs w:val="24"/>
        </w:rPr>
      </w:pPr>
      <w:bookmarkStart w:id="14" w:name="_heading=h.lnxbz9" w:colFirst="0" w:colLast="0"/>
      <w:bookmarkEnd w:id="14"/>
      <w:r>
        <w:rPr>
          <w:rFonts w:ascii="Times New Roman" w:eastAsia="Times New Roman" w:hAnsi="Times New Roman" w:cs="Times New Roman"/>
          <w:i/>
          <w:color w:val="000000"/>
          <w:sz w:val="24"/>
          <w:szCs w:val="24"/>
        </w:rPr>
        <w:t xml:space="preserve">Act/Case Law </w:t>
      </w:r>
    </w:p>
    <w:p w14:paraId="00000042" w14:textId="77777777" w:rsidR="00316F00" w:rsidRDefault="008C05DD">
      <w:pPr>
        <w:spacing w:line="48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Fardon</w:t>
      </w:r>
      <w:proofErr w:type="spellEnd"/>
      <w:r>
        <w:rPr>
          <w:rFonts w:ascii="Times New Roman" w:eastAsia="Times New Roman" w:hAnsi="Times New Roman" w:cs="Times New Roman"/>
          <w:color w:val="000000"/>
          <w:sz w:val="24"/>
          <w:szCs w:val="24"/>
        </w:rPr>
        <w:t xml:space="preserve"> v Harcourt-</w:t>
      </w:r>
      <w:proofErr w:type="spellStart"/>
      <w:r>
        <w:rPr>
          <w:rFonts w:ascii="Times New Roman" w:eastAsia="Times New Roman" w:hAnsi="Times New Roman" w:cs="Times New Roman"/>
          <w:color w:val="000000"/>
          <w:sz w:val="24"/>
          <w:szCs w:val="24"/>
        </w:rPr>
        <w:t>Rivington</w:t>
      </w:r>
      <w:proofErr w:type="spellEnd"/>
      <w:r>
        <w:rPr>
          <w:rFonts w:ascii="Times New Roman" w:eastAsia="Times New Roman" w:hAnsi="Times New Roman" w:cs="Times New Roman"/>
          <w:color w:val="000000"/>
          <w:sz w:val="24"/>
          <w:szCs w:val="24"/>
        </w:rPr>
        <w:t xml:space="preserve"> [1932] All ER 81.</w:t>
      </w:r>
    </w:p>
    <w:p w14:paraId="00000043" w14:textId="77777777" w:rsidR="00316F00" w:rsidRDefault="008C05DD">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Donoghue v Stevenson [1932] UKHL 100</w:t>
      </w:r>
    </w:p>
    <w:p w14:paraId="00000044" w14:textId="77777777" w:rsidR="00316F00" w:rsidRDefault="008C05DD">
      <w:pPr>
        <w:spacing w:line="480" w:lineRule="auto"/>
        <w:jc w:val="both"/>
        <w:rPr>
          <w:rFonts w:ascii="Times New Roman" w:eastAsia="Times New Roman" w:hAnsi="Times New Roman" w:cs="Times New Roman"/>
          <w:color w:val="000000"/>
          <w:sz w:val="24"/>
          <w:szCs w:val="24"/>
        </w:rPr>
      </w:pPr>
      <w:bookmarkStart w:id="15" w:name="_heading=h.35nkun2" w:colFirst="0" w:colLast="0"/>
      <w:bookmarkEnd w:id="15"/>
      <w:proofErr w:type="spellStart"/>
      <w:r>
        <w:rPr>
          <w:rFonts w:ascii="Times New Roman" w:eastAsia="Times New Roman" w:hAnsi="Times New Roman" w:cs="Times New Roman"/>
          <w:color w:val="000000"/>
          <w:sz w:val="24"/>
          <w:szCs w:val="24"/>
        </w:rPr>
        <w:t>Nettleship</w:t>
      </w:r>
      <w:proofErr w:type="spellEnd"/>
      <w:r>
        <w:rPr>
          <w:rFonts w:ascii="Times New Roman" w:eastAsia="Times New Roman" w:hAnsi="Times New Roman" w:cs="Times New Roman"/>
          <w:color w:val="000000"/>
          <w:sz w:val="24"/>
          <w:szCs w:val="24"/>
        </w:rPr>
        <w:t xml:space="preserve"> v Weston [1971] 2 QB 691.</w:t>
      </w:r>
    </w:p>
    <w:p w14:paraId="00000045" w14:textId="77777777" w:rsidR="00316F00" w:rsidRDefault="008C05DD">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Bolton v. Stone [1951] AC 850, [1951] 1 All ER 1078</w:t>
      </w:r>
    </w:p>
    <w:p w14:paraId="00000046" w14:textId="77777777" w:rsidR="00316F00" w:rsidRDefault="008C05DD">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Miller v Jackson [1977] QB 966</w:t>
      </w:r>
    </w:p>
    <w:p w14:paraId="00000047" w14:textId="77777777" w:rsidR="00316F00" w:rsidRDefault="008C05DD">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Latimer v AEC Ltd [1953] AC 643.</w:t>
      </w:r>
    </w:p>
    <w:p w14:paraId="00000048" w14:textId="77777777" w:rsidR="00316F00" w:rsidRDefault="008C05DD">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Wooldridge v Sumner [1963] 2 QB 43</w:t>
      </w:r>
    </w:p>
    <w:p w14:paraId="00000049" w14:textId="77777777" w:rsidR="00316F00" w:rsidRDefault="008C05DD">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Caldwell v Maguire [2001] EWCA </w:t>
      </w:r>
      <w:proofErr w:type="spellStart"/>
      <w:r>
        <w:rPr>
          <w:rFonts w:ascii="Times New Roman" w:eastAsia="Times New Roman" w:hAnsi="Times New Roman" w:cs="Times New Roman"/>
          <w:color w:val="000000"/>
          <w:sz w:val="24"/>
          <w:szCs w:val="24"/>
        </w:rPr>
        <w:t>Civ</w:t>
      </w:r>
      <w:proofErr w:type="spellEnd"/>
      <w:r>
        <w:rPr>
          <w:rFonts w:ascii="Times New Roman" w:eastAsia="Times New Roman" w:hAnsi="Times New Roman" w:cs="Times New Roman"/>
          <w:color w:val="000000"/>
          <w:sz w:val="24"/>
          <w:szCs w:val="24"/>
        </w:rPr>
        <w:t xml:space="preserve"> 1054.</w:t>
      </w:r>
    </w:p>
    <w:p w14:paraId="0000004A" w14:textId="77777777" w:rsidR="00316F00" w:rsidRDefault="008C05DD">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Blake v Galloway [2004] 3 All ER 315</w:t>
      </w:r>
    </w:p>
    <w:p w14:paraId="0000004B" w14:textId="77777777" w:rsidR="00316F00" w:rsidRDefault="008C05DD">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Orchard v Lee [2009] EWCA 295</w:t>
      </w:r>
    </w:p>
    <w:p w14:paraId="0000004C" w14:textId="77777777" w:rsidR="00316F00" w:rsidRDefault="008C05DD">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Mullin v Richards [1998] 1 WLR 1304</w:t>
      </w:r>
    </w:p>
    <w:p w14:paraId="0000004D" w14:textId="77777777" w:rsidR="00316F00" w:rsidRDefault="008C05DD">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Condon v </w:t>
      </w:r>
      <w:proofErr w:type="spellStart"/>
      <w:r>
        <w:rPr>
          <w:rFonts w:ascii="Times New Roman" w:eastAsia="Times New Roman" w:hAnsi="Times New Roman" w:cs="Times New Roman"/>
          <w:color w:val="000000"/>
          <w:sz w:val="24"/>
          <w:szCs w:val="24"/>
        </w:rPr>
        <w:t>Basi</w:t>
      </w:r>
      <w:proofErr w:type="spellEnd"/>
      <w:r>
        <w:rPr>
          <w:rFonts w:ascii="Times New Roman" w:eastAsia="Times New Roman" w:hAnsi="Times New Roman" w:cs="Times New Roman"/>
          <w:color w:val="000000"/>
          <w:sz w:val="24"/>
          <w:szCs w:val="24"/>
        </w:rPr>
        <w:t xml:space="preserve"> [1985] 1 WLR 866</w:t>
      </w:r>
    </w:p>
    <w:p w14:paraId="0000004E" w14:textId="77777777" w:rsidR="00316F00" w:rsidRDefault="008C05DD">
      <w:pPr>
        <w:spacing w:line="48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Rootes</w:t>
      </w:r>
      <w:proofErr w:type="spellEnd"/>
      <w:r>
        <w:rPr>
          <w:rFonts w:ascii="Times New Roman" w:eastAsia="Times New Roman" w:hAnsi="Times New Roman" w:cs="Times New Roman"/>
          <w:color w:val="000000"/>
          <w:sz w:val="24"/>
          <w:szCs w:val="24"/>
        </w:rPr>
        <w:t xml:space="preserve"> v Shelton (1967) 116 CLR 383</w:t>
      </w:r>
    </w:p>
    <w:sectPr w:rsidR="00316F00">
      <w:headerReference w:type="default" r:id="rId7"/>
      <w:headerReference w:type="firs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46D348" w14:textId="77777777" w:rsidR="00270AFE" w:rsidRDefault="00270AFE">
      <w:pPr>
        <w:spacing w:after="0" w:line="240" w:lineRule="auto"/>
      </w:pPr>
      <w:r>
        <w:separator/>
      </w:r>
    </w:p>
  </w:endnote>
  <w:endnote w:type="continuationSeparator" w:id="0">
    <w:p w14:paraId="2669EC53" w14:textId="77777777" w:rsidR="00270AFE" w:rsidRDefault="00270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F60426" w14:textId="77777777" w:rsidR="00270AFE" w:rsidRDefault="00270AFE">
      <w:pPr>
        <w:spacing w:after="0" w:line="240" w:lineRule="auto"/>
      </w:pPr>
      <w:r>
        <w:separator/>
      </w:r>
    </w:p>
  </w:footnote>
  <w:footnote w:type="continuationSeparator" w:id="0">
    <w:p w14:paraId="037B7947" w14:textId="77777777" w:rsidR="00270AFE" w:rsidRDefault="00270AFE">
      <w:pPr>
        <w:spacing w:after="0" w:line="240" w:lineRule="auto"/>
      </w:pPr>
      <w:r>
        <w:continuationSeparator/>
      </w:r>
    </w:p>
  </w:footnote>
  <w:footnote w:id="1">
    <w:p w14:paraId="0000004F" w14:textId="6B2BAFDE" w:rsidR="00316F00" w:rsidRDefault="00316F00">
      <w:pPr>
        <w:pBdr>
          <w:top w:val="nil"/>
          <w:left w:val="nil"/>
          <w:bottom w:val="nil"/>
          <w:right w:val="nil"/>
          <w:between w:val="nil"/>
        </w:pBdr>
        <w:spacing w:after="0" w:line="240" w:lineRule="auto"/>
        <w:rPr>
          <w:color w:val="000000"/>
          <w:sz w:val="20"/>
          <w:szCs w:val="20"/>
        </w:rPr>
      </w:pPr>
      <w:bookmarkStart w:id="2" w:name="_GoBack"/>
      <w:bookmarkEnd w:id="2"/>
    </w:p>
  </w:footnote>
  <w:footnote w:id="2">
    <w:p w14:paraId="00000050" w14:textId="1A677B3E" w:rsidR="00316F00" w:rsidRDefault="00316F00">
      <w:pPr>
        <w:pBdr>
          <w:top w:val="nil"/>
          <w:left w:val="nil"/>
          <w:bottom w:val="nil"/>
          <w:right w:val="nil"/>
          <w:between w:val="nil"/>
        </w:pBdr>
        <w:spacing w:after="0" w:line="240" w:lineRule="auto"/>
        <w:rPr>
          <w:color w:val="000000"/>
          <w:sz w:val="20"/>
          <w:szCs w:val="20"/>
        </w:rPr>
      </w:pPr>
    </w:p>
  </w:footnote>
  <w:footnote w:id="3">
    <w:p w14:paraId="00000051" w14:textId="3E5879E3" w:rsidR="00316F00" w:rsidRDefault="00316F00">
      <w:pPr>
        <w:pBdr>
          <w:top w:val="nil"/>
          <w:left w:val="nil"/>
          <w:bottom w:val="nil"/>
          <w:right w:val="nil"/>
          <w:between w:val="nil"/>
        </w:pBdr>
        <w:spacing w:after="0" w:line="240" w:lineRule="auto"/>
        <w:rPr>
          <w:color w:val="000000"/>
          <w:sz w:val="20"/>
          <w:szCs w:val="20"/>
        </w:rPr>
      </w:pPr>
    </w:p>
  </w:footnote>
  <w:footnote w:id="4">
    <w:p w14:paraId="00000052" w14:textId="32A07361" w:rsidR="00316F00" w:rsidRDefault="00316F00">
      <w:pPr>
        <w:pBdr>
          <w:top w:val="nil"/>
          <w:left w:val="nil"/>
          <w:bottom w:val="nil"/>
          <w:right w:val="nil"/>
          <w:between w:val="nil"/>
        </w:pBdr>
        <w:spacing w:after="0" w:line="240" w:lineRule="auto"/>
        <w:rPr>
          <w:color w:val="000000"/>
          <w:sz w:val="20"/>
          <w:szCs w:val="20"/>
        </w:rPr>
      </w:pPr>
    </w:p>
  </w:footnote>
  <w:footnote w:id="5">
    <w:p w14:paraId="00000053" w14:textId="121037A2" w:rsidR="00316F00" w:rsidRDefault="00316F00">
      <w:pPr>
        <w:pBdr>
          <w:top w:val="nil"/>
          <w:left w:val="nil"/>
          <w:bottom w:val="nil"/>
          <w:right w:val="nil"/>
          <w:between w:val="nil"/>
        </w:pBdr>
        <w:spacing w:after="0" w:line="240" w:lineRule="auto"/>
        <w:rPr>
          <w:color w:val="000000"/>
          <w:sz w:val="20"/>
          <w:szCs w:val="20"/>
        </w:rPr>
      </w:pPr>
    </w:p>
  </w:footnote>
  <w:footnote w:id="6">
    <w:p w14:paraId="00000054" w14:textId="3463CEC9" w:rsidR="00316F00" w:rsidRDefault="00316F00">
      <w:pPr>
        <w:pBdr>
          <w:top w:val="nil"/>
          <w:left w:val="nil"/>
          <w:bottom w:val="nil"/>
          <w:right w:val="nil"/>
          <w:between w:val="nil"/>
        </w:pBdr>
        <w:spacing w:after="0" w:line="240" w:lineRule="auto"/>
        <w:rPr>
          <w:color w:val="000000"/>
          <w:sz w:val="20"/>
          <w:szCs w:val="20"/>
        </w:rPr>
      </w:pPr>
    </w:p>
  </w:footnote>
  <w:footnote w:id="7">
    <w:p w14:paraId="00000055" w14:textId="79932188" w:rsidR="00316F00" w:rsidRDefault="00316F00">
      <w:pPr>
        <w:pBdr>
          <w:top w:val="nil"/>
          <w:left w:val="nil"/>
          <w:bottom w:val="nil"/>
          <w:right w:val="nil"/>
          <w:between w:val="nil"/>
        </w:pBdr>
        <w:spacing w:after="0" w:line="240" w:lineRule="auto"/>
        <w:rPr>
          <w:color w:val="000000"/>
          <w:sz w:val="20"/>
          <w:szCs w:val="20"/>
        </w:rPr>
      </w:pPr>
    </w:p>
  </w:footnote>
  <w:footnote w:id="8">
    <w:p w14:paraId="00000056" w14:textId="4FFAE4EB" w:rsidR="00316F00" w:rsidRDefault="00316F00">
      <w:pPr>
        <w:pBdr>
          <w:top w:val="nil"/>
          <w:left w:val="nil"/>
          <w:bottom w:val="nil"/>
          <w:right w:val="nil"/>
          <w:between w:val="nil"/>
        </w:pBdr>
        <w:spacing w:after="0" w:line="240" w:lineRule="auto"/>
        <w:rPr>
          <w:color w:val="000000"/>
          <w:sz w:val="20"/>
          <w:szCs w:val="20"/>
        </w:rPr>
      </w:pPr>
    </w:p>
  </w:footnote>
  <w:footnote w:id="9">
    <w:p w14:paraId="00000057" w14:textId="10CF2414" w:rsidR="00316F00" w:rsidRDefault="00316F00">
      <w:pPr>
        <w:pBdr>
          <w:top w:val="nil"/>
          <w:left w:val="nil"/>
          <w:bottom w:val="nil"/>
          <w:right w:val="nil"/>
          <w:between w:val="nil"/>
        </w:pBdr>
        <w:spacing w:after="0" w:line="240" w:lineRule="auto"/>
        <w:rPr>
          <w:color w:val="000000"/>
          <w:sz w:val="20"/>
          <w:szCs w:val="20"/>
        </w:rPr>
      </w:pPr>
    </w:p>
  </w:footnote>
  <w:footnote w:id="10">
    <w:p w14:paraId="00000058" w14:textId="69FCB38C" w:rsidR="00316F00" w:rsidRDefault="00316F00">
      <w:pPr>
        <w:pBdr>
          <w:top w:val="nil"/>
          <w:left w:val="nil"/>
          <w:bottom w:val="nil"/>
          <w:right w:val="nil"/>
          <w:between w:val="nil"/>
        </w:pBdr>
        <w:spacing w:after="0" w:line="240" w:lineRule="auto"/>
        <w:rPr>
          <w:color w:val="000000"/>
          <w:sz w:val="20"/>
          <w:szCs w:val="20"/>
        </w:rPr>
      </w:pPr>
    </w:p>
  </w:footnote>
  <w:footnote w:id="11">
    <w:p w14:paraId="00000059" w14:textId="4553AA56" w:rsidR="00316F00" w:rsidRDefault="00316F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p>
  </w:footnote>
  <w:footnote w:id="12">
    <w:p w14:paraId="0000005A" w14:textId="4F615419" w:rsidR="00316F00" w:rsidRDefault="00316F00">
      <w:pPr>
        <w:pBdr>
          <w:top w:val="nil"/>
          <w:left w:val="nil"/>
          <w:bottom w:val="nil"/>
          <w:right w:val="nil"/>
          <w:between w:val="nil"/>
        </w:pBdr>
        <w:spacing w:after="0" w:line="240" w:lineRule="auto"/>
        <w:rPr>
          <w:color w:val="000000"/>
          <w:sz w:val="20"/>
          <w:szCs w:val="20"/>
        </w:rPr>
      </w:pPr>
    </w:p>
  </w:footnote>
  <w:footnote w:id="13">
    <w:p w14:paraId="0000005B" w14:textId="056000C2" w:rsidR="00316F00" w:rsidRDefault="00316F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p>
  </w:footnote>
  <w:footnote w:id="14">
    <w:p w14:paraId="0000005C" w14:textId="4A059F07" w:rsidR="00316F00" w:rsidRDefault="00316F00">
      <w:pPr>
        <w:pBdr>
          <w:top w:val="nil"/>
          <w:left w:val="nil"/>
          <w:bottom w:val="nil"/>
          <w:right w:val="nil"/>
          <w:between w:val="nil"/>
        </w:pBdr>
        <w:spacing w:after="0" w:line="240" w:lineRule="auto"/>
        <w:rPr>
          <w:color w:val="000000"/>
          <w:sz w:val="20"/>
          <w:szCs w:val="20"/>
        </w:rPr>
      </w:pPr>
    </w:p>
  </w:footnote>
  <w:footnote w:id="15">
    <w:p w14:paraId="0000005D" w14:textId="749E363E" w:rsidR="00316F00" w:rsidRDefault="00316F00">
      <w:pPr>
        <w:pBdr>
          <w:top w:val="nil"/>
          <w:left w:val="nil"/>
          <w:bottom w:val="nil"/>
          <w:right w:val="nil"/>
          <w:between w:val="nil"/>
        </w:pBdr>
        <w:spacing w:after="0" w:line="240" w:lineRule="auto"/>
        <w:rPr>
          <w:color w:val="000000"/>
          <w:sz w:val="20"/>
          <w:szCs w:val="20"/>
        </w:rPr>
      </w:pPr>
    </w:p>
  </w:footnote>
  <w:footnote w:id="16">
    <w:p w14:paraId="0000005E" w14:textId="672D07F1" w:rsidR="00316F00" w:rsidRDefault="00316F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p>
  </w:footnote>
  <w:footnote w:id="17">
    <w:p w14:paraId="0000005F" w14:textId="351750CF" w:rsidR="00316F00" w:rsidRDefault="00316F00">
      <w:pPr>
        <w:pBdr>
          <w:top w:val="nil"/>
          <w:left w:val="nil"/>
          <w:bottom w:val="nil"/>
          <w:right w:val="nil"/>
          <w:between w:val="nil"/>
        </w:pBdr>
        <w:spacing w:after="0" w:line="240" w:lineRule="auto"/>
        <w:rPr>
          <w:color w:val="000000"/>
          <w:sz w:val="20"/>
          <w:szCs w:val="20"/>
        </w:rPr>
      </w:pPr>
    </w:p>
  </w:footnote>
  <w:footnote w:id="18">
    <w:p w14:paraId="00000060" w14:textId="01190D15" w:rsidR="00316F00" w:rsidRDefault="00316F00">
      <w:pPr>
        <w:pBdr>
          <w:top w:val="nil"/>
          <w:left w:val="nil"/>
          <w:bottom w:val="nil"/>
          <w:right w:val="nil"/>
          <w:between w:val="nil"/>
        </w:pBdr>
        <w:spacing w:after="0" w:line="240" w:lineRule="auto"/>
        <w:rPr>
          <w:color w:val="000000"/>
          <w:sz w:val="20"/>
          <w:szCs w:val="20"/>
        </w:rPr>
      </w:pPr>
    </w:p>
  </w:footnote>
  <w:footnote w:id="19">
    <w:p w14:paraId="00000061" w14:textId="204408E6" w:rsidR="00316F00" w:rsidRDefault="00316F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p>
  </w:footnote>
  <w:footnote w:id="20">
    <w:p w14:paraId="00000062" w14:textId="6FC4FD4A" w:rsidR="00316F00" w:rsidRDefault="00316F00">
      <w:pPr>
        <w:pBdr>
          <w:top w:val="nil"/>
          <w:left w:val="nil"/>
          <w:bottom w:val="nil"/>
          <w:right w:val="nil"/>
          <w:between w:val="nil"/>
        </w:pBdr>
        <w:spacing w:after="0" w:line="240" w:lineRule="auto"/>
        <w:rPr>
          <w:color w:val="000000"/>
          <w:sz w:val="20"/>
          <w:szCs w:val="20"/>
        </w:rPr>
      </w:pPr>
    </w:p>
  </w:footnote>
  <w:footnote w:id="21">
    <w:p w14:paraId="00000063" w14:textId="1C302D38" w:rsidR="00316F00" w:rsidRDefault="00316F00">
      <w:pPr>
        <w:pBdr>
          <w:top w:val="nil"/>
          <w:left w:val="nil"/>
          <w:bottom w:val="nil"/>
          <w:right w:val="nil"/>
          <w:between w:val="nil"/>
        </w:pBdr>
        <w:spacing w:after="0" w:line="240" w:lineRule="auto"/>
        <w:rPr>
          <w:color w:val="000000"/>
          <w:sz w:val="20"/>
          <w:szCs w:val="20"/>
        </w:rPr>
      </w:pPr>
    </w:p>
  </w:footnote>
  <w:footnote w:id="22">
    <w:p w14:paraId="00000064" w14:textId="0A37254E" w:rsidR="00316F00" w:rsidRDefault="00316F00">
      <w:pPr>
        <w:pBdr>
          <w:top w:val="nil"/>
          <w:left w:val="nil"/>
          <w:bottom w:val="nil"/>
          <w:right w:val="nil"/>
          <w:between w:val="nil"/>
        </w:pBdr>
        <w:spacing w:after="0" w:line="240" w:lineRule="auto"/>
        <w:rPr>
          <w:color w:val="000000"/>
          <w:sz w:val="20"/>
          <w:szCs w:val="20"/>
        </w:rPr>
      </w:pPr>
    </w:p>
  </w:footnote>
  <w:footnote w:id="23">
    <w:p w14:paraId="00000065" w14:textId="2565B25C" w:rsidR="00316F00" w:rsidRDefault="00316F00">
      <w:pPr>
        <w:pBdr>
          <w:top w:val="nil"/>
          <w:left w:val="nil"/>
          <w:bottom w:val="nil"/>
          <w:right w:val="nil"/>
          <w:between w:val="nil"/>
        </w:pBdr>
        <w:spacing w:after="0" w:line="240" w:lineRule="auto"/>
        <w:rPr>
          <w:color w:val="000000"/>
          <w:sz w:val="20"/>
          <w:szCs w:val="20"/>
        </w:rPr>
      </w:pPr>
    </w:p>
  </w:footnote>
  <w:footnote w:id="24">
    <w:p w14:paraId="00000066" w14:textId="7033BA35" w:rsidR="00316F00" w:rsidRDefault="00316F00">
      <w:pPr>
        <w:pBdr>
          <w:top w:val="nil"/>
          <w:left w:val="nil"/>
          <w:bottom w:val="nil"/>
          <w:right w:val="nil"/>
          <w:between w:val="nil"/>
        </w:pBdr>
        <w:spacing w:after="0" w:line="240" w:lineRule="auto"/>
        <w:rPr>
          <w:color w:val="000000"/>
          <w:sz w:val="20"/>
          <w:szCs w:val="20"/>
        </w:rPr>
      </w:pPr>
    </w:p>
  </w:footnote>
  <w:footnote w:id="25">
    <w:p w14:paraId="00000067" w14:textId="005E9892" w:rsidR="00316F00" w:rsidRDefault="00316F00">
      <w:pPr>
        <w:pBdr>
          <w:top w:val="nil"/>
          <w:left w:val="nil"/>
          <w:bottom w:val="nil"/>
          <w:right w:val="nil"/>
          <w:between w:val="nil"/>
        </w:pBdr>
        <w:spacing w:after="0" w:line="240" w:lineRule="auto"/>
        <w:rPr>
          <w:color w:val="000000"/>
          <w:sz w:val="20"/>
          <w:szCs w:val="20"/>
        </w:rPr>
      </w:pPr>
    </w:p>
  </w:footnote>
  <w:footnote w:id="26">
    <w:p w14:paraId="00000068" w14:textId="67FFA3A3" w:rsidR="00316F00" w:rsidRDefault="00316F00">
      <w:pPr>
        <w:pBdr>
          <w:top w:val="nil"/>
          <w:left w:val="nil"/>
          <w:bottom w:val="nil"/>
          <w:right w:val="nil"/>
          <w:between w:val="nil"/>
        </w:pBdr>
        <w:spacing w:after="0" w:line="240" w:lineRule="auto"/>
        <w:rPr>
          <w:color w:val="000000"/>
          <w:sz w:val="20"/>
          <w:szCs w:val="20"/>
        </w:rPr>
      </w:pPr>
    </w:p>
  </w:footnote>
  <w:footnote w:id="27">
    <w:p w14:paraId="00000069" w14:textId="2C0CA39C" w:rsidR="00316F00" w:rsidRDefault="00316F00">
      <w:pPr>
        <w:pBdr>
          <w:top w:val="nil"/>
          <w:left w:val="nil"/>
          <w:bottom w:val="nil"/>
          <w:right w:val="nil"/>
          <w:between w:val="nil"/>
        </w:pBdr>
        <w:spacing w:after="0" w:line="240" w:lineRule="auto"/>
        <w:rPr>
          <w:color w:val="000000"/>
          <w:sz w:val="20"/>
          <w:szCs w:val="20"/>
        </w:rPr>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6B" w14:textId="2B3CA2E6" w:rsidR="00316F00" w:rsidRDefault="008C05DD">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NEGLIGENCE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EA5306">
      <w:rPr>
        <w:rFonts w:ascii="Times New Roman" w:eastAsia="Times New Roman" w:hAnsi="Times New Roman" w:cs="Times New Roman"/>
        <w:noProof/>
        <w:color w:val="000000"/>
        <w:sz w:val="24"/>
        <w:szCs w:val="24"/>
      </w:rPr>
      <w:t>12</w:t>
    </w:r>
    <w:r>
      <w:rPr>
        <w:rFonts w:ascii="Times New Roman" w:eastAsia="Times New Roman" w:hAnsi="Times New Roman" w:cs="Times New Roman"/>
        <w:color w:val="000000"/>
        <w:sz w:val="24"/>
        <w:szCs w:val="24"/>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6A" w14:textId="7A9E7006" w:rsidR="00316F00" w:rsidRDefault="008C05DD">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NEGLIGENCE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EA5306">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6F00"/>
    <w:rsid w:val="000A553A"/>
    <w:rsid w:val="00270AFE"/>
    <w:rsid w:val="00316F00"/>
    <w:rsid w:val="005A64AA"/>
    <w:rsid w:val="00806F3A"/>
    <w:rsid w:val="008C05DD"/>
    <w:rsid w:val="00A745A7"/>
    <w:rsid w:val="00BA4546"/>
    <w:rsid w:val="00C2135F"/>
    <w:rsid w:val="00CF2BDD"/>
    <w:rsid w:val="00D21B09"/>
    <w:rsid w:val="00D71E63"/>
    <w:rsid w:val="00DF7DF9"/>
    <w:rsid w:val="00EA5306"/>
    <w:rsid w:val="00FD4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9407B"/>
  <w15:docId w15:val="{2E511EF4-BC1C-43EB-85D4-C255F0E33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93A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1A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C37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737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73E"/>
  </w:style>
  <w:style w:type="paragraph" w:styleId="Footer">
    <w:name w:val="footer"/>
    <w:basedOn w:val="Normal"/>
    <w:link w:val="FooterChar"/>
    <w:uiPriority w:val="99"/>
    <w:unhideWhenUsed/>
    <w:rsid w:val="00737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73E"/>
  </w:style>
  <w:style w:type="character" w:customStyle="1" w:styleId="Heading1Char">
    <w:name w:val="Heading 1 Char"/>
    <w:basedOn w:val="DefaultParagraphFont"/>
    <w:link w:val="Heading1"/>
    <w:uiPriority w:val="9"/>
    <w:rsid w:val="00093AA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066E9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66E99"/>
    <w:rPr>
      <w:i/>
      <w:iCs/>
    </w:rPr>
  </w:style>
  <w:style w:type="character" w:customStyle="1" w:styleId="Heading2Char">
    <w:name w:val="Heading 2 Char"/>
    <w:basedOn w:val="DefaultParagraphFont"/>
    <w:link w:val="Heading2"/>
    <w:uiPriority w:val="9"/>
    <w:rsid w:val="00B71A1F"/>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C605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605C3"/>
    <w:rPr>
      <w:sz w:val="20"/>
      <w:szCs w:val="20"/>
    </w:rPr>
  </w:style>
  <w:style w:type="character" w:styleId="FootnoteReference">
    <w:name w:val="footnote reference"/>
    <w:basedOn w:val="DefaultParagraphFont"/>
    <w:uiPriority w:val="99"/>
    <w:semiHidden/>
    <w:unhideWhenUsed/>
    <w:rsid w:val="00C605C3"/>
    <w:rPr>
      <w:vertAlign w:val="superscript"/>
    </w:rPr>
  </w:style>
  <w:style w:type="character" w:styleId="Hyperlink">
    <w:name w:val="Hyperlink"/>
    <w:basedOn w:val="DefaultParagraphFont"/>
    <w:uiPriority w:val="99"/>
    <w:unhideWhenUsed/>
    <w:rsid w:val="00196F4F"/>
    <w:rPr>
      <w:color w:val="0000FF"/>
      <w:u w:val="single"/>
    </w:rPr>
  </w:style>
  <w:style w:type="character" w:styleId="Strong">
    <w:name w:val="Strong"/>
    <w:basedOn w:val="DefaultParagraphFont"/>
    <w:uiPriority w:val="22"/>
    <w:qFormat/>
    <w:rsid w:val="00196F4F"/>
    <w:rPr>
      <w:b/>
      <w:bCs/>
    </w:rPr>
  </w:style>
  <w:style w:type="character" w:customStyle="1" w:styleId="Heading3Char">
    <w:name w:val="Heading 3 Char"/>
    <w:basedOn w:val="DefaultParagraphFont"/>
    <w:link w:val="Heading3"/>
    <w:uiPriority w:val="9"/>
    <w:semiHidden/>
    <w:rsid w:val="000C37AB"/>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F37C0"/>
    <w:pPr>
      <w:tabs>
        <w:tab w:val="right" w:leader="dot" w:pos="9350"/>
      </w:tabs>
      <w:spacing w:after="100" w:line="480" w:lineRule="auto"/>
      <w:jc w:val="center"/>
    </w:pPr>
    <w:rPr>
      <w:rFonts w:ascii="Times New Roman" w:hAnsi="Times New Roman" w:cs="Times New Roman"/>
      <w:sz w:val="24"/>
      <w:szCs w:val="24"/>
    </w:rPr>
  </w:style>
  <w:style w:type="paragraph" w:styleId="TOC2">
    <w:name w:val="toc 2"/>
    <w:basedOn w:val="Normal"/>
    <w:next w:val="Normal"/>
    <w:autoRedefine/>
    <w:uiPriority w:val="39"/>
    <w:unhideWhenUsed/>
    <w:rsid w:val="00AA4E81"/>
    <w:pPr>
      <w:spacing w:after="100"/>
      <w:ind w:left="220"/>
    </w:pPr>
  </w:style>
  <w:style w:type="paragraph" w:styleId="TOCHeading">
    <w:name w:val="TOC Heading"/>
    <w:basedOn w:val="Heading1"/>
    <w:next w:val="Normal"/>
    <w:uiPriority w:val="39"/>
    <w:unhideWhenUsed/>
    <w:qFormat/>
    <w:rsid w:val="00354F47"/>
    <w:pPr>
      <w:outlineLvl w:val="9"/>
    </w:pPr>
    <w:rPr>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LAMAdBHz/NO0eLB1xL5BDKjbq5A==">AMUW2mUSoqqExfK5GvficJRsioAW8agWKgImNkC+aQg3KLEFUCX8SOd6uJBuuqDIItbDpk9bhIy9ylAMOnSgYk7QrBiZOJ3aPt919XIP/c6l2lukPdmmsoScvbus+9MkXp7BR64nNKalHSh/a5Rd0hiK3Gj3Q9D/FlzgiLox+QWFQrFOsKdXdlfZdgdHoQYU6ubM2byOQo+QlisScmJ1sBYyvfUmxYofwImhQVV0gfOHOJZjXifpIGWFB7b6EBL2sMsuGe7VQoGLTnRetWKfZkt6qpxTFdQkGPz8TfSBV8gt+nrb5kGaaFEhhX7nhmlhheVCpmgIur27</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2510</Words>
  <Characters>14309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 Code</dc:creator>
  <cp:lastModifiedBy>Windows User</cp:lastModifiedBy>
  <cp:revision>9</cp:revision>
  <dcterms:created xsi:type="dcterms:W3CDTF">2021-11-05T11:02:00Z</dcterms:created>
  <dcterms:modified xsi:type="dcterms:W3CDTF">2021-11-05T22:02:00Z</dcterms:modified>
</cp:coreProperties>
</file>