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15841" w14:textId="6F97E698" w:rsidR="00A05F7F" w:rsidRDefault="00A05F7F">
      <w:pPr>
        <w:spacing w:after="200" w:line="480" w:lineRule="auto"/>
        <w:jc w:val="center"/>
        <w:rPr>
          <w:b/>
          <w:bCs/>
          <w:sz w:val="28"/>
          <w:szCs w:val="28"/>
        </w:rPr>
      </w:pPr>
      <w:r>
        <w:rPr>
          <w:b/>
          <w:bCs/>
          <w:sz w:val="28"/>
          <w:szCs w:val="28"/>
        </w:rPr>
        <w:t xml:space="preserve">Lenuta Raducanu </w:t>
      </w:r>
    </w:p>
    <w:p w14:paraId="22FFEA43" w14:textId="09303AFB" w:rsidR="00A05F7F" w:rsidRDefault="00A05F7F">
      <w:pPr>
        <w:spacing w:after="200" w:line="480" w:lineRule="auto"/>
        <w:jc w:val="center"/>
        <w:rPr>
          <w:b/>
          <w:bCs/>
          <w:sz w:val="28"/>
          <w:szCs w:val="28"/>
        </w:rPr>
      </w:pPr>
      <w:r>
        <w:rPr>
          <w:b/>
          <w:bCs/>
          <w:sz w:val="28"/>
          <w:szCs w:val="28"/>
        </w:rPr>
        <w:t>Jews, Christians and Romans: From Maccabees to Masada (HPRS5910)</w:t>
      </w:r>
    </w:p>
    <w:p w14:paraId="1C1E0ED2" w14:textId="6AD7ACE4" w:rsidR="00A05F7F" w:rsidRDefault="00A05F7F">
      <w:pPr>
        <w:spacing w:after="200" w:line="480" w:lineRule="auto"/>
        <w:jc w:val="center"/>
        <w:rPr>
          <w:b/>
          <w:bCs/>
          <w:sz w:val="28"/>
          <w:szCs w:val="28"/>
        </w:rPr>
      </w:pPr>
      <w:r>
        <w:rPr>
          <w:b/>
          <w:bCs/>
          <w:sz w:val="28"/>
          <w:szCs w:val="28"/>
        </w:rPr>
        <w:t xml:space="preserve">Essay </w:t>
      </w:r>
    </w:p>
    <w:p w14:paraId="3CB30174" w14:textId="77777777" w:rsidR="00A05F7F" w:rsidRDefault="00A05F7F">
      <w:pPr>
        <w:spacing w:after="200" w:line="480" w:lineRule="auto"/>
        <w:jc w:val="center"/>
        <w:rPr>
          <w:b/>
          <w:bCs/>
          <w:sz w:val="28"/>
          <w:szCs w:val="28"/>
        </w:rPr>
      </w:pPr>
    </w:p>
    <w:p w14:paraId="1742E34B" w14:textId="4DE6CA63" w:rsidR="00ED7ED1" w:rsidRDefault="00C1532D" w:rsidP="00A05F7F">
      <w:pPr>
        <w:spacing w:after="200" w:line="480" w:lineRule="auto"/>
        <w:jc w:val="center"/>
      </w:pPr>
      <w:r>
        <w:rPr>
          <w:b/>
          <w:bCs/>
          <w:sz w:val="28"/>
          <w:szCs w:val="28"/>
        </w:rPr>
        <w:t>Jerusalem and Masada, 66–73 CE:</w:t>
      </w:r>
    </w:p>
    <w:p w14:paraId="7C16817E" w14:textId="77777777" w:rsidR="00ED7ED1" w:rsidRDefault="00C1532D">
      <w:pPr>
        <w:spacing w:after="200" w:line="480" w:lineRule="auto"/>
        <w:jc w:val="center"/>
      </w:pPr>
      <w:r>
        <w:rPr>
          <w:b/>
          <w:bCs/>
          <w:sz w:val="28"/>
          <w:szCs w:val="28"/>
        </w:rPr>
        <w:t>Historical, Political, and Religious Events</w:t>
      </w:r>
    </w:p>
    <w:p w14:paraId="0672C965" w14:textId="77777777" w:rsidR="00ED7ED1" w:rsidRDefault="00ED7ED1">
      <w:pPr>
        <w:spacing w:after="800" w:line="480" w:lineRule="auto"/>
        <w:jc w:val="center"/>
      </w:pPr>
    </w:p>
    <w:p w14:paraId="7CA4DCAA" w14:textId="77777777" w:rsidR="00ED7ED1" w:rsidRDefault="00C1532D">
      <w:pPr>
        <w:pStyle w:val="Heading1"/>
        <w:spacing w:line="480" w:lineRule="auto"/>
      </w:pPr>
      <w:r>
        <w:t>Introduction</w:t>
      </w:r>
    </w:p>
    <w:p w14:paraId="5BB24FB4" w14:textId="0EA3208C" w:rsidR="00ED7ED1" w:rsidRDefault="00C1532D">
      <w:pPr>
        <w:spacing w:after="200" w:line="480" w:lineRule="auto"/>
        <w:ind w:firstLine="720"/>
        <w:jc w:val="both"/>
      </w:pPr>
      <w:r>
        <w:t>The period between 66 and 73 CE represents one of the most consequential episodes in ancient Near Eastern history. The First Jewish–Roman War, commonly referred to as the Great Revolt, fundamentally reshaped the political, religious, and demographic character of Judaea. Rooted in decades of Roman misrule, oppressive taxation, and the systematic violation of Jewish religious sensibilities, the conflict culminated in the destruction of Jerusalem and its sacred Second Temple, as well as the fall of the fortres</w:t>
      </w:r>
      <w:r>
        <w:t xml:space="preserve">s of Masada. These events carried profound implications not only for the Jewish people but also for the broader Roman Empire and for nascent Christianity. Primary sources, most notably the works of Flavius Josephus, provide the principal narrative framework through which scholars reconstruct these events, though </w:t>
      </w:r>
      <w:r>
        <w:lastRenderedPageBreak/>
        <w:t xml:space="preserve">they must be read critically </w:t>
      </w:r>
      <w:r w:rsidR="00A05F7F">
        <w:t>considering</w:t>
      </w:r>
      <w:r>
        <w:t xml:space="preserve"> the author's own political positioning and his patronage under the Flavian dynasty.</w:t>
      </w:r>
      <w:r>
        <w:rPr>
          <w:rStyle w:val="FootnoteReference"/>
        </w:rPr>
        <w:footnoteReference w:id="1"/>
      </w:r>
    </w:p>
    <w:p w14:paraId="62A8A699" w14:textId="77777777" w:rsidR="00ED7ED1" w:rsidRDefault="00C1532D">
      <w:pPr>
        <w:pStyle w:val="Heading1"/>
        <w:spacing w:line="480" w:lineRule="auto"/>
      </w:pPr>
      <w:r>
        <w:t>Origins and Outbreak of the Revolt, 66 CE</w:t>
      </w:r>
    </w:p>
    <w:p w14:paraId="7B0C1F3C" w14:textId="77777777" w:rsidR="00ED7ED1" w:rsidRDefault="00C1532D">
      <w:pPr>
        <w:spacing w:after="200" w:line="480" w:lineRule="auto"/>
        <w:ind w:firstLine="720"/>
        <w:jc w:val="both"/>
      </w:pPr>
      <w:r>
        <w:t xml:space="preserve">The revolt did not arise suddenly but was the product of accumulated grievances stretching back several decades. Roman procurators had frequently displayed contempt for Jewish religious practice and imposed crippling financial burdens upon the population. The immediate trigger in 66 CE came when the procurator </w:t>
      </w:r>
      <w:proofErr w:type="spellStart"/>
      <w:r>
        <w:t>Gessius</w:t>
      </w:r>
      <w:proofErr w:type="spellEnd"/>
      <w:r>
        <w:t xml:space="preserve"> Florus seized seventeen talents from the Temple treasury, ostensibly to cover outstanding taxes owed to Rome. This act of sacrilege inflamed popular resentment to breaking point.</w:t>
      </w:r>
      <w:r>
        <w:rPr>
          <w:rStyle w:val="FootnoteReference"/>
        </w:rPr>
        <w:footnoteReference w:id="2"/>
      </w:r>
    </w:p>
    <w:p w14:paraId="1B1730F8" w14:textId="77777777" w:rsidR="00ED7ED1" w:rsidRDefault="00C1532D">
      <w:pPr>
        <w:spacing w:after="200" w:line="480" w:lineRule="auto"/>
        <w:ind w:firstLine="720"/>
        <w:jc w:val="both"/>
      </w:pPr>
      <w:r>
        <w:t>In Jerusalem, protests erupted almost immediately, and Roman soldiers responded with brutal repression, killing thousands of civilians. The moderate Jewish leadership, which had previously counselled accommodation with Rome, found itself swept aside by more radical elements.</w:t>
      </w:r>
      <w:r>
        <w:rPr>
          <w:rStyle w:val="FootnoteReference"/>
        </w:rPr>
        <w:footnoteReference w:id="3"/>
      </w:r>
      <w:r>
        <w:t xml:space="preserve"> The Sicarii, a militant faction who had long carried out assassinations using short curved daggers from which their name derived, as well as the Zealots, a broader coalition united by religious nationalism, rapidly gained ascendancy over the revolt's early direction.</w:t>
      </w:r>
      <w:r>
        <w:rPr>
          <w:rStyle w:val="FootnoteReference"/>
        </w:rPr>
        <w:footnoteReference w:id="4"/>
      </w:r>
      <w:r>
        <w:t xml:space="preserve"> Meanwhile, the cessation of the daily sacrifice offered in the Temple on behalf of the Roman Emperor, a gesture of enormous symbolic weight, effectively constituted a formal declaration of war.</w:t>
      </w:r>
      <w:r>
        <w:rPr>
          <w:rStyle w:val="FootnoteReference"/>
        </w:rPr>
        <w:footnoteReference w:id="5"/>
      </w:r>
    </w:p>
    <w:p w14:paraId="63BE4A6C" w14:textId="77777777" w:rsidR="00ED7ED1" w:rsidRDefault="00C1532D">
      <w:pPr>
        <w:spacing w:after="200" w:line="480" w:lineRule="auto"/>
        <w:ind w:firstLine="720"/>
        <w:jc w:val="both"/>
      </w:pPr>
      <w:r>
        <w:lastRenderedPageBreak/>
        <w:t>The initial military engagements produced startling results. A Roman force under Cestius Gallus, the governor of Syria, marched on Jerusalem with the Twelfth Legion and supporting troops. After penetrating the outer districts of the city, Gallus inexplicably withdrew, and during his retreat through the narrow pass at Beth Horon, Jewish insurgents inflicted a catastrophic defeat upon the Roman column, killing approximately six thousand soldiers and capturing the legion's eagle standard.</w:t>
      </w:r>
      <w:r>
        <w:rPr>
          <w:rStyle w:val="FootnoteReference"/>
        </w:rPr>
        <w:footnoteReference w:id="6"/>
      </w:r>
      <w:r>
        <w:t xml:space="preserve"> This victory electrified Jewish resistance across Judaea and transformed a local uprising into a full-scale war.</w:t>
      </w:r>
    </w:p>
    <w:p w14:paraId="1639F125" w14:textId="77777777" w:rsidR="00ED7ED1" w:rsidRDefault="00C1532D">
      <w:pPr>
        <w:pStyle w:val="Heading1"/>
        <w:spacing w:line="480" w:lineRule="auto"/>
      </w:pPr>
      <w:r>
        <w:t>The Roman Counter-Offensive and the Siege of Jerusalem, 67–70 CE</w:t>
      </w:r>
    </w:p>
    <w:p w14:paraId="47E4DF19" w14:textId="77777777" w:rsidR="00ED7ED1" w:rsidRDefault="00C1532D">
      <w:pPr>
        <w:spacing w:after="200" w:line="480" w:lineRule="auto"/>
        <w:ind w:firstLine="720"/>
        <w:jc w:val="both"/>
      </w:pPr>
      <w:r>
        <w:t xml:space="preserve">The Roman response was swift and systematic. The Emperor Nero dispatched his most capable general, Vespasian, with an army of approximately sixty thousand men to crush the revolt. Vespasian adopted a methodical strategy of subduing the Galilean and Judaean countryside before closing in upon Jerusalem, thus denying the rebels reinforcement and supplies. The campaign in Galilee in 67 CE saw the fall of </w:t>
      </w:r>
      <w:proofErr w:type="spellStart"/>
      <w:r>
        <w:t>Jotapata</w:t>
      </w:r>
      <w:proofErr w:type="spellEnd"/>
      <w:r>
        <w:t xml:space="preserve"> after a lengthy siege, during which the Jewish commander Josephus son of Matthias surrendered to Vespasian rather than die with his men.</w:t>
      </w:r>
      <w:r>
        <w:rPr>
          <w:rStyle w:val="FootnoteReference"/>
        </w:rPr>
        <w:footnoteReference w:id="7"/>
      </w:r>
      <w:r>
        <w:t xml:space="preserve"> Josephus subsequently claimed he had prophesied Vespasian's elevation to the emperorship, a claim that secured his survival and eventual patronage under the Flavians.</w:t>
      </w:r>
      <w:r>
        <w:rPr>
          <w:rStyle w:val="FootnoteReference"/>
        </w:rPr>
        <w:footnoteReference w:id="8"/>
      </w:r>
    </w:p>
    <w:p w14:paraId="324FA6F0" w14:textId="77777777" w:rsidR="00ED7ED1" w:rsidRDefault="00C1532D">
      <w:pPr>
        <w:spacing w:after="200" w:line="480" w:lineRule="auto"/>
        <w:ind w:firstLine="720"/>
        <w:jc w:val="both"/>
      </w:pPr>
      <w:r>
        <w:t xml:space="preserve">Within Jerusalem itself, the years between 67 and 70 CE were marked by savage internal conflict that greatly weakened the city's defences. The Zealots, who </w:t>
      </w:r>
      <w:r>
        <w:lastRenderedPageBreak/>
        <w:t>had seized the Temple precincts as their military stronghold, clashed repeatedly with the more moderate priestly aristocracy.</w:t>
      </w:r>
      <w:r>
        <w:rPr>
          <w:rStyle w:val="FootnoteReference"/>
        </w:rPr>
        <w:footnoteReference w:id="9"/>
      </w:r>
      <w:r>
        <w:t xml:space="preserve"> The Zealots invited the forces of John of </w:t>
      </w:r>
      <w:proofErr w:type="spellStart"/>
      <w:r>
        <w:t>Gischala</w:t>
      </w:r>
      <w:proofErr w:type="spellEnd"/>
      <w:r>
        <w:t xml:space="preserve"> into the city, and his allies subsequently massacred much of the priestly leadership, including the High Priest </w:t>
      </w:r>
      <w:proofErr w:type="spellStart"/>
      <w:r>
        <w:t>Ananus</w:t>
      </w:r>
      <w:proofErr w:type="spellEnd"/>
      <w:r>
        <w:t xml:space="preserve"> ben Ananus, in 68 CE. Josephus regarded this slaughter as a decisive turning point that sealed Jerusalem's fate.</w:t>
      </w:r>
      <w:r>
        <w:rPr>
          <w:rStyle w:val="FootnoteReference"/>
        </w:rPr>
        <w:footnoteReference w:id="10"/>
      </w:r>
      <w:r>
        <w:t xml:space="preserve"> A further split then emerged between the forces of John of </w:t>
      </w:r>
      <w:proofErr w:type="spellStart"/>
      <w:r>
        <w:t>Gischala</w:t>
      </w:r>
      <w:proofErr w:type="spellEnd"/>
      <w:r>
        <w:t xml:space="preserve"> and those of Simon bar Giora, another rebel leader who had entered the city, and the two factions engaged in prolonged and destructive street fighting whilst Rome's armies tightened their encirclement.</w:t>
      </w:r>
      <w:r>
        <w:rPr>
          <w:rStyle w:val="FootnoteReference"/>
        </w:rPr>
        <w:footnoteReference w:id="11"/>
      </w:r>
    </w:p>
    <w:p w14:paraId="34C40B65" w14:textId="77777777" w:rsidR="00ED7ED1" w:rsidRDefault="00C1532D">
      <w:pPr>
        <w:spacing w:after="200" w:line="480" w:lineRule="auto"/>
        <w:ind w:firstLine="720"/>
        <w:jc w:val="both"/>
      </w:pPr>
      <w:r>
        <w:t>The political situation in Rome also shifted dramatically. Following Nero's suicide in June 68 CE, the empire endured the chaotic Year of the Four Emperors.</w:t>
      </w:r>
      <w:r>
        <w:rPr>
          <w:rStyle w:val="FootnoteReference"/>
        </w:rPr>
        <w:footnoteReference w:id="12"/>
      </w:r>
      <w:r>
        <w:t xml:space="preserve"> Vespasian paused his Judaean campaign to consolidate his own imperial bid. When he was proclaimed emperor in 69 CE,</w:t>
      </w:r>
      <w:r>
        <w:rPr>
          <w:rStyle w:val="FootnoteReference"/>
        </w:rPr>
        <w:footnoteReference w:id="13"/>
      </w:r>
      <w:r>
        <w:t xml:space="preserve"> his son Titus assumed full command of the Judaean theatre and resumed the siege of Jerusalem in the spring of 70 CE.</w:t>
      </w:r>
    </w:p>
    <w:p w14:paraId="5FF60319" w14:textId="77777777" w:rsidR="00ED7ED1" w:rsidRDefault="00C1532D">
      <w:pPr>
        <w:pStyle w:val="Heading1"/>
        <w:spacing w:line="480" w:lineRule="auto"/>
      </w:pPr>
      <w:r>
        <w:t>The Destruction of Jerusalem and the Second Temple, 70 CE</w:t>
      </w:r>
    </w:p>
    <w:p w14:paraId="7BE1B503" w14:textId="77777777" w:rsidR="00ED7ED1" w:rsidRDefault="00C1532D">
      <w:pPr>
        <w:spacing w:after="200" w:line="480" w:lineRule="auto"/>
        <w:ind w:firstLine="720"/>
        <w:jc w:val="both"/>
      </w:pPr>
      <w:r>
        <w:t xml:space="preserve">The siege of Jerusalem in 70 CE was one of antiquity's most devastating urban sieges. Titus encircled the city with four legions and constructed a circumvallation wall to prevent escape and cut off all supplies. The civilian population, swollen by Passover pilgrims trapped when the siege began, suffered extreme famine. Josephus described </w:t>
      </w:r>
      <w:r>
        <w:lastRenderedPageBreak/>
        <w:t>scenes of appalling starvation and social breakdown within the walls.</w:t>
      </w:r>
      <w:r>
        <w:rPr>
          <w:rStyle w:val="FootnoteReference"/>
        </w:rPr>
        <w:footnoteReference w:id="14"/>
      </w:r>
      <w:r>
        <w:t xml:space="preserve"> After breaking through the three successive defensive walls of the city, Roman forces reached the Temple Mount in August of 70 CE.</w:t>
      </w:r>
    </w:p>
    <w:p w14:paraId="1CEA399D" w14:textId="77777777" w:rsidR="00ED7ED1" w:rsidRDefault="00C1532D">
      <w:pPr>
        <w:spacing w:after="200" w:line="480" w:lineRule="auto"/>
        <w:ind w:firstLine="720"/>
        <w:jc w:val="both"/>
      </w:pPr>
      <w:r>
        <w:t>The destruction of the Second Temple, which occurred on the ninth of the Hebrew month Av (Tisha B'Av), was an event of shattering religious and cultural consequence. This date held particular significance in Jewish tradition, as it was also associated with the destruction of Solomon's First Temple in 586 BCE. Josephus maintained that Titus had intended to preserve the Temple structure and that its burning was the accidental result of a soldier casting a torch through a window in the heat of battle.</w:t>
      </w:r>
      <w:r>
        <w:rPr>
          <w:rStyle w:val="FootnoteReference"/>
        </w:rPr>
        <w:footnoteReference w:id="15"/>
      </w:r>
      <w:r>
        <w:t xml:space="preserve"> Most modern scholars are sceptical of this account, viewing it as part of Josephus's broader effort to exculpate his Flavian patrons.</w:t>
      </w:r>
      <w:r>
        <w:rPr>
          <w:rStyle w:val="FootnoteReference"/>
        </w:rPr>
        <w:footnoteReference w:id="16"/>
      </w:r>
    </w:p>
    <w:p w14:paraId="60B109E2" w14:textId="77777777" w:rsidR="00ED7ED1" w:rsidRDefault="00C1532D">
      <w:pPr>
        <w:spacing w:after="200" w:line="480" w:lineRule="auto"/>
        <w:ind w:firstLine="720"/>
        <w:jc w:val="both"/>
      </w:pPr>
      <w:r>
        <w:t>The religious ramifications of the Temple's destruction were immense. The Temple had been the focal point of Jewish worship, the place where sacrifices were offered, and the institutional centre of the priestly hierarchy. Its loss necessitated a fundamental transformation of Jewish religious practice.</w:t>
      </w:r>
      <w:r>
        <w:rPr>
          <w:rStyle w:val="FootnoteReference"/>
        </w:rPr>
        <w:footnoteReference w:id="17"/>
      </w:r>
      <w:r>
        <w:t xml:space="preserve"> Rabbinic Judaism, which emerged from this period as the dominant form of Jewish religious life, centred prayer, Torah study, and communal observance in the synagogue rather than Temple sacrifice. The Sanhedrin relocated to Yavne (Jamnia), where the rabbi Yohanan ben </w:t>
      </w:r>
      <w:r>
        <w:lastRenderedPageBreak/>
        <w:t>Zakkai and his successors undertook the enormous task of reconstructing Jewish religious law for a world without the Temple.</w:t>
      </w:r>
      <w:r>
        <w:rPr>
          <w:rStyle w:val="FootnoteReference"/>
        </w:rPr>
        <w:footnoteReference w:id="18"/>
      </w:r>
    </w:p>
    <w:p w14:paraId="02D518BE" w14:textId="77777777" w:rsidR="00ED7ED1" w:rsidRDefault="00C1532D">
      <w:pPr>
        <w:spacing w:after="200" w:line="480" w:lineRule="auto"/>
        <w:ind w:firstLine="720"/>
        <w:jc w:val="both"/>
      </w:pPr>
      <w:r>
        <w:t>The fall of Jerusalem also had significant consequences for nascent Christianity. Jewish Christians in Jerusalem, according to early church tradition, fled across the Jordan to Pella before the siege tightened, thereby separating themselves from the fate of their co-religionists. The destruction of the Temple and the dispersal of the Jerusalem community accelerated the shift of Christianity's centre of gravity towards Gentile communities in Asia Minor, Greece, and Rome, a process that would ultimately resul</w:t>
      </w:r>
      <w:r>
        <w:t>t in Christianity's emergence as a largely non-Jewish religion.</w:t>
      </w:r>
      <w:r>
        <w:rPr>
          <w:rStyle w:val="FootnoteReference"/>
        </w:rPr>
        <w:footnoteReference w:id="19"/>
      </w:r>
    </w:p>
    <w:p w14:paraId="4422EB3E" w14:textId="77777777" w:rsidR="00ED7ED1" w:rsidRDefault="00C1532D">
      <w:pPr>
        <w:pStyle w:val="Heading1"/>
        <w:spacing w:line="480" w:lineRule="auto"/>
      </w:pPr>
      <w:r>
        <w:t>Masada: The Last Stronghold, 70–73 CE</w:t>
      </w:r>
    </w:p>
    <w:p w14:paraId="0AA7888A" w14:textId="468720C1" w:rsidR="00ED7ED1" w:rsidRDefault="00C1532D">
      <w:pPr>
        <w:spacing w:after="200" w:line="480" w:lineRule="auto"/>
        <w:ind w:firstLine="720"/>
        <w:jc w:val="both"/>
      </w:pPr>
      <w:r>
        <w:t>Whilst Jerusalem fell in 70 CE, pockets of Jewish resistance continued in fortresses across Judaea. The most celebrated of these was Masada, a virtually impregnable plateau fortress situated on a sheer rock rising approximately four hundred metres above the Dead Sea shore. The fortress had been enlarged and elaborately furnished by Herod the Great between 37 and 31 BCE, incorporating palaces, cisterns, storerooms, and defensive walls. It had been seized at the very outset of the revolt in 66 CE by the Sicar</w:t>
      </w:r>
      <w:r>
        <w:t xml:space="preserve">ii under the leadership of Menahem ben </w:t>
      </w:r>
      <w:r w:rsidR="00A05F7F">
        <w:t xml:space="preserve">Judah </w:t>
      </w:r>
      <w:r w:rsidR="00A05F7F">
        <w:lastRenderedPageBreak/>
        <w:t>and</w:t>
      </w:r>
      <w:r>
        <w:t xml:space="preserve"> subsequently held by Eleazar ben Yair after Menahem's death during factional violence in Jerusalem.</w:t>
      </w:r>
      <w:r>
        <w:rPr>
          <w:rStyle w:val="FootnoteReference"/>
        </w:rPr>
        <w:footnoteReference w:id="20"/>
      </w:r>
      <w:r>
        <w:rPr>
          <w:rStyle w:val="FootnoteReference"/>
        </w:rPr>
        <w:footnoteReference w:id="21"/>
      </w:r>
    </w:p>
    <w:p w14:paraId="582DC689" w14:textId="2F261562" w:rsidR="00ED7ED1" w:rsidRDefault="00C1532D">
      <w:pPr>
        <w:spacing w:after="200" w:line="480" w:lineRule="auto"/>
        <w:ind w:firstLine="720"/>
        <w:jc w:val="both"/>
      </w:pPr>
      <w:r>
        <w:t xml:space="preserve">In 72 CE, the Roman governor of Judaea, Lucius Flavius Silva, marched on Masada with the Tenth Legion, auxiliary cohorts, and </w:t>
      </w:r>
      <w:r w:rsidR="00A05F7F">
        <w:t>many</w:t>
      </w:r>
      <w:r>
        <w:t xml:space="preserve"> Jewish prisoners of war pressed into service as labourers. The Roman siege works constructed at Masada remain among the best-preserved examples of Roman military engineering in the world. Silva ordered the construction of a circumvallation wall enclosing the entire plateau and eight surrounding camps. His engineers then built a massive siege ramp of earth and stone against the western face of the plateau, a feat of extraordinary logistical effort given the arid and inhospitable terrain.</w:t>
      </w:r>
      <w:r>
        <w:rPr>
          <w:rStyle w:val="FootnoteReference"/>
        </w:rPr>
        <w:footnoteReference w:id="22"/>
      </w:r>
    </w:p>
    <w:p w14:paraId="6F265CA5" w14:textId="77777777" w:rsidR="00ED7ED1" w:rsidRDefault="00C1532D">
      <w:pPr>
        <w:spacing w:after="200" w:line="480" w:lineRule="auto"/>
        <w:ind w:firstLine="720"/>
        <w:jc w:val="both"/>
      </w:pPr>
      <w:r>
        <w:t>By early 73 CE, the ramp was complete and a battering ram was hauled to the summit to breach Masada's walls. According to Josephus, whose account relies upon testimony from two women and five children who hid in a cistern and survived, Eleazar ben Yair delivered two speeches to the defenders on the eve of the final Roman assault, persuading them to choose collective death over enslavement and sexual degradation at Roman hands. The men killed their wives and children, then drew lots to select ten men who wou</w:t>
      </w:r>
      <w:r>
        <w:t>ld kill the rest; the final survivor then took his own life.</w:t>
      </w:r>
      <w:r>
        <w:rPr>
          <w:rStyle w:val="FootnoteReference"/>
        </w:rPr>
        <w:footnoteReference w:id="23"/>
      </w:r>
      <w:r>
        <w:t xml:space="preserve"> When Roman soldiers entered Masada the following morning, they found 960 corpses and the storerooms still full of provisions, demonstrating that the defenders had not succumbed to starvation but had chosen death deliberately.</w:t>
      </w:r>
    </w:p>
    <w:p w14:paraId="2DBD0ED8" w14:textId="77777777" w:rsidR="00ED7ED1" w:rsidRDefault="00C1532D">
      <w:pPr>
        <w:spacing w:after="200" w:line="480" w:lineRule="auto"/>
        <w:ind w:firstLine="720"/>
        <w:jc w:val="both"/>
      </w:pPr>
      <w:r>
        <w:lastRenderedPageBreak/>
        <w:t>The historicity of Josephus's account has been extensively debated by scholars. Archaeological excavations conducted by Yigael Yadin between 1963 and 1965 uncovered substantial physical evidence consistent with the narrative, including a northern palace, extensive food storage, a repurposed synagogue chamber, and lots inscribed with names that Yadin controversially identified with the final draw.</w:t>
      </w:r>
      <w:r>
        <w:rPr>
          <w:rStyle w:val="FootnoteReference"/>
        </w:rPr>
        <w:footnoteReference w:id="24"/>
      </w:r>
      <w:r>
        <w:t xml:space="preserve"> However, the mass suicide narrative itself rests entirely upon Josephus, and some historians have questioned whether his account constitutes a literary and rhetorical construction rather than a reliable factual report.</w:t>
      </w:r>
      <w:r>
        <w:rPr>
          <w:rStyle w:val="FootnoteReference"/>
        </w:rPr>
        <w:footnoteReference w:id="25"/>
      </w:r>
    </w:p>
    <w:p w14:paraId="48EF3355" w14:textId="77777777" w:rsidR="00ED7ED1" w:rsidRDefault="00C1532D">
      <w:pPr>
        <w:pStyle w:val="Heading1"/>
        <w:spacing w:line="480" w:lineRule="auto"/>
      </w:pPr>
      <w:r>
        <w:t>Political and Religious Significance</w:t>
      </w:r>
    </w:p>
    <w:p w14:paraId="1B912CEE" w14:textId="77777777" w:rsidR="00ED7ED1" w:rsidRDefault="00C1532D">
      <w:pPr>
        <w:spacing w:after="200" w:line="480" w:lineRule="auto"/>
        <w:ind w:firstLine="720"/>
        <w:jc w:val="both"/>
      </w:pPr>
      <w:r>
        <w:t>The events at Jerusalem and Masada between 66 and 73 CE reshaped the political map of the eastern Mediterranean. Judaea was reconstituted as a separate Roman province under a senatorial legate commanding a permanent legionary garrison, a status reflecting Rome's determination that no future revolt should find the region inadequately policed.</w:t>
      </w:r>
      <w:r>
        <w:rPr>
          <w:rStyle w:val="FootnoteReference"/>
        </w:rPr>
        <w:footnoteReference w:id="26"/>
      </w:r>
      <w:r>
        <w:t xml:space="preserve"> The Temple tax previously paid by Jews to the Jerusalem Temple was redirected to the fiscus </w:t>
      </w:r>
      <w:proofErr w:type="spellStart"/>
      <w:r>
        <w:t>Judaicus</w:t>
      </w:r>
      <w:proofErr w:type="spellEnd"/>
      <w:r>
        <w:t>, a special Roman treasury levy imposed on Jews throughout the empire, representing a deliberate act of fiscal humiliation.</w:t>
      </w:r>
      <w:r>
        <w:rPr>
          <w:rStyle w:val="FootnoteReference"/>
        </w:rPr>
        <w:footnoteReference w:id="27"/>
      </w:r>
    </w:p>
    <w:p w14:paraId="2B757344" w14:textId="77777777" w:rsidR="00ED7ED1" w:rsidRDefault="00C1532D">
      <w:pPr>
        <w:spacing w:after="200" w:line="480" w:lineRule="auto"/>
        <w:ind w:firstLine="720"/>
        <w:jc w:val="both"/>
      </w:pPr>
      <w:r>
        <w:t xml:space="preserve">The ideological and religious consequences proved equally lasting. The destruction of the Temple and the suppression of the revolt produced apocalyptic literature, lamentation poetry, and new theological interpretations of catastrophe </w:t>
      </w:r>
      <w:r>
        <w:lastRenderedPageBreak/>
        <w:t>across Jewish communities from Babylon to Rome. The rabbis at Yavne worked to consolidate an authoritative body of oral law and scriptural interpretation that would crystallise, over subsequent centuries, into the Mishnah and the two Talmuds.</w:t>
      </w:r>
      <w:r>
        <w:rPr>
          <w:rStyle w:val="FootnoteReference"/>
        </w:rPr>
        <w:footnoteReference w:id="28"/>
      </w:r>
      <w:r>
        <w:t xml:space="preserve"> In this sense, the catastrophe of 70 CE paradoxically ensured the long-term survival of Judaism by forcing a transition from a Temple-centred, territorially bounded religious system to a portable, text-based one.</w:t>
      </w:r>
    </w:p>
    <w:p w14:paraId="53D3B225" w14:textId="77777777" w:rsidR="00ED7ED1" w:rsidRDefault="00C1532D">
      <w:pPr>
        <w:spacing w:after="200" w:line="480" w:lineRule="auto"/>
        <w:ind w:firstLine="720"/>
        <w:jc w:val="both"/>
      </w:pPr>
      <w:r>
        <w:t>The fall of Masada, whilst militarily of limited strategic importance, acquired enormous symbolic resonance in the modern period, particularly in the context of the Zionist movement and the State of Israel. The phrase "Masada shall not fall again" became a widely invoked rallying cry, though scholars have critically examined the selective and politically motivated construction of this collective memory.</w:t>
      </w:r>
      <w:r>
        <w:rPr>
          <w:rStyle w:val="FootnoteReference"/>
        </w:rPr>
        <w:footnoteReference w:id="29"/>
      </w:r>
      <w:r>
        <w:t xml:space="preserve"> The site itself was designated a UNESCO World Heritage Site in 2001, reflecting its universal historical significance.</w:t>
      </w:r>
    </w:p>
    <w:p w14:paraId="7B66295A" w14:textId="77777777" w:rsidR="00ED7ED1" w:rsidRDefault="00C1532D">
      <w:pPr>
        <w:pStyle w:val="Heading1"/>
        <w:spacing w:line="480" w:lineRule="auto"/>
      </w:pPr>
      <w:r>
        <w:t>Conclusion</w:t>
      </w:r>
    </w:p>
    <w:p w14:paraId="194D61D3" w14:textId="77777777" w:rsidR="00ED7ED1" w:rsidRDefault="00C1532D">
      <w:pPr>
        <w:spacing w:after="200" w:line="480" w:lineRule="auto"/>
        <w:ind w:firstLine="720"/>
        <w:jc w:val="both"/>
      </w:pPr>
      <w:r>
        <w:t>The years between 66 and 73 CE witnessed a sequence of events in Jerusalem and Masada that permanently altered the trajectory of Jewish history, shaped the development of Christianity, and demonstrated both the remarkable resilience of Jewish resistance and the overwhelming military capacity of the Roman imperial system. The destruction of the Second Temple shattered a world that had endured for centuries, whilst the fall of Masada brought the revolt to its symbolic conclusion. The primary source tradition,</w:t>
      </w:r>
      <w:r>
        <w:t xml:space="preserve"> above all the writings of Josephus, remains invaluable and contested in equal measure. What endures beyond scholarly debate is the historical </w:t>
      </w:r>
      <w:r>
        <w:lastRenderedPageBreak/>
        <w:t>weight of these events: few episodes in antiquity carried such profound and lasting consequences for so many traditions, communities, and identities.</w:t>
      </w:r>
    </w:p>
    <w:p w14:paraId="48AEA681" w14:textId="77777777" w:rsidR="00ED7ED1" w:rsidRDefault="00C1532D">
      <w:r>
        <w:br w:type="page"/>
      </w:r>
    </w:p>
    <w:p w14:paraId="6F368E4F" w14:textId="77777777" w:rsidR="00ED7ED1" w:rsidRDefault="00C1532D">
      <w:pPr>
        <w:pStyle w:val="Heading1"/>
        <w:spacing w:line="480" w:lineRule="auto"/>
      </w:pPr>
      <w:r>
        <w:lastRenderedPageBreak/>
        <w:t>Bibliography</w:t>
      </w:r>
    </w:p>
    <w:p w14:paraId="1AFE58AC" w14:textId="77777777" w:rsidR="00ED7ED1" w:rsidRDefault="00C1532D">
      <w:pPr>
        <w:spacing w:before="200" w:after="100" w:line="480" w:lineRule="auto"/>
      </w:pPr>
      <w:r>
        <w:rPr>
          <w:b/>
          <w:bCs/>
        </w:rPr>
        <w:t>Primary Sources</w:t>
      </w:r>
    </w:p>
    <w:p w14:paraId="2A9C8E96" w14:textId="77777777" w:rsidR="00ED7ED1" w:rsidRDefault="00C1532D">
      <w:pPr>
        <w:spacing w:after="200" w:line="480" w:lineRule="auto"/>
        <w:ind w:left="720" w:hanging="720"/>
        <w:jc w:val="both"/>
      </w:pPr>
      <w:r>
        <w:t xml:space="preserve">Josephus, Flavius, </w:t>
      </w:r>
      <w:r>
        <w:rPr>
          <w:i/>
          <w:iCs/>
        </w:rPr>
        <w:t>The Jewish War</w:t>
      </w:r>
      <w:r>
        <w:t xml:space="preserve">, trans. by G. A. Williamson, rev. </w:t>
      </w:r>
      <w:proofErr w:type="spellStart"/>
      <w:r>
        <w:t>edn</w:t>
      </w:r>
      <w:proofErr w:type="spellEnd"/>
      <w:r>
        <w:t xml:space="preserve"> (London: Penguin, 1981)</w:t>
      </w:r>
    </w:p>
    <w:p w14:paraId="5316CAA3" w14:textId="77777777" w:rsidR="00ED7ED1" w:rsidRDefault="00C1532D">
      <w:pPr>
        <w:spacing w:after="200" w:line="480" w:lineRule="auto"/>
        <w:ind w:left="720" w:hanging="720"/>
        <w:jc w:val="both"/>
      </w:pPr>
      <w:r>
        <w:t xml:space="preserve">Josephus, Flavius, </w:t>
      </w:r>
      <w:r>
        <w:rPr>
          <w:i/>
          <w:iCs/>
        </w:rPr>
        <w:t>Jewish Antiquities</w:t>
      </w:r>
      <w:r>
        <w:t>, trans. by Louis H. Feldman, 9 vols (Cambridge, MA: Harvard University Press, 1965)</w:t>
      </w:r>
    </w:p>
    <w:p w14:paraId="2C68A742" w14:textId="77777777" w:rsidR="00ED7ED1" w:rsidRDefault="00C1532D">
      <w:pPr>
        <w:spacing w:after="200" w:line="480" w:lineRule="auto"/>
        <w:ind w:left="720" w:hanging="720"/>
        <w:jc w:val="both"/>
      </w:pPr>
      <w:r>
        <w:t xml:space="preserve">Tacitus, Cornelius, </w:t>
      </w:r>
      <w:r>
        <w:rPr>
          <w:i/>
          <w:iCs/>
        </w:rPr>
        <w:t>The Histories</w:t>
      </w:r>
      <w:r>
        <w:t>, trans. by W. H. Fyfe, rev. by D. S. Levene (Oxford: Oxford University Press, 1997)</w:t>
      </w:r>
    </w:p>
    <w:p w14:paraId="45E552DD" w14:textId="77777777" w:rsidR="00ED7ED1" w:rsidRDefault="00C1532D">
      <w:pPr>
        <w:spacing w:after="200" w:line="480" w:lineRule="auto"/>
        <w:ind w:left="720" w:hanging="720"/>
        <w:jc w:val="both"/>
      </w:pPr>
      <w:r>
        <w:t xml:space="preserve">Suetonius, </w:t>
      </w:r>
      <w:r>
        <w:rPr>
          <w:i/>
          <w:iCs/>
        </w:rPr>
        <w:t>The Twelve Caesars</w:t>
      </w:r>
      <w:r>
        <w:t>, trans. by Robert Graves, rev. by James B. Rives (London: Penguin, 2007)</w:t>
      </w:r>
    </w:p>
    <w:p w14:paraId="09A8B17E" w14:textId="77777777" w:rsidR="00ED7ED1" w:rsidRDefault="00C1532D">
      <w:pPr>
        <w:spacing w:before="200" w:after="100" w:line="480" w:lineRule="auto"/>
      </w:pPr>
      <w:r>
        <w:rPr>
          <w:b/>
          <w:bCs/>
        </w:rPr>
        <w:t>Secondary Sources</w:t>
      </w:r>
    </w:p>
    <w:p w14:paraId="27ADF402" w14:textId="77777777" w:rsidR="00ED7ED1" w:rsidRDefault="00C1532D">
      <w:pPr>
        <w:spacing w:after="200" w:line="480" w:lineRule="auto"/>
        <w:ind w:left="720" w:hanging="720"/>
        <w:jc w:val="both"/>
      </w:pPr>
      <w:r>
        <w:t xml:space="preserve">Ben-Yehuda, Nachman, </w:t>
      </w:r>
      <w:r>
        <w:rPr>
          <w:i/>
          <w:iCs/>
        </w:rPr>
        <w:t>The Masada Myth: Collective Memory and Mythmaking in Israel</w:t>
      </w:r>
      <w:r>
        <w:t xml:space="preserve"> (Madison: University of Wisconsin Press, 1995)</w:t>
      </w:r>
    </w:p>
    <w:p w14:paraId="5776C445" w14:textId="77777777" w:rsidR="00ED7ED1" w:rsidRDefault="00C1532D">
      <w:pPr>
        <w:spacing w:after="200" w:line="480" w:lineRule="auto"/>
        <w:ind w:left="720" w:hanging="720"/>
        <w:jc w:val="both"/>
      </w:pPr>
      <w:r>
        <w:t xml:space="preserve">Brighton, Mark A., </w:t>
      </w:r>
      <w:r>
        <w:rPr>
          <w:i/>
          <w:iCs/>
        </w:rPr>
        <w:t>The Sicarii in Josephus's Judean War: Rhetorical Analysis and Historical Observations</w:t>
      </w:r>
      <w:r>
        <w:t xml:space="preserve"> (Atlanta: Society of Biblical Literature, 2009)</w:t>
      </w:r>
    </w:p>
    <w:p w14:paraId="02547937" w14:textId="77777777" w:rsidR="00ED7ED1" w:rsidRDefault="00C1532D">
      <w:pPr>
        <w:spacing w:after="200" w:line="480" w:lineRule="auto"/>
        <w:ind w:left="720" w:hanging="720"/>
        <w:jc w:val="both"/>
      </w:pPr>
      <w:r>
        <w:t xml:space="preserve">Cohen, Shaye J. D., </w:t>
      </w:r>
      <w:r>
        <w:rPr>
          <w:i/>
          <w:iCs/>
        </w:rPr>
        <w:t>Josephus in Galilee and Rome: His Vita and Development as a Historian</w:t>
      </w:r>
      <w:r>
        <w:t xml:space="preserve"> (Leiden: Brill, 1979)</w:t>
      </w:r>
    </w:p>
    <w:p w14:paraId="7DBAE6E7" w14:textId="77777777" w:rsidR="00ED7ED1" w:rsidRDefault="00C1532D">
      <w:pPr>
        <w:spacing w:after="200" w:line="480" w:lineRule="auto"/>
        <w:ind w:left="720" w:hanging="720"/>
        <w:jc w:val="both"/>
      </w:pPr>
      <w:r>
        <w:t xml:space="preserve">Cotton, Hannah M., and Joseph Geiger, </w:t>
      </w:r>
      <w:r>
        <w:rPr>
          <w:i/>
          <w:iCs/>
        </w:rPr>
        <w:t>Masada II: The Yigael Yadin Excavations 1963–1965: Final Reports</w:t>
      </w:r>
      <w:r>
        <w:t xml:space="preserve"> (Jerusalem: Israel Exploration Society, 1989)</w:t>
      </w:r>
    </w:p>
    <w:p w14:paraId="06392768" w14:textId="77777777" w:rsidR="00ED7ED1" w:rsidRDefault="00C1532D">
      <w:pPr>
        <w:spacing w:after="200" w:line="480" w:lineRule="auto"/>
        <w:ind w:left="720" w:hanging="720"/>
        <w:jc w:val="both"/>
      </w:pPr>
      <w:r>
        <w:t xml:space="preserve">Goodman, Martin, </w:t>
      </w:r>
      <w:r>
        <w:rPr>
          <w:i/>
          <w:iCs/>
        </w:rPr>
        <w:t>The Ruling Class of Judaea: The Origins of the Jewish Revolt Against Rome A.D. 66–70</w:t>
      </w:r>
      <w:r>
        <w:t xml:space="preserve"> (Cambridge: Cambridge University Press, 1987)</w:t>
      </w:r>
    </w:p>
    <w:p w14:paraId="59A97228" w14:textId="77777777" w:rsidR="00ED7ED1" w:rsidRDefault="00C1532D">
      <w:pPr>
        <w:spacing w:after="200" w:line="480" w:lineRule="auto"/>
        <w:ind w:left="720" w:hanging="720"/>
        <w:jc w:val="both"/>
      </w:pPr>
      <w:r>
        <w:lastRenderedPageBreak/>
        <w:t xml:space="preserve">Horsley, Richard A., and John S. Hanson, </w:t>
      </w:r>
      <w:r>
        <w:rPr>
          <w:i/>
          <w:iCs/>
        </w:rPr>
        <w:t>Bandits, Prophets, and Messiahs: Popular Movements in the Time of Jesus</w:t>
      </w:r>
      <w:r>
        <w:t xml:space="preserve"> (Minneapolis: Winston Press, 1985)</w:t>
      </w:r>
    </w:p>
    <w:p w14:paraId="548D5D45" w14:textId="77777777" w:rsidR="00ED7ED1" w:rsidRDefault="00C1532D">
      <w:pPr>
        <w:spacing w:after="200" w:line="480" w:lineRule="auto"/>
        <w:ind w:left="720" w:hanging="720"/>
        <w:jc w:val="both"/>
      </w:pPr>
      <w:r>
        <w:t xml:space="preserve">Price, Jonathan J., </w:t>
      </w:r>
      <w:r>
        <w:rPr>
          <w:i/>
          <w:iCs/>
        </w:rPr>
        <w:t>Jerusalem Under Siege: The Collapse of the Jewish State 66–70 C.E.</w:t>
      </w:r>
      <w:r>
        <w:t xml:space="preserve"> (Leiden: Brill, 1992)</w:t>
      </w:r>
    </w:p>
    <w:p w14:paraId="4E3FF9C1" w14:textId="77777777" w:rsidR="00ED7ED1" w:rsidRDefault="00C1532D">
      <w:pPr>
        <w:spacing w:after="200" w:line="480" w:lineRule="auto"/>
        <w:ind w:left="720" w:hanging="720"/>
        <w:jc w:val="both"/>
      </w:pPr>
      <w:r>
        <w:t xml:space="preserve">Rajak, Tessa, </w:t>
      </w:r>
      <w:r>
        <w:rPr>
          <w:i/>
          <w:iCs/>
        </w:rPr>
        <w:t>Josephus: The Historian and His Society</w:t>
      </w:r>
      <w:r>
        <w:t xml:space="preserve">, 2nd </w:t>
      </w:r>
      <w:proofErr w:type="spellStart"/>
      <w:r>
        <w:t>edn</w:t>
      </w:r>
      <w:proofErr w:type="spellEnd"/>
      <w:r>
        <w:t xml:space="preserve"> (London: Duckworth, 2002)</w:t>
      </w:r>
    </w:p>
    <w:p w14:paraId="075D4B37" w14:textId="77777777" w:rsidR="00ED7ED1" w:rsidRDefault="00C1532D">
      <w:pPr>
        <w:spacing w:after="200" w:line="480" w:lineRule="auto"/>
        <w:ind w:left="720" w:hanging="720"/>
        <w:jc w:val="both"/>
      </w:pPr>
      <w:r>
        <w:t xml:space="preserve">Rhoads, David M., </w:t>
      </w:r>
      <w:r>
        <w:rPr>
          <w:i/>
          <w:iCs/>
        </w:rPr>
        <w:t>Israel in Revolution 6–74 C.E.: A Political History Based on the Writings of Josephus</w:t>
      </w:r>
      <w:r>
        <w:t xml:space="preserve"> (Philadelphia: Fortress Press, 1976)</w:t>
      </w:r>
    </w:p>
    <w:p w14:paraId="211B3840" w14:textId="77777777" w:rsidR="00ED7ED1" w:rsidRDefault="00C1532D">
      <w:pPr>
        <w:spacing w:after="200" w:line="480" w:lineRule="auto"/>
        <w:ind w:left="720" w:hanging="720"/>
        <w:jc w:val="both"/>
      </w:pPr>
      <w:r>
        <w:t xml:space="preserve">Schurer, Emil, </w:t>
      </w:r>
      <w:r>
        <w:rPr>
          <w:i/>
          <w:iCs/>
        </w:rPr>
        <w:t>The History of the Jewish People in the Age of Jesus Christ</w:t>
      </w:r>
      <w:r>
        <w:t>, rev. and ed. by Geza Vermes, Fergus Millar, and Martin Goodman, 3 vols (Edinburgh: T. &amp; T. Clark, 1973–1987)</w:t>
      </w:r>
    </w:p>
    <w:p w14:paraId="2C49BCBA" w14:textId="77777777" w:rsidR="00ED7ED1" w:rsidRDefault="00C1532D">
      <w:pPr>
        <w:spacing w:after="200" w:line="480" w:lineRule="auto"/>
        <w:ind w:left="720" w:hanging="720"/>
        <w:jc w:val="both"/>
      </w:pPr>
      <w:r>
        <w:t xml:space="preserve">Smallwood, E. Mary, </w:t>
      </w:r>
      <w:r>
        <w:rPr>
          <w:i/>
          <w:iCs/>
        </w:rPr>
        <w:t>The Jews Under Roman Rule: From Pompey to Diocletian</w:t>
      </w:r>
      <w:r>
        <w:t xml:space="preserve"> (Leiden: Brill, 1976)</w:t>
      </w:r>
    </w:p>
    <w:p w14:paraId="23D9FE5E" w14:textId="77777777" w:rsidR="00ED7ED1" w:rsidRDefault="00C1532D">
      <w:pPr>
        <w:spacing w:after="200" w:line="480" w:lineRule="auto"/>
        <w:ind w:left="720" w:hanging="720"/>
        <w:jc w:val="both"/>
      </w:pPr>
      <w:r>
        <w:t xml:space="preserve">Stemberger, Gunter, </w:t>
      </w:r>
      <w:r>
        <w:rPr>
          <w:i/>
          <w:iCs/>
        </w:rPr>
        <w:t>Introduction to the Talmud and Midrash</w:t>
      </w:r>
      <w:r>
        <w:t xml:space="preserve">, trans. and ed. by Markus Bockmuehl, 2nd </w:t>
      </w:r>
      <w:proofErr w:type="spellStart"/>
      <w:r>
        <w:t>edn</w:t>
      </w:r>
      <w:proofErr w:type="spellEnd"/>
      <w:r>
        <w:t xml:space="preserve"> (Edinburgh: T. &amp; T. Clark, 1996)</w:t>
      </w:r>
    </w:p>
    <w:p w14:paraId="7D002AF8" w14:textId="77777777" w:rsidR="00ED7ED1" w:rsidRDefault="00C1532D">
      <w:pPr>
        <w:spacing w:after="200" w:line="480" w:lineRule="auto"/>
        <w:ind w:left="720" w:hanging="720"/>
        <w:jc w:val="both"/>
      </w:pPr>
      <w:r>
        <w:t xml:space="preserve">Yadin, Yigael, </w:t>
      </w:r>
      <w:r>
        <w:rPr>
          <w:i/>
          <w:iCs/>
        </w:rPr>
        <w:t>Masada: Herod's Fortress and the Zealots' Last Stand</w:t>
      </w:r>
      <w:r>
        <w:t xml:space="preserve"> (London: Weidenfeld and Nicolson, 1966)</w:t>
      </w:r>
    </w:p>
    <w:sectPr w:rsidR="00ED7ED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04578" w14:textId="77777777" w:rsidR="00C1532D" w:rsidRDefault="00C1532D">
      <w:r>
        <w:separator/>
      </w:r>
    </w:p>
  </w:endnote>
  <w:endnote w:type="continuationSeparator" w:id="0">
    <w:p w14:paraId="32E5F172" w14:textId="77777777" w:rsidR="00C1532D" w:rsidRDefault="00C15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B962F" w14:textId="77777777" w:rsidR="00C1532D" w:rsidRDefault="00C1532D">
      <w:r>
        <w:separator/>
      </w:r>
    </w:p>
  </w:footnote>
  <w:footnote w:type="continuationSeparator" w:id="0">
    <w:p w14:paraId="4E503416" w14:textId="77777777" w:rsidR="00C1532D" w:rsidRDefault="00C1532D">
      <w:r>
        <w:continuationSeparator/>
      </w:r>
    </w:p>
  </w:footnote>
  <w:footnote w:id="1">
    <w:p w14:paraId="6B9EB2FB" w14:textId="77777777" w:rsidR="00ED7ED1" w:rsidRDefault="00C1532D">
      <w:pPr>
        <w:jc w:val="both"/>
      </w:pPr>
      <w:r>
        <w:rPr>
          <w:rStyle w:val="FootnoteReference"/>
        </w:rPr>
        <w:footnoteRef/>
      </w:r>
      <w:r>
        <w:rPr>
          <w:sz w:val="20"/>
          <w:szCs w:val="20"/>
        </w:rPr>
        <w:t xml:space="preserve">Flavius Josephus, The Jewish War, trans. by G. A. Williamson, rev. </w:t>
      </w:r>
      <w:proofErr w:type="spellStart"/>
      <w:r>
        <w:rPr>
          <w:sz w:val="20"/>
          <w:szCs w:val="20"/>
        </w:rPr>
        <w:t>edn</w:t>
      </w:r>
      <w:proofErr w:type="spellEnd"/>
      <w:r>
        <w:rPr>
          <w:sz w:val="20"/>
          <w:szCs w:val="20"/>
        </w:rPr>
        <w:t xml:space="preserve"> (London: Penguin, 1981), II.14.6.</w:t>
      </w:r>
    </w:p>
  </w:footnote>
  <w:footnote w:id="2">
    <w:p w14:paraId="4245497C" w14:textId="77777777" w:rsidR="00ED7ED1" w:rsidRDefault="00C1532D">
      <w:pPr>
        <w:jc w:val="both"/>
      </w:pPr>
      <w:r>
        <w:rPr>
          <w:rStyle w:val="FootnoteReference"/>
        </w:rPr>
        <w:footnoteRef/>
      </w:r>
      <w:r>
        <w:rPr>
          <w:sz w:val="20"/>
          <w:szCs w:val="20"/>
        </w:rPr>
        <w:t>Josephus, The Jewish War, II.17.2–4.</w:t>
      </w:r>
    </w:p>
  </w:footnote>
  <w:footnote w:id="3">
    <w:p w14:paraId="7720EF16" w14:textId="77777777" w:rsidR="00ED7ED1" w:rsidRDefault="00C1532D">
      <w:pPr>
        <w:jc w:val="both"/>
      </w:pPr>
      <w:r>
        <w:rPr>
          <w:rStyle w:val="FootnoteReference"/>
        </w:rPr>
        <w:footnoteRef/>
      </w:r>
      <w:r>
        <w:rPr>
          <w:sz w:val="20"/>
          <w:szCs w:val="20"/>
        </w:rPr>
        <w:t xml:space="preserve">Martin Goodman, </w:t>
      </w:r>
      <w:r>
        <w:rPr>
          <w:i/>
          <w:iCs/>
          <w:sz w:val="20"/>
          <w:szCs w:val="20"/>
        </w:rPr>
        <w:t>The Ruling Class of Judaea: The Origins of the Jewish Revolt Against Rome A.D. 66–70</w:t>
      </w:r>
      <w:r>
        <w:rPr>
          <w:sz w:val="20"/>
          <w:szCs w:val="20"/>
        </w:rPr>
        <w:t xml:space="preserve"> (Cambridge: Cambridge University Press, 1987), pp. 1–20.</w:t>
      </w:r>
    </w:p>
  </w:footnote>
  <w:footnote w:id="4">
    <w:p w14:paraId="4581256A" w14:textId="77777777" w:rsidR="00ED7ED1" w:rsidRDefault="00C1532D">
      <w:pPr>
        <w:jc w:val="both"/>
      </w:pPr>
      <w:r>
        <w:rPr>
          <w:rStyle w:val="FootnoteReference"/>
        </w:rPr>
        <w:footnoteRef/>
      </w:r>
      <w:r>
        <w:rPr>
          <w:sz w:val="20"/>
          <w:szCs w:val="20"/>
        </w:rPr>
        <w:t>Josephus, The Jewish War, II.17.8–9.</w:t>
      </w:r>
    </w:p>
  </w:footnote>
  <w:footnote w:id="5">
    <w:p w14:paraId="06852841" w14:textId="77777777" w:rsidR="00ED7ED1" w:rsidRDefault="00C1532D">
      <w:pPr>
        <w:jc w:val="both"/>
      </w:pPr>
      <w:r>
        <w:rPr>
          <w:rStyle w:val="FootnoteReference"/>
        </w:rPr>
        <w:footnoteRef/>
      </w:r>
      <w:r>
        <w:rPr>
          <w:sz w:val="20"/>
          <w:szCs w:val="20"/>
        </w:rPr>
        <w:t xml:space="preserve">Richard A. Horsley and John S. Hanson, </w:t>
      </w:r>
      <w:r>
        <w:rPr>
          <w:i/>
          <w:iCs/>
          <w:sz w:val="20"/>
          <w:szCs w:val="20"/>
        </w:rPr>
        <w:t>Bandits, Prophets, and Messiahs: Popular Movements in the Time of Jesus</w:t>
      </w:r>
      <w:r>
        <w:rPr>
          <w:sz w:val="20"/>
          <w:szCs w:val="20"/>
        </w:rPr>
        <w:t xml:space="preserve"> (Minneapolis: Winston Press, 1985), pp. 190–243.</w:t>
      </w:r>
    </w:p>
  </w:footnote>
  <w:footnote w:id="6">
    <w:p w14:paraId="3D6609CC" w14:textId="77777777" w:rsidR="00ED7ED1" w:rsidRDefault="00C1532D">
      <w:pPr>
        <w:jc w:val="both"/>
      </w:pPr>
      <w:r>
        <w:rPr>
          <w:rStyle w:val="FootnoteReference"/>
        </w:rPr>
        <w:footnoteRef/>
      </w:r>
      <w:r>
        <w:rPr>
          <w:sz w:val="20"/>
          <w:szCs w:val="20"/>
        </w:rPr>
        <w:t>Josephus, The Jewish War, II.19.7–9.</w:t>
      </w:r>
    </w:p>
  </w:footnote>
  <w:footnote w:id="7">
    <w:p w14:paraId="0E92BC31" w14:textId="77777777" w:rsidR="00ED7ED1" w:rsidRDefault="00C1532D">
      <w:pPr>
        <w:jc w:val="both"/>
      </w:pPr>
      <w:r>
        <w:rPr>
          <w:rStyle w:val="FootnoteReference"/>
        </w:rPr>
        <w:footnoteRef/>
      </w:r>
      <w:r>
        <w:rPr>
          <w:sz w:val="20"/>
          <w:szCs w:val="20"/>
        </w:rPr>
        <w:t xml:space="preserve">Tessa Rajak, </w:t>
      </w:r>
      <w:r>
        <w:rPr>
          <w:i/>
          <w:iCs/>
          <w:sz w:val="20"/>
          <w:szCs w:val="20"/>
        </w:rPr>
        <w:t>Josephus: The Historian and His Society</w:t>
      </w:r>
      <w:r>
        <w:rPr>
          <w:sz w:val="20"/>
          <w:szCs w:val="20"/>
        </w:rPr>
        <w:t xml:space="preserve">, 2nd </w:t>
      </w:r>
      <w:proofErr w:type="spellStart"/>
      <w:r>
        <w:rPr>
          <w:sz w:val="20"/>
          <w:szCs w:val="20"/>
        </w:rPr>
        <w:t>edn</w:t>
      </w:r>
      <w:proofErr w:type="spellEnd"/>
      <w:r>
        <w:rPr>
          <w:sz w:val="20"/>
          <w:szCs w:val="20"/>
        </w:rPr>
        <w:t xml:space="preserve"> (London: Duckworth, 2002), pp. 144–173.</w:t>
      </w:r>
    </w:p>
  </w:footnote>
  <w:footnote w:id="8">
    <w:p w14:paraId="2E4A588D" w14:textId="77777777" w:rsidR="00ED7ED1" w:rsidRDefault="00C1532D">
      <w:pPr>
        <w:jc w:val="both"/>
      </w:pPr>
      <w:r>
        <w:rPr>
          <w:rStyle w:val="FootnoteReference"/>
        </w:rPr>
        <w:footnoteRef/>
      </w:r>
      <w:r>
        <w:rPr>
          <w:sz w:val="20"/>
          <w:szCs w:val="20"/>
        </w:rPr>
        <w:t>Josephus, The Jewish War, III.7.36–38.</w:t>
      </w:r>
    </w:p>
  </w:footnote>
  <w:footnote w:id="9">
    <w:p w14:paraId="7533EE43" w14:textId="77777777" w:rsidR="00ED7ED1" w:rsidRDefault="00C1532D">
      <w:pPr>
        <w:jc w:val="both"/>
      </w:pPr>
      <w:r>
        <w:rPr>
          <w:rStyle w:val="FootnoteReference"/>
        </w:rPr>
        <w:footnoteRef/>
      </w:r>
      <w:r>
        <w:rPr>
          <w:sz w:val="20"/>
          <w:szCs w:val="20"/>
        </w:rPr>
        <w:t xml:space="preserve">Shaye J. D. Cohen, </w:t>
      </w:r>
      <w:r>
        <w:rPr>
          <w:i/>
          <w:iCs/>
          <w:sz w:val="20"/>
          <w:szCs w:val="20"/>
        </w:rPr>
        <w:t>Josephus in Galilee and Rome: His Vita and Development as a Historian</w:t>
      </w:r>
      <w:r>
        <w:rPr>
          <w:sz w:val="20"/>
          <w:szCs w:val="20"/>
        </w:rPr>
        <w:t xml:space="preserve"> (Leiden: Brill, 1979), pp. 97–102.</w:t>
      </w:r>
    </w:p>
  </w:footnote>
  <w:footnote w:id="10">
    <w:p w14:paraId="644886C2" w14:textId="77777777" w:rsidR="00ED7ED1" w:rsidRDefault="00C1532D">
      <w:pPr>
        <w:jc w:val="both"/>
      </w:pPr>
      <w:r>
        <w:rPr>
          <w:rStyle w:val="FootnoteReference"/>
        </w:rPr>
        <w:footnoteRef/>
      </w:r>
      <w:r>
        <w:rPr>
          <w:sz w:val="20"/>
          <w:szCs w:val="20"/>
        </w:rPr>
        <w:t xml:space="preserve">Jonathan J. Price, </w:t>
      </w:r>
      <w:r>
        <w:rPr>
          <w:i/>
          <w:iCs/>
          <w:sz w:val="20"/>
          <w:szCs w:val="20"/>
        </w:rPr>
        <w:t>Jerusalem Under Siege: The Collapse of the Jewish State 66–70 C.E.</w:t>
      </w:r>
      <w:r>
        <w:rPr>
          <w:sz w:val="20"/>
          <w:szCs w:val="20"/>
        </w:rPr>
        <w:t xml:space="preserve"> (Leiden: Brill, 1992), pp. 25–67.</w:t>
      </w:r>
    </w:p>
  </w:footnote>
  <w:footnote w:id="11">
    <w:p w14:paraId="4D66BB95" w14:textId="77777777" w:rsidR="00ED7ED1" w:rsidRDefault="00C1532D">
      <w:pPr>
        <w:jc w:val="both"/>
      </w:pPr>
      <w:r>
        <w:rPr>
          <w:rStyle w:val="FootnoteReference"/>
        </w:rPr>
        <w:footnoteRef/>
      </w:r>
      <w:r>
        <w:rPr>
          <w:sz w:val="20"/>
          <w:szCs w:val="20"/>
        </w:rPr>
        <w:t>Josephus, The Jewish War, IV.5.1–3.</w:t>
      </w:r>
    </w:p>
  </w:footnote>
  <w:footnote w:id="12">
    <w:p w14:paraId="79372DAC" w14:textId="77777777" w:rsidR="00ED7ED1" w:rsidRDefault="00C1532D">
      <w:pPr>
        <w:jc w:val="both"/>
      </w:pPr>
      <w:r>
        <w:rPr>
          <w:rStyle w:val="FootnoteReference"/>
        </w:rPr>
        <w:footnoteRef/>
      </w:r>
      <w:r>
        <w:rPr>
          <w:sz w:val="20"/>
          <w:szCs w:val="20"/>
        </w:rPr>
        <w:t xml:space="preserve">David M. Rhoads, </w:t>
      </w:r>
      <w:r>
        <w:rPr>
          <w:i/>
          <w:iCs/>
          <w:sz w:val="20"/>
          <w:szCs w:val="20"/>
        </w:rPr>
        <w:t>Israel in Revolution 6–74 C.E.: A Political History Based on the Writings of Josephus</w:t>
      </w:r>
      <w:r>
        <w:rPr>
          <w:sz w:val="20"/>
          <w:szCs w:val="20"/>
        </w:rPr>
        <w:t xml:space="preserve"> (Philadelphia: Fortress Press, 1976), pp. 150–164.</w:t>
      </w:r>
    </w:p>
  </w:footnote>
  <w:footnote w:id="13">
    <w:p w14:paraId="54E02AED" w14:textId="77777777" w:rsidR="00ED7ED1" w:rsidRDefault="00C1532D">
      <w:pPr>
        <w:jc w:val="both"/>
      </w:pPr>
      <w:r>
        <w:rPr>
          <w:rStyle w:val="FootnoteReference"/>
        </w:rPr>
        <w:footnoteRef/>
      </w:r>
      <w:r>
        <w:rPr>
          <w:sz w:val="20"/>
          <w:szCs w:val="20"/>
        </w:rPr>
        <w:t xml:space="preserve">Cornelius Tacitus, </w:t>
      </w:r>
      <w:r>
        <w:rPr>
          <w:i/>
          <w:iCs/>
          <w:sz w:val="20"/>
          <w:szCs w:val="20"/>
        </w:rPr>
        <w:t>The Histories</w:t>
      </w:r>
      <w:r>
        <w:rPr>
          <w:sz w:val="20"/>
          <w:szCs w:val="20"/>
        </w:rPr>
        <w:t>, trans. by W. H. Fyfe, rev. by D. S. Levene (Oxford: Oxford University Press, 1997), I.10.</w:t>
      </w:r>
    </w:p>
  </w:footnote>
  <w:footnote w:id="14">
    <w:p w14:paraId="36DBA149" w14:textId="77777777" w:rsidR="00ED7ED1" w:rsidRDefault="00C1532D">
      <w:pPr>
        <w:jc w:val="both"/>
      </w:pPr>
      <w:r>
        <w:rPr>
          <w:rStyle w:val="FootnoteReference"/>
        </w:rPr>
        <w:footnoteRef/>
      </w:r>
      <w:r>
        <w:rPr>
          <w:sz w:val="20"/>
          <w:szCs w:val="20"/>
        </w:rPr>
        <w:t>Josephus, The Jewish War, V.10.2–5; VI.3.3–4.</w:t>
      </w:r>
    </w:p>
  </w:footnote>
  <w:footnote w:id="15">
    <w:p w14:paraId="22C74989" w14:textId="77777777" w:rsidR="00ED7ED1" w:rsidRDefault="00C1532D">
      <w:pPr>
        <w:jc w:val="both"/>
      </w:pPr>
      <w:r>
        <w:rPr>
          <w:rStyle w:val="FootnoteReference"/>
        </w:rPr>
        <w:footnoteRef/>
      </w:r>
      <w:r>
        <w:rPr>
          <w:sz w:val="20"/>
          <w:szCs w:val="20"/>
        </w:rPr>
        <w:t>Josephus, The Jewish War, VI.3.4.</w:t>
      </w:r>
    </w:p>
  </w:footnote>
  <w:footnote w:id="16">
    <w:p w14:paraId="525CC258" w14:textId="77777777" w:rsidR="00ED7ED1" w:rsidRDefault="00C1532D">
      <w:pPr>
        <w:jc w:val="both"/>
      </w:pPr>
      <w:r>
        <w:rPr>
          <w:rStyle w:val="FootnoteReference"/>
        </w:rPr>
        <w:footnoteRef/>
      </w:r>
      <w:r>
        <w:rPr>
          <w:sz w:val="20"/>
          <w:szCs w:val="20"/>
        </w:rPr>
        <w:t xml:space="preserve">E. Mary Smallwood, </w:t>
      </w:r>
      <w:r>
        <w:rPr>
          <w:i/>
          <w:iCs/>
          <w:sz w:val="20"/>
          <w:szCs w:val="20"/>
        </w:rPr>
        <w:t>The Jews Under Roman Rule: From Pompey to Diocletian</w:t>
      </w:r>
      <w:r>
        <w:rPr>
          <w:sz w:val="20"/>
          <w:szCs w:val="20"/>
        </w:rPr>
        <w:t xml:space="preserve"> (Leiden: Brill, 1976), pp. 328–340.</w:t>
      </w:r>
    </w:p>
  </w:footnote>
  <w:footnote w:id="17">
    <w:p w14:paraId="4B987EF0" w14:textId="77777777" w:rsidR="00ED7ED1" w:rsidRDefault="00C1532D">
      <w:pPr>
        <w:jc w:val="both"/>
      </w:pPr>
      <w:r>
        <w:rPr>
          <w:rStyle w:val="FootnoteReference"/>
        </w:rPr>
        <w:footnoteRef/>
      </w:r>
      <w:r>
        <w:rPr>
          <w:sz w:val="20"/>
          <w:szCs w:val="20"/>
        </w:rPr>
        <w:t>Josephus, The Jewish War, VI.4.5–7.</w:t>
      </w:r>
    </w:p>
  </w:footnote>
  <w:footnote w:id="18">
    <w:p w14:paraId="344A9647" w14:textId="77777777" w:rsidR="00ED7ED1" w:rsidRDefault="00C1532D">
      <w:pPr>
        <w:jc w:val="both"/>
      </w:pPr>
      <w:r>
        <w:rPr>
          <w:rStyle w:val="FootnoteReference"/>
        </w:rPr>
        <w:footnoteRef/>
      </w:r>
      <w:r>
        <w:rPr>
          <w:sz w:val="20"/>
          <w:szCs w:val="20"/>
        </w:rPr>
        <w:t xml:space="preserve">Emil Schurer, </w:t>
      </w:r>
      <w:r>
        <w:rPr>
          <w:i/>
          <w:iCs/>
          <w:sz w:val="20"/>
          <w:szCs w:val="20"/>
        </w:rPr>
        <w:t>The History of the Jewish People in the Age of Jesus Christ</w:t>
      </w:r>
      <w:r>
        <w:rPr>
          <w:sz w:val="20"/>
          <w:szCs w:val="20"/>
        </w:rPr>
        <w:t>, rev. and ed. by Geza Vermes, Fergus Millar, and Martin Goodman, 3 vols (Edinburgh: T. &amp; T. Clark, 1973–1987), I, pp. 508–514.</w:t>
      </w:r>
    </w:p>
  </w:footnote>
  <w:footnote w:id="19">
    <w:p w14:paraId="2C73FA82" w14:textId="77777777" w:rsidR="00ED7ED1" w:rsidRDefault="00C1532D">
      <w:pPr>
        <w:jc w:val="both"/>
      </w:pPr>
      <w:r>
        <w:rPr>
          <w:rStyle w:val="FootnoteReference"/>
        </w:rPr>
        <w:footnoteRef/>
      </w:r>
      <w:r>
        <w:rPr>
          <w:sz w:val="20"/>
          <w:szCs w:val="20"/>
        </w:rPr>
        <w:t xml:space="preserve">Gunter Stemberger, </w:t>
      </w:r>
      <w:r>
        <w:rPr>
          <w:i/>
          <w:iCs/>
          <w:sz w:val="20"/>
          <w:szCs w:val="20"/>
        </w:rPr>
        <w:t>Introduction to the Talmud and Midrash</w:t>
      </w:r>
      <w:r>
        <w:rPr>
          <w:sz w:val="20"/>
          <w:szCs w:val="20"/>
        </w:rPr>
        <w:t xml:space="preserve">, trans. and ed. by Markus Bockmuehl, 2nd </w:t>
      </w:r>
      <w:proofErr w:type="spellStart"/>
      <w:r>
        <w:rPr>
          <w:sz w:val="20"/>
          <w:szCs w:val="20"/>
        </w:rPr>
        <w:t>edn</w:t>
      </w:r>
      <w:proofErr w:type="spellEnd"/>
      <w:r>
        <w:rPr>
          <w:sz w:val="20"/>
          <w:szCs w:val="20"/>
        </w:rPr>
        <w:t xml:space="preserve"> (Edinburgh: T. &amp; T. Clark, 1996), pp. 2–8.</w:t>
      </w:r>
    </w:p>
  </w:footnote>
  <w:footnote w:id="20">
    <w:p w14:paraId="785E2976" w14:textId="77777777" w:rsidR="00ED7ED1" w:rsidRDefault="00C1532D">
      <w:pPr>
        <w:jc w:val="both"/>
      </w:pPr>
      <w:r>
        <w:rPr>
          <w:rStyle w:val="FootnoteReference"/>
        </w:rPr>
        <w:footnoteRef/>
      </w:r>
      <w:r>
        <w:rPr>
          <w:sz w:val="20"/>
          <w:szCs w:val="20"/>
        </w:rPr>
        <w:t xml:space="preserve">Josephus, </w:t>
      </w:r>
      <w:r>
        <w:rPr>
          <w:i/>
          <w:iCs/>
          <w:sz w:val="20"/>
          <w:szCs w:val="20"/>
        </w:rPr>
        <w:t>The Jewish War</w:t>
      </w:r>
      <w:r>
        <w:rPr>
          <w:sz w:val="20"/>
          <w:szCs w:val="20"/>
        </w:rPr>
        <w:t xml:space="preserve">, VII.8.1; Yigael Yadin, </w:t>
      </w:r>
      <w:r>
        <w:rPr>
          <w:i/>
          <w:iCs/>
          <w:sz w:val="20"/>
          <w:szCs w:val="20"/>
        </w:rPr>
        <w:t>Masada: Herod's Fortress and the Zealots' Last Stand</w:t>
      </w:r>
      <w:r>
        <w:rPr>
          <w:sz w:val="20"/>
          <w:szCs w:val="20"/>
        </w:rPr>
        <w:t xml:space="preserve"> (London: Weidenfeld and Nicolson, 1966), pp. 1–15.</w:t>
      </w:r>
    </w:p>
  </w:footnote>
  <w:footnote w:id="21">
    <w:p w14:paraId="4F6984B5" w14:textId="77777777" w:rsidR="00ED7ED1" w:rsidRDefault="00C1532D">
      <w:pPr>
        <w:jc w:val="both"/>
      </w:pPr>
      <w:r>
        <w:rPr>
          <w:rStyle w:val="FootnoteReference"/>
        </w:rPr>
        <w:footnoteRef/>
      </w:r>
      <w:r>
        <w:rPr>
          <w:sz w:val="20"/>
          <w:szCs w:val="20"/>
        </w:rPr>
        <w:t xml:space="preserve">Mark A. Brighton, </w:t>
      </w:r>
      <w:r>
        <w:rPr>
          <w:i/>
          <w:iCs/>
          <w:sz w:val="20"/>
          <w:szCs w:val="20"/>
        </w:rPr>
        <w:t>The Sicarii in Josephus's Judean War: Rhetorical Analysis and Historical Observations</w:t>
      </w:r>
      <w:r>
        <w:rPr>
          <w:sz w:val="20"/>
          <w:szCs w:val="20"/>
        </w:rPr>
        <w:t xml:space="preserve"> (Atlanta: Society of Biblical Literature, 2009), pp. 71–88.</w:t>
      </w:r>
    </w:p>
  </w:footnote>
  <w:footnote w:id="22">
    <w:p w14:paraId="1E1502E0" w14:textId="77777777" w:rsidR="00ED7ED1" w:rsidRDefault="00C1532D">
      <w:pPr>
        <w:jc w:val="both"/>
      </w:pPr>
      <w:r>
        <w:rPr>
          <w:rStyle w:val="FootnoteReference"/>
        </w:rPr>
        <w:footnoteRef/>
      </w:r>
      <w:r>
        <w:rPr>
          <w:sz w:val="20"/>
          <w:szCs w:val="20"/>
        </w:rPr>
        <w:t>Yadin, Masada, pp. 201–215.</w:t>
      </w:r>
    </w:p>
  </w:footnote>
  <w:footnote w:id="23">
    <w:p w14:paraId="271C0D2A" w14:textId="77777777" w:rsidR="00ED7ED1" w:rsidRDefault="00C1532D">
      <w:pPr>
        <w:jc w:val="both"/>
      </w:pPr>
      <w:r>
        <w:rPr>
          <w:rStyle w:val="FootnoteReference"/>
        </w:rPr>
        <w:footnoteRef/>
      </w:r>
      <w:r>
        <w:rPr>
          <w:sz w:val="20"/>
          <w:szCs w:val="20"/>
        </w:rPr>
        <w:t>Josephus, The Jewish War, VII.8.6–9.2.</w:t>
      </w:r>
    </w:p>
  </w:footnote>
  <w:footnote w:id="24">
    <w:p w14:paraId="7A31CA2A" w14:textId="77777777" w:rsidR="00ED7ED1" w:rsidRDefault="00C1532D">
      <w:pPr>
        <w:jc w:val="both"/>
      </w:pPr>
      <w:r>
        <w:rPr>
          <w:rStyle w:val="FootnoteReference"/>
        </w:rPr>
        <w:footnoteRef/>
      </w:r>
      <w:r>
        <w:rPr>
          <w:sz w:val="20"/>
          <w:szCs w:val="20"/>
        </w:rPr>
        <w:t xml:space="preserve">Hannah M. Cotton and Joseph Geiger, </w:t>
      </w:r>
      <w:r>
        <w:rPr>
          <w:i/>
          <w:iCs/>
          <w:sz w:val="20"/>
          <w:szCs w:val="20"/>
        </w:rPr>
        <w:t>Masada II: The Yigael Yadin Excavations 1963–1965: Final Reports</w:t>
      </w:r>
      <w:r>
        <w:rPr>
          <w:sz w:val="20"/>
          <w:szCs w:val="20"/>
        </w:rPr>
        <w:t xml:space="preserve"> (Jerusalem: Israel Exploration Society, 1989), pp. 14–30.</w:t>
      </w:r>
    </w:p>
  </w:footnote>
  <w:footnote w:id="25">
    <w:p w14:paraId="63259927" w14:textId="77777777" w:rsidR="00ED7ED1" w:rsidRDefault="00C1532D">
      <w:pPr>
        <w:jc w:val="both"/>
      </w:pPr>
      <w:r>
        <w:rPr>
          <w:rStyle w:val="FootnoteReference"/>
        </w:rPr>
        <w:footnoteRef/>
      </w:r>
      <w:r>
        <w:rPr>
          <w:sz w:val="20"/>
          <w:szCs w:val="20"/>
        </w:rPr>
        <w:t>Josephus, The Jewish War, VII.9.1.</w:t>
      </w:r>
    </w:p>
  </w:footnote>
  <w:footnote w:id="26">
    <w:p w14:paraId="34715C96" w14:textId="77777777" w:rsidR="00ED7ED1" w:rsidRDefault="00C1532D">
      <w:pPr>
        <w:jc w:val="both"/>
      </w:pPr>
      <w:r>
        <w:rPr>
          <w:rStyle w:val="FootnoteReference"/>
        </w:rPr>
        <w:footnoteRef/>
      </w:r>
      <w:r>
        <w:rPr>
          <w:sz w:val="20"/>
          <w:szCs w:val="20"/>
        </w:rPr>
        <w:t xml:space="preserve">Smallwood, </w:t>
      </w:r>
      <w:r>
        <w:rPr>
          <w:i/>
          <w:iCs/>
          <w:sz w:val="20"/>
          <w:szCs w:val="20"/>
        </w:rPr>
        <w:t>The Jews Under Roman Rule</w:t>
      </w:r>
      <w:r>
        <w:rPr>
          <w:sz w:val="20"/>
          <w:szCs w:val="20"/>
        </w:rPr>
        <w:t>, pp. 341–350.</w:t>
      </w:r>
    </w:p>
  </w:footnote>
  <w:footnote w:id="27">
    <w:p w14:paraId="7BF9C426" w14:textId="77777777" w:rsidR="00ED7ED1" w:rsidRDefault="00C1532D">
      <w:pPr>
        <w:jc w:val="both"/>
      </w:pPr>
      <w:r>
        <w:rPr>
          <w:rStyle w:val="FootnoteReference"/>
        </w:rPr>
        <w:footnoteRef/>
      </w:r>
      <w:r>
        <w:rPr>
          <w:sz w:val="20"/>
          <w:szCs w:val="20"/>
        </w:rPr>
        <w:t xml:space="preserve">Schurer, </w:t>
      </w:r>
      <w:r>
        <w:rPr>
          <w:i/>
          <w:iCs/>
          <w:sz w:val="20"/>
          <w:szCs w:val="20"/>
        </w:rPr>
        <w:t>The History of the Jewish People</w:t>
      </w:r>
      <w:r>
        <w:rPr>
          <w:sz w:val="20"/>
          <w:szCs w:val="20"/>
        </w:rPr>
        <w:t>, I, pp. 523–527.</w:t>
      </w:r>
    </w:p>
  </w:footnote>
  <w:footnote w:id="28">
    <w:p w14:paraId="37E6E7F5" w14:textId="77777777" w:rsidR="00ED7ED1" w:rsidRDefault="00C1532D">
      <w:pPr>
        <w:jc w:val="both"/>
      </w:pPr>
      <w:r>
        <w:rPr>
          <w:rStyle w:val="FootnoteReference"/>
        </w:rPr>
        <w:footnoteRef/>
      </w:r>
      <w:r>
        <w:rPr>
          <w:sz w:val="20"/>
          <w:szCs w:val="20"/>
        </w:rPr>
        <w:t xml:space="preserve">Stemberger, </w:t>
      </w:r>
      <w:r>
        <w:rPr>
          <w:i/>
          <w:iCs/>
          <w:sz w:val="20"/>
          <w:szCs w:val="20"/>
        </w:rPr>
        <w:t>Introduction to the Talmud and Midrash</w:t>
      </w:r>
      <w:r>
        <w:rPr>
          <w:sz w:val="20"/>
          <w:szCs w:val="20"/>
        </w:rPr>
        <w:t>, pp. 10–22.</w:t>
      </w:r>
    </w:p>
  </w:footnote>
  <w:footnote w:id="29">
    <w:p w14:paraId="305D691D" w14:textId="77777777" w:rsidR="00ED7ED1" w:rsidRDefault="00C1532D">
      <w:pPr>
        <w:jc w:val="both"/>
      </w:pPr>
      <w:r>
        <w:rPr>
          <w:rStyle w:val="FootnoteReference"/>
        </w:rPr>
        <w:footnoteRef/>
      </w:r>
      <w:r>
        <w:rPr>
          <w:sz w:val="20"/>
          <w:szCs w:val="20"/>
        </w:rPr>
        <w:t xml:space="preserve">Ben-Yehuda, </w:t>
      </w:r>
      <w:r>
        <w:rPr>
          <w:i/>
          <w:iCs/>
          <w:sz w:val="20"/>
          <w:szCs w:val="20"/>
        </w:rPr>
        <w:t>The Masada Myth</w:t>
      </w:r>
      <w:r>
        <w:rPr>
          <w:sz w:val="20"/>
          <w:szCs w:val="20"/>
        </w:rPr>
        <w:t>, pp. 253–271.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9E7557"/>
    <w:multiLevelType w:val="hybridMultilevel"/>
    <w:tmpl w:val="5EA66A50"/>
    <w:lvl w:ilvl="0" w:tplc="F7C8698A">
      <w:start w:val="1"/>
      <w:numFmt w:val="bullet"/>
      <w:lvlText w:val="●"/>
      <w:lvlJc w:val="left"/>
      <w:pPr>
        <w:ind w:left="720" w:hanging="360"/>
      </w:pPr>
    </w:lvl>
    <w:lvl w:ilvl="1" w:tplc="6D0E472C">
      <w:start w:val="1"/>
      <w:numFmt w:val="bullet"/>
      <w:lvlText w:val="○"/>
      <w:lvlJc w:val="left"/>
      <w:pPr>
        <w:ind w:left="1440" w:hanging="360"/>
      </w:pPr>
    </w:lvl>
    <w:lvl w:ilvl="2" w:tplc="F3E8A4A0">
      <w:start w:val="1"/>
      <w:numFmt w:val="bullet"/>
      <w:lvlText w:val="■"/>
      <w:lvlJc w:val="left"/>
      <w:pPr>
        <w:ind w:left="2160" w:hanging="360"/>
      </w:pPr>
    </w:lvl>
    <w:lvl w:ilvl="3" w:tplc="1F1E14CA">
      <w:start w:val="1"/>
      <w:numFmt w:val="bullet"/>
      <w:lvlText w:val="●"/>
      <w:lvlJc w:val="left"/>
      <w:pPr>
        <w:ind w:left="2880" w:hanging="360"/>
      </w:pPr>
    </w:lvl>
    <w:lvl w:ilvl="4" w:tplc="F7EA82A8">
      <w:start w:val="1"/>
      <w:numFmt w:val="bullet"/>
      <w:lvlText w:val="○"/>
      <w:lvlJc w:val="left"/>
      <w:pPr>
        <w:ind w:left="3600" w:hanging="360"/>
      </w:pPr>
    </w:lvl>
    <w:lvl w:ilvl="5" w:tplc="CBB0C17A">
      <w:start w:val="1"/>
      <w:numFmt w:val="bullet"/>
      <w:lvlText w:val="■"/>
      <w:lvlJc w:val="left"/>
      <w:pPr>
        <w:ind w:left="4320" w:hanging="360"/>
      </w:pPr>
    </w:lvl>
    <w:lvl w:ilvl="6" w:tplc="0BFE6354">
      <w:start w:val="1"/>
      <w:numFmt w:val="bullet"/>
      <w:lvlText w:val="●"/>
      <w:lvlJc w:val="left"/>
      <w:pPr>
        <w:ind w:left="5040" w:hanging="360"/>
      </w:pPr>
    </w:lvl>
    <w:lvl w:ilvl="7" w:tplc="29120660">
      <w:start w:val="1"/>
      <w:numFmt w:val="bullet"/>
      <w:lvlText w:val="●"/>
      <w:lvlJc w:val="left"/>
      <w:pPr>
        <w:ind w:left="5760" w:hanging="360"/>
      </w:pPr>
    </w:lvl>
    <w:lvl w:ilvl="8" w:tplc="F20AF36E">
      <w:start w:val="1"/>
      <w:numFmt w:val="bullet"/>
      <w:lvlText w:val="●"/>
      <w:lvlJc w:val="left"/>
      <w:pPr>
        <w:ind w:left="6480" w:hanging="360"/>
      </w:pPr>
    </w:lvl>
  </w:abstractNum>
  <w:num w:numId="1" w16cid:durableId="15804832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ED1"/>
    <w:rsid w:val="001B2421"/>
    <w:rsid w:val="009B3E92"/>
    <w:rsid w:val="00A05F7F"/>
    <w:rsid w:val="00C1532D"/>
    <w:rsid w:val="00ED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31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40"/>
      <w:outlineLvl w:val="0"/>
    </w:pPr>
    <w:rPr>
      <w:b/>
      <w:bCs/>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B3E92"/>
    <w:pPr>
      <w:tabs>
        <w:tab w:val="center" w:pos="4513"/>
        <w:tab w:val="right" w:pos="9026"/>
      </w:tabs>
    </w:pPr>
  </w:style>
  <w:style w:type="character" w:customStyle="1" w:styleId="HeaderChar">
    <w:name w:val="Header Char"/>
    <w:basedOn w:val="DefaultParagraphFont"/>
    <w:link w:val="Header"/>
    <w:uiPriority w:val="99"/>
    <w:rsid w:val="009B3E92"/>
  </w:style>
  <w:style w:type="paragraph" w:styleId="Footer">
    <w:name w:val="footer"/>
    <w:basedOn w:val="Normal"/>
    <w:link w:val="FooterChar"/>
    <w:uiPriority w:val="99"/>
    <w:unhideWhenUsed/>
    <w:rsid w:val="009B3E92"/>
    <w:pPr>
      <w:tabs>
        <w:tab w:val="center" w:pos="4513"/>
        <w:tab w:val="right" w:pos="9026"/>
      </w:tabs>
    </w:pPr>
  </w:style>
  <w:style w:type="character" w:customStyle="1" w:styleId="FooterChar">
    <w:name w:val="Footer Char"/>
    <w:basedOn w:val="DefaultParagraphFont"/>
    <w:link w:val="Footer"/>
    <w:uiPriority w:val="99"/>
    <w:rsid w:val="009B3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2281</Words>
  <Characters>12845</Characters>
  <Application>Microsoft Office Word</Application>
  <DocSecurity>0</DocSecurity>
  <Lines>217</Lines>
  <Paragraphs>58</Paragraphs>
  <ScaleCrop>false</ScaleCrop>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2026-05-04T08:59:00Z</dcterms:created>
  <dcterms:modified xsi:type="dcterms:W3CDTF">2026-05-04T08:59:00Z</dcterms:modified>
</cp:coreProperties>
</file>