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C5724" w:rsidRDefault="00AC5724" w:rsidP="00AC5724">
      <w:pPr>
        <w:pStyle w:val="NormalWeb"/>
        <w:spacing w:before="0" w:beforeAutospacing="0" w:after="0" w:afterAutospacing="0"/>
        <w:ind w:left="-180" w:right="-334"/>
        <w:rPr>
          <w:rFonts w:ascii="Trebuchet MS" w:hAnsi="Trebuchet MS" w:cs="Tahoma"/>
          <w:sz w:val="24"/>
          <w:szCs w:val="24"/>
        </w:rPr>
      </w:pPr>
      <w:r>
        <w:rPr>
          <w:noProof/>
          <w:lang w:val="en-US" w:eastAsia="en-US"/>
        </w:rPr>
        <w:drawing>
          <wp:inline distT="0" distB="0" distL="0" distR="0">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rsidR="00AC5724" w:rsidRDefault="00AC5724" w:rsidP="00AC5724">
      <w:pPr>
        <w:pStyle w:val="Heading1"/>
        <w:jc w:val="center"/>
        <w:rPr>
          <w:lang w:val="cy-GB"/>
        </w:rPr>
      </w:pPr>
      <w:r>
        <w:rPr>
          <w:lang w:val="cy-GB"/>
        </w:rPr>
        <w:t>Undergraduate a</w:t>
      </w:r>
      <w:r w:rsidRPr="0065654E">
        <w:rPr>
          <w:lang w:val="cy-GB"/>
        </w:rPr>
        <w:t>ssignment</w:t>
      </w:r>
      <w:r>
        <w:rPr>
          <w:lang w:val="cy-GB"/>
        </w:rPr>
        <w:t xml:space="preserve"> </w:t>
      </w:r>
      <w:r w:rsidRPr="0065654E">
        <w:rPr>
          <w:lang w:val="cy-GB"/>
        </w:rPr>
        <w:t>feedback form</w:t>
      </w:r>
    </w:p>
    <w:p w:rsidR="00AC5724" w:rsidRPr="001E50BB" w:rsidRDefault="00AC5724" w:rsidP="00AC5724">
      <w:pPr>
        <w:jc w:val="center"/>
        <w:rPr>
          <w:rFonts w:ascii="Arial" w:hAnsi="Arial" w:cs="Arial"/>
          <w:b/>
          <w:lang w:val="cy-GB"/>
        </w:rPr>
      </w:pPr>
      <w:r w:rsidRPr="001E50BB">
        <w:rPr>
          <w:rFonts w:ascii="Arial" w:hAnsi="Arial" w:cs="Arial"/>
          <w:b/>
          <w:lang w:val="cy-GB"/>
        </w:rPr>
        <w:t>(to be completed by marker)</w:t>
      </w:r>
    </w:p>
    <w:p w:rsidR="00AC5724" w:rsidRPr="001E50BB" w:rsidRDefault="00AC5724" w:rsidP="00AC5724">
      <w:pPr>
        <w:jc w:val="center"/>
        <w:rPr>
          <w:rFonts w:ascii="Arial" w:hAnsi="Arial" w:cs="Arial"/>
          <w:b/>
          <w:lang w:val="cy-GB"/>
        </w:rPr>
      </w:pPr>
    </w:p>
    <w:p w:rsidR="00AC5724" w:rsidRDefault="00AC5724" w:rsidP="00AC5724">
      <w:pPr>
        <w:pStyle w:val="Heading3"/>
        <w:rPr>
          <w:rFonts w:ascii="Trebuchet MS" w:hAnsi="Trebuchet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AC5724" w:rsidRPr="0065654E" w:rsidTr="003E1B67">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rsidR="00AC5724" w:rsidRDefault="00AC5724" w:rsidP="003E1B67">
            <w:pPr>
              <w:pStyle w:val="NormalWeb"/>
              <w:spacing w:before="0" w:beforeAutospacing="0" w:after="0" w:afterAutospacing="0"/>
              <w:ind w:right="34"/>
              <w:rPr>
                <w:rFonts w:ascii="Calibri" w:hAnsi="Calibri" w:cs="Tahoma"/>
                <w:i/>
                <w:sz w:val="24"/>
                <w:szCs w:val="24"/>
              </w:rPr>
            </w:pPr>
            <w:r w:rsidRPr="0065654E">
              <w:rPr>
                <w:rFonts w:ascii="Calibri" w:hAnsi="Calibri" w:cs="Tahoma"/>
                <w:i/>
                <w:sz w:val="24"/>
                <w:szCs w:val="24"/>
              </w:rPr>
              <w:t>Student Na</w:t>
            </w:r>
            <w:r>
              <w:rPr>
                <w:rFonts w:ascii="Calibri" w:hAnsi="Calibri" w:cs="Tahoma"/>
                <w:i/>
                <w:sz w:val="24"/>
                <w:szCs w:val="24"/>
              </w:rPr>
              <w:t>me: Mary Bowen-Perkins</w:t>
            </w:r>
          </w:p>
          <w:p w:rsidR="00AC5724" w:rsidRPr="0065654E" w:rsidRDefault="00AC5724" w:rsidP="003E1B67">
            <w:pPr>
              <w:pStyle w:val="NormalWeb"/>
              <w:spacing w:before="0" w:beforeAutospacing="0" w:after="0" w:afterAutospacing="0"/>
              <w:ind w:right="34"/>
              <w:rPr>
                <w:rFonts w:ascii="Calibri" w:hAnsi="Calibri" w:cs="Tahoma"/>
                <w:i/>
                <w:sz w:val="24"/>
                <w:szCs w:val="24"/>
              </w:rPr>
            </w:pPr>
          </w:p>
        </w:tc>
      </w:tr>
      <w:tr w:rsidR="00AC5724" w:rsidRPr="0065654E" w:rsidTr="003E1B67">
        <w:trPr>
          <w:trHeight w:val="849"/>
        </w:trPr>
        <w:tc>
          <w:tcPr>
            <w:tcW w:w="4788" w:type="dxa"/>
            <w:tcBorders>
              <w:top w:val="single" w:sz="4" w:space="0" w:color="auto"/>
              <w:left w:val="single" w:sz="4" w:space="0" w:color="auto"/>
              <w:bottom w:val="single" w:sz="4" w:space="0" w:color="auto"/>
              <w:right w:val="single" w:sz="4" w:space="0" w:color="auto"/>
            </w:tcBorders>
            <w:vAlign w:val="center"/>
          </w:tcPr>
          <w:p w:rsidR="00AC5724" w:rsidRDefault="00AC5724" w:rsidP="003E1B67">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Module Code: CSEN</w:t>
            </w:r>
            <w:r w:rsidR="00824DCF">
              <w:rPr>
                <w:rFonts w:ascii="Calibri" w:hAnsi="Calibri" w:cs="Tahoma"/>
                <w:i/>
                <w:sz w:val="24"/>
                <w:szCs w:val="24"/>
              </w:rPr>
              <w:t>5014</w:t>
            </w:r>
          </w:p>
          <w:p w:rsidR="00AC5724" w:rsidRDefault="00AC5724" w:rsidP="003E1B67">
            <w:pPr>
              <w:pStyle w:val="NormalWeb"/>
              <w:spacing w:before="0" w:beforeAutospacing="0" w:after="0" w:afterAutospacing="0"/>
              <w:ind w:right="34"/>
              <w:rPr>
                <w:rFonts w:ascii="Calibri" w:hAnsi="Calibri" w:cs="Tahoma"/>
                <w:i/>
                <w:sz w:val="24"/>
                <w:szCs w:val="24"/>
              </w:rPr>
            </w:pPr>
          </w:p>
          <w:p w:rsidR="00AC5724" w:rsidRDefault="00AC5724" w:rsidP="003E1B67">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Module </w:t>
            </w:r>
            <w:r w:rsidRPr="0065654E">
              <w:rPr>
                <w:rFonts w:ascii="Calibri" w:hAnsi="Calibri" w:cs="Tahoma"/>
                <w:i/>
                <w:sz w:val="24"/>
                <w:szCs w:val="24"/>
              </w:rPr>
              <w:t>title</w:t>
            </w:r>
            <w:r>
              <w:rPr>
                <w:rFonts w:ascii="Calibri" w:hAnsi="Calibri" w:cs="Tahoma"/>
                <w:i/>
                <w:sz w:val="24"/>
                <w:szCs w:val="24"/>
              </w:rPr>
              <w:t xml:space="preserve">: </w:t>
            </w:r>
            <w:r w:rsidR="00824DCF">
              <w:rPr>
                <w:rFonts w:ascii="Calibri" w:hAnsi="Calibri" w:cs="Tahoma"/>
                <w:i/>
                <w:sz w:val="24"/>
                <w:szCs w:val="24"/>
              </w:rPr>
              <w:t>Critical and Cultural Theory</w:t>
            </w:r>
          </w:p>
          <w:p w:rsidR="00AC5724" w:rsidRPr="0065654E" w:rsidRDefault="00AC5724" w:rsidP="003E1B67">
            <w:pPr>
              <w:pStyle w:val="NormalWeb"/>
              <w:spacing w:before="0" w:beforeAutospacing="0" w:after="0" w:afterAutospacing="0"/>
              <w:ind w:right="34"/>
              <w:rPr>
                <w:rFonts w:ascii="Calibri" w:hAnsi="Calibri" w:cs="Tahoma"/>
                <w:i/>
                <w:sz w:val="24"/>
                <w:szCs w:val="24"/>
              </w:rPr>
            </w:pPr>
          </w:p>
        </w:tc>
        <w:tc>
          <w:tcPr>
            <w:tcW w:w="3967" w:type="dxa"/>
            <w:gridSpan w:val="2"/>
            <w:tcBorders>
              <w:top w:val="single" w:sz="4" w:space="0" w:color="auto"/>
              <w:left w:val="single" w:sz="4" w:space="0" w:color="auto"/>
              <w:bottom w:val="single" w:sz="4" w:space="0" w:color="auto"/>
              <w:right w:val="single" w:sz="4" w:space="0" w:color="auto"/>
            </w:tcBorders>
          </w:tcPr>
          <w:p w:rsidR="00AC5724" w:rsidRPr="0065654E" w:rsidRDefault="00AC5724" w:rsidP="003E1B67">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Student </w:t>
            </w:r>
            <w:r w:rsidRPr="0065654E">
              <w:rPr>
                <w:rFonts w:ascii="Calibri" w:hAnsi="Calibri" w:cs="Tahoma"/>
                <w:i/>
                <w:sz w:val="24"/>
                <w:szCs w:val="24"/>
              </w:rPr>
              <w:t>number:</w:t>
            </w:r>
            <w:r>
              <w:rPr>
                <w:rFonts w:ascii="Calibri" w:hAnsi="Calibri" w:cs="Tahoma"/>
                <w:i/>
                <w:sz w:val="24"/>
                <w:szCs w:val="24"/>
              </w:rPr>
              <w:t xml:space="preserve"> 1601141</w:t>
            </w:r>
          </w:p>
        </w:tc>
      </w:tr>
      <w:tr w:rsidR="00AC5724" w:rsidRPr="0065654E" w:rsidTr="003E1B67">
        <w:trPr>
          <w:trHeight w:val="3972"/>
        </w:trPr>
        <w:tc>
          <w:tcPr>
            <w:tcW w:w="8755" w:type="dxa"/>
            <w:gridSpan w:val="3"/>
            <w:tcBorders>
              <w:top w:val="single" w:sz="4" w:space="0" w:color="auto"/>
              <w:left w:val="single" w:sz="4" w:space="0" w:color="auto"/>
              <w:bottom w:val="single" w:sz="4" w:space="0" w:color="auto"/>
              <w:right w:val="single" w:sz="4" w:space="0" w:color="auto"/>
            </w:tcBorders>
          </w:tcPr>
          <w:p w:rsidR="00AC5724" w:rsidRPr="0065654E" w:rsidRDefault="00AC5724" w:rsidP="003E1B67">
            <w:pPr>
              <w:pStyle w:val="NormalWeb"/>
              <w:spacing w:before="0" w:beforeAutospacing="0" w:after="0" w:afterAutospacing="0"/>
              <w:rPr>
                <w:rFonts w:ascii="Calibri" w:hAnsi="Calibri" w:cs="Tahoma"/>
                <w:i/>
                <w:sz w:val="24"/>
                <w:szCs w:val="24"/>
              </w:rPr>
            </w:pPr>
            <w:r w:rsidRPr="0065654E">
              <w:rPr>
                <w:rFonts w:ascii="Calibri" w:hAnsi="Calibri" w:cs="Tahoma"/>
                <w:i/>
                <w:sz w:val="24"/>
                <w:szCs w:val="24"/>
              </w:rPr>
              <w:t>For completion by marker:</w:t>
            </w:r>
          </w:p>
          <w:p w:rsidR="00AC5724" w:rsidRDefault="00AC5724" w:rsidP="003E1B67">
            <w:pPr>
              <w:pStyle w:val="NormalWeb"/>
              <w:rPr>
                <w:rFonts w:ascii="Calibri" w:hAnsi="Calibri" w:cs="Tahoma"/>
                <w:i/>
                <w:sz w:val="24"/>
                <w:szCs w:val="24"/>
              </w:rPr>
            </w:pPr>
            <w:r w:rsidRPr="0065654E">
              <w:rPr>
                <w:rFonts w:ascii="Calibri" w:hAnsi="Calibri" w:cs="Tahoma"/>
                <w:i/>
                <w:sz w:val="24"/>
                <w:szCs w:val="24"/>
              </w:rPr>
              <w:t>Comments:</w:t>
            </w:r>
          </w:p>
          <w:p w:rsidR="00AC5724" w:rsidRDefault="00AC5724" w:rsidP="003E1B67">
            <w:pPr>
              <w:pStyle w:val="NormalWeb"/>
              <w:rPr>
                <w:rFonts w:ascii="Calibri" w:hAnsi="Calibri" w:cs="Tahoma"/>
                <w:i/>
                <w:sz w:val="24"/>
                <w:szCs w:val="24"/>
              </w:rPr>
            </w:pPr>
          </w:p>
          <w:p w:rsidR="00AC5724" w:rsidRDefault="00AC5724" w:rsidP="003E1B67">
            <w:pPr>
              <w:pStyle w:val="NormalWeb"/>
              <w:rPr>
                <w:rFonts w:ascii="Calibri" w:hAnsi="Calibri" w:cs="Tahoma"/>
                <w:i/>
                <w:sz w:val="24"/>
                <w:szCs w:val="24"/>
              </w:rPr>
            </w:pPr>
          </w:p>
          <w:p w:rsidR="00AC5724" w:rsidRDefault="00AC5724" w:rsidP="003E1B67">
            <w:pPr>
              <w:pStyle w:val="NormalWeb"/>
              <w:rPr>
                <w:rFonts w:ascii="Calibri" w:hAnsi="Calibri" w:cs="Tahoma"/>
                <w:i/>
                <w:sz w:val="24"/>
                <w:szCs w:val="24"/>
              </w:rPr>
            </w:pPr>
          </w:p>
          <w:p w:rsidR="00AC5724" w:rsidRDefault="00AC5724" w:rsidP="003E1B67">
            <w:pPr>
              <w:pStyle w:val="NormalWeb"/>
              <w:rPr>
                <w:rFonts w:ascii="Calibri" w:hAnsi="Calibri" w:cs="Tahoma"/>
                <w:i/>
                <w:sz w:val="24"/>
                <w:szCs w:val="24"/>
              </w:rPr>
            </w:pPr>
          </w:p>
          <w:p w:rsidR="00AC5724" w:rsidRDefault="00AC5724" w:rsidP="003E1B67">
            <w:pPr>
              <w:pStyle w:val="NormalWeb"/>
              <w:rPr>
                <w:rFonts w:ascii="Calibri" w:hAnsi="Calibri" w:cs="Tahoma"/>
                <w:i/>
                <w:sz w:val="24"/>
                <w:szCs w:val="24"/>
              </w:rPr>
            </w:pPr>
          </w:p>
          <w:p w:rsidR="00AC5724" w:rsidRDefault="00AC5724" w:rsidP="003E1B67">
            <w:pPr>
              <w:pStyle w:val="NormalWeb"/>
              <w:rPr>
                <w:rFonts w:ascii="Calibri" w:hAnsi="Calibri" w:cs="Tahoma"/>
                <w:i/>
                <w:sz w:val="24"/>
                <w:szCs w:val="24"/>
              </w:rPr>
            </w:pPr>
          </w:p>
          <w:p w:rsidR="00AC5724" w:rsidRDefault="00AC5724" w:rsidP="003E1B67">
            <w:pPr>
              <w:pStyle w:val="NormalWeb"/>
              <w:rPr>
                <w:rFonts w:ascii="Calibri" w:hAnsi="Calibri" w:cs="Tahoma"/>
                <w:i/>
                <w:sz w:val="24"/>
                <w:szCs w:val="24"/>
              </w:rPr>
            </w:pPr>
          </w:p>
          <w:p w:rsidR="00AC5724" w:rsidRDefault="00AC5724" w:rsidP="003E1B67">
            <w:pPr>
              <w:pStyle w:val="NormalWeb"/>
              <w:rPr>
                <w:rFonts w:ascii="Calibri" w:hAnsi="Calibri" w:cs="Tahoma"/>
                <w:i/>
                <w:sz w:val="24"/>
                <w:szCs w:val="24"/>
              </w:rPr>
            </w:pPr>
          </w:p>
          <w:p w:rsidR="00AC5724" w:rsidRPr="0065654E" w:rsidRDefault="00AC5724" w:rsidP="003E1B67">
            <w:pPr>
              <w:pStyle w:val="NormalWeb"/>
              <w:rPr>
                <w:rFonts w:ascii="Calibri" w:hAnsi="Calibri" w:cs="Tahoma"/>
                <w:i/>
                <w:sz w:val="24"/>
                <w:szCs w:val="24"/>
              </w:rPr>
            </w:pPr>
          </w:p>
        </w:tc>
      </w:tr>
      <w:tr w:rsidR="00AC5724" w:rsidRPr="0065654E" w:rsidTr="003E1B67">
        <w:trPr>
          <w:trHeight w:val="492"/>
        </w:trPr>
        <w:tc>
          <w:tcPr>
            <w:tcW w:w="6768" w:type="dxa"/>
            <w:gridSpan w:val="2"/>
            <w:tcBorders>
              <w:top w:val="single" w:sz="4" w:space="0" w:color="auto"/>
            </w:tcBorders>
            <w:vAlign w:val="center"/>
          </w:tcPr>
          <w:p w:rsidR="00AC5724" w:rsidRPr="0065654E" w:rsidRDefault="00AC5724" w:rsidP="003E1B67">
            <w:pPr>
              <w:pStyle w:val="NormalWeb"/>
              <w:ind w:left="142" w:right="34"/>
              <w:rPr>
                <w:rFonts w:ascii="Calibri" w:hAnsi="Calibri" w:cs="Tahoma"/>
                <w:i/>
                <w:sz w:val="24"/>
                <w:szCs w:val="24"/>
              </w:rPr>
            </w:pPr>
            <w:r w:rsidRPr="0065654E">
              <w:rPr>
                <w:rFonts w:ascii="Calibri" w:hAnsi="Calibri" w:cs="Tahoma"/>
                <w:i/>
                <w:sz w:val="24"/>
                <w:szCs w:val="24"/>
              </w:rPr>
              <w:t>Marker</w:t>
            </w:r>
            <w:r>
              <w:rPr>
                <w:rFonts w:ascii="Calibri" w:hAnsi="Calibri" w:cs="Tahoma"/>
                <w:i/>
                <w:sz w:val="24"/>
                <w:szCs w:val="24"/>
              </w:rPr>
              <w:t xml:space="preserve">’s </w:t>
            </w:r>
            <w:r w:rsidRPr="0065654E">
              <w:rPr>
                <w:rFonts w:ascii="Calibri" w:hAnsi="Calibri" w:cs="Tahoma"/>
                <w:i/>
                <w:sz w:val="24"/>
                <w:szCs w:val="24"/>
              </w:rPr>
              <w:t>signature:</w:t>
            </w:r>
          </w:p>
        </w:tc>
        <w:tc>
          <w:tcPr>
            <w:tcW w:w="1987" w:type="dxa"/>
            <w:tcBorders>
              <w:top w:val="single" w:sz="4" w:space="0" w:color="auto"/>
            </w:tcBorders>
            <w:vAlign w:val="center"/>
          </w:tcPr>
          <w:p w:rsidR="00AC5724" w:rsidRPr="0065654E" w:rsidRDefault="00AC5724" w:rsidP="003E1B67">
            <w:pPr>
              <w:pStyle w:val="NormalWeb"/>
              <w:spacing w:after="0"/>
              <w:ind w:left="142" w:right="34"/>
              <w:rPr>
                <w:rFonts w:ascii="Calibri" w:hAnsi="Calibri" w:cs="Tahoma"/>
                <w:i/>
                <w:sz w:val="24"/>
                <w:szCs w:val="24"/>
              </w:rPr>
            </w:pPr>
            <w:r>
              <w:rPr>
                <w:rFonts w:ascii="Calibri" w:hAnsi="Calibri" w:cs="Tahoma"/>
                <w:i/>
                <w:sz w:val="24"/>
                <w:szCs w:val="24"/>
              </w:rPr>
              <w:t>D</w:t>
            </w:r>
            <w:r w:rsidRPr="0065654E">
              <w:rPr>
                <w:rFonts w:ascii="Calibri" w:hAnsi="Calibri" w:cs="Tahoma"/>
                <w:i/>
                <w:sz w:val="24"/>
                <w:szCs w:val="24"/>
              </w:rPr>
              <w:t>ate</w:t>
            </w:r>
            <w:r>
              <w:rPr>
                <w:rFonts w:ascii="Calibri" w:hAnsi="Calibri" w:cs="Tahoma"/>
                <w:i/>
                <w:sz w:val="24"/>
                <w:szCs w:val="24"/>
              </w:rPr>
              <w:t>:</w:t>
            </w:r>
          </w:p>
        </w:tc>
      </w:tr>
      <w:tr w:rsidR="00AC5724" w:rsidRPr="0065654E" w:rsidTr="003E1B67">
        <w:tc>
          <w:tcPr>
            <w:tcW w:w="8755" w:type="dxa"/>
            <w:gridSpan w:val="3"/>
            <w:vAlign w:val="center"/>
          </w:tcPr>
          <w:p w:rsidR="00AC5724" w:rsidRDefault="00AC5724" w:rsidP="003E1B67">
            <w:pPr>
              <w:pStyle w:val="NormalWeb"/>
              <w:spacing w:before="0" w:beforeAutospacing="0" w:after="0" w:afterAutospacing="0"/>
              <w:ind w:left="142" w:right="34"/>
              <w:rPr>
                <w:rFonts w:ascii="Calibri" w:hAnsi="Calibri" w:cs="Tahoma"/>
                <w:i/>
                <w:sz w:val="24"/>
                <w:szCs w:val="24"/>
              </w:rPr>
            </w:pPr>
            <w:r w:rsidRPr="0065654E">
              <w:rPr>
                <w:rFonts w:ascii="Calibri" w:hAnsi="Calibri" w:cs="Tahoma"/>
                <w:i/>
                <w:sz w:val="24"/>
                <w:szCs w:val="24"/>
              </w:rPr>
              <w:t xml:space="preserve">Provisional mark: </w:t>
            </w:r>
          </w:p>
          <w:p w:rsidR="00AC5724" w:rsidRPr="0065654E" w:rsidRDefault="00AC5724" w:rsidP="003E1B67">
            <w:pPr>
              <w:pStyle w:val="NormalWeb"/>
              <w:spacing w:before="0" w:beforeAutospacing="0" w:after="0" w:afterAutospacing="0"/>
              <w:ind w:left="142" w:right="34"/>
              <w:rPr>
                <w:rFonts w:ascii="Calibri" w:hAnsi="Calibri" w:cs="Tahoma"/>
                <w:i/>
                <w:sz w:val="24"/>
                <w:szCs w:val="24"/>
              </w:rPr>
            </w:pPr>
            <w:r w:rsidRPr="0065654E">
              <w:rPr>
                <w:rFonts w:ascii="Calibri" w:hAnsi="Calibri" w:cs="Tahoma"/>
                <w:b/>
                <w:i/>
                <w:sz w:val="24"/>
                <w:szCs w:val="24"/>
              </w:rPr>
              <w:t>NB.</w:t>
            </w:r>
            <w:r w:rsidRPr="0065654E">
              <w:rPr>
                <w:rFonts w:ascii="Calibri" w:hAnsi="Calibri" w:cs="Tahoma"/>
                <w:i/>
                <w:sz w:val="24"/>
                <w:szCs w:val="24"/>
              </w:rPr>
              <w:t xml:space="preserve">  All marks are provisional until confirmed by the </w:t>
            </w:r>
            <w:r>
              <w:rPr>
                <w:rFonts w:ascii="Calibri" w:hAnsi="Calibri" w:cs="Tahoma"/>
                <w:i/>
                <w:sz w:val="24"/>
                <w:szCs w:val="24"/>
              </w:rPr>
              <w:t xml:space="preserve">final </w:t>
            </w:r>
            <w:r w:rsidRPr="0065654E">
              <w:rPr>
                <w:rFonts w:ascii="Calibri" w:hAnsi="Calibri" w:cs="Tahoma"/>
                <w:i/>
                <w:sz w:val="24"/>
                <w:szCs w:val="24"/>
              </w:rPr>
              <w:t>exam</w:t>
            </w:r>
            <w:r>
              <w:rPr>
                <w:rFonts w:ascii="Calibri" w:hAnsi="Calibri" w:cs="Tahoma"/>
                <w:i/>
                <w:sz w:val="24"/>
                <w:szCs w:val="24"/>
              </w:rPr>
              <w:t>ination</w:t>
            </w:r>
            <w:r w:rsidRPr="0065654E">
              <w:rPr>
                <w:rFonts w:ascii="Calibri" w:hAnsi="Calibri" w:cs="Tahoma"/>
                <w:i/>
                <w:sz w:val="24"/>
                <w:szCs w:val="24"/>
              </w:rPr>
              <w:t xml:space="preserve"> board. </w:t>
            </w:r>
          </w:p>
        </w:tc>
      </w:tr>
    </w:tbl>
    <w:p w:rsidR="00AC5724" w:rsidRDefault="00AC5724" w:rsidP="00817A44">
      <w:pPr>
        <w:spacing w:after="0" w:line="480" w:lineRule="auto"/>
        <w:rPr>
          <w:rFonts w:ascii="Georgia" w:hAnsi="Georgia"/>
          <w:sz w:val="24"/>
          <w:szCs w:val="24"/>
        </w:rPr>
      </w:pPr>
    </w:p>
    <w:p w:rsidR="00E11F02" w:rsidRPr="00863CDE" w:rsidRDefault="00E11F02" w:rsidP="00817A44">
      <w:pPr>
        <w:spacing w:after="0" w:line="480" w:lineRule="auto"/>
        <w:rPr>
          <w:rFonts w:ascii="Georgia" w:hAnsi="Georgia"/>
          <w:sz w:val="24"/>
          <w:szCs w:val="24"/>
        </w:rPr>
      </w:pPr>
      <w:r w:rsidRPr="00863CDE">
        <w:rPr>
          <w:rFonts w:ascii="Georgia" w:hAnsi="Georgia"/>
          <w:sz w:val="24"/>
          <w:szCs w:val="24"/>
        </w:rPr>
        <w:lastRenderedPageBreak/>
        <w:t>Mary Bowen-Perkins</w:t>
      </w:r>
      <w:r w:rsidR="00C9546A">
        <w:rPr>
          <w:rFonts w:ascii="Georgia" w:hAnsi="Georgia"/>
          <w:sz w:val="24"/>
          <w:szCs w:val="24"/>
        </w:rPr>
        <w:t xml:space="preserve"> (1601141)</w:t>
      </w:r>
    </w:p>
    <w:p w:rsidR="00026059" w:rsidRPr="00863CDE" w:rsidRDefault="0010206F" w:rsidP="00C9546A">
      <w:pPr>
        <w:tabs>
          <w:tab w:val="left" w:pos="3810"/>
        </w:tabs>
        <w:spacing w:after="0" w:line="480" w:lineRule="auto"/>
        <w:rPr>
          <w:rFonts w:ascii="Georgia" w:hAnsi="Georgia"/>
          <w:sz w:val="24"/>
          <w:szCs w:val="24"/>
        </w:rPr>
      </w:pPr>
      <w:r>
        <w:rPr>
          <w:rFonts w:ascii="Georgia" w:hAnsi="Georgia"/>
          <w:sz w:val="24"/>
          <w:szCs w:val="24"/>
        </w:rPr>
        <w:t>Critical and Cultural Theory</w:t>
      </w:r>
      <w:r w:rsidR="00C9546A">
        <w:rPr>
          <w:rFonts w:ascii="Georgia" w:hAnsi="Georgia"/>
          <w:sz w:val="24"/>
          <w:szCs w:val="24"/>
        </w:rPr>
        <w:t xml:space="preserve"> (CSEN</w:t>
      </w:r>
      <w:r>
        <w:rPr>
          <w:rFonts w:ascii="Georgia" w:hAnsi="Georgia"/>
          <w:sz w:val="24"/>
          <w:szCs w:val="24"/>
        </w:rPr>
        <w:t>5014</w:t>
      </w:r>
      <w:r w:rsidR="00C9546A">
        <w:rPr>
          <w:rFonts w:ascii="Georgia" w:hAnsi="Georgia"/>
          <w:sz w:val="24"/>
          <w:szCs w:val="24"/>
        </w:rPr>
        <w:t>)</w:t>
      </w:r>
      <w:r w:rsidR="00C9546A">
        <w:rPr>
          <w:rFonts w:ascii="Georgia" w:hAnsi="Georgia"/>
          <w:sz w:val="24"/>
          <w:szCs w:val="24"/>
        </w:rPr>
        <w:tab/>
      </w:r>
    </w:p>
    <w:p w:rsidR="00026059" w:rsidRPr="00863CDE" w:rsidRDefault="005A4AF7" w:rsidP="00817A44">
      <w:pPr>
        <w:spacing w:after="0" w:line="480" w:lineRule="auto"/>
        <w:rPr>
          <w:rFonts w:ascii="Georgia" w:hAnsi="Georgia"/>
          <w:sz w:val="24"/>
          <w:szCs w:val="24"/>
        </w:rPr>
      </w:pPr>
      <w:r>
        <w:rPr>
          <w:rFonts w:ascii="Georgia" w:hAnsi="Georgia"/>
          <w:sz w:val="24"/>
          <w:szCs w:val="24"/>
        </w:rPr>
        <w:t>30</w:t>
      </w:r>
      <w:r w:rsidR="0010206F" w:rsidRPr="0010206F">
        <w:rPr>
          <w:rFonts w:ascii="Georgia" w:hAnsi="Georgia"/>
          <w:sz w:val="24"/>
          <w:szCs w:val="24"/>
          <w:vertAlign w:val="superscript"/>
        </w:rPr>
        <w:t>th</w:t>
      </w:r>
      <w:r w:rsidR="0010206F">
        <w:rPr>
          <w:rFonts w:ascii="Georgia" w:hAnsi="Georgia"/>
          <w:sz w:val="24"/>
          <w:szCs w:val="24"/>
        </w:rPr>
        <w:t xml:space="preserve"> November 2017</w:t>
      </w:r>
    </w:p>
    <w:p w:rsidR="00026059" w:rsidRPr="00863CDE" w:rsidRDefault="00026059" w:rsidP="00817A44">
      <w:pPr>
        <w:spacing w:after="0" w:line="480" w:lineRule="auto"/>
        <w:rPr>
          <w:rFonts w:ascii="Georgia" w:hAnsi="Georgia"/>
          <w:bCs/>
          <w:sz w:val="24"/>
          <w:szCs w:val="24"/>
          <w:shd w:val="clear" w:color="auto" w:fill="FFFFFF"/>
        </w:rPr>
      </w:pPr>
      <w:r w:rsidRPr="00863CDE">
        <w:rPr>
          <w:rFonts w:ascii="Georgia" w:hAnsi="Georgia"/>
          <w:sz w:val="24"/>
          <w:szCs w:val="24"/>
        </w:rPr>
        <w:t xml:space="preserve">Assignment: </w:t>
      </w:r>
      <w:r w:rsidR="00CE740B">
        <w:rPr>
          <w:rFonts w:ascii="Georgia" w:hAnsi="Georgia"/>
          <w:sz w:val="24"/>
          <w:szCs w:val="24"/>
        </w:rPr>
        <w:t xml:space="preserve">Essay </w:t>
      </w:r>
      <w:r w:rsidR="00B9195D">
        <w:rPr>
          <w:rFonts w:ascii="Georgia" w:hAnsi="Georgia"/>
          <w:sz w:val="24"/>
          <w:szCs w:val="24"/>
        </w:rPr>
        <w:t xml:space="preserve">- </w:t>
      </w:r>
      <w:r w:rsidR="00A81D9F" w:rsidRPr="00A81D9F">
        <w:rPr>
          <w:rFonts w:ascii="Georgia" w:hAnsi="Georgia"/>
          <w:sz w:val="24"/>
          <w:szCs w:val="24"/>
        </w:rPr>
        <w:t>Explore some of the ways in which the encounter with post-structuralism has changed psychoanalytic approaches to literature, for example, by placing greater emphasis on the literary work’s ‘literariness’ and indeterminacy of meaning. In your considered opinion, how does this encounter re-shape the relationship between literature and psychoanalytic theory? Illustrate your answer with reference to psychoanalytic criticism of Hoffman’s short story, ‘The Sandman’.</w:t>
      </w:r>
    </w:p>
    <w:p w:rsidR="00E7589F" w:rsidRPr="00863CDE" w:rsidRDefault="00E7589F" w:rsidP="00817A44">
      <w:pPr>
        <w:spacing w:after="0" w:line="480" w:lineRule="auto"/>
        <w:rPr>
          <w:rFonts w:ascii="Georgia" w:hAnsi="Georgia"/>
        </w:rPr>
      </w:pPr>
    </w:p>
    <w:p w:rsidR="0014185B" w:rsidRPr="00863CDE" w:rsidRDefault="00BF0BCC" w:rsidP="00817A44">
      <w:pPr>
        <w:spacing w:line="480" w:lineRule="auto"/>
        <w:jc w:val="center"/>
        <w:rPr>
          <w:rFonts w:ascii="Georgia" w:hAnsi="Georgia"/>
          <w:sz w:val="28"/>
          <w:szCs w:val="28"/>
        </w:rPr>
      </w:pPr>
      <w:r>
        <w:rPr>
          <w:rFonts w:ascii="Georgia" w:hAnsi="Georgia"/>
          <w:sz w:val="28"/>
          <w:szCs w:val="28"/>
        </w:rPr>
        <w:t xml:space="preserve">Freud vs. Hertz: </w:t>
      </w:r>
      <w:r w:rsidR="005A4AF7" w:rsidRPr="005A4AF7">
        <w:rPr>
          <w:rFonts w:ascii="Georgia" w:hAnsi="Georgia"/>
          <w:sz w:val="28"/>
          <w:szCs w:val="28"/>
        </w:rPr>
        <w:t>Psychoanalysis Against Post-Structuralism</w:t>
      </w:r>
    </w:p>
    <w:p w:rsidR="00056C25" w:rsidRDefault="002C2075" w:rsidP="0010206F">
      <w:pPr>
        <w:shd w:val="clear" w:color="auto" w:fill="FFFFFF"/>
        <w:spacing w:after="0" w:line="480" w:lineRule="auto"/>
        <w:jc w:val="both"/>
        <w:rPr>
          <w:rFonts w:ascii="Georgia" w:hAnsi="Georgia"/>
          <w:sz w:val="24"/>
          <w:szCs w:val="24"/>
        </w:rPr>
      </w:pPr>
      <w:r>
        <w:rPr>
          <w:rFonts w:ascii="Georgia" w:hAnsi="Georgia"/>
          <w:sz w:val="24"/>
          <w:szCs w:val="24"/>
        </w:rPr>
        <w:t>Liter</w:t>
      </w:r>
      <w:r w:rsidR="00513F53">
        <w:rPr>
          <w:rFonts w:ascii="Georgia" w:hAnsi="Georgia"/>
          <w:sz w:val="24"/>
          <w:szCs w:val="24"/>
        </w:rPr>
        <w:t xml:space="preserve">ature is an area of study which can be approached from </w:t>
      </w:r>
      <w:r w:rsidR="00FD2A93">
        <w:rPr>
          <w:rFonts w:ascii="Georgia" w:hAnsi="Georgia"/>
          <w:sz w:val="24"/>
          <w:szCs w:val="24"/>
        </w:rPr>
        <w:t>m</w:t>
      </w:r>
      <w:r w:rsidR="00513F53">
        <w:rPr>
          <w:rFonts w:ascii="Georgia" w:hAnsi="Georgia"/>
          <w:sz w:val="24"/>
          <w:szCs w:val="24"/>
        </w:rPr>
        <w:t xml:space="preserve">any different angles. Over the years, whole schools of thought have been born out of or applied to the study of literary works. </w:t>
      </w:r>
      <w:r w:rsidR="00FF1C26">
        <w:rPr>
          <w:rFonts w:ascii="Georgia" w:hAnsi="Georgia"/>
          <w:sz w:val="24"/>
          <w:szCs w:val="24"/>
        </w:rPr>
        <w:t xml:space="preserve">However, not all schools are created equal. Some approaches have fallen out of favour over time, while others have been absorbed into later theories. </w:t>
      </w:r>
      <w:r w:rsidR="003722CC">
        <w:rPr>
          <w:rFonts w:ascii="Georgia" w:hAnsi="Georgia"/>
          <w:sz w:val="24"/>
          <w:szCs w:val="24"/>
        </w:rPr>
        <w:t xml:space="preserve">Structuralism and post-structuralism are examples of theories which continue to influence literary analysis today, although they have not existed in a vacuum over the years. Post-structuralism has naturally come out of structuralism, and the two schools of thought </w:t>
      </w:r>
      <w:r w:rsidR="00AF3424">
        <w:rPr>
          <w:rFonts w:ascii="Georgia" w:hAnsi="Georgia"/>
          <w:sz w:val="24"/>
          <w:szCs w:val="24"/>
        </w:rPr>
        <w:t xml:space="preserve">have both evolved and been modified as newer theorists take on their approaches. In addition, they have also influenced other approaches. </w:t>
      </w:r>
      <w:r w:rsidR="007735BB">
        <w:rPr>
          <w:rFonts w:ascii="Georgia" w:hAnsi="Georgia"/>
          <w:sz w:val="24"/>
          <w:szCs w:val="24"/>
        </w:rPr>
        <w:t xml:space="preserve">Just one of these examples is that of literary psychoanalysis, which has been shaped by structuralism and arguably </w:t>
      </w:r>
      <w:r w:rsidR="00FD2A93">
        <w:rPr>
          <w:rFonts w:ascii="Georgia" w:hAnsi="Georgia"/>
          <w:sz w:val="24"/>
          <w:szCs w:val="24"/>
        </w:rPr>
        <w:t>clashed</w:t>
      </w:r>
      <w:r w:rsidR="007735BB">
        <w:rPr>
          <w:rFonts w:ascii="Georgia" w:hAnsi="Georgia"/>
          <w:sz w:val="24"/>
          <w:szCs w:val="24"/>
        </w:rPr>
        <w:t xml:space="preserve"> with post-structuralism. </w:t>
      </w:r>
      <w:r w:rsidR="00101FA6">
        <w:rPr>
          <w:rFonts w:ascii="Georgia" w:hAnsi="Georgia"/>
          <w:sz w:val="24"/>
          <w:szCs w:val="24"/>
        </w:rPr>
        <w:t xml:space="preserve">Although psychoanalysis is an older discipline and deeply embedded in the world of literary criticism, the deconstructive power of </w:t>
      </w:r>
      <w:r w:rsidR="00101FA6">
        <w:rPr>
          <w:rFonts w:ascii="Georgia" w:hAnsi="Georgia"/>
          <w:sz w:val="24"/>
          <w:szCs w:val="24"/>
        </w:rPr>
        <w:lastRenderedPageBreak/>
        <w:t xml:space="preserve">post-structuralism threatens to undermine its validity. </w:t>
      </w:r>
      <w:r w:rsidR="007735BB">
        <w:rPr>
          <w:rFonts w:ascii="Georgia" w:hAnsi="Georgia"/>
          <w:sz w:val="24"/>
          <w:szCs w:val="24"/>
        </w:rPr>
        <w:t xml:space="preserve">In this essay, we will </w:t>
      </w:r>
      <w:proofErr w:type="gramStart"/>
      <w:r w:rsidR="007735BB">
        <w:rPr>
          <w:rFonts w:ascii="Georgia" w:hAnsi="Georgia"/>
          <w:sz w:val="24"/>
          <w:szCs w:val="24"/>
        </w:rPr>
        <w:t>take a look</w:t>
      </w:r>
      <w:proofErr w:type="gramEnd"/>
      <w:r w:rsidR="007735BB">
        <w:rPr>
          <w:rFonts w:ascii="Georgia" w:hAnsi="Georgia"/>
          <w:sz w:val="24"/>
          <w:szCs w:val="24"/>
        </w:rPr>
        <w:t xml:space="preserve"> at the origins and definitions of each of these approaches, before considering the way in which they interact with each other. Finally, we will give specific attention to the conflict between psychoanalysis and post-structuralism, as exemplified in Neil Hertz’s essay on </w:t>
      </w:r>
      <w:r w:rsidR="007735BB" w:rsidRPr="007735BB">
        <w:rPr>
          <w:rFonts w:ascii="Georgia" w:hAnsi="Georgia"/>
          <w:i/>
          <w:sz w:val="24"/>
          <w:szCs w:val="24"/>
        </w:rPr>
        <w:t>Freud and the Sandman</w:t>
      </w:r>
      <w:r w:rsidR="007735BB">
        <w:rPr>
          <w:rFonts w:ascii="Georgia" w:hAnsi="Georgia"/>
          <w:sz w:val="24"/>
          <w:szCs w:val="24"/>
        </w:rPr>
        <w:t>.</w:t>
      </w:r>
      <w:r w:rsidR="00024C1D">
        <w:rPr>
          <w:rFonts w:ascii="Georgia" w:hAnsi="Georgia"/>
          <w:sz w:val="24"/>
          <w:szCs w:val="24"/>
        </w:rPr>
        <w:t xml:space="preserve"> In doing so, we will examine the comparative value of the two theories, and whether it is possible for them to coexist at all. </w:t>
      </w:r>
    </w:p>
    <w:p w:rsidR="0025655B" w:rsidRDefault="003E1B67" w:rsidP="00E62915">
      <w:pPr>
        <w:shd w:val="clear" w:color="auto" w:fill="FFFFFF"/>
        <w:spacing w:after="0" w:line="480" w:lineRule="auto"/>
        <w:ind w:firstLine="720"/>
        <w:jc w:val="both"/>
        <w:rPr>
          <w:rFonts w:ascii="Georgia" w:hAnsi="Georgia"/>
          <w:sz w:val="24"/>
          <w:szCs w:val="24"/>
        </w:rPr>
      </w:pPr>
      <w:r>
        <w:rPr>
          <w:rFonts w:ascii="Georgia" w:hAnsi="Georgia"/>
          <w:sz w:val="24"/>
          <w:szCs w:val="24"/>
        </w:rPr>
        <w:t xml:space="preserve">Before we can </w:t>
      </w:r>
      <w:proofErr w:type="gramStart"/>
      <w:r>
        <w:rPr>
          <w:rFonts w:ascii="Georgia" w:hAnsi="Georgia"/>
          <w:sz w:val="24"/>
          <w:szCs w:val="24"/>
        </w:rPr>
        <w:t>enter into</w:t>
      </w:r>
      <w:proofErr w:type="gramEnd"/>
      <w:r>
        <w:rPr>
          <w:rFonts w:ascii="Georgia" w:hAnsi="Georgia"/>
          <w:sz w:val="24"/>
          <w:szCs w:val="24"/>
        </w:rPr>
        <w:t xml:space="preserve"> any kind of depth when it comes to discussing literary theories, it would seem a wise idea </w:t>
      </w:r>
      <w:r w:rsidR="00700791">
        <w:rPr>
          <w:rFonts w:ascii="Georgia" w:hAnsi="Georgia"/>
          <w:sz w:val="24"/>
          <w:szCs w:val="24"/>
        </w:rPr>
        <w:t>to</w:t>
      </w:r>
      <w:r>
        <w:rPr>
          <w:rFonts w:ascii="Georgia" w:hAnsi="Georgia"/>
          <w:sz w:val="24"/>
          <w:szCs w:val="24"/>
        </w:rPr>
        <w:t xml:space="preserve"> define them</w:t>
      </w:r>
      <w:r w:rsidR="00700791">
        <w:rPr>
          <w:rFonts w:ascii="Georgia" w:hAnsi="Georgia"/>
          <w:sz w:val="24"/>
          <w:szCs w:val="24"/>
        </w:rPr>
        <w:t xml:space="preserve"> first</w:t>
      </w:r>
      <w:r>
        <w:rPr>
          <w:rFonts w:ascii="Georgia" w:hAnsi="Georgia"/>
          <w:sz w:val="24"/>
          <w:szCs w:val="24"/>
        </w:rPr>
        <w:t xml:space="preserve">. This is a somewhat ambitious goal, since </w:t>
      </w:r>
      <w:r w:rsidR="00576526">
        <w:rPr>
          <w:rFonts w:ascii="Georgia" w:hAnsi="Georgia"/>
          <w:sz w:val="24"/>
          <w:szCs w:val="24"/>
        </w:rPr>
        <w:t xml:space="preserve">theoretical approaches to literature are often not defined by their labels so much as they themselves define the categories. That said, it is still important to have an idea of the context in which these theories operate and how they relate to each other. There is a good deal of overlap between the different schools of thought, both chronologically and ideologically. </w:t>
      </w:r>
      <w:r w:rsidR="00B60571">
        <w:rPr>
          <w:rFonts w:ascii="Georgia" w:hAnsi="Georgia"/>
          <w:sz w:val="24"/>
          <w:szCs w:val="24"/>
        </w:rPr>
        <w:t xml:space="preserve">Over time, as the various approaches began to surface, they tended to incorporate elements of the theories that had gone before them, while those original theories continued to exist and develop. </w:t>
      </w:r>
      <w:r w:rsidR="0025655B">
        <w:rPr>
          <w:rFonts w:ascii="Georgia" w:hAnsi="Georgia"/>
          <w:sz w:val="24"/>
          <w:szCs w:val="24"/>
        </w:rPr>
        <w:t xml:space="preserve">We should take care to bear this in mind as we examine the origins and definitions of these </w:t>
      </w:r>
      <w:r w:rsidR="00700791">
        <w:rPr>
          <w:rFonts w:ascii="Georgia" w:hAnsi="Georgia"/>
          <w:sz w:val="24"/>
          <w:szCs w:val="24"/>
        </w:rPr>
        <w:t>branches of analysis</w:t>
      </w:r>
      <w:r w:rsidR="0025655B">
        <w:rPr>
          <w:rFonts w:ascii="Georgia" w:hAnsi="Georgia"/>
          <w:sz w:val="24"/>
          <w:szCs w:val="24"/>
        </w:rPr>
        <w:t>.</w:t>
      </w:r>
    </w:p>
    <w:p w:rsidR="003E1B67" w:rsidRDefault="00CE31C1" w:rsidP="0025655B">
      <w:pPr>
        <w:shd w:val="clear" w:color="auto" w:fill="FFFFFF"/>
        <w:spacing w:after="0" w:line="480" w:lineRule="auto"/>
        <w:ind w:firstLine="720"/>
        <w:jc w:val="both"/>
        <w:rPr>
          <w:rFonts w:ascii="Georgia" w:hAnsi="Georgia"/>
          <w:sz w:val="24"/>
          <w:szCs w:val="24"/>
        </w:rPr>
      </w:pPr>
      <w:r>
        <w:rPr>
          <w:rFonts w:ascii="Georgia" w:hAnsi="Georgia"/>
          <w:sz w:val="24"/>
          <w:szCs w:val="24"/>
        </w:rPr>
        <w:t>The three main theories which we will consider in this essay – structuralism, psychoanalysis, and post-structuralism – originated in roughly the 1920s, 1930s, and 1960s, respectively.</w:t>
      </w:r>
      <w:r>
        <w:rPr>
          <w:rStyle w:val="FootnoteReference"/>
          <w:rFonts w:ascii="Georgia" w:hAnsi="Georgia"/>
          <w:sz w:val="24"/>
          <w:szCs w:val="24"/>
        </w:rPr>
        <w:footnoteReference w:id="1"/>
      </w:r>
      <w:r w:rsidR="0025655B">
        <w:rPr>
          <w:rFonts w:ascii="Georgia" w:hAnsi="Georgia"/>
          <w:sz w:val="24"/>
          <w:szCs w:val="24"/>
        </w:rPr>
        <w:t xml:space="preserve"> Structuralism came first, with one of its major figures being the linguist Ferdinand de Saussure, who worked in the late 19</w:t>
      </w:r>
      <w:r w:rsidR="0025655B" w:rsidRPr="0025655B">
        <w:rPr>
          <w:rFonts w:ascii="Georgia" w:hAnsi="Georgia"/>
          <w:sz w:val="24"/>
          <w:szCs w:val="24"/>
          <w:vertAlign w:val="superscript"/>
        </w:rPr>
        <w:t>th</w:t>
      </w:r>
      <w:r w:rsidR="0025655B">
        <w:rPr>
          <w:rFonts w:ascii="Georgia" w:hAnsi="Georgia"/>
          <w:sz w:val="24"/>
          <w:szCs w:val="24"/>
        </w:rPr>
        <w:t xml:space="preserve"> and early 20</w:t>
      </w:r>
      <w:r w:rsidR="0025655B" w:rsidRPr="0025655B">
        <w:rPr>
          <w:rFonts w:ascii="Georgia" w:hAnsi="Georgia"/>
          <w:sz w:val="24"/>
          <w:szCs w:val="24"/>
          <w:vertAlign w:val="superscript"/>
        </w:rPr>
        <w:t>th</w:t>
      </w:r>
      <w:r w:rsidR="0025655B">
        <w:rPr>
          <w:rFonts w:ascii="Georgia" w:hAnsi="Georgia"/>
          <w:sz w:val="24"/>
          <w:szCs w:val="24"/>
        </w:rPr>
        <w:t xml:space="preserve"> centuries. It was closely allied to the field of semiotics, basing its approach primarily on analysis of the signs and systems upon which language is built. In contrast to </w:t>
      </w:r>
      <w:r w:rsidR="00A51126">
        <w:rPr>
          <w:rFonts w:ascii="Georgia" w:hAnsi="Georgia"/>
          <w:sz w:val="24"/>
          <w:szCs w:val="24"/>
        </w:rPr>
        <w:t xml:space="preserve">literary criticism that </w:t>
      </w:r>
      <w:r w:rsidR="00A51126">
        <w:rPr>
          <w:rFonts w:ascii="Georgia" w:hAnsi="Georgia"/>
          <w:sz w:val="24"/>
          <w:szCs w:val="24"/>
        </w:rPr>
        <w:lastRenderedPageBreak/>
        <w:t>focused on the meaning of a text, structuralism went to the source, looking instead at the text itself. Structuralism in this sense could be said to be more concerned with the ‘how’ than the ‘what’ of a text’s meaning.</w:t>
      </w:r>
      <w:r w:rsidR="00867E9C">
        <w:rPr>
          <w:rStyle w:val="FootnoteReference"/>
          <w:rFonts w:ascii="Georgia" w:hAnsi="Georgia"/>
          <w:sz w:val="24"/>
          <w:szCs w:val="24"/>
        </w:rPr>
        <w:footnoteReference w:id="2"/>
      </w:r>
      <w:r w:rsidR="00A51126">
        <w:rPr>
          <w:rFonts w:ascii="Georgia" w:hAnsi="Georgia"/>
          <w:sz w:val="24"/>
          <w:szCs w:val="24"/>
        </w:rPr>
        <w:t xml:space="preserve"> </w:t>
      </w:r>
    </w:p>
    <w:p w:rsidR="00513729" w:rsidRDefault="00513729" w:rsidP="0025655B">
      <w:pPr>
        <w:shd w:val="clear" w:color="auto" w:fill="FFFFFF"/>
        <w:spacing w:after="0" w:line="480" w:lineRule="auto"/>
        <w:ind w:firstLine="720"/>
        <w:jc w:val="both"/>
        <w:rPr>
          <w:rFonts w:ascii="Georgia" w:hAnsi="Georgia"/>
          <w:sz w:val="24"/>
          <w:szCs w:val="24"/>
        </w:rPr>
      </w:pPr>
      <w:r>
        <w:rPr>
          <w:rFonts w:ascii="Georgia" w:hAnsi="Georgia"/>
          <w:sz w:val="24"/>
          <w:szCs w:val="24"/>
        </w:rPr>
        <w:t xml:space="preserve">Unlike structuralism, psychoanalytic literary theory was </w:t>
      </w:r>
      <w:r w:rsidR="000F3F29">
        <w:rPr>
          <w:rFonts w:ascii="Georgia" w:hAnsi="Georgia"/>
          <w:sz w:val="24"/>
          <w:szCs w:val="24"/>
        </w:rPr>
        <w:t>thoroughly</w:t>
      </w:r>
      <w:r>
        <w:rPr>
          <w:rFonts w:ascii="Georgia" w:hAnsi="Georgia"/>
          <w:sz w:val="24"/>
          <w:szCs w:val="24"/>
        </w:rPr>
        <w:t xml:space="preserve"> concerned with the </w:t>
      </w:r>
      <w:r w:rsidR="005C3C71">
        <w:rPr>
          <w:rFonts w:ascii="Georgia" w:hAnsi="Georgia"/>
          <w:sz w:val="24"/>
          <w:szCs w:val="24"/>
        </w:rPr>
        <w:t xml:space="preserve">non-literal </w:t>
      </w:r>
      <w:r>
        <w:rPr>
          <w:rFonts w:ascii="Georgia" w:hAnsi="Georgia"/>
          <w:sz w:val="24"/>
          <w:szCs w:val="24"/>
        </w:rPr>
        <w:t xml:space="preserve">meaning of a text. </w:t>
      </w:r>
      <w:proofErr w:type="gramStart"/>
      <w:r>
        <w:rPr>
          <w:rFonts w:ascii="Georgia" w:hAnsi="Georgia"/>
          <w:sz w:val="24"/>
          <w:szCs w:val="24"/>
        </w:rPr>
        <w:t>In particular, psychoanalytic</w:t>
      </w:r>
      <w:proofErr w:type="gramEnd"/>
      <w:r>
        <w:rPr>
          <w:rFonts w:ascii="Georgia" w:hAnsi="Georgia"/>
          <w:sz w:val="24"/>
          <w:szCs w:val="24"/>
        </w:rPr>
        <w:t xml:space="preserve"> critics sought the meaning of a work’s subtext. To find it, they might attempt to psychoanalyse either the author or a character, drawing heavily on the examples of literature and mythology, such as </w:t>
      </w:r>
      <w:r w:rsidR="00BE05FE">
        <w:rPr>
          <w:rFonts w:ascii="Georgia" w:hAnsi="Georgia"/>
          <w:sz w:val="24"/>
          <w:szCs w:val="24"/>
        </w:rPr>
        <w:t xml:space="preserve">in </w:t>
      </w:r>
      <w:r>
        <w:rPr>
          <w:rFonts w:ascii="Georgia" w:hAnsi="Georgia"/>
          <w:sz w:val="24"/>
          <w:szCs w:val="24"/>
        </w:rPr>
        <w:t xml:space="preserve">Freud’s famous reference to the legendary Greek king in his naming of the psychological Oedipus complex. </w:t>
      </w:r>
      <w:r w:rsidR="00650C97">
        <w:rPr>
          <w:rFonts w:ascii="Georgia" w:hAnsi="Georgia"/>
          <w:sz w:val="24"/>
          <w:szCs w:val="24"/>
        </w:rPr>
        <w:t xml:space="preserve">Due to their </w:t>
      </w:r>
      <w:r w:rsidR="00D47006">
        <w:rPr>
          <w:rFonts w:ascii="Georgia" w:hAnsi="Georgia"/>
          <w:sz w:val="24"/>
          <w:szCs w:val="24"/>
        </w:rPr>
        <w:t xml:space="preserve">apparently opposing focus on different areas of a text, psychoanalysis and structuralism might seem incompatible. However, there have been </w:t>
      </w:r>
      <w:proofErr w:type="gramStart"/>
      <w:r w:rsidR="00D47006">
        <w:rPr>
          <w:rFonts w:ascii="Georgia" w:hAnsi="Georgia"/>
          <w:sz w:val="24"/>
          <w:szCs w:val="24"/>
        </w:rPr>
        <w:t>a number of</w:t>
      </w:r>
      <w:proofErr w:type="gramEnd"/>
      <w:r w:rsidR="00D47006">
        <w:rPr>
          <w:rFonts w:ascii="Georgia" w:hAnsi="Georgia"/>
          <w:sz w:val="24"/>
          <w:szCs w:val="24"/>
        </w:rPr>
        <w:t xml:space="preserve"> theorists – most notably Jacques Lacan – who did </w:t>
      </w:r>
      <w:r w:rsidR="004B3640">
        <w:rPr>
          <w:rFonts w:ascii="Georgia" w:hAnsi="Georgia"/>
          <w:sz w:val="24"/>
          <w:szCs w:val="24"/>
        </w:rPr>
        <w:t>attemp</w:t>
      </w:r>
      <w:r w:rsidR="00D47006">
        <w:rPr>
          <w:rFonts w:ascii="Georgia" w:hAnsi="Georgia"/>
          <w:sz w:val="24"/>
          <w:szCs w:val="24"/>
        </w:rPr>
        <w:t xml:space="preserve">t to </w:t>
      </w:r>
      <w:r w:rsidR="004B3640">
        <w:rPr>
          <w:rFonts w:ascii="Georgia" w:hAnsi="Georgia"/>
          <w:sz w:val="24"/>
          <w:szCs w:val="24"/>
        </w:rPr>
        <w:t>combine</w:t>
      </w:r>
      <w:r w:rsidR="00D47006">
        <w:rPr>
          <w:rFonts w:ascii="Georgia" w:hAnsi="Georgia"/>
          <w:sz w:val="24"/>
          <w:szCs w:val="24"/>
        </w:rPr>
        <w:t xml:space="preserve"> the two.</w:t>
      </w:r>
      <w:r w:rsidR="00F04F61">
        <w:rPr>
          <w:rStyle w:val="FootnoteReference"/>
          <w:rFonts w:ascii="Georgia" w:hAnsi="Georgia"/>
          <w:sz w:val="24"/>
          <w:szCs w:val="24"/>
        </w:rPr>
        <w:footnoteReference w:id="3"/>
      </w:r>
    </w:p>
    <w:p w:rsidR="00DF25F6" w:rsidRDefault="00F04F61" w:rsidP="0025655B">
      <w:pPr>
        <w:shd w:val="clear" w:color="auto" w:fill="FFFFFF"/>
        <w:spacing w:after="0" w:line="480" w:lineRule="auto"/>
        <w:ind w:firstLine="720"/>
        <w:jc w:val="both"/>
        <w:rPr>
          <w:rFonts w:ascii="Georgia" w:hAnsi="Georgia"/>
          <w:sz w:val="24"/>
          <w:szCs w:val="24"/>
        </w:rPr>
      </w:pPr>
      <w:r>
        <w:rPr>
          <w:rFonts w:ascii="Georgia" w:hAnsi="Georgia"/>
          <w:sz w:val="24"/>
          <w:szCs w:val="24"/>
        </w:rPr>
        <w:t xml:space="preserve">Some decades after psychoanalysis had established itself as a form of literary criticism, post-structuralism was born. As its name implies, this approach was based on the theories already underpinning structuralism, although it </w:t>
      </w:r>
      <w:r w:rsidR="00D436F3">
        <w:rPr>
          <w:rFonts w:ascii="Georgia" w:hAnsi="Georgia"/>
          <w:sz w:val="24"/>
          <w:szCs w:val="24"/>
        </w:rPr>
        <w:t xml:space="preserve">was also strongly critical of elements of its parent school of criticism. Post-structuralists rejected the structuralist claims to objectivity and authority as a system, refusing any theory’s claim to supremacy by instead stressing the instability of language and </w:t>
      </w:r>
      <w:r w:rsidR="00545D4B">
        <w:rPr>
          <w:rFonts w:ascii="Georgia" w:hAnsi="Georgia"/>
          <w:sz w:val="24"/>
          <w:szCs w:val="24"/>
        </w:rPr>
        <w:t>the</w:t>
      </w:r>
      <w:r w:rsidR="00D436F3">
        <w:rPr>
          <w:rFonts w:ascii="Georgia" w:hAnsi="Georgia"/>
          <w:sz w:val="24"/>
          <w:szCs w:val="24"/>
        </w:rPr>
        <w:t xml:space="preserve"> impossibility </w:t>
      </w:r>
      <w:r w:rsidR="00545D4B">
        <w:rPr>
          <w:rFonts w:ascii="Georgia" w:hAnsi="Georgia"/>
          <w:sz w:val="24"/>
          <w:szCs w:val="24"/>
        </w:rPr>
        <w:t xml:space="preserve">of trying </w:t>
      </w:r>
      <w:r w:rsidR="00D436F3">
        <w:rPr>
          <w:rFonts w:ascii="Georgia" w:hAnsi="Georgia"/>
          <w:sz w:val="24"/>
          <w:szCs w:val="24"/>
        </w:rPr>
        <w:t xml:space="preserve">to pin </w:t>
      </w:r>
      <w:r w:rsidR="00545D4B">
        <w:rPr>
          <w:rFonts w:ascii="Georgia" w:hAnsi="Georgia"/>
          <w:sz w:val="24"/>
          <w:szCs w:val="24"/>
        </w:rPr>
        <w:t xml:space="preserve">it </w:t>
      </w:r>
      <w:r w:rsidR="00D436F3">
        <w:rPr>
          <w:rFonts w:ascii="Georgia" w:hAnsi="Georgia"/>
          <w:sz w:val="24"/>
          <w:szCs w:val="24"/>
        </w:rPr>
        <w:t>down to a</w:t>
      </w:r>
      <w:r w:rsidR="00C02106">
        <w:rPr>
          <w:rFonts w:ascii="Georgia" w:hAnsi="Georgia"/>
          <w:sz w:val="24"/>
          <w:szCs w:val="24"/>
        </w:rPr>
        <w:t>ny</w:t>
      </w:r>
      <w:r w:rsidR="00D436F3">
        <w:rPr>
          <w:rFonts w:ascii="Georgia" w:hAnsi="Georgia"/>
          <w:sz w:val="24"/>
          <w:szCs w:val="24"/>
        </w:rPr>
        <w:t xml:space="preserve"> single</w:t>
      </w:r>
      <w:r w:rsidR="00A03CAB">
        <w:rPr>
          <w:rFonts w:ascii="Georgia" w:hAnsi="Georgia"/>
          <w:sz w:val="24"/>
          <w:szCs w:val="24"/>
        </w:rPr>
        <w:t>, definitive</w:t>
      </w:r>
      <w:r w:rsidR="00D436F3">
        <w:rPr>
          <w:rFonts w:ascii="Georgia" w:hAnsi="Georgia"/>
          <w:sz w:val="24"/>
          <w:szCs w:val="24"/>
        </w:rPr>
        <w:t xml:space="preserve"> meaning.</w:t>
      </w:r>
      <w:r w:rsidR="0062144A">
        <w:rPr>
          <w:rStyle w:val="FootnoteReference"/>
          <w:rFonts w:ascii="Georgia" w:hAnsi="Georgia"/>
          <w:sz w:val="24"/>
          <w:szCs w:val="24"/>
        </w:rPr>
        <w:footnoteReference w:id="4"/>
      </w:r>
      <w:r w:rsidR="0062144A">
        <w:rPr>
          <w:rFonts w:ascii="Georgia" w:hAnsi="Georgia"/>
          <w:sz w:val="24"/>
          <w:szCs w:val="24"/>
        </w:rPr>
        <w:t xml:space="preserve"> </w:t>
      </w:r>
      <w:r w:rsidR="00741E65">
        <w:rPr>
          <w:rFonts w:ascii="Georgia" w:hAnsi="Georgia"/>
          <w:sz w:val="24"/>
          <w:szCs w:val="24"/>
        </w:rPr>
        <w:t xml:space="preserve"> Central to the post-structuralist </w:t>
      </w:r>
      <w:r w:rsidR="0062144A">
        <w:rPr>
          <w:rFonts w:ascii="Georgia" w:hAnsi="Georgia"/>
          <w:sz w:val="24"/>
          <w:szCs w:val="24"/>
        </w:rPr>
        <w:t>school</w:t>
      </w:r>
      <w:r w:rsidR="00741E65">
        <w:rPr>
          <w:rFonts w:ascii="Georgia" w:hAnsi="Georgia"/>
          <w:sz w:val="24"/>
          <w:szCs w:val="24"/>
        </w:rPr>
        <w:t xml:space="preserve"> is the</w:t>
      </w:r>
      <w:r w:rsidR="00C02106">
        <w:rPr>
          <w:rFonts w:ascii="Georgia" w:hAnsi="Georgia"/>
          <w:sz w:val="24"/>
          <w:szCs w:val="24"/>
        </w:rPr>
        <w:t xml:space="preserve"> </w:t>
      </w:r>
      <w:r w:rsidR="0062144A">
        <w:rPr>
          <w:rFonts w:ascii="Georgia" w:hAnsi="Georgia"/>
          <w:sz w:val="24"/>
          <w:szCs w:val="24"/>
        </w:rPr>
        <w:lastRenderedPageBreak/>
        <w:t>method</w:t>
      </w:r>
      <w:r w:rsidR="00741E65">
        <w:rPr>
          <w:rFonts w:ascii="Georgia" w:hAnsi="Georgia"/>
          <w:sz w:val="24"/>
          <w:szCs w:val="24"/>
        </w:rPr>
        <w:t xml:space="preserve"> of deconstruction,</w:t>
      </w:r>
      <w:r w:rsidR="00D436F3">
        <w:rPr>
          <w:rFonts w:ascii="Georgia" w:hAnsi="Georgia"/>
          <w:sz w:val="24"/>
          <w:szCs w:val="24"/>
        </w:rPr>
        <w:t xml:space="preserve"> </w:t>
      </w:r>
      <w:r w:rsidR="0062144A">
        <w:rPr>
          <w:rFonts w:ascii="Georgia" w:hAnsi="Georgia"/>
          <w:sz w:val="24"/>
          <w:szCs w:val="24"/>
        </w:rPr>
        <w:t xml:space="preserve">by which its practitioners use the </w:t>
      </w:r>
      <w:proofErr w:type="gramStart"/>
      <w:r w:rsidR="0062144A">
        <w:rPr>
          <w:rFonts w:ascii="Georgia" w:hAnsi="Georgia"/>
          <w:sz w:val="24"/>
          <w:szCs w:val="24"/>
        </w:rPr>
        <w:t>aforementioned belief</w:t>
      </w:r>
      <w:proofErr w:type="gramEnd"/>
      <w:r w:rsidR="0062144A">
        <w:rPr>
          <w:rFonts w:ascii="Georgia" w:hAnsi="Georgia"/>
          <w:sz w:val="24"/>
          <w:szCs w:val="24"/>
        </w:rPr>
        <w:t xml:space="preserve"> in the uncertainty of language to destabilise any attempts to derive meaning from a work.</w:t>
      </w:r>
      <w:r w:rsidR="00B4179A">
        <w:rPr>
          <w:rStyle w:val="FootnoteReference"/>
          <w:rFonts w:ascii="Georgia" w:hAnsi="Georgia"/>
          <w:sz w:val="24"/>
          <w:szCs w:val="24"/>
        </w:rPr>
        <w:footnoteReference w:id="5"/>
      </w:r>
    </w:p>
    <w:p w:rsidR="00B67CAD" w:rsidRDefault="0047683A" w:rsidP="0025655B">
      <w:pPr>
        <w:shd w:val="clear" w:color="auto" w:fill="FFFFFF"/>
        <w:spacing w:after="0" w:line="480" w:lineRule="auto"/>
        <w:ind w:firstLine="720"/>
        <w:jc w:val="both"/>
        <w:rPr>
          <w:rFonts w:ascii="Georgia" w:hAnsi="Georgia"/>
          <w:sz w:val="24"/>
          <w:szCs w:val="24"/>
        </w:rPr>
      </w:pPr>
      <w:r>
        <w:rPr>
          <w:rFonts w:ascii="Georgia" w:hAnsi="Georgia"/>
          <w:sz w:val="24"/>
          <w:szCs w:val="24"/>
        </w:rPr>
        <w:t xml:space="preserve">Now that we have established how these approaches are defined in themselves, we can turn our attention to the way in which they have interacted with each other. </w:t>
      </w:r>
      <w:r w:rsidR="00355E67">
        <w:rPr>
          <w:rFonts w:ascii="Georgia" w:hAnsi="Georgia"/>
          <w:sz w:val="24"/>
          <w:szCs w:val="24"/>
        </w:rPr>
        <w:t xml:space="preserve">The relationship between structuralism and post-structuralism has already been addressed, and the main purpose of this essay is to consider the interaction between the psychoanalytic approach and others, so that is what we will focus on </w:t>
      </w:r>
      <w:r w:rsidR="005802CC">
        <w:rPr>
          <w:rFonts w:ascii="Georgia" w:hAnsi="Georgia"/>
          <w:sz w:val="24"/>
          <w:szCs w:val="24"/>
        </w:rPr>
        <w:t>next</w:t>
      </w:r>
      <w:r w:rsidR="00355E67">
        <w:rPr>
          <w:rFonts w:ascii="Georgia" w:hAnsi="Georgia"/>
          <w:sz w:val="24"/>
          <w:szCs w:val="24"/>
        </w:rPr>
        <w:t xml:space="preserve">. </w:t>
      </w:r>
      <w:r w:rsidR="00B35102">
        <w:rPr>
          <w:rFonts w:ascii="Georgia" w:hAnsi="Georgia"/>
          <w:sz w:val="24"/>
          <w:szCs w:val="24"/>
        </w:rPr>
        <w:t xml:space="preserve">When it comes to structuralism and psychoanalysis, some theorists have combined ideas from both approaches. One such theorist was the French </w:t>
      </w:r>
      <w:r w:rsidR="0036203D">
        <w:rPr>
          <w:rFonts w:ascii="Georgia" w:hAnsi="Georgia"/>
          <w:sz w:val="24"/>
          <w:szCs w:val="24"/>
        </w:rPr>
        <w:t>psychoanalyst</w:t>
      </w:r>
      <w:r w:rsidR="00B35102">
        <w:rPr>
          <w:rFonts w:ascii="Georgia" w:hAnsi="Georgia"/>
          <w:sz w:val="24"/>
          <w:szCs w:val="24"/>
        </w:rPr>
        <w:t xml:space="preserve"> Jacques Lacan</w:t>
      </w:r>
      <w:r w:rsidR="00A8462C">
        <w:rPr>
          <w:rFonts w:ascii="Georgia" w:hAnsi="Georgia"/>
          <w:sz w:val="24"/>
          <w:szCs w:val="24"/>
        </w:rPr>
        <w:t xml:space="preserve">, who incorporated structuralist principles into his ideas (although it should be noted that Lacan has been defined by some as leaning towards post-structuralism). Lacan </w:t>
      </w:r>
      <w:r w:rsidR="0041722E">
        <w:rPr>
          <w:rFonts w:ascii="Georgia" w:hAnsi="Georgia"/>
          <w:sz w:val="24"/>
          <w:szCs w:val="24"/>
        </w:rPr>
        <w:t xml:space="preserve">drew connections between a child’s psychological and linguistic development, </w:t>
      </w:r>
      <w:r w:rsidR="005802CC">
        <w:rPr>
          <w:rFonts w:ascii="Georgia" w:hAnsi="Georgia"/>
          <w:sz w:val="24"/>
          <w:szCs w:val="24"/>
        </w:rPr>
        <w:t>viewing</w:t>
      </w:r>
      <w:r w:rsidR="0041722E">
        <w:rPr>
          <w:rFonts w:ascii="Georgia" w:hAnsi="Georgia"/>
          <w:sz w:val="24"/>
          <w:szCs w:val="24"/>
        </w:rPr>
        <w:t xml:space="preserve"> language as </w:t>
      </w:r>
      <w:r w:rsidR="00281316">
        <w:rPr>
          <w:rFonts w:ascii="Georgia" w:hAnsi="Georgia"/>
          <w:sz w:val="24"/>
          <w:szCs w:val="24"/>
        </w:rPr>
        <w:t>the lens through which humans see the world.</w:t>
      </w:r>
      <w:r w:rsidR="00F96444">
        <w:rPr>
          <w:rStyle w:val="FootnoteReference"/>
          <w:rFonts w:ascii="Georgia" w:hAnsi="Georgia"/>
          <w:sz w:val="24"/>
          <w:szCs w:val="24"/>
        </w:rPr>
        <w:footnoteReference w:id="6"/>
      </w:r>
      <w:r w:rsidR="00281316">
        <w:rPr>
          <w:rFonts w:ascii="Georgia" w:hAnsi="Georgia"/>
          <w:sz w:val="24"/>
          <w:szCs w:val="24"/>
        </w:rPr>
        <w:t xml:space="preserve"> </w:t>
      </w:r>
    </w:p>
    <w:p w:rsidR="000C1253" w:rsidRDefault="000C1253" w:rsidP="0025655B">
      <w:pPr>
        <w:shd w:val="clear" w:color="auto" w:fill="FFFFFF"/>
        <w:spacing w:after="0" w:line="480" w:lineRule="auto"/>
        <w:ind w:firstLine="720"/>
        <w:jc w:val="both"/>
        <w:rPr>
          <w:rFonts w:ascii="Georgia" w:hAnsi="Georgia"/>
          <w:sz w:val="24"/>
          <w:szCs w:val="24"/>
        </w:rPr>
      </w:pPr>
      <w:r>
        <w:rPr>
          <w:rFonts w:ascii="Georgia" w:hAnsi="Georgia"/>
          <w:sz w:val="24"/>
          <w:szCs w:val="24"/>
        </w:rPr>
        <w:t>Lacan’s incorporation of structuralism into psychoanalytic theory was successful</w:t>
      </w:r>
      <w:r w:rsidR="005802CC">
        <w:rPr>
          <w:rFonts w:ascii="Georgia" w:hAnsi="Georgia"/>
          <w:sz w:val="24"/>
          <w:szCs w:val="24"/>
        </w:rPr>
        <w:t xml:space="preserve"> </w:t>
      </w:r>
      <w:r>
        <w:rPr>
          <w:rFonts w:ascii="Georgia" w:hAnsi="Georgia"/>
          <w:sz w:val="24"/>
          <w:szCs w:val="24"/>
        </w:rPr>
        <w:t xml:space="preserve">insofar as </w:t>
      </w:r>
      <w:r w:rsidR="00B52646">
        <w:rPr>
          <w:rFonts w:ascii="Georgia" w:hAnsi="Georgia"/>
          <w:sz w:val="24"/>
          <w:szCs w:val="24"/>
        </w:rPr>
        <w:t xml:space="preserve">the influence of his works is concerned. </w:t>
      </w:r>
      <w:r w:rsidR="00933BDC">
        <w:rPr>
          <w:rFonts w:ascii="Georgia" w:hAnsi="Georgia"/>
          <w:sz w:val="24"/>
          <w:szCs w:val="24"/>
        </w:rPr>
        <w:t>To this day, he is considered a prominent thinker in both branches of analysis</w:t>
      </w:r>
      <w:r w:rsidR="00FE42D6">
        <w:rPr>
          <w:rFonts w:ascii="Georgia" w:hAnsi="Georgia"/>
          <w:sz w:val="24"/>
          <w:szCs w:val="24"/>
        </w:rPr>
        <w:t xml:space="preserve">, having developed such </w:t>
      </w:r>
      <w:r w:rsidR="00F56B36">
        <w:rPr>
          <w:rFonts w:ascii="Georgia" w:hAnsi="Georgia"/>
          <w:sz w:val="24"/>
          <w:szCs w:val="24"/>
        </w:rPr>
        <w:t xml:space="preserve">concepts as the </w:t>
      </w:r>
      <w:r w:rsidR="00684ADE">
        <w:rPr>
          <w:rFonts w:ascii="Georgia" w:hAnsi="Georgia"/>
          <w:sz w:val="24"/>
          <w:szCs w:val="24"/>
        </w:rPr>
        <w:t>m</w:t>
      </w:r>
      <w:r w:rsidR="00F56B36">
        <w:rPr>
          <w:rFonts w:ascii="Georgia" w:hAnsi="Georgia"/>
          <w:sz w:val="24"/>
          <w:szCs w:val="24"/>
        </w:rPr>
        <w:t xml:space="preserve">irror </w:t>
      </w:r>
      <w:r w:rsidR="00FE34F7">
        <w:rPr>
          <w:rFonts w:ascii="Georgia" w:hAnsi="Georgia"/>
          <w:sz w:val="24"/>
          <w:szCs w:val="24"/>
        </w:rPr>
        <w:t>phase</w:t>
      </w:r>
      <w:r w:rsidR="00F56B36">
        <w:rPr>
          <w:rFonts w:ascii="Georgia" w:hAnsi="Georgia"/>
          <w:sz w:val="24"/>
          <w:szCs w:val="24"/>
        </w:rPr>
        <w:t>, which builds upon Freudian ideas about the ego.</w:t>
      </w:r>
      <w:r w:rsidR="00FE34F7">
        <w:rPr>
          <w:rStyle w:val="FootnoteReference"/>
          <w:rFonts w:ascii="Georgia" w:hAnsi="Georgia"/>
          <w:sz w:val="24"/>
          <w:szCs w:val="24"/>
        </w:rPr>
        <w:footnoteReference w:id="7"/>
      </w:r>
      <w:r w:rsidR="00F56B36">
        <w:rPr>
          <w:rFonts w:ascii="Georgia" w:hAnsi="Georgia"/>
          <w:sz w:val="24"/>
          <w:szCs w:val="24"/>
        </w:rPr>
        <w:t xml:space="preserve"> </w:t>
      </w:r>
      <w:r w:rsidR="00742C10">
        <w:rPr>
          <w:rFonts w:ascii="Georgia" w:hAnsi="Georgia"/>
          <w:sz w:val="24"/>
          <w:szCs w:val="24"/>
        </w:rPr>
        <w:t xml:space="preserve">Clearly, then, psychoanalysis is not incompatible with other schools of literary criticism, at least not with structuralism. However, the relationship between </w:t>
      </w:r>
      <w:r w:rsidR="00C44727">
        <w:rPr>
          <w:rFonts w:ascii="Georgia" w:hAnsi="Georgia"/>
          <w:sz w:val="24"/>
          <w:szCs w:val="24"/>
        </w:rPr>
        <w:t xml:space="preserve">psychoanalysis and post-structuralism is a different matter. </w:t>
      </w:r>
    </w:p>
    <w:p w:rsidR="00016769" w:rsidRDefault="008833D0" w:rsidP="0025655B">
      <w:pPr>
        <w:shd w:val="clear" w:color="auto" w:fill="FFFFFF"/>
        <w:spacing w:after="0" w:line="480" w:lineRule="auto"/>
        <w:ind w:firstLine="720"/>
        <w:jc w:val="both"/>
        <w:rPr>
          <w:rFonts w:ascii="Georgia" w:hAnsi="Georgia"/>
          <w:sz w:val="24"/>
          <w:szCs w:val="24"/>
        </w:rPr>
      </w:pPr>
      <w:r>
        <w:rPr>
          <w:rFonts w:ascii="Georgia" w:hAnsi="Georgia"/>
          <w:sz w:val="24"/>
          <w:szCs w:val="24"/>
        </w:rPr>
        <w:lastRenderedPageBreak/>
        <w:t xml:space="preserve">Lacan was able to include psychoanalysis in his structural analysis because, </w:t>
      </w:r>
      <w:proofErr w:type="gramStart"/>
      <w:r w:rsidR="00C02106">
        <w:rPr>
          <w:rFonts w:ascii="Georgia" w:hAnsi="Georgia"/>
          <w:sz w:val="24"/>
          <w:szCs w:val="24"/>
        </w:rPr>
        <w:t>in spite of</w:t>
      </w:r>
      <w:proofErr w:type="gramEnd"/>
      <w:r>
        <w:rPr>
          <w:rFonts w:ascii="Georgia" w:hAnsi="Georgia"/>
          <w:sz w:val="24"/>
          <w:szCs w:val="24"/>
        </w:rPr>
        <w:t xml:space="preserve"> his slightly divergent approach to it, he still gave the psychoanalytic view priority. It is at this point that post-structuralism runs into a problem: post-structuralism must necessarily treat all systems of analysis as equal under deconstruction, while psychoanalysis relies on its ability to find the true meaning of a text </w:t>
      </w:r>
      <w:proofErr w:type="gramStart"/>
      <w:r>
        <w:rPr>
          <w:rFonts w:ascii="Georgia" w:hAnsi="Georgia"/>
          <w:sz w:val="24"/>
          <w:szCs w:val="24"/>
        </w:rPr>
        <w:t>in order to</w:t>
      </w:r>
      <w:proofErr w:type="gramEnd"/>
      <w:r>
        <w:rPr>
          <w:rFonts w:ascii="Georgia" w:hAnsi="Georgia"/>
          <w:sz w:val="24"/>
          <w:szCs w:val="24"/>
        </w:rPr>
        <w:t xml:space="preserve"> support its validity. </w:t>
      </w:r>
      <w:r w:rsidR="00AD47DD">
        <w:rPr>
          <w:rFonts w:ascii="Georgia" w:hAnsi="Georgia"/>
          <w:sz w:val="24"/>
          <w:szCs w:val="24"/>
        </w:rPr>
        <w:t>We can see this conflict</w:t>
      </w:r>
      <w:r w:rsidR="004339B0">
        <w:rPr>
          <w:rFonts w:ascii="Georgia" w:hAnsi="Georgia"/>
          <w:sz w:val="24"/>
          <w:szCs w:val="24"/>
        </w:rPr>
        <w:t xml:space="preserve"> between post-structuralism and psychoanalysis</w:t>
      </w:r>
      <w:r w:rsidR="00AD47DD">
        <w:rPr>
          <w:rFonts w:ascii="Georgia" w:hAnsi="Georgia"/>
          <w:sz w:val="24"/>
          <w:szCs w:val="24"/>
        </w:rPr>
        <w:t xml:space="preserve"> play out in Neil Hertz’s essay </w:t>
      </w:r>
      <w:r w:rsidR="00AD47DD" w:rsidRPr="00AD47DD">
        <w:rPr>
          <w:rFonts w:ascii="Georgia" w:hAnsi="Georgia"/>
          <w:i/>
          <w:sz w:val="24"/>
          <w:szCs w:val="24"/>
        </w:rPr>
        <w:t>Freud and the Sandman</w:t>
      </w:r>
      <w:r w:rsidR="00AD47DD">
        <w:rPr>
          <w:rFonts w:ascii="Georgia" w:hAnsi="Georgia"/>
          <w:sz w:val="24"/>
          <w:szCs w:val="24"/>
        </w:rPr>
        <w:t>.</w:t>
      </w:r>
    </w:p>
    <w:p w:rsidR="008E2C7C" w:rsidRDefault="0072082B" w:rsidP="008E2C7C">
      <w:pPr>
        <w:shd w:val="clear" w:color="auto" w:fill="FFFFFF"/>
        <w:spacing w:after="0" w:line="480" w:lineRule="auto"/>
        <w:ind w:firstLine="720"/>
        <w:jc w:val="both"/>
        <w:rPr>
          <w:rFonts w:ascii="Georgia" w:hAnsi="Georgia"/>
          <w:sz w:val="24"/>
          <w:szCs w:val="24"/>
        </w:rPr>
      </w:pPr>
      <w:r>
        <w:rPr>
          <w:rFonts w:ascii="Georgia" w:hAnsi="Georgia"/>
          <w:sz w:val="24"/>
          <w:szCs w:val="24"/>
        </w:rPr>
        <w:t xml:space="preserve">In </w:t>
      </w:r>
      <w:r w:rsidRPr="0072082B">
        <w:rPr>
          <w:rFonts w:ascii="Georgia" w:hAnsi="Georgia"/>
          <w:i/>
          <w:sz w:val="24"/>
          <w:szCs w:val="24"/>
        </w:rPr>
        <w:t>Freud and the Sandman</w:t>
      </w:r>
      <w:r>
        <w:rPr>
          <w:rFonts w:ascii="Georgia" w:hAnsi="Georgia"/>
          <w:sz w:val="24"/>
          <w:szCs w:val="24"/>
        </w:rPr>
        <w:t xml:space="preserve">, Hertz uses a post-structural, deconstructionist approach to analyse Freud’s essay </w:t>
      </w:r>
      <w:proofErr w:type="gramStart"/>
      <w:r w:rsidRPr="0072082B">
        <w:rPr>
          <w:rFonts w:ascii="Georgia" w:hAnsi="Georgia"/>
          <w:i/>
          <w:sz w:val="24"/>
          <w:szCs w:val="24"/>
        </w:rPr>
        <w:t>The</w:t>
      </w:r>
      <w:proofErr w:type="gramEnd"/>
      <w:r w:rsidRPr="0072082B">
        <w:rPr>
          <w:rFonts w:ascii="Georgia" w:hAnsi="Georgia"/>
          <w:i/>
          <w:sz w:val="24"/>
          <w:szCs w:val="24"/>
        </w:rPr>
        <w:t xml:space="preserve"> ‘Uncanny’</w:t>
      </w:r>
      <w:r>
        <w:rPr>
          <w:rFonts w:ascii="Georgia" w:hAnsi="Georgia"/>
          <w:sz w:val="24"/>
          <w:szCs w:val="24"/>
        </w:rPr>
        <w:t xml:space="preserve">, which in turn analyses E. T. A. Hoffman’s short story </w:t>
      </w:r>
      <w:r w:rsidRPr="0072082B">
        <w:rPr>
          <w:rFonts w:ascii="Georgia" w:hAnsi="Georgia"/>
          <w:i/>
          <w:sz w:val="24"/>
          <w:szCs w:val="24"/>
        </w:rPr>
        <w:t>The Sandman</w:t>
      </w:r>
      <w:r>
        <w:rPr>
          <w:rFonts w:ascii="Georgia" w:hAnsi="Georgia"/>
          <w:sz w:val="24"/>
          <w:szCs w:val="24"/>
        </w:rPr>
        <w:t>.</w:t>
      </w:r>
      <w:r w:rsidR="00B41FEE">
        <w:rPr>
          <w:rFonts w:ascii="Georgia" w:hAnsi="Georgia"/>
          <w:sz w:val="24"/>
          <w:szCs w:val="24"/>
        </w:rPr>
        <w:t xml:space="preserve"> Although Hertz seems to have no lack of respect for Freud or psychoanalysis, </w:t>
      </w:r>
      <w:r w:rsidR="003D4FA8">
        <w:rPr>
          <w:rFonts w:ascii="Georgia" w:hAnsi="Georgia"/>
          <w:sz w:val="24"/>
          <w:szCs w:val="24"/>
        </w:rPr>
        <w:t xml:space="preserve">he critiques Freud’s essay in a series of manoeuvres which, one by one, gradually begin to undermine the authority and even the validity of </w:t>
      </w:r>
      <w:r w:rsidR="002C1F95">
        <w:rPr>
          <w:rFonts w:ascii="Georgia" w:hAnsi="Georgia"/>
          <w:sz w:val="24"/>
          <w:szCs w:val="24"/>
        </w:rPr>
        <w:t>his</w:t>
      </w:r>
      <w:r w:rsidR="003D4FA8">
        <w:rPr>
          <w:rFonts w:ascii="Georgia" w:hAnsi="Georgia"/>
          <w:sz w:val="24"/>
          <w:szCs w:val="24"/>
        </w:rPr>
        <w:t xml:space="preserve"> psychoanalysis of </w:t>
      </w:r>
      <w:r w:rsidR="003D4FA8" w:rsidRPr="003D4FA8">
        <w:rPr>
          <w:rFonts w:ascii="Georgia" w:hAnsi="Georgia"/>
          <w:i/>
          <w:sz w:val="24"/>
          <w:szCs w:val="24"/>
        </w:rPr>
        <w:t>The Sandman</w:t>
      </w:r>
      <w:r w:rsidR="00884A6A">
        <w:rPr>
          <w:rFonts w:ascii="Georgia" w:hAnsi="Georgia"/>
          <w:sz w:val="24"/>
          <w:szCs w:val="24"/>
        </w:rPr>
        <w:t xml:space="preserve">. To begin with, </w:t>
      </w:r>
      <w:r w:rsidR="003D4FA8">
        <w:rPr>
          <w:rFonts w:ascii="Georgia" w:hAnsi="Georgia"/>
          <w:sz w:val="24"/>
          <w:szCs w:val="24"/>
        </w:rPr>
        <w:t xml:space="preserve">Hertz </w:t>
      </w:r>
      <w:r w:rsidR="00290628">
        <w:rPr>
          <w:rFonts w:ascii="Georgia" w:hAnsi="Georgia"/>
          <w:sz w:val="24"/>
          <w:szCs w:val="24"/>
        </w:rPr>
        <w:t xml:space="preserve">decides </w:t>
      </w:r>
      <w:r w:rsidR="00431383">
        <w:rPr>
          <w:rFonts w:ascii="Georgia" w:hAnsi="Georgia"/>
          <w:sz w:val="24"/>
          <w:szCs w:val="24"/>
        </w:rPr>
        <w:t xml:space="preserve">to integrate biographical information about Freud into his analysis. </w:t>
      </w:r>
      <w:r w:rsidR="00C52B97">
        <w:rPr>
          <w:rFonts w:ascii="Georgia" w:hAnsi="Georgia"/>
          <w:sz w:val="24"/>
          <w:szCs w:val="24"/>
        </w:rPr>
        <w:t>He writes that said information ‘suggests that the motifs of the uncanny, of repetition, and of literary priority were playing themselves out in Freud’s relations with one of his younger colleagues at about the same time that he was bringing them into prominence in his writing.’</w:t>
      </w:r>
      <w:r w:rsidR="00C52B97">
        <w:rPr>
          <w:rStyle w:val="FootnoteReference"/>
          <w:rFonts w:ascii="Georgia" w:hAnsi="Georgia"/>
          <w:sz w:val="24"/>
          <w:szCs w:val="24"/>
        </w:rPr>
        <w:footnoteReference w:id="8"/>
      </w:r>
      <w:r w:rsidR="00AF582F">
        <w:rPr>
          <w:rFonts w:ascii="Georgia" w:hAnsi="Georgia"/>
          <w:sz w:val="24"/>
          <w:szCs w:val="24"/>
        </w:rPr>
        <w:t xml:space="preserve"> At first glance, this inclusion may not seem that problematic, as it is not uncommon to consider biographical information about an author when analysing their works. That said, what makes its application an issue in this </w:t>
      </w:r>
      <w:proofErr w:type="gramStart"/>
      <w:r w:rsidR="00AF582F">
        <w:rPr>
          <w:rFonts w:ascii="Georgia" w:hAnsi="Georgia"/>
          <w:sz w:val="24"/>
          <w:szCs w:val="24"/>
        </w:rPr>
        <w:t>particular situation</w:t>
      </w:r>
      <w:proofErr w:type="gramEnd"/>
      <w:r w:rsidR="00AF582F">
        <w:rPr>
          <w:rFonts w:ascii="Georgia" w:hAnsi="Georgia"/>
          <w:sz w:val="24"/>
          <w:szCs w:val="24"/>
        </w:rPr>
        <w:t xml:space="preserve"> is that Hertz is effectively taking part of the practice of psychoanalytic literary analysis – considering the biographical context surrounding an author’s work, then suggesting that this context makes itself known in the work through </w:t>
      </w:r>
      <w:r w:rsidR="00AF582F">
        <w:rPr>
          <w:rFonts w:ascii="Georgia" w:hAnsi="Georgia"/>
          <w:sz w:val="24"/>
          <w:szCs w:val="24"/>
        </w:rPr>
        <w:lastRenderedPageBreak/>
        <w:t xml:space="preserve">the medium of the unconscious, without the author being aware of it – and turning it back on the psychoanalyst </w:t>
      </w:r>
      <w:r w:rsidR="008B490D">
        <w:rPr>
          <w:rFonts w:ascii="Georgia" w:hAnsi="Georgia"/>
          <w:sz w:val="24"/>
          <w:szCs w:val="24"/>
        </w:rPr>
        <w:t>himself</w:t>
      </w:r>
      <w:r w:rsidR="00AF582F">
        <w:rPr>
          <w:rFonts w:ascii="Georgia" w:hAnsi="Georgia"/>
          <w:sz w:val="24"/>
          <w:szCs w:val="24"/>
        </w:rPr>
        <w:t xml:space="preserve">. </w:t>
      </w:r>
      <w:r w:rsidR="00E93A3A">
        <w:rPr>
          <w:rFonts w:ascii="Georgia" w:hAnsi="Georgia"/>
          <w:sz w:val="24"/>
          <w:szCs w:val="24"/>
        </w:rPr>
        <w:t>To suggest that Freud is as susceptible to psychoanalytic criticism as any other non-psychoanalyst writer</w:t>
      </w:r>
      <w:r w:rsidR="007C6EB4">
        <w:rPr>
          <w:rFonts w:ascii="Georgia" w:hAnsi="Georgia"/>
          <w:sz w:val="24"/>
          <w:szCs w:val="24"/>
        </w:rPr>
        <w:t xml:space="preserve"> </w:t>
      </w:r>
      <w:r w:rsidR="005C1247">
        <w:rPr>
          <w:rFonts w:ascii="Georgia" w:hAnsi="Georgia"/>
          <w:sz w:val="24"/>
          <w:szCs w:val="24"/>
        </w:rPr>
        <w:t xml:space="preserve">is to </w:t>
      </w:r>
      <w:r w:rsidR="001730D8">
        <w:rPr>
          <w:rFonts w:ascii="Georgia" w:hAnsi="Georgia"/>
          <w:sz w:val="24"/>
          <w:szCs w:val="24"/>
        </w:rPr>
        <w:t xml:space="preserve">suggest that his </w:t>
      </w:r>
      <w:r w:rsidR="00244B66">
        <w:rPr>
          <w:rFonts w:ascii="Georgia" w:hAnsi="Georgia"/>
          <w:sz w:val="24"/>
          <w:szCs w:val="24"/>
        </w:rPr>
        <w:t xml:space="preserve">work is </w:t>
      </w:r>
      <w:r w:rsidR="00D43C63">
        <w:rPr>
          <w:rFonts w:ascii="Georgia" w:hAnsi="Georgia"/>
          <w:sz w:val="24"/>
          <w:szCs w:val="24"/>
        </w:rPr>
        <w:t xml:space="preserve">equally subjective and vulnerable to unconscious influence. </w:t>
      </w:r>
      <w:r w:rsidR="008E2C7C">
        <w:rPr>
          <w:rFonts w:ascii="Georgia" w:hAnsi="Georgia"/>
          <w:sz w:val="24"/>
          <w:szCs w:val="24"/>
        </w:rPr>
        <w:t>Furthermore, any attempt to put psychoanalytic theory in</w:t>
      </w:r>
      <w:r w:rsidR="00686199">
        <w:rPr>
          <w:rFonts w:ascii="Georgia" w:hAnsi="Georgia"/>
          <w:sz w:val="24"/>
          <w:szCs w:val="24"/>
        </w:rPr>
        <w:t xml:space="preserve"> an</w:t>
      </w:r>
      <w:r w:rsidR="008E2C7C">
        <w:rPr>
          <w:rFonts w:ascii="Georgia" w:hAnsi="Georgia"/>
          <w:sz w:val="24"/>
          <w:szCs w:val="24"/>
        </w:rPr>
        <w:t xml:space="preserve"> historical context can risk compromising its </w:t>
      </w:r>
      <w:r w:rsidR="009C687C">
        <w:rPr>
          <w:rFonts w:ascii="Georgia" w:hAnsi="Georgia"/>
          <w:sz w:val="24"/>
          <w:szCs w:val="24"/>
        </w:rPr>
        <w:t>legitimacy</w:t>
      </w:r>
      <w:r w:rsidR="008E2C7C">
        <w:rPr>
          <w:rFonts w:ascii="Georgia" w:hAnsi="Georgia"/>
          <w:sz w:val="24"/>
          <w:szCs w:val="24"/>
        </w:rPr>
        <w:t xml:space="preserve">, since it is only one step away from viewing psychoanalysis as simply a product of its time. If we consider psychoanalysis in the social and cultural context in which it originated, then some of its theories might be reduced to sociological evidence, rather than paths to literary truths. For example, by </w:t>
      </w:r>
      <w:proofErr w:type="gramStart"/>
      <w:r w:rsidR="008E2C7C">
        <w:rPr>
          <w:rFonts w:ascii="Georgia" w:hAnsi="Georgia"/>
          <w:sz w:val="24"/>
          <w:szCs w:val="24"/>
        </w:rPr>
        <w:t>taking into account</w:t>
      </w:r>
      <w:proofErr w:type="gramEnd"/>
      <w:r w:rsidR="008E2C7C">
        <w:rPr>
          <w:rFonts w:ascii="Georgia" w:hAnsi="Georgia"/>
          <w:sz w:val="24"/>
          <w:szCs w:val="24"/>
        </w:rPr>
        <w:t xml:space="preserve"> the norms of Freud’s period, ideas such as penis envy and castration anxiety could be seen as simply outdated or </w:t>
      </w:r>
      <w:r w:rsidR="00CE4845">
        <w:rPr>
          <w:rFonts w:ascii="Georgia" w:hAnsi="Georgia"/>
          <w:sz w:val="24"/>
          <w:szCs w:val="24"/>
        </w:rPr>
        <w:t>misogynistic</w:t>
      </w:r>
      <w:r w:rsidR="008E2C7C">
        <w:rPr>
          <w:rFonts w:ascii="Georgia" w:hAnsi="Georgia"/>
          <w:sz w:val="24"/>
          <w:szCs w:val="24"/>
        </w:rPr>
        <w:t>, rather than given the authority which they require to be used in analysis.</w:t>
      </w:r>
      <w:r w:rsidR="00F247F8">
        <w:rPr>
          <w:rStyle w:val="FootnoteReference"/>
          <w:rFonts w:ascii="Georgia" w:hAnsi="Georgia"/>
          <w:sz w:val="24"/>
          <w:szCs w:val="24"/>
        </w:rPr>
        <w:footnoteReference w:id="9"/>
      </w:r>
    </w:p>
    <w:p w:rsidR="00F44E69" w:rsidRDefault="00F44E69" w:rsidP="0025655B">
      <w:pPr>
        <w:shd w:val="clear" w:color="auto" w:fill="FFFFFF"/>
        <w:spacing w:after="0" w:line="480" w:lineRule="auto"/>
        <w:ind w:firstLine="720"/>
        <w:jc w:val="both"/>
        <w:rPr>
          <w:rFonts w:ascii="Georgia" w:hAnsi="Georgia"/>
          <w:sz w:val="24"/>
          <w:szCs w:val="24"/>
        </w:rPr>
      </w:pPr>
      <w:r>
        <w:rPr>
          <w:rFonts w:ascii="Georgia" w:hAnsi="Georgia"/>
          <w:sz w:val="24"/>
          <w:szCs w:val="24"/>
        </w:rPr>
        <w:t xml:space="preserve">The idea that psychoanalysis </w:t>
      </w:r>
      <w:proofErr w:type="gramStart"/>
      <w:r>
        <w:rPr>
          <w:rFonts w:ascii="Georgia" w:hAnsi="Georgia"/>
          <w:sz w:val="24"/>
          <w:szCs w:val="24"/>
        </w:rPr>
        <w:t xml:space="preserve">is </w:t>
      </w:r>
      <w:r w:rsidR="00873B74">
        <w:rPr>
          <w:rFonts w:ascii="Georgia" w:hAnsi="Georgia"/>
          <w:sz w:val="24"/>
          <w:szCs w:val="24"/>
        </w:rPr>
        <w:t>capable of revealing</w:t>
      </w:r>
      <w:proofErr w:type="gramEnd"/>
      <w:r w:rsidR="00873B74">
        <w:rPr>
          <w:rFonts w:ascii="Georgia" w:hAnsi="Georgia"/>
          <w:sz w:val="24"/>
          <w:szCs w:val="24"/>
        </w:rPr>
        <w:t xml:space="preserve"> the essential, true meaning of a work is crucial to its role in literary criticism. We can see this in the work of psychoanalysts such as Marie Bonaparte</w:t>
      </w:r>
      <w:r w:rsidR="0013459D">
        <w:rPr>
          <w:rFonts w:ascii="Georgia" w:hAnsi="Georgia"/>
          <w:sz w:val="24"/>
          <w:szCs w:val="24"/>
        </w:rPr>
        <w:t xml:space="preserve">. In her book </w:t>
      </w:r>
      <w:r w:rsidR="0013459D" w:rsidRPr="0013459D">
        <w:rPr>
          <w:rFonts w:ascii="Georgia" w:hAnsi="Georgia"/>
          <w:i/>
          <w:sz w:val="24"/>
          <w:szCs w:val="24"/>
        </w:rPr>
        <w:t>The Life and Works of Edgar Allan Poe: A Psycho-Analytic Interpretation</w:t>
      </w:r>
      <w:r w:rsidR="0013459D">
        <w:rPr>
          <w:rFonts w:ascii="Georgia" w:hAnsi="Georgia"/>
          <w:sz w:val="24"/>
          <w:szCs w:val="24"/>
        </w:rPr>
        <w:t>, Bonaparte aims for ‘true understanding of Poe’s psyche’.</w:t>
      </w:r>
      <w:r w:rsidR="0013459D">
        <w:rPr>
          <w:rStyle w:val="FootnoteReference"/>
          <w:rFonts w:ascii="Georgia" w:hAnsi="Georgia"/>
          <w:sz w:val="24"/>
          <w:szCs w:val="24"/>
        </w:rPr>
        <w:footnoteReference w:id="10"/>
      </w:r>
      <w:r w:rsidR="00D16AAC">
        <w:rPr>
          <w:rFonts w:ascii="Georgia" w:hAnsi="Georgia"/>
          <w:sz w:val="24"/>
          <w:szCs w:val="24"/>
        </w:rPr>
        <w:t xml:space="preserve"> </w:t>
      </w:r>
      <w:r w:rsidR="00BA00F2">
        <w:rPr>
          <w:rFonts w:ascii="Georgia" w:hAnsi="Georgia"/>
          <w:sz w:val="24"/>
          <w:szCs w:val="24"/>
        </w:rPr>
        <w:t xml:space="preserve">The title of the book may imply that hers is merely one single interpretation out of a myriad of others, each as valid as the last, but in her analysis Bonaparte frequently implies that she is aspiring to uncover the </w:t>
      </w:r>
      <w:r w:rsidR="00CE4845">
        <w:rPr>
          <w:rFonts w:ascii="Georgia" w:hAnsi="Georgia"/>
          <w:sz w:val="24"/>
          <w:szCs w:val="24"/>
        </w:rPr>
        <w:t>sole, essential</w:t>
      </w:r>
      <w:r w:rsidR="00BA00F2">
        <w:rPr>
          <w:rFonts w:ascii="Georgia" w:hAnsi="Georgia"/>
          <w:sz w:val="24"/>
          <w:szCs w:val="24"/>
        </w:rPr>
        <w:t xml:space="preserve"> meaning behind the text. If we are to go along with the assumption that the meaning she discovers is that which was relayed by Poe’s subconscious through the medium of his writing</w:t>
      </w:r>
      <w:r w:rsidR="00412405">
        <w:rPr>
          <w:rFonts w:ascii="Georgia" w:hAnsi="Georgia"/>
          <w:sz w:val="24"/>
          <w:szCs w:val="24"/>
        </w:rPr>
        <w:t xml:space="preserve">, it would indeed make sense to privilege </w:t>
      </w:r>
      <w:r w:rsidR="00213331">
        <w:rPr>
          <w:rFonts w:ascii="Georgia" w:hAnsi="Georgia"/>
          <w:sz w:val="24"/>
          <w:szCs w:val="24"/>
        </w:rPr>
        <w:t xml:space="preserve">that interpretation over others. </w:t>
      </w:r>
      <w:r w:rsidR="003C0EC1">
        <w:rPr>
          <w:rFonts w:ascii="Georgia" w:hAnsi="Georgia"/>
          <w:sz w:val="24"/>
          <w:szCs w:val="24"/>
        </w:rPr>
        <w:t xml:space="preserve">Yet if </w:t>
      </w:r>
      <w:r w:rsidR="003C0EC1">
        <w:rPr>
          <w:rFonts w:ascii="Georgia" w:hAnsi="Georgia"/>
          <w:sz w:val="24"/>
          <w:szCs w:val="24"/>
        </w:rPr>
        <w:lastRenderedPageBreak/>
        <w:t xml:space="preserve">this is the assumption </w:t>
      </w:r>
      <w:r w:rsidR="00BB1DED">
        <w:rPr>
          <w:rFonts w:ascii="Georgia" w:hAnsi="Georgia"/>
          <w:sz w:val="24"/>
          <w:szCs w:val="24"/>
        </w:rPr>
        <w:t xml:space="preserve">which all psychoanalysts </w:t>
      </w:r>
      <w:r w:rsidR="00D20BB8">
        <w:rPr>
          <w:rFonts w:ascii="Georgia" w:hAnsi="Georgia"/>
          <w:sz w:val="24"/>
          <w:szCs w:val="24"/>
        </w:rPr>
        <w:t xml:space="preserve">are working under, then Hertz’s suggestion – that their work is as susceptible to unconscious influence as that which they analyse – is fundamentally </w:t>
      </w:r>
      <w:r w:rsidR="00083B91">
        <w:rPr>
          <w:rFonts w:ascii="Georgia" w:hAnsi="Georgia"/>
          <w:sz w:val="24"/>
          <w:szCs w:val="24"/>
        </w:rPr>
        <w:t>problematic</w:t>
      </w:r>
      <w:r w:rsidR="00D20BB8">
        <w:rPr>
          <w:rFonts w:ascii="Georgia" w:hAnsi="Georgia"/>
          <w:sz w:val="24"/>
          <w:szCs w:val="24"/>
        </w:rPr>
        <w:t>.</w:t>
      </w:r>
    </w:p>
    <w:p w:rsidR="00D20BB8" w:rsidRDefault="004553FA" w:rsidP="0025655B">
      <w:pPr>
        <w:shd w:val="clear" w:color="auto" w:fill="FFFFFF"/>
        <w:spacing w:after="0" w:line="480" w:lineRule="auto"/>
        <w:ind w:firstLine="720"/>
        <w:jc w:val="both"/>
        <w:rPr>
          <w:rFonts w:ascii="Georgia" w:hAnsi="Georgia"/>
          <w:sz w:val="24"/>
          <w:szCs w:val="24"/>
        </w:rPr>
      </w:pPr>
      <w:r>
        <w:rPr>
          <w:rFonts w:ascii="Georgia" w:hAnsi="Georgia"/>
          <w:sz w:val="24"/>
          <w:szCs w:val="24"/>
        </w:rPr>
        <w:t xml:space="preserve">The second way in which Hertz undermines Freud’s analysis is by drawing attention to Freud’s selective reading of </w:t>
      </w:r>
      <w:r w:rsidRPr="004553FA">
        <w:rPr>
          <w:rFonts w:ascii="Georgia" w:hAnsi="Georgia"/>
          <w:i/>
          <w:sz w:val="24"/>
          <w:szCs w:val="24"/>
        </w:rPr>
        <w:t>The Sandman.</w:t>
      </w:r>
      <w:r>
        <w:rPr>
          <w:rFonts w:ascii="Georgia" w:hAnsi="Georgia"/>
          <w:sz w:val="24"/>
          <w:szCs w:val="24"/>
        </w:rPr>
        <w:t xml:space="preserve"> After some discussion of the actual psychoanalytic elements of Freud’s reading, Hertz </w:t>
      </w:r>
      <w:r w:rsidR="00C11135">
        <w:rPr>
          <w:rFonts w:ascii="Georgia" w:hAnsi="Georgia"/>
          <w:sz w:val="24"/>
          <w:szCs w:val="24"/>
        </w:rPr>
        <w:t xml:space="preserve">raises what he calls a ‘more serious objection’ to it, claiming that ‘Freud has </w:t>
      </w:r>
      <w:proofErr w:type="spellStart"/>
      <w:r w:rsidR="00C11135">
        <w:rPr>
          <w:rFonts w:ascii="Georgia" w:hAnsi="Georgia"/>
          <w:sz w:val="24"/>
          <w:szCs w:val="24"/>
        </w:rPr>
        <w:t>overstabilized</w:t>
      </w:r>
      <w:proofErr w:type="spellEnd"/>
      <w:r w:rsidR="00C11135">
        <w:rPr>
          <w:rFonts w:ascii="Georgia" w:hAnsi="Georgia"/>
          <w:sz w:val="24"/>
          <w:szCs w:val="24"/>
        </w:rPr>
        <w:t xml:space="preserve"> his first account of the story, that there is, indeed, more cause for doubt and uncertainty as one moves through “The Sandman” than Freud allows.’</w:t>
      </w:r>
      <w:r w:rsidR="00C11135">
        <w:rPr>
          <w:rStyle w:val="FootnoteReference"/>
          <w:rFonts w:ascii="Georgia" w:hAnsi="Georgia"/>
          <w:sz w:val="24"/>
          <w:szCs w:val="24"/>
        </w:rPr>
        <w:footnoteReference w:id="11"/>
      </w:r>
      <w:r w:rsidR="00E71197">
        <w:rPr>
          <w:rFonts w:ascii="Georgia" w:hAnsi="Georgia"/>
          <w:sz w:val="24"/>
          <w:szCs w:val="24"/>
        </w:rPr>
        <w:t xml:space="preserve"> As in the case of Hertz </w:t>
      </w:r>
      <w:r w:rsidR="00CE4845">
        <w:rPr>
          <w:rFonts w:ascii="Georgia" w:hAnsi="Georgia"/>
          <w:sz w:val="24"/>
          <w:szCs w:val="24"/>
        </w:rPr>
        <w:t>highlighting</w:t>
      </w:r>
      <w:r w:rsidR="00E71197">
        <w:rPr>
          <w:rFonts w:ascii="Georgia" w:hAnsi="Georgia"/>
          <w:sz w:val="24"/>
          <w:szCs w:val="24"/>
        </w:rPr>
        <w:t xml:space="preserve"> the impact of Freud’s life on his writing, the deeper issue at play here is that Hertz is once more pointing out the bias in Freud’s interpretation. It is a typically post-structuralist move to point out the ‘doubt and uncertainty’ in a work, but this is nevertheless damaging to the authority of the psychoanalytic interpretation, as we have explored previously. </w:t>
      </w:r>
    </w:p>
    <w:p w:rsidR="00373085" w:rsidRDefault="00945894" w:rsidP="0025655B">
      <w:pPr>
        <w:shd w:val="clear" w:color="auto" w:fill="FFFFFF"/>
        <w:spacing w:after="0" w:line="480" w:lineRule="auto"/>
        <w:ind w:firstLine="720"/>
        <w:jc w:val="both"/>
        <w:rPr>
          <w:rFonts w:ascii="Georgia" w:hAnsi="Georgia"/>
          <w:sz w:val="24"/>
          <w:szCs w:val="24"/>
        </w:rPr>
      </w:pPr>
      <w:r>
        <w:rPr>
          <w:rFonts w:ascii="Georgia" w:hAnsi="Georgia"/>
          <w:sz w:val="24"/>
          <w:szCs w:val="24"/>
        </w:rPr>
        <w:t xml:space="preserve">Hertz strikes the final blow against Freud’s interpretation by openly declaring it is just that – an interpretation. </w:t>
      </w:r>
      <w:r w:rsidR="00010B16">
        <w:rPr>
          <w:rFonts w:ascii="Georgia" w:hAnsi="Georgia"/>
          <w:sz w:val="24"/>
          <w:szCs w:val="24"/>
        </w:rPr>
        <w:t>After considering both Freud’s psychoanalytical interpretation and his own interpretation of the story “as literature</w:t>
      </w:r>
      <w:r w:rsidR="006E2434">
        <w:rPr>
          <w:rFonts w:ascii="Georgia" w:hAnsi="Georgia"/>
          <w:sz w:val="24"/>
          <w:szCs w:val="24"/>
        </w:rPr>
        <w:t>,</w:t>
      </w:r>
      <w:r w:rsidR="00010B16">
        <w:rPr>
          <w:rFonts w:ascii="Georgia" w:hAnsi="Georgia"/>
          <w:sz w:val="24"/>
          <w:szCs w:val="24"/>
        </w:rPr>
        <w:t>”</w:t>
      </w:r>
      <w:r w:rsidR="00010B16">
        <w:rPr>
          <w:rStyle w:val="FootnoteReference"/>
          <w:rFonts w:ascii="Georgia" w:hAnsi="Georgia"/>
          <w:sz w:val="24"/>
          <w:szCs w:val="24"/>
        </w:rPr>
        <w:footnoteReference w:id="12"/>
      </w:r>
      <w:r w:rsidR="006E2434">
        <w:rPr>
          <w:rFonts w:ascii="Georgia" w:hAnsi="Georgia"/>
          <w:sz w:val="24"/>
          <w:szCs w:val="24"/>
        </w:rPr>
        <w:t xml:space="preserve"> Hertz defends the ability of the two to coexist. He claims that ‘the poem […] demands to be read in two quite different ways’, one being the </w:t>
      </w:r>
      <w:proofErr w:type="spellStart"/>
      <w:r w:rsidR="006E2434">
        <w:rPr>
          <w:rFonts w:ascii="Georgia" w:hAnsi="Georgia"/>
          <w:sz w:val="24"/>
          <w:szCs w:val="24"/>
        </w:rPr>
        <w:t>subtextual</w:t>
      </w:r>
      <w:proofErr w:type="spellEnd"/>
      <w:r w:rsidR="006E2434">
        <w:rPr>
          <w:rFonts w:ascii="Georgia" w:hAnsi="Georgia"/>
          <w:sz w:val="24"/>
          <w:szCs w:val="24"/>
        </w:rPr>
        <w:t xml:space="preserve"> psychoanalysis and the other being the post-structuralist textual reading.</w:t>
      </w:r>
      <w:r w:rsidR="006E2434">
        <w:rPr>
          <w:rStyle w:val="FootnoteReference"/>
          <w:rFonts w:ascii="Georgia" w:hAnsi="Georgia"/>
          <w:sz w:val="24"/>
          <w:szCs w:val="24"/>
        </w:rPr>
        <w:footnoteReference w:id="13"/>
      </w:r>
      <w:r w:rsidR="006E2434">
        <w:rPr>
          <w:rFonts w:ascii="Georgia" w:hAnsi="Georgia"/>
          <w:sz w:val="24"/>
          <w:szCs w:val="24"/>
        </w:rPr>
        <w:t xml:space="preserve"> </w:t>
      </w:r>
      <w:r w:rsidR="00D07A1F">
        <w:rPr>
          <w:rFonts w:ascii="Georgia" w:hAnsi="Georgia"/>
          <w:sz w:val="24"/>
          <w:szCs w:val="24"/>
        </w:rPr>
        <w:t xml:space="preserve">Neither of these is superior to the other, Hertz argues. Rather, the power of the story lies in ‘its availability to both these schemes, its </w:t>
      </w:r>
      <w:r w:rsidR="00D07A1F">
        <w:rPr>
          <w:rFonts w:ascii="Georgia" w:hAnsi="Georgia"/>
          <w:sz w:val="24"/>
          <w:szCs w:val="24"/>
        </w:rPr>
        <w:lastRenderedPageBreak/>
        <w:t>shifting between the registers of the psychological/daemonic and the literary, thereby dramatizing the differences as well as the complicities between the two.’</w:t>
      </w:r>
      <w:r w:rsidR="00D07A1F">
        <w:rPr>
          <w:rStyle w:val="FootnoteReference"/>
          <w:rFonts w:ascii="Georgia" w:hAnsi="Georgia"/>
          <w:sz w:val="24"/>
          <w:szCs w:val="24"/>
        </w:rPr>
        <w:footnoteReference w:id="14"/>
      </w:r>
    </w:p>
    <w:p w:rsidR="001F08B5" w:rsidRDefault="001B0F37" w:rsidP="0025655B">
      <w:pPr>
        <w:shd w:val="clear" w:color="auto" w:fill="FFFFFF"/>
        <w:spacing w:after="0" w:line="480" w:lineRule="auto"/>
        <w:ind w:firstLine="720"/>
        <w:jc w:val="both"/>
        <w:rPr>
          <w:rFonts w:ascii="Georgia" w:hAnsi="Georgia"/>
          <w:sz w:val="24"/>
          <w:szCs w:val="24"/>
        </w:rPr>
      </w:pPr>
      <w:r>
        <w:rPr>
          <w:rFonts w:ascii="Georgia" w:hAnsi="Georgia"/>
          <w:sz w:val="24"/>
          <w:szCs w:val="24"/>
        </w:rPr>
        <w:t xml:space="preserve">No doubt acknowledging the validity of both approaches to the text was a well-intentioned move on Hertz’s part, but it ultimately serves to condemn the fate of the psychoanalytic interpretation at the hands of post-structuralism. </w:t>
      </w:r>
      <w:r w:rsidR="00610D55">
        <w:rPr>
          <w:rFonts w:ascii="Georgia" w:hAnsi="Georgia"/>
          <w:sz w:val="24"/>
          <w:szCs w:val="24"/>
        </w:rPr>
        <w:t xml:space="preserve">If </w:t>
      </w:r>
      <w:r w:rsidR="00D1622C">
        <w:rPr>
          <w:rFonts w:ascii="Georgia" w:hAnsi="Georgia"/>
          <w:sz w:val="24"/>
          <w:szCs w:val="24"/>
        </w:rPr>
        <w:t xml:space="preserve">a central principle of literary psychoanalysis is that it can uncover the true meaning of a text, then operating alongside another theoretical approach is poisonous to it. </w:t>
      </w:r>
      <w:proofErr w:type="gramStart"/>
      <w:r w:rsidR="00D35AD4">
        <w:rPr>
          <w:rFonts w:ascii="Georgia" w:hAnsi="Georgia"/>
          <w:sz w:val="24"/>
          <w:szCs w:val="24"/>
        </w:rPr>
        <w:t>As a result of</w:t>
      </w:r>
      <w:proofErr w:type="gramEnd"/>
      <w:r w:rsidR="00D35AD4">
        <w:rPr>
          <w:rFonts w:ascii="Georgia" w:hAnsi="Georgia"/>
          <w:sz w:val="24"/>
          <w:szCs w:val="24"/>
        </w:rPr>
        <w:t xml:space="preserve"> this, the doctrine of post-structuralism is particularly dangerous to psychoanalysis,</w:t>
      </w:r>
      <w:r w:rsidR="00B2151D">
        <w:rPr>
          <w:rFonts w:ascii="Georgia" w:hAnsi="Georgia"/>
          <w:sz w:val="24"/>
          <w:szCs w:val="24"/>
        </w:rPr>
        <w:t xml:space="preserve"> </w:t>
      </w:r>
      <w:r w:rsidR="00D35AD4">
        <w:rPr>
          <w:rFonts w:ascii="Georgia" w:hAnsi="Georgia"/>
          <w:sz w:val="24"/>
          <w:szCs w:val="24"/>
        </w:rPr>
        <w:t>because it fails to privilege psychoanalysis over other interpretations</w:t>
      </w:r>
      <w:r w:rsidR="004F6200">
        <w:rPr>
          <w:rFonts w:ascii="Georgia" w:hAnsi="Georgia"/>
          <w:sz w:val="24"/>
          <w:szCs w:val="24"/>
        </w:rPr>
        <w:t>. In fact</w:t>
      </w:r>
      <w:r w:rsidR="00D41937">
        <w:rPr>
          <w:rFonts w:ascii="Georgia" w:hAnsi="Georgia"/>
          <w:sz w:val="24"/>
          <w:szCs w:val="24"/>
        </w:rPr>
        <w:t xml:space="preserve">, </w:t>
      </w:r>
      <w:r w:rsidR="004F6200">
        <w:rPr>
          <w:rFonts w:ascii="Georgia" w:hAnsi="Georgia"/>
          <w:sz w:val="24"/>
          <w:szCs w:val="24"/>
        </w:rPr>
        <w:t xml:space="preserve">it </w:t>
      </w:r>
      <w:r w:rsidR="00D41937">
        <w:rPr>
          <w:rFonts w:ascii="Georgia" w:hAnsi="Georgia"/>
          <w:sz w:val="24"/>
          <w:szCs w:val="24"/>
        </w:rPr>
        <w:t xml:space="preserve">subjects it to the same rigorous deconstruction as any other. </w:t>
      </w:r>
      <w:r w:rsidR="00532440">
        <w:rPr>
          <w:rFonts w:ascii="Georgia" w:hAnsi="Georgia"/>
          <w:sz w:val="24"/>
          <w:szCs w:val="24"/>
        </w:rPr>
        <w:t>It is under the weight of this deconstruction that the psychoanalytic criticism collapses</w:t>
      </w:r>
      <w:r w:rsidR="00BC10EE">
        <w:rPr>
          <w:rFonts w:ascii="Georgia" w:hAnsi="Georgia"/>
          <w:sz w:val="24"/>
          <w:szCs w:val="24"/>
        </w:rPr>
        <w:t xml:space="preserve">, being unable to operate under any analysis that does not accept its authority as a given. </w:t>
      </w:r>
      <w:r w:rsidR="00DC2E2E">
        <w:rPr>
          <w:rFonts w:ascii="Georgia" w:hAnsi="Georgia"/>
          <w:sz w:val="24"/>
          <w:szCs w:val="24"/>
        </w:rPr>
        <w:t xml:space="preserve">When the literary critic Shoshana </w:t>
      </w:r>
      <w:proofErr w:type="spellStart"/>
      <w:r w:rsidR="00DC2E2E">
        <w:rPr>
          <w:rFonts w:ascii="Georgia" w:hAnsi="Georgia"/>
          <w:sz w:val="24"/>
          <w:szCs w:val="24"/>
        </w:rPr>
        <w:t>Felman</w:t>
      </w:r>
      <w:proofErr w:type="spellEnd"/>
      <w:r w:rsidR="00DC2E2E">
        <w:rPr>
          <w:rFonts w:ascii="Georgia" w:hAnsi="Georgia"/>
          <w:sz w:val="24"/>
          <w:szCs w:val="24"/>
        </w:rPr>
        <w:t xml:space="preserve"> </w:t>
      </w:r>
      <w:r w:rsidR="00E759C5">
        <w:rPr>
          <w:rFonts w:ascii="Georgia" w:hAnsi="Georgia"/>
          <w:sz w:val="24"/>
          <w:szCs w:val="24"/>
        </w:rPr>
        <w:t xml:space="preserve">described the process of psychoanalysis of literature, she wrote: ‘While literature is considered as a body of </w:t>
      </w:r>
      <w:r w:rsidR="00E759C5" w:rsidRPr="00E759C5">
        <w:rPr>
          <w:rFonts w:ascii="Georgia" w:hAnsi="Georgia"/>
          <w:i/>
          <w:sz w:val="24"/>
          <w:szCs w:val="24"/>
        </w:rPr>
        <w:t>language</w:t>
      </w:r>
      <w:r w:rsidR="00E759C5">
        <w:rPr>
          <w:rFonts w:ascii="Georgia" w:hAnsi="Georgia"/>
          <w:sz w:val="24"/>
          <w:szCs w:val="24"/>
        </w:rPr>
        <w:t xml:space="preserve"> – to </w:t>
      </w:r>
      <w:r w:rsidR="00E759C5" w:rsidRPr="00E759C5">
        <w:rPr>
          <w:rFonts w:ascii="Georgia" w:hAnsi="Georgia"/>
          <w:i/>
          <w:sz w:val="24"/>
          <w:szCs w:val="24"/>
        </w:rPr>
        <w:t>be interpreted</w:t>
      </w:r>
      <w:r w:rsidR="00E759C5">
        <w:rPr>
          <w:rFonts w:ascii="Georgia" w:hAnsi="Georgia"/>
          <w:sz w:val="24"/>
          <w:szCs w:val="24"/>
        </w:rPr>
        <w:t xml:space="preserve"> – psychoanalysis is considered as a body of </w:t>
      </w:r>
      <w:r w:rsidR="00E759C5" w:rsidRPr="00E759C5">
        <w:rPr>
          <w:rFonts w:ascii="Georgia" w:hAnsi="Georgia"/>
          <w:i/>
          <w:sz w:val="24"/>
          <w:szCs w:val="24"/>
        </w:rPr>
        <w:t>knowledge</w:t>
      </w:r>
      <w:r w:rsidR="00E759C5">
        <w:rPr>
          <w:rFonts w:ascii="Georgia" w:hAnsi="Georgia"/>
          <w:sz w:val="24"/>
          <w:szCs w:val="24"/>
        </w:rPr>
        <w:t xml:space="preserve">, whose competence is called upon to </w:t>
      </w:r>
      <w:r w:rsidR="00E759C5" w:rsidRPr="00E759C5">
        <w:rPr>
          <w:rFonts w:ascii="Georgia" w:hAnsi="Georgia"/>
          <w:i/>
          <w:sz w:val="24"/>
          <w:szCs w:val="24"/>
        </w:rPr>
        <w:t>interpret</w:t>
      </w:r>
      <w:r w:rsidR="00E759C5">
        <w:rPr>
          <w:rFonts w:ascii="Georgia" w:hAnsi="Georgia"/>
          <w:sz w:val="24"/>
          <w:szCs w:val="24"/>
        </w:rPr>
        <w:t xml:space="preserve">. Psychoanalysis […] occupies the place of a </w:t>
      </w:r>
      <w:r w:rsidR="00E759C5" w:rsidRPr="00E759C5">
        <w:rPr>
          <w:rFonts w:ascii="Georgia" w:hAnsi="Georgia"/>
          <w:i/>
          <w:sz w:val="24"/>
          <w:szCs w:val="24"/>
        </w:rPr>
        <w:t>subject</w:t>
      </w:r>
      <w:r w:rsidR="00E759C5">
        <w:rPr>
          <w:rFonts w:ascii="Georgia" w:hAnsi="Georgia"/>
          <w:sz w:val="24"/>
          <w:szCs w:val="24"/>
        </w:rPr>
        <w:t xml:space="preserve">, literature that of an </w:t>
      </w:r>
      <w:r w:rsidR="00E759C5" w:rsidRPr="00E759C5">
        <w:rPr>
          <w:rFonts w:ascii="Georgia" w:hAnsi="Georgia"/>
          <w:i/>
          <w:sz w:val="24"/>
          <w:szCs w:val="24"/>
        </w:rPr>
        <w:t>object</w:t>
      </w:r>
      <w:r w:rsidR="00E759C5">
        <w:rPr>
          <w:rFonts w:ascii="Georgia" w:hAnsi="Georgia"/>
          <w:sz w:val="24"/>
          <w:szCs w:val="24"/>
        </w:rPr>
        <w:t>.’</w:t>
      </w:r>
      <w:r w:rsidR="000B344E">
        <w:rPr>
          <w:rStyle w:val="FootnoteReference"/>
          <w:rFonts w:ascii="Georgia" w:hAnsi="Georgia"/>
          <w:sz w:val="24"/>
          <w:szCs w:val="24"/>
        </w:rPr>
        <w:footnoteReference w:id="15"/>
      </w:r>
      <w:r w:rsidR="00E759C5">
        <w:rPr>
          <w:rFonts w:ascii="Georgia" w:hAnsi="Georgia"/>
          <w:sz w:val="24"/>
          <w:szCs w:val="24"/>
        </w:rPr>
        <w:t xml:space="preserve"> In contrast to </w:t>
      </w:r>
      <w:proofErr w:type="spellStart"/>
      <w:r w:rsidR="00E759C5">
        <w:rPr>
          <w:rFonts w:ascii="Georgia" w:hAnsi="Georgia"/>
          <w:sz w:val="24"/>
          <w:szCs w:val="24"/>
        </w:rPr>
        <w:t>Felman’s</w:t>
      </w:r>
      <w:proofErr w:type="spellEnd"/>
      <w:r w:rsidR="00E759C5">
        <w:rPr>
          <w:rFonts w:ascii="Georgia" w:hAnsi="Georgia"/>
          <w:sz w:val="24"/>
          <w:szCs w:val="24"/>
        </w:rPr>
        <w:t xml:space="preserve"> representation of literature taking on a passive role when subjected to psychoanalysis, in a post-structuralist reading of psychoanalytic criticism, the text effectively fights back against the psychoanalytic interpretation. The question then becomes: can psychoanalysis defend itself against such an attack?</w:t>
      </w:r>
    </w:p>
    <w:p w:rsidR="001B0F37" w:rsidRDefault="001F08B5" w:rsidP="0025655B">
      <w:pPr>
        <w:shd w:val="clear" w:color="auto" w:fill="FFFFFF"/>
        <w:spacing w:after="0" w:line="480" w:lineRule="auto"/>
        <w:ind w:firstLine="720"/>
        <w:jc w:val="both"/>
        <w:rPr>
          <w:rFonts w:ascii="Georgia" w:hAnsi="Georgia"/>
          <w:sz w:val="24"/>
          <w:szCs w:val="24"/>
        </w:rPr>
      </w:pPr>
      <w:r>
        <w:rPr>
          <w:rFonts w:ascii="Georgia" w:hAnsi="Georgia"/>
          <w:sz w:val="24"/>
          <w:szCs w:val="24"/>
        </w:rPr>
        <w:t xml:space="preserve">The point of all this is not to say that psychoanalysis is a completely invalid approach to literary </w:t>
      </w:r>
      <w:r w:rsidR="00CE4845">
        <w:rPr>
          <w:rFonts w:ascii="Georgia" w:hAnsi="Georgia"/>
          <w:sz w:val="24"/>
          <w:szCs w:val="24"/>
        </w:rPr>
        <w:t>criticism</w:t>
      </w:r>
      <w:r>
        <w:rPr>
          <w:rFonts w:ascii="Georgia" w:hAnsi="Georgia"/>
          <w:sz w:val="24"/>
          <w:szCs w:val="24"/>
        </w:rPr>
        <w:t xml:space="preserve">, but rather that it is impossible for it to exist alongside </w:t>
      </w:r>
      <w:r>
        <w:rPr>
          <w:rFonts w:ascii="Georgia" w:hAnsi="Georgia"/>
          <w:sz w:val="24"/>
          <w:szCs w:val="24"/>
        </w:rPr>
        <w:lastRenderedPageBreak/>
        <w:t xml:space="preserve">post-structuralism. </w:t>
      </w:r>
      <w:r w:rsidR="00027D29">
        <w:rPr>
          <w:rFonts w:ascii="Georgia" w:hAnsi="Georgia"/>
          <w:sz w:val="24"/>
          <w:szCs w:val="24"/>
        </w:rPr>
        <w:t xml:space="preserve">As a system that works under the assumption of its own </w:t>
      </w:r>
      <w:r w:rsidR="00D02718">
        <w:rPr>
          <w:rFonts w:ascii="Georgia" w:hAnsi="Georgia"/>
          <w:sz w:val="24"/>
          <w:szCs w:val="24"/>
        </w:rPr>
        <w:t xml:space="preserve">objectivity and </w:t>
      </w:r>
      <w:r w:rsidR="00952180">
        <w:rPr>
          <w:rFonts w:ascii="Georgia" w:hAnsi="Georgia"/>
          <w:sz w:val="24"/>
          <w:szCs w:val="24"/>
        </w:rPr>
        <w:t xml:space="preserve">fundamental stability, psychoanalysis </w:t>
      </w:r>
      <w:r w:rsidR="00971132">
        <w:rPr>
          <w:rFonts w:ascii="Georgia" w:hAnsi="Georgia"/>
          <w:sz w:val="24"/>
          <w:szCs w:val="24"/>
        </w:rPr>
        <w:t xml:space="preserve">dissolves when exposes to the uncertainty of post-structuralism. </w:t>
      </w:r>
      <w:r w:rsidR="00DE3F49">
        <w:rPr>
          <w:rFonts w:ascii="Georgia" w:hAnsi="Georgia"/>
          <w:sz w:val="24"/>
          <w:szCs w:val="24"/>
        </w:rPr>
        <w:t>Even though i</w:t>
      </w:r>
      <w:r w:rsidR="00971132">
        <w:rPr>
          <w:rFonts w:ascii="Georgia" w:hAnsi="Georgia"/>
          <w:sz w:val="24"/>
          <w:szCs w:val="24"/>
        </w:rPr>
        <w:t xml:space="preserve">t is </w:t>
      </w:r>
      <w:r w:rsidR="00DE3F49">
        <w:rPr>
          <w:rFonts w:ascii="Georgia" w:hAnsi="Georgia"/>
          <w:sz w:val="24"/>
          <w:szCs w:val="24"/>
        </w:rPr>
        <w:t xml:space="preserve">still </w:t>
      </w:r>
      <w:r w:rsidR="00971132">
        <w:rPr>
          <w:rFonts w:ascii="Georgia" w:hAnsi="Georgia"/>
          <w:sz w:val="24"/>
          <w:szCs w:val="24"/>
        </w:rPr>
        <w:t xml:space="preserve">able to exist as </w:t>
      </w:r>
      <w:r w:rsidR="00DE3F49">
        <w:rPr>
          <w:rFonts w:ascii="Georgia" w:hAnsi="Georgia"/>
          <w:sz w:val="24"/>
          <w:szCs w:val="24"/>
        </w:rPr>
        <w:t xml:space="preserve">but one potential interpretation of text, to keep it alive in this form is </w:t>
      </w:r>
      <w:r w:rsidR="00682C53">
        <w:rPr>
          <w:rFonts w:ascii="Georgia" w:hAnsi="Georgia"/>
          <w:sz w:val="24"/>
          <w:szCs w:val="24"/>
        </w:rPr>
        <w:t xml:space="preserve">to </w:t>
      </w:r>
      <w:r w:rsidR="000F351E">
        <w:rPr>
          <w:rFonts w:ascii="Georgia" w:hAnsi="Georgia"/>
          <w:sz w:val="24"/>
          <w:szCs w:val="24"/>
        </w:rPr>
        <w:t xml:space="preserve">undermine its purpose once more. </w:t>
      </w:r>
      <w:r w:rsidR="00443520">
        <w:rPr>
          <w:rFonts w:ascii="Georgia" w:hAnsi="Georgia"/>
          <w:sz w:val="24"/>
          <w:szCs w:val="24"/>
        </w:rPr>
        <w:t xml:space="preserve">Without its assumption of </w:t>
      </w:r>
      <w:r w:rsidR="001E2ED9">
        <w:rPr>
          <w:rFonts w:ascii="Georgia" w:hAnsi="Georgia"/>
          <w:sz w:val="24"/>
          <w:szCs w:val="24"/>
        </w:rPr>
        <w:t xml:space="preserve">superiority over other </w:t>
      </w:r>
      <w:r w:rsidR="00642A9B">
        <w:rPr>
          <w:rFonts w:ascii="Georgia" w:hAnsi="Georgia"/>
          <w:sz w:val="24"/>
          <w:szCs w:val="24"/>
        </w:rPr>
        <w:t xml:space="preserve">forms of analysis, psychoanalysis is at the mercy of more comprehensive systems. </w:t>
      </w:r>
      <w:r w:rsidR="007F4849">
        <w:rPr>
          <w:rFonts w:ascii="Georgia" w:hAnsi="Georgia"/>
          <w:sz w:val="24"/>
          <w:szCs w:val="24"/>
        </w:rPr>
        <w:t xml:space="preserve">Perhaps it is indeed able to operate alongside approaches besides post-structuralism. After all, Jacques Lacan has arguably proven that it is compatible in some form with structuralism, </w:t>
      </w:r>
      <w:proofErr w:type="gramStart"/>
      <w:r w:rsidR="007F4849">
        <w:rPr>
          <w:rFonts w:ascii="Georgia" w:hAnsi="Georgia"/>
          <w:sz w:val="24"/>
          <w:szCs w:val="24"/>
        </w:rPr>
        <w:t>as long as</w:t>
      </w:r>
      <w:proofErr w:type="gramEnd"/>
      <w:r w:rsidR="007F4849">
        <w:rPr>
          <w:rFonts w:ascii="Georgia" w:hAnsi="Georgia"/>
          <w:sz w:val="24"/>
          <w:szCs w:val="24"/>
        </w:rPr>
        <w:t xml:space="preserve"> one maintains its authority. However, psychoanalysis and post-structuralism remain fundamentally incompatible. While one needs the certainty of its authority to survive, the other is built upon </w:t>
      </w:r>
      <w:r w:rsidR="00EB2456">
        <w:rPr>
          <w:rFonts w:ascii="Georgia" w:hAnsi="Georgia"/>
          <w:sz w:val="24"/>
          <w:szCs w:val="24"/>
        </w:rPr>
        <w:t>a foundation of academic anarchy, in which no one system has authority over the others.</w:t>
      </w:r>
      <w:r w:rsidR="001B5D31">
        <w:rPr>
          <w:rFonts w:ascii="Georgia" w:hAnsi="Georgia"/>
          <w:sz w:val="24"/>
          <w:szCs w:val="24"/>
        </w:rPr>
        <w:t xml:space="preserve"> Whether or not literary psychoanalysis has any value in itself – or in comparison with other theories – is another question, but the conflict demonstrated in </w:t>
      </w:r>
      <w:r w:rsidR="001B5D31" w:rsidRPr="00CE4845">
        <w:rPr>
          <w:rFonts w:ascii="Georgia" w:hAnsi="Georgia"/>
          <w:i/>
          <w:sz w:val="24"/>
          <w:szCs w:val="24"/>
        </w:rPr>
        <w:t xml:space="preserve">Freud and the Sandman </w:t>
      </w:r>
      <w:r w:rsidR="004F4763">
        <w:rPr>
          <w:rFonts w:ascii="Georgia" w:hAnsi="Georgia"/>
          <w:sz w:val="24"/>
          <w:szCs w:val="24"/>
        </w:rPr>
        <w:t xml:space="preserve">has shown that it cannot </w:t>
      </w:r>
      <w:r w:rsidR="00597AF1">
        <w:rPr>
          <w:rFonts w:ascii="Georgia" w:hAnsi="Georgia"/>
          <w:sz w:val="24"/>
          <w:szCs w:val="24"/>
        </w:rPr>
        <w:t>work</w:t>
      </w:r>
      <w:r w:rsidR="004F4763">
        <w:rPr>
          <w:rFonts w:ascii="Georgia" w:hAnsi="Georgia"/>
          <w:sz w:val="24"/>
          <w:szCs w:val="24"/>
        </w:rPr>
        <w:t xml:space="preserve"> under post-structuralism. </w:t>
      </w:r>
      <w:r w:rsidR="00210AFB">
        <w:rPr>
          <w:rFonts w:ascii="Georgia" w:hAnsi="Georgia"/>
          <w:sz w:val="24"/>
          <w:szCs w:val="24"/>
        </w:rPr>
        <w:t xml:space="preserve">In a system of thought that does not </w:t>
      </w:r>
      <w:r w:rsidR="000B6C21">
        <w:rPr>
          <w:rFonts w:ascii="Georgia" w:hAnsi="Georgia"/>
          <w:sz w:val="24"/>
          <w:szCs w:val="24"/>
        </w:rPr>
        <w:t>give it priority, psychoanalysis cannot survive.</w:t>
      </w:r>
      <w:r w:rsidR="00B84C6F">
        <w:rPr>
          <w:rFonts w:ascii="Georgia" w:hAnsi="Georgia"/>
          <w:sz w:val="24"/>
          <w:szCs w:val="24"/>
        </w:rPr>
        <w:t xml:space="preserve"> </w:t>
      </w:r>
      <w:r w:rsidR="003D0A2E">
        <w:rPr>
          <w:rFonts w:ascii="Georgia" w:hAnsi="Georgia"/>
          <w:sz w:val="24"/>
          <w:szCs w:val="24"/>
        </w:rPr>
        <w:t>For this reason, psychoanalyst critique is untenable when presented alongside post-structuralism</w:t>
      </w:r>
      <w:r w:rsidR="00044B1A">
        <w:rPr>
          <w:rFonts w:ascii="Georgia" w:hAnsi="Georgia"/>
          <w:sz w:val="24"/>
          <w:szCs w:val="24"/>
        </w:rPr>
        <w:t xml:space="preserve"> and its threat of deconstructi</w:t>
      </w:r>
      <w:r w:rsidR="00BF109B">
        <w:rPr>
          <w:rFonts w:ascii="Georgia" w:hAnsi="Georgia"/>
          <w:sz w:val="24"/>
          <w:szCs w:val="24"/>
        </w:rPr>
        <w:t>ve analysis.</w:t>
      </w:r>
    </w:p>
    <w:p w:rsidR="00BF109B" w:rsidRDefault="00BF109B" w:rsidP="0025655B">
      <w:pPr>
        <w:shd w:val="clear" w:color="auto" w:fill="FFFFFF"/>
        <w:spacing w:after="0" w:line="480" w:lineRule="auto"/>
        <w:ind w:firstLine="720"/>
        <w:jc w:val="both"/>
        <w:rPr>
          <w:rFonts w:ascii="Georgia" w:hAnsi="Georgia"/>
          <w:sz w:val="24"/>
          <w:szCs w:val="24"/>
        </w:rPr>
      </w:pPr>
    </w:p>
    <w:p w:rsidR="00BF109B" w:rsidRDefault="00BF109B" w:rsidP="0025655B">
      <w:pPr>
        <w:shd w:val="clear" w:color="auto" w:fill="FFFFFF"/>
        <w:spacing w:after="0" w:line="480" w:lineRule="auto"/>
        <w:ind w:firstLine="720"/>
        <w:jc w:val="both"/>
        <w:rPr>
          <w:rFonts w:ascii="Georgia" w:hAnsi="Georgia"/>
          <w:sz w:val="24"/>
          <w:szCs w:val="24"/>
        </w:rPr>
      </w:pPr>
    </w:p>
    <w:p w:rsidR="00BF109B" w:rsidRDefault="00BF109B" w:rsidP="0025655B">
      <w:pPr>
        <w:shd w:val="clear" w:color="auto" w:fill="FFFFFF"/>
        <w:spacing w:after="0" w:line="480" w:lineRule="auto"/>
        <w:ind w:firstLine="720"/>
        <w:jc w:val="both"/>
        <w:rPr>
          <w:rFonts w:ascii="Georgia" w:hAnsi="Georgia"/>
          <w:sz w:val="24"/>
          <w:szCs w:val="24"/>
        </w:rPr>
      </w:pPr>
    </w:p>
    <w:p w:rsidR="00BF109B" w:rsidRDefault="00BF109B" w:rsidP="0025655B">
      <w:pPr>
        <w:shd w:val="clear" w:color="auto" w:fill="FFFFFF"/>
        <w:spacing w:after="0" w:line="480" w:lineRule="auto"/>
        <w:ind w:firstLine="720"/>
        <w:jc w:val="both"/>
        <w:rPr>
          <w:rFonts w:ascii="Georgia" w:hAnsi="Georgia"/>
          <w:sz w:val="24"/>
          <w:szCs w:val="24"/>
        </w:rPr>
      </w:pPr>
    </w:p>
    <w:p w:rsidR="004339B0" w:rsidRDefault="004339B0" w:rsidP="0025655B">
      <w:pPr>
        <w:shd w:val="clear" w:color="auto" w:fill="FFFFFF"/>
        <w:spacing w:after="0" w:line="480" w:lineRule="auto"/>
        <w:ind w:firstLine="720"/>
        <w:jc w:val="both"/>
        <w:rPr>
          <w:rFonts w:ascii="Georgia" w:hAnsi="Georgia"/>
          <w:sz w:val="24"/>
          <w:szCs w:val="24"/>
        </w:rPr>
      </w:pPr>
    </w:p>
    <w:p w:rsidR="003E1B67" w:rsidRDefault="003E1B67" w:rsidP="0010206F">
      <w:pPr>
        <w:shd w:val="clear" w:color="auto" w:fill="FFFFFF"/>
        <w:spacing w:after="0" w:line="480" w:lineRule="auto"/>
        <w:jc w:val="both"/>
        <w:rPr>
          <w:rFonts w:ascii="Georgia" w:hAnsi="Georgia"/>
          <w:sz w:val="24"/>
          <w:szCs w:val="24"/>
        </w:rPr>
      </w:pPr>
    </w:p>
    <w:p w:rsidR="00BF109B" w:rsidRPr="00F13458" w:rsidRDefault="00BF109B" w:rsidP="00F13458">
      <w:pPr>
        <w:shd w:val="clear" w:color="auto" w:fill="FFFFFF"/>
        <w:spacing w:after="0" w:line="240" w:lineRule="auto"/>
        <w:rPr>
          <w:rFonts w:ascii="Georgia" w:hAnsi="Georgia"/>
          <w:sz w:val="24"/>
          <w:szCs w:val="24"/>
        </w:rPr>
      </w:pPr>
    </w:p>
    <w:p w:rsidR="008E2BF6" w:rsidRPr="00863CDE" w:rsidRDefault="0014185B" w:rsidP="004A1033">
      <w:pPr>
        <w:spacing w:line="480" w:lineRule="auto"/>
        <w:jc w:val="center"/>
        <w:rPr>
          <w:rFonts w:ascii="Georgia" w:hAnsi="Georgia"/>
          <w:sz w:val="24"/>
          <w:szCs w:val="24"/>
        </w:rPr>
      </w:pPr>
      <w:r w:rsidRPr="00863CDE">
        <w:rPr>
          <w:rFonts w:ascii="Georgia" w:hAnsi="Georgia"/>
          <w:sz w:val="28"/>
          <w:szCs w:val="28"/>
        </w:rPr>
        <w:lastRenderedPageBreak/>
        <w:t>Bibliography</w:t>
      </w:r>
    </w:p>
    <w:p w:rsidR="00780637" w:rsidRPr="00C40E4C" w:rsidRDefault="00780637" w:rsidP="000209E6">
      <w:pPr>
        <w:pStyle w:val="FootnoteText"/>
        <w:spacing w:line="480" w:lineRule="auto"/>
        <w:ind w:left="720" w:hanging="720"/>
        <w:rPr>
          <w:rFonts w:ascii="Georgia" w:hAnsi="Georgia"/>
          <w:sz w:val="22"/>
          <w:szCs w:val="22"/>
          <w:lang w:val="en-US"/>
        </w:rPr>
      </w:pPr>
      <w:proofErr w:type="spellStart"/>
      <w:r w:rsidRPr="00C40E4C">
        <w:rPr>
          <w:rFonts w:ascii="Georgia" w:hAnsi="Georgia"/>
          <w:sz w:val="22"/>
          <w:szCs w:val="22"/>
        </w:rPr>
        <w:t>Baldick</w:t>
      </w:r>
      <w:proofErr w:type="spellEnd"/>
      <w:r w:rsidRPr="00C40E4C">
        <w:rPr>
          <w:rFonts w:ascii="Georgia" w:hAnsi="Georgia"/>
          <w:sz w:val="22"/>
          <w:szCs w:val="22"/>
        </w:rPr>
        <w:t>,</w:t>
      </w:r>
      <w:r w:rsidRPr="00C40E4C">
        <w:rPr>
          <w:rFonts w:ascii="Georgia" w:hAnsi="Georgia"/>
          <w:sz w:val="22"/>
          <w:szCs w:val="22"/>
        </w:rPr>
        <w:t xml:space="preserve"> </w:t>
      </w:r>
      <w:r w:rsidRPr="00C40E4C">
        <w:rPr>
          <w:rFonts w:ascii="Georgia" w:hAnsi="Georgia"/>
          <w:sz w:val="22"/>
          <w:szCs w:val="22"/>
        </w:rPr>
        <w:t>Chris</w:t>
      </w:r>
      <w:r w:rsidRPr="00C40E4C">
        <w:rPr>
          <w:rFonts w:ascii="Georgia" w:hAnsi="Georgia"/>
          <w:sz w:val="22"/>
          <w:szCs w:val="22"/>
        </w:rPr>
        <w:t>,</w:t>
      </w:r>
      <w:r w:rsidRPr="00C40E4C">
        <w:rPr>
          <w:rFonts w:ascii="Georgia" w:hAnsi="Georgia"/>
          <w:sz w:val="22"/>
          <w:szCs w:val="22"/>
        </w:rPr>
        <w:t xml:space="preserve"> </w:t>
      </w:r>
      <w:r w:rsidRPr="00C40E4C">
        <w:rPr>
          <w:rFonts w:ascii="Georgia" w:hAnsi="Georgia"/>
          <w:i/>
          <w:sz w:val="22"/>
          <w:szCs w:val="22"/>
        </w:rPr>
        <w:t>The Oxford Dictionary of Literary Terms</w:t>
      </w:r>
      <w:r w:rsidRPr="00C40E4C">
        <w:rPr>
          <w:rFonts w:ascii="Georgia" w:hAnsi="Georgia"/>
          <w:sz w:val="22"/>
          <w:szCs w:val="22"/>
        </w:rPr>
        <w:t>, 4</w:t>
      </w:r>
      <w:r w:rsidRPr="00C40E4C">
        <w:rPr>
          <w:rFonts w:ascii="Georgia" w:hAnsi="Georgia"/>
          <w:sz w:val="22"/>
          <w:szCs w:val="22"/>
          <w:vertAlign w:val="superscript"/>
        </w:rPr>
        <w:t>th</w:t>
      </w:r>
      <w:r w:rsidRPr="00C40E4C">
        <w:rPr>
          <w:rFonts w:ascii="Georgia" w:hAnsi="Georgia"/>
          <w:sz w:val="22"/>
          <w:szCs w:val="22"/>
        </w:rPr>
        <w:t xml:space="preserve"> edition, (Oxford: Oxford University Press, 2015)</w:t>
      </w:r>
    </w:p>
    <w:p w:rsidR="00780637" w:rsidRPr="00C40E4C" w:rsidRDefault="00780637" w:rsidP="000209E6">
      <w:pPr>
        <w:spacing w:after="0" w:line="480" w:lineRule="auto"/>
        <w:ind w:left="720" w:hanging="720"/>
        <w:rPr>
          <w:rFonts w:ascii="Georgia" w:hAnsi="Georgia"/>
          <w:lang w:val="en-US"/>
        </w:rPr>
      </w:pPr>
      <w:r w:rsidRPr="00C40E4C">
        <w:rPr>
          <w:rFonts w:ascii="Georgia" w:hAnsi="Georgia"/>
          <w:lang w:val="en-US"/>
        </w:rPr>
        <w:t>Bonaparte</w:t>
      </w:r>
      <w:r w:rsidRPr="00C40E4C">
        <w:rPr>
          <w:rFonts w:ascii="Georgia" w:hAnsi="Georgia"/>
          <w:lang w:val="en-US"/>
        </w:rPr>
        <w:t xml:space="preserve">, </w:t>
      </w:r>
      <w:r w:rsidRPr="00C40E4C">
        <w:rPr>
          <w:rFonts w:ascii="Georgia" w:hAnsi="Georgia"/>
          <w:lang w:val="en-US"/>
        </w:rPr>
        <w:t xml:space="preserve">Marie, </w:t>
      </w:r>
      <w:r w:rsidRPr="00C40E4C">
        <w:rPr>
          <w:rFonts w:ascii="Georgia" w:hAnsi="Georgia"/>
          <w:i/>
          <w:lang w:val="en-US"/>
        </w:rPr>
        <w:t>The Life and Works of Edgar Allan Poe: A Psycho-Analytic Interpretation</w:t>
      </w:r>
      <w:r w:rsidRPr="00C40E4C">
        <w:rPr>
          <w:rFonts w:ascii="Georgia" w:hAnsi="Georgia"/>
          <w:lang w:val="en-US"/>
        </w:rPr>
        <w:t xml:space="preserve"> (London: Imago, 1949)</w:t>
      </w:r>
    </w:p>
    <w:p w:rsidR="00780637" w:rsidRPr="00C40E4C" w:rsidRDefault="00780637" w:rsidP="000209E6">
      <w:pPr>
        <w:pStyle w:val="FootnoteText"/>
        <w:spacing w:line="480" w:lineRule="auto"/>
        <w:ind w:left="720" w:hanging="720"/>
        <w:rPr>
          <w:rFonts w:ascii="Georgia" w:hAnsi="Georgia"/>
          <w:sz w:val="22"/>
          <w:szCs w:val="22"/>
        </w:rPr>
      </w:pPr>
      <w:proofErr w:type="spellStart"/>
      <w:r w:rsidRPr="00C40E4C">
        <w:rPr>
          <w:rFonts w:ascii="Georgia" w:hAnsi="Georgia"/>
          <w:sz w:val="22"/>
          <w:szCs w:val="22"/>
        </w:rPr>
        <w:t>Brizee</w:t>
      </w:r>
      <w:proofErr w:type="spellEnd"/>
      <w:r w:rsidRPr="00C40E4C">
        <w:rPr>
          <w:rFonts w:ascii="Georgia" w:hAnsi="Georgia"/>
          <w:sz w:val="22"/>
          <w:szCs w:val="22"/>
        </w:rPr>
        <w:t xml:space="preserve">, </w:t>
      </w:r>
      <w:r w:rsidRPr="00C40E4C">
        <w:rPr>
          <w:rFonts w:ascii="Georgia" w:hAnsi="Georgia"/>
          <w:sz w:val="22"/>
          <w:szCs w:val="22"/>
        </w:rPr>
        <w:t xml:space="preserve">Allen and others, ‘Literary Theory and School of Criticism’, </w:t>
      </w:r>
      <w:r w:rsidRPr="00C40E4C">
        <w:rPr>
          <w:rFonts w:ascii="Georgia" w:hAnsi="Georgia"/>
          <w:i/>
          <w:sz w:val="22"/>
          <w:szCs w:val="22"/>
        </w:rPr>
        <w:t>Purdue OWL</w:t>
      </w:r>
      <w:r w:rsidRPr="00C40E4C">
        <w:rPr>
          <w:rFonts w:ascii="Georgia" w:hAnsi="Georgia"/>
          <w:sz w:val="22"/>
          <w:szCs w:val="22"/>
        </w:rPr>
        <w:t xml:space="preserve">, 17 July 1015. Purdue University </w:t>
      </w:r>
      <w:r w:rsidRPr="00C40E4C">
        <w:rPr>
          <w:rFonts w:ascii="Georgia" w:hAnsi="Georgia"/>
          <w:sz w:val="22"/>
          <w:szCs w:val="22"/>
        </w:rPr>
        <w:t>&lt;</w:t>
      </w:r>
      <w:r w:rsidRPr="00C40E4C">
        <w:rPr>
          <w:rFonts w:ascii="Georgia" w:hAnsi="Georgia"/>
          <w:sz w:val="22"/>
          <w:szCs w:val="22"/>
        </w:rPr>
        <w:t>https://owl.english.purdue.edu/owl/resource/722/01/&gt;. Accessed 28 November 2017</w:t>
      </w:r>
    </w:p>
    <w:p w:rsidR="00780637" w:rsidRPr="00C40E4C" w:rsidRDefault="00780637" w:rsidP="000209E6">
      <w:pPr>
        <w:spacing w:after="0" w:line="480" w:lineRule="auto"/>
        <w:ind w:left="720" w:hanging="720"/>
        <w:rPr>
          <w:rFonts w:ascii="Georgia" w:hAnsi="Georgia"/>
          <w:lang w:val="en-US"/>
        </w:rPr>
      </w:pPr>
      <w:r w:rsidRPr="00C40E4C">
        <w:rPr>
          <w:rFonts w:ascii="Georgia" w:hAnsi="Georgia"/>
          <w:lang w:val="en-US"/>
        </w:rPr>
        <w:t xml:space="preserve">Culler, Jonathan, </w:t>
      </w:r>
      <w:r w:rsidRPr="00C40E4C">
        <w:rPr>
          <w:rFonts w:ascii="Georgia" w:hAnsi="Georgia"/>
          <w:i/>
          <w:lang w:val="en-US"/>
        </w:rPr>
        <w:t>On Deconstruction: Theory and Criticism after Structuralism</w:t>
      </w:r>
      <w:r w:rsidRPr="00C40E4C">
        <w:rPr>
          <w:rFonts w:ascii="Georgia" w:hAnsi="Georgia"/>
          <w:lang w:val="en-US"/>
        </w:rPr>
        <w:t xml:space="preserve"> (London: Routledge and Kegan Paul, 1985)</w:t>
      </w:r>
    </w:p>
    <w:p w:rsidR="00780637" w:rsidRPr="00C40E4C" w:rsidRDefault="00780637" w:rsidP="000209E6">
      <w:pPr>
        <w:spacing w:after="0" w:line="480" w:lineRule="auto"/>
        <w:ind w:left="720" w:hanging="720"/>
        <w:rPr>
          <w:rFonts w:ascii="Georgia" w:hAnsi="Georgia"/>
          <w:lang w:val="en-US"/>
        </w:rPr>
      </w:pPr>
      <w:r w:rsidRPr="00C40E4C">
        <w:rPr>
          <w:rFonts w:ascii="Georgia" w:hAnsi="Georgia"/>
          <w:lang w:val="en-US"/>
        </w:rPr>
        <w:t xml:space="preserve">Eagleton, Terry, </w:t>
      </w:r>
      <w:r w:rsidRPr="00C40E4C">
        <w:rPr>
          <w:rFonts w:ascii="Georgia" w:hAnsi="Georgia"/>
          <w:i/>
          <w:lang w:val="en-US"/>
        </w:rPr>
        <w:t>Literary Theory: An Introduction</w:t>
      </w:r>
      <w:r w:rsidRPr="00C40E4C">
        <w:rPr>
          <w:rFonts w:ascii="Georgia" w:hAnsi="Georgia"/>
          <w:lang w:val="en-US"/>
        </w:rPr>
        <w:t xml:space="preserve"> (Malden: Blackwell Publishing, 2008)</w:t>
      </w:r>
    </w:p>
    <w:p w:rsidR="00780637" w:rsidRPr="00C40E4C" w:rsidRDefault="00780637" w:rsidP="000209E6">
      <w:pPr>
        <w:spacing w:after="0" w:line="480" w:lineRule="auto"/>
        <w:ind w:left="720" w:hanging="720"/>
        <w:rPr>
          <w:rFonts w:ascii="Georgia" w:hAnsi="Georgia"/>
          <w:lang w:val="en-US"/>
        </w:rPr>
      </w:pPr>
      <w:proofErr w:type="spellStart"/>
      <w:r w:rsidRPr="00C40E4C">
        <w:rPr>
          <w:rFonts w:ascii="Georgia" w:hAnsi="Georgia"/>
          <w:lang w:val="en-US"/>
        </w:rPr>
        <w:t>Felman</w:t>
      </w:r>
      <w:proofErr w:type="spellEnd"/>
      <w:r w:rsidRPr="00C40E4C">
        <w:rPr>
          <w:rFonts w:ascii="Georgia" w:hAnsi="Georgia"/>
          <w:lang w:val="en-US"/>
        </w:rPr>
        <w:t xml:space="preserve">, </w:t>
      </w:r>
      <w:r w:rsidRPr="00C40E4C">
        <w:rPr>
          <w:rFonts w:ascii="Georgia" w:hAnsi="Georgia"/>
          <w:lang w:val="en-US"/>
        </w:rPr>
        <w:t xml:space="preserve">Shoshana, </w:t>
      </w:r>
      <w:r w:rsidRPr="00C40E4C">
        <w:rPr>
          <w:rFonts w:ascii="Georgia" w:hAnsi="Georgia"/>
          <w:i/>
          <w:lang w:val="en-US"/>
        </w:rPr>
        <w:t>Literature and Psychoanalysis. The Question of Reading: Otherwise</w:t>
      </w:r>
      <w:r w:rsidRPr="00C40E4C">
        <w:rPr>
          <w:rFonts w:ascii="Georgia" w:hAnsi="Georgia"/>
          <w:lang w:val="en-US"/>
        </w:rPr>
        <w:t xml:space="preserve"> (Baltimore, John Hopkins Press, 1982)</w:t>
      </w:r>
    </w:p>
    <w:p w:rsidR="00780637" w:rsidRPr="00C40E4C" w:rsidRDefault="00780637" w:rsidP="000209E6">
      <w:pPr>
        <w:pStyle w:val="FootnoteText"/>
        <w:spacing w:line="480" w:lineRule="auto"/>
        <w:ind w:left="720" w:hanging="720"/>
        <w:jc w:val="both"/>
        <w:rPr>
          <w:rFonts w:ascii="Georgia" w:hAnsi="Georgia"/>
          <w:sz w:val="22"/>
          <w:szCs w:val="22"/>
        </w:rPr>
      </w:pPr>
      <w:r w:rsidRPr="00C40E4C">
        <w:rPr>
          <w:rFonts w:ascii="Georgia" w:hAnsi="Georgia"/>
          <w:sz w:val="22"/>
          <w:szCs w:val="22"/>
        </w:rPr>
        <w:t>France</w:t>
      </w:r>
      <w:r w:rsidRPr="00C40E4C">
        <w:rPr>
          <w:rFonts w:ascii="Georgia" w:hAnsi="Georgia"/>
          <w:sz w:val="22"/>
          <w:szCs w:val="22"/>
        </w:rPr>
        <w:t xml:space="preserve">, </w:t>
      </w:r>
      <w:r w:rsidRPr="00C40E4C">
        <w:rPr>
          <w:rFonts w:ascii="Georgia" w:hAnsi="Georgia"/>
          <w:sz w:val="22"/>
          <w:szCs w:val="22"/>
        </w:rPr>
        <w:t xml:space="preserve">Peter, ‘Lacan, Jacques’ in </w:t>
      </w:r>
      <w:r w:rsidRPr="00C40E4C">
        <w:rPr>
          <w:rFonts w:ascii="Georgia" w:hAnsi="Georgia"/>
          <w:i/>
          <w:sz w:val="22"/>
          <w:szCs w:val="22"/>
        </w:rPr>
        <w:t>The New Oxford Companion to Literature in French</w:t>
      </w:r>
      <w:r w:rsidRPr="00C40E4C">
        <w:rPr>
          <w:rFonts w:ascii="Georgia" w:hAnsi="Georgia"/>
          <w:sz w:val="22"/>
          <w:szCs w:val="22"/>
        </w:rPr>
        <w:t xml:space="preserve"> (Oxford: Oxford University Press, 2005)</w:t>
      </w:r>
    </w:p>
    <w:p w:rsidR="00780637" w:rsidRPr="00C40E4C" w:rsidRDefault="00780637" w:rsidP="00164FF0">
      <w:pPr>
        <w:spacing w:after="0" w:line="480" w:lineRule="auto"/>
        <w:ind w:left="720" w:hanging="720"/>
        <w:rPr>
          <w:rFonts w:ascii="Georgia" w:hAnsi="Georgia"/>
        </w:rPr>
      </w:pPr>
      <w:r w:rsidRPr="00C40E4C">
        <w:rPr>
          <w:rFonts w:ascii="Georgia" w:hAnsi="Georgia"/>
        </w:rPr>
        <w:t xml:space="preserve">Green, Keith and Jill </w:t>
      </w:r>
      <w:proofErr w:type="spellStart"/>
      <w:r w:rsidRPr="00C40E4C">
        <w:rPr>
          <w:rFonts w:ascii="Georgia" w:hAnsi="Georgia"/>
        </w:rPr>
        <w:t>LeBihan</w:t>
      </w:r>
      <w:proofErr w:type="spellEnd"/>
      <w:r w:rsidRPr="00C40E4C">
        <w:rPr>
          <w:rFonts w:ascii="Georgia" w:hAnsi="Georgia"/>
        </w:rPr>
        <w:t xml:space="preserve">, </w:t>
      </w:r>
      <w:r w:rsidRPr="00C40E4C">
        <w:rPr>
          <w:rFonts w:ascii="Georgia" w:hAnsi="Georgia"/>
          <w:i/>
        </w:rPr>
        <w:t xml:space="preserve">Critical Theory and Practice: A </w:t>
      </w:r>
      <w:proofErr w:type="spellStart"/>
      <w:r w:rsidRPr="00C40E4C">
        <w:rPr>
          <w:rFonts w:ascii="Georgia" w:hAnsi="Georgia"/>
          <w:i/>
        </w:rPr>
        <w:t>Coursebook</w:t>
      </w:r>
      <w:proofErr w:type="spellEnd"/>
      <w:r w:rsidRPr="00C40E4C">
        <w:rPr>
          <w:rFonts w:ascii="Georgia" w:hAnsi="Georgia"/>
        </w:rPr>
        <w:t xml:space="preserve"> (Abingdon: Routledge, 2000)</w:t>
      </w:r>
    </w:p>
    <w:p w:rsidR="00780637" w:rsidRDefault="00780637" w:rsidP="00C960E1">
      <w:pPr>
        <w:spacing w:after="0" w:line="480" w:lineRule="auto"/>
        <w:ind w:left="720" w:hanging="720"/>
        <w:rPr>
          <w:rFonts w:ascii="Georgia" w:hAnsi="Georgia"/>
          <w:lang w:val="en-US"/>
        </w:rPr>
      </w:pPr>
      <w:r w:rsidRPr="00C40E4C">
        <w:rPr>
          <w:rFonts w:ascii="Georgia" w:hAnsi="Georgia"/>
        </w:rPr>
        <w:t>Hertz</w:t>
      </w:r>
      <w:r w:rsidRPr="00C40E4C">
        <w:rPr>
          <w:rFonts w:ascii="Georgia" w:hAnsi="Georgia"/>
        </w:rPr>
        <w:t xml:space="preserve">, </w:t>
      </w:r>
      <w:r w:rsidRPr="00C40E4C">
        <w:rPr>
          <w:rFonts w:ascii="Georgia" w:hAnsi="Georgia"/>
        </w:rPr>
        <w:t>Neil, ‘</w:t>
      </w:r>
      <w:r w:rsidRPr="00C40E4C">
        <w:rPr>
          <w:rFonts w:ascii="Georgia" w:hAnsi="Georgia"/>
          <w:lang w:val="en-US"/>
        </w:rPr>
        <w:t xml:space="preserve">Freud and the Sandman’, in </w:t>
      </w:r>
      <w:r w:rsidRPr="00C40E4C">
        <w:rPr>
          <w:rFonts w:ascii="Georgia" w:hAnsi="Georgia"/>
          <w:i/>
          <w:lang w:val="en-US"/>
        </w:rPr>
        <w:t>Textual Strategies: Perspectives in Post-Structural Criticism</w:t>
      </w:r>
      <w:r w:rsidRPr="00C40E4C">
        <w:rPr>
          <w:rFonts w:ascii="Georgia" w:hAnsi="Georgia"/>
          <w:lang w:val="en-US"/>
        </w:rPr>
        <w:t xml:space="preserve">, ed. By </w:t>
      </w:r>
      <w:proofErr w:type="spellStart"/>
      <w:r w:rsidRPr="00C40E4C">
        <w:rPr>
          <w:rFonts w:ascii="Georgia" w:hAnsi="Georgia"/>
          <w:lang w:val="en-US"/>
        </w:rPr>
        <w:t>Josué</w:t>
      </w:r>
      <w:proofErr w:type="spellEnd"/>
      <w:r w:rsidRPr="00C40E4C">
        <w:rPr>
          <w:rFonts w:ascii="Georgia" w:hAnsi="Georgia"/>
          <w:lang w:val="en-US"/>
        </w:rPr>
        <w:t xml:space="preserve"> </w:t>
      </w:r>
      <w:proofErr w:type="spellStart"/>
      <w:r w:rsidRPr="00C40E4C">
        <w:rPr>
          <w:rFonts w:ascii="Georgia" w:hAnsi="Georgia"/>
          <w:lang w:val="en-US"/>
        </w:rPr>
        <w:t>Harai</w:t>
      </w:r>
      <w:proofErr w:type="spellEnd"/>
      <w:r w:rsidRPr="00C40E4C">
        <w:rPr>
          <w:rFonts w:ascii="Georgia" w:hAnsi="Georgia"/>
          <w:lang w:val="en-US"/>
        </w:rPr>
        <w:t xml:space="preserve"> (London: Methuen, 1980), 296-321 </w:t>
      </w:r>
    </w:p>
    <w:p w:rsidR="00780637" w:rsidRPr="00C40E4C" w:rsidRDefault="00780637" w:rsidP="00164FF0">
      <w:pPr>
        <w:spacing w:after="0" w:line="480" w:lineRule="auto"/>
        <w:ind w:left="720" w:hanging="720"/>
        <w:rPr>
          <w:rFonts w:ascii="Georgia" w:hAnsi="Georgia"/>
        </w:rPr>
      </w:pPr>
      <w:r w:rsidRPr="00C40E4C">
        <w:rPr>
          <w:rFonts w:ascii="Georgia" w:hAnsi="Georgia"/>
        </w:rPr>
        <w:t xml:space="preserve">Hoffman, E. T. A., </w:t>
      </w:r>
      <w:r w:rsidRPr="00C40E4C">
        <w:rPr>
          <w:rFonts w:ascii="Georgia" w:hAnsi="Georgia"/>
          <w:i/>
        </w:rPr>
        <w:t>The Sandman. The Elementary Spirit: Two Mysterious Tales</w:t>
      </w:r>
      <w:r w:rsidRPr="00C40E4C">
        <w:rPr>
          <w:rFonts w:ascii="Georgia" w:hAnsi="Georgia"/>
        </w:rPr>
        <w:t xml:space="preserve"> (New York: Mondial, 2008)</w:t>
      </w:r>
    </w:p>
    <w:p w:rsidR="00780637" w:rsidRPr="00C960E1" w:rsidRDefault="00780637" w:rsidP="00C960E1">
      <w:pPr>
        <w:spacing w:after="0" w:line="480" w:lineRule="auto"/>
        <w:ind w:left="720" w:hanging="720"/>
        <w:rPr>
          <w:rFonts w:ascii="Georgia" w:hAnsi="Georgia"/>
          <w:lang w:val="en-US"/>
        </w:rPr>
      </w:pPr>
      <w:r w:rsidRPr="00C960E1">
        <w:rPr>
          <w:rFonts w:ascii="Georgia" w:hAnsi="Georgia"/>
          <w:lang w:val="en-US"/>
        </w:rPr>
        <w:t>Robinson,</w:t>
      </w:r>
      <w:r>
        <w:rPr>
          <w:rFonts w:ascii="Georgia" w:hAnsi="Georgia"/>
          <w:lang w:val="en-US"/>
        </w:rPr>
        <w:t xml:space="preserve"> </w:t>
      </w:r>
      <w:r w:rsidRPr="00C960E1">
        <w:rPr>
          <w:rFonts w:ascii="Georgia" w:hAnsi="Georgia"/>
          <w:lang w:val="en-US"/>
        </w:rPr>
        <w:t>Paul</w:t>
      </w:r>
      <w:r>
        <w:rPr>
          <w:rFonts w:ascii="Georgia" w:hAnsi="Georgia"/>
          <w:lang w:val="en-US"/>
        </w:rPr>
        <w:t>,</w:t>
      </w:r>
      <w:r w:rsidRPr="00C960E1">
        <w:rPr>
          <w:rFonts w:ascii="Georgia" w:hAnsi="Georgia"/>
          <w:lang w:val="en-US"/>
        </w:rPr>
        <w:t xml:space="preserve"> </w:t>
      </w:r>
      <w:r w:rsidRPr="00C960E1">
        <w:rPr>
          <w:rFonts w:ascii="Georgia" w:hAnsi="Georgia"/>
          <w:i/>
          <w:lang w:val="en-US"/>
        </w:rPr>
        <w:t>Freud and His Critics</w:t>
      </w:r>
      <w:r w:rsidRPr="00C960E1">
        <w:rPr>
          <w:rFonts w:ascii="Georgia" w:hAnsi="Georgia"/>
          <w:lang w:val="en-US"/>
        </w:rPr>
        <w:t xml:space="preserve"> (Berkeley: University of California Press, 1993)</w:t>
      </w:r>
    </w:p>
    <w:p w:rsidR="00780637" w:rsidRPr="00C40E4C" w:rsidRDefault="00780637" w:rsidP="000209E6">
      <w:pPr>
        <w:pStyle w:val="FootnoteText"/>
        <w:spacing w:line="480" w:lineRule="auto"/>
        <w:ind w:left="720" w:hanging="720"/>
        <w:rPr>
          <w:rFonts w:ascii="Georgia" w:hAnsi="Georgia"/>
          <w:sz w:val="22"/>
          <w:szCs w:val="22"/>
          <w:lang w:val="en-US"/>
        </w:rPr>
      </w:pPr>
      <w:r w:rsidRPr="00C40E4C">
        <w:rPr>
          <w:rFonts w:ascii="Georgia" w:hAnsi="Georgia"/>
          <w:sz w:val="22"/>
          <w:szCs w:val="22"/>
        </w:rPr>
        <w:t xml:space="preserve">van Pelt, </w:t>
      </w:r>
      <w:proofErr w:type="spellStart"/>
      <w:r w:rsidRPr="00C40E4C">
        <w:rPr>
          <w:rFonts w:ascii="Georgia" w:hAnsi="Georgia"/>
          <w:sz w:val="22"/>
          <w:szCs w:val="22"/>
        </w:rPr>
        <w:t>Tamise</w:t>
      </w:r>
      <w:proofErr w:type="spellEnd"/>
      <w:r w:rsidRPr="00C40E4C">
        <w:rPr>
          <w:rFonts w:ascii="Georgia" w:hAnsi="Georgia"/>
          <w:sz w:val="22"/>
          <w:szCs w:val="22"/>
        </w:rPr>
        <w:t>,</w:t>
      </w:r>
      <w:r w:rsidRPr="00C40E4C">
        <w:rPr>
          <w:rFonts w:ascii="Georgia" w:hAnsi="Georgia"/>
          <w:sz w:val="22"/>
          <w:szCs w:val="22"/>
        </w:rPr>
        <w:t xml:space="preserve"> ‘Lacan in context: An introduction to Lacan for the English-speaking reader.’ </w:t>
      </w:r>
      <w:r w:rsidRPr="00C40E4C">
        <w:rPr>
          <w:rFonts w:ascii="Georgia" w:hAnsi="Georgia"/>
          <w:i/>
          <w:sz w:val="22"/>
          <w:szCs w:val="22"/>
        </w:rPr>
        <w:t>College Literature</w:t>
      </w:r>
      <w:r w:rsidRPr="00C40E4C">
        <w:rPr>
          <w:rFonts w:ascii="Georgia" w:hAnsi="Georgia"/>
          <w:sz w:val="22"/>
          <w:szCs w:val="22"/>
        </w:rPr>
        <w:t xml:space="preserve"> 24:2 (1997), 57-71</w:t>
      </w:r>
      <w:bookmarkStart w:id="0" w:name="_GoBack"/>
      <w:bookmarkEnd w:id="0"/>
    </w:p>
    <w:sectPr w:rsidR="00780637" w:rsidRPr="00C40E4C" w:rsidSect="001E765B">
      <w:headerReference w:type="default" r:id="rId9"/>
      <w:pgSz w:w="12240" w:h="15840"/>
      <w:pgMar w:top="1440" w:right="1440" w:bottom="1397"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737E6" w:rsidRDefault="00B737E6" w:rsidP="007A6B7C">
      <w:pPr>
        <w:spacing w:after="0" w:line="240" w:lineRule="auto"/>
      </w:pPr>
      <w:r>
        <w:separator/>
      </w:r>
    </w:p>
  </w:endnote>
  <w:endnote w:type="continuationSeparator" w:id="0">
    <w:p w:rsidR="00B737E6" w:rsidRDefault="00B737E6" w:rsidP="007A6B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737E6" w:rsidRDefault="00B737E6" w:rsidP="007A6B7C">
      <w:pPr>
        <w:spacing w:after="0" w:line="240" w:lineRule="auto"/>
      </w:pPr>
      <w:r>
        <w:separator/>
      </w:r>
    </w:p>
  </w:footnote>
  <w:footnote w:type="continuationSeparator" w:id="0">
    <w:p w:rsidR="00B737E6" w:rsidRDefault="00B737E6" w:rsidP="007A6B7C">
      <w:pPr>
        <w:spacing w:after="0" w:line="240" w:lineRule="auto"/>
      </w:pPr>
      <w:r>
        <w:continuationSeparator/>
      </w:r>
    </w:p>
  </w:footnote>
  <w:footnote w:id="1">
    <w:p w:rsidR="009E0B9E" w:rsidRPr="00CE31C1" w:rsidRDefault="009E0B9E">
      <w:pPr>
        <w:pStyle w:val="FootnoteText"/>
        <w:rPr>
          <w:lang w:val="en-US"/>
        </w:rPr>
      </w:pPr>
      <w:r>
        <w:rPr>
          <w:rStyle w:val="FootnoteReference"/>
        </w:rPr>
        <w:footnoteRef/>
      </w:r>
      <w:r>
        <w:t xml:space="preserve"> </w:t>
      </w:r>
      <w:r w:rsidRPr="0084022D">
        <w:t xml:space="preserve">Allen </w:t>
      </w:r>
      <w:proofErr w:type="spellStart"/>
      <w:r w:rsidRPr="0084022D">
        <w:t>Brizee</w:t>
      </w:r>
      <w:proofErr w:type="spellEnd"/>
      <w:r>
        <w:t xml:space="preserve"> and others, ‘Literary Theory and School of Criticism’, </w:t>
      </w:r>
      <w:r w:rsidRPr="0084022D">
        <w:rPr>
          <w:i/>
        </w:rPr>
        <w:t>Purdue OWL</w:t>
      </w:r>
      <w:r>
        <w:t>, 17 July 1015. Purdue University &lt;https://owl.english.purdue.edu/owl/resource/722/01/&gt;. Accessed 28 November 2017.</w:t>
      </w:r>
    </w:p>
  </w:footnote>
  <w:footnote w:id="2">
    <w:p w:rsidR="009E0B9E" w:rsidRPr="00867E9C" w:rsidRDefault="009E0B9E">
      <w:pPr>
        <w:pStyle w:val="FootnoteText"/>
        <w:rPr>
          <w:lang w:val="en-US"/>
        </w:rPr>
      </w:pPr>
      <w:r>
        <w:rPr>
          <w:rStyle w:val="FootnoteReference"/>
        </w:rPr>
        <w:footnoteRef/>
      </w:r>
      <w:r>
        <w:t xml:space="preserve"> Chris </w:t>
      </w:r>
      <w:proofErr w:type="spellStart"/>
      <w:r>
        <w:t>Baldick</w:t>
      </w:r>
      <w:proofErr w:type="spellEnd"/>
      <w:r>
        <w:t xml:space="preserve">, ‘Structuralism’ in </w:t>
      </w:r>
      <w:r w:rsidRPr="008D115F">
        <w:rPr>
          <w:i/>
        </w:rPr>
        <w:t>The Oxford Dictionary of Literary Terms</w:t>
      </w:r>
      <w:r>
        <w:t>, 4</w:t>
      </w:r>
      <w:r w:rsidRPr="008D115F">
        <w:rPr>
          <w:vertAlign w:val="superscript"/>
        </w:rPr>
        <w:t>th</w:t>
      </w:r>
      <w:r>
        <w:t xml:space="preserve"> edition, (Oxford: Oxford University Press, 2015).</w:t>
      </w:r>
    </w:p>
  </w:footnote>
  <w:footnote w:id="3">
    <w:p w:rsidR="009E0B9E" w:rsidRPr="00F04F61" w:rsidRDefault="009E0B9E">
      <w:pPr>
        <w:pStyle w:val="FootnoteText"/>
        <w:rPr>
          <w:lang w:val="en-US"/>
        </w:rPr>
      </w:pPr>
      <w:r>
        <w:rPr>
          <w:rStyle w:val="FootnoteReference"/>
        </w:rPr>
        <w:footnoteRef/>
      </w:r>
      <w:r>
        <w:t xml:space="preserve"> Chris </w:t>
      </w:r>
      <w:proofErr w:type="spellStart"/>
      <w:r>
        <w:t>Baldick</w:t>
      </w:r>
      <w:proofErr w:type="spellEnd"/>
      <w:r>
        <w:t xml:space="preserve">, ‘Psychoanalytic Criticism’ in </w:t>
      </w:r>
      <w:r w:rsidRPr="008D115F">
        <w:rPr>
          <w:i/>
        </w:rPr>
        <w:t>The Oxford Dictionary of Literary Terms</w:t>
      </w:r>
      <w:r>
        <w:t>, 4</w:t>
      </w:r>
      <w:r w:rsidRPr="008D115F">
        <w:rPr>
          <w:vertAlign w:val="superscript"/>
        </w:rPr>
        <w:t>th</w:t>
      </w:r>
      <w:r>
        <w:t xml:space="preserve"> edition, (Oxford: Oxford University Press, 2015).</w:t>
      </w:r>
    </w:p>
  </w:footnote>
  <w:footnote w:id="4">
    <w:p w:rsidR="009E0B9E" w:rsidRPr="00A03CAB" w:rsidRDefault="009E0B9E" w:rsidP="0062144A">
      <w:pPr>
        <w:pStyle w:val="FootnoteText"/>
        <w:rPr>
          <w:lang w:val="en-US"/>
        </w:rPr>
      </w:pPr>
      <w:r>
        <w:rPr>
          <w:rStyle w:val="FootnoteReference"/>
        </w:rPr>
        <w:footnoteRef/>
      </w:r>
      <w:r>
        <w:t xml:space="preserve"> Chris </w:t>
      </w:r>
      <w:proofErr w:type="spellStart"/>
      <w:r>
        <w:t>Baldick</w:t>
      </w:r>
      <w:proofErr w:type="spellEnd"/>
      <w:r>
        <w:t xml:space="preserve">, ‘Post-Structuralism’ in </w:t>
      </w:r>
      <w:r w:rsidRPr="008D115F">
        <w:rPr>
          <w:i/>
        </w:rPr>
        <w:t>The Oxford Dictionary of Literary Terms</w:t>
      </w:r>
      <w:r>
        <w:t>, 4</w:t>
      </w:r>
      <w:r w:rsidRPr="008D115F">
        <w:rPr>
          <w:vertAlign w:val="superscript"/>
        </w:rPr>
        <w:t>th</w:t>
      </w:r>
      <w:r>
        <w:t xml:space="preserve"> edition, (Oxford: Oxford University Press, 2015).</w:t>
      </w:r>
    </w:p>
  </w:footnote>
  <w:footnote w:id="5">
    <w:p w:rsidR="009E0B9E" w:rsidRPr="00B4179A" w:rsidRDefault="009E0B9E">
      <w:pPr>
        <w:pStyle w:val="FootnoteText"/>
        <w:rPr>
          <w:lang w:val="en-US"/>
        </w:rPr>
      </w:pPr>
      <w:r>
        <w:rPr>
          <w:rStyle w:val="FootnoteReference"/>
        </w:rPr>
        <w:footnoteRef/>
      </w:r>
      <w:r>
        <w:t xml:space="preserve"> Chris </w:t>
      </w:r>
      <w:proofErr w:type="spellStart"/>
      <w:r>
        <w:t>Baldick</w:t>
      </w:r>
      <w:proofErr w:type="spellEnd"/>
      <w:r>
        <w:t xml:space="preserve">, ‘Deconstruction’ in </w:t>
      </w:r>
      <w:r w:rsidRPr="008D115F">
        <w:rPr>
          <w:i/>
        </w:rPr>
        <w:t>The Oxford Dictionary of Literary Terms</w:t>
      </w:r>
      <w:r>
        <w:t>, 4</w:t>
      </w:r>
      <w:r w:rsidRPr="008D115F">
        <w:rPr>
          <w:vertAlign w:val="superscript"/>
        </w:rPr>
        <w:t>th</w:t>
      </w:r>
      <w:r>
        <w:t xml:space="preserve"> edition, (Oxford: Oxford University Press, 2015).</w:t>
      </w:r>
    </w:p>
  </w:footnote>
  <w:footnote w:id="6">
    <w:p w:rsidR="009E0B9E" w:rsidRPr="00F96444" w:rsidRDefault="009E0B9E">
      <w:pPr>
        <w:pStyle w:val="FootnoteText"/>
        <w:rPr>
          <w:lang w:val="en-US"/>
        </w:rPr>
      </w:pPr>
      <w:r>
        <w:rPr>
          <w:rStyle w:val="FootnoteReference"/>
        </w:rPr>
        <w:footnoteRef/>
      </w:r>
      <w:proofErr w:type="spellStart"/>
      <w:r>
        <w:t>Tamise</w:t>
      </w:r>
      <w:proofErr w:type="spellEnd"/>
      <w:r>
        <w:t xml:space="preserve"> van Pelt, ‘</w:t>
      </w:r>
      <w:r w:rsidRPr="00FC3B78">
        <w:t>Lacan in context: An introduction to Lacan for the English-speaking reader</w:t>
      </w:r>
      <w:r>
        <w:t xml:space="preserve">.’ </w:t>
      </w:r>
      <w:r w:rsidRPr="00FC3B78">
        <w:rPr>
          <w:i/>
        </w:rPr>
        <w:t>College Literature</w:t>
      </w:r>
      <w:r>
        <w:t xml:space="preserve"> 24:2 (1997), 57-71.</w:t>
      </w:r>
    </w:p>
  </w:footnote>
  <w:footnote w:id="7">
    <w:p w:rsidR="009E0B9E" w:rsidRPr="00FE34F7" w:rsidRDefault="009E0B9E">
      <w:pPr>
        <w:pStyle w:val="FootnoteText"/>
        <w:rPr>
          <w:lang w:val="en-US"/>
        </w:rPr>
      </w:pPr>
      <w:r>
        <w:rPr>
          <w:rStyle w:val="FootnoteReference"/>
        </w:rPr>
        <w:footnoteRef/>
      </w:r>
      <w:r>
        <w:t xml:space="preserve"> Peter France, ‘Lacan, Jacques’ in </w:t>
      </w:r>
      <w:r w:rsidRPr="008D115F">
        <w:rPr>
          <w:i/>
        </w:rPr>
        <w:t>The</w:t>
      </w:r>
      <w:r>
        <w:rPr>
          <w:i/>
        </w:rPr>
        <w:t xml:space="preserve"> New</w:t>
      </w:r>
      <w:r w:rsidRPr="008D115F">
        <w:rPr>
          <w:i/>
        </w:rPr>
        <w:t xml:space="preserve"> Oxford </w:t>
      </w:r>
      <w:r>
        <w:rPr>
          <w:i/>
        </w:rPr>
        <w:t>Companion to Literature in French</w:t>
      </w:r>
      <w:r>
        <w:t xml:space="preserve"> (Oxford: Oxford University Press, 2005). </w:t>
      </w:r>
    </w:p>
  </w:footnote>
  <w:footnote w:id="8">
    <w:p w:rsidR="009E0B9E" w:rsidRPr="00C52B97" w:rsidRDefault="009E0B9E">
      <w:pPr>
        <w:pStyle w:val="FootnoteText"/>
        <w:rPr>
          <w:lang w:val="en-US"/>
        </w:rPr>
      </w:pPr>
      <w:r>
        <w:rPr>
          <w:rStyle w:val="FootnoteReference"/>
        </w:rPr>
        <w:footnoteRef/>
      </w:r>
      <w:r>
        <w:t xml:space="preserve"> Neil Hertz, ‘</w:t>
      </w:r>
      <w:r>
        <w:rPr>
          <w:lang w:val="en-US"/>
        </w:rPr>
        <w:t xml:space="preserve">Freud and the Sandman’, in </w:t>
      </w:r>
      <w:r w:rsidRPr="00403266">
        <w:rPr>
          <w:i/>
          <w:lang w:val="en-US"/>
        </w:rPr>
        <w:t>Textual Strategies: Perspectives in Post-Structural Criticism</w:t>
      </w:r>
      <w:r>
        <w:rPr>
          <w:lang w:val="en-US"/>
        </w:rPr>
        <w:t xml:space="preserve">, ed. By </w:t>
      </w:r>
      <w:proofErr w:type="spellStart"/>
      <w:r>
        <w:rPr>
          <w:lang w:val="en-US"/>
        </w:rPr>
        <w:t>Josué</w:t>
      </w:r>
      <w:proofErr w:type="spellEnd"/>
      <w:r>
        <w:rPr>
          <w:lang w:val="en-US"/>
        </w:rPr>
        <w:t xml:space="preserve"> </w:t>
      </w:r>
      <w:proofErr w:type="spellStart"/>
      <w:r>
        <w:rPr>
          <w:lang w:val="en-US"/>
        </w:rPr>
        <w:t>Harai</w:t>
      </w:r>
      <w:proofErr w:type="spellEnd"/>
      <w:r>
        <w:rPr>
          <w:lang w:val="en-US"/>
        </w:rPr>
        <w:t xml:space="preserve"> (London: Methuen, 1980), 296-321 (p. 297).</w:t>
      </w:r>
    </w:p>
  </w:footnote>
  <w:footnote w:id="9">
    <w:p w:rsidR="009E0B9E" w:rsidRPr="00F247F8" w:rsidRDefault="009E0B9E">
      <w:pPr>
        <w:pStyle w:val="FootnoteText"/>
        <w:rPr>
          <w:lang w:val="en-US"/>
        </w:rPr>
      </w:pPr>
      <w:r>
        <w:rPr>
          <w:rStyle w:val="FootnoteReference"/>
        </w:rPr>
        <w:footnoteRef/>
      </w:r>
      <w:r>
        <w:t xml:space="preserve"> </w:t>
      </w:r>
      <w:r w:rsidR="000E6FB4">
        <w:rPr>
          <w:lang w:val="en-US"/>
        </w:rPr>
        <w:t xml:space="preserve">Paul Robinson, </w:t>
      </w:r>
      <w:r w:rsidR="000E6FB4" w:rsidRPr="000E6FB4">
        <w:rPr>
          <w:i/>
          <w:lang w:val="en-US"/>
        </w:rPr>
        <w:t>Freud and His Critics</w:t>
      </w:r>
      <w:r w:rsidR="000E6FB4">
        <w:rPr>
          <w:lang w:val="en-US"/>
        </w:rPr>
        <w:t xml:space="preserve"> (Berkeley: University of California Press, 1993).</w:t>
      </w:r>
    </w:p>
  </w:footnote>
  <w:footnote w:id="10">
    <w:p w:rsidR="009E0B9E" w:rsidRPr="0013459D" w:rsidRDefault="009E0B9E">
      <w:pPr>
        <w:pStyle w:val="FootnoteText"/>
        <w:rPr>
          <w:lang w:val="en-US"/>
        </w:rPr>
      </w:pPr>
      <w:r>
        <w:rPr>
          <w:rStyle w:val="FootnoteReference"/>
        </w:rPr>
        <w:footnoteRef/>
      </w:r>
      <w:r>
        <w:t xml:space="preserve"> </w:t>
      </w:r>
      <w:r>
        <w:rPr>
          <w:lang w:val="en-US"/>
        </w:rPr>
        <w:t xml:space="preserve">Marie Bonaparte, </w:t>
      </w:r>
      <w:r w:rsidRPr="009E0B9E">
        <w:rPr>
          <w:i/>
          <w:lang w:val="en-US"/>
        </w:rPr>
        <w:t>The Life and Works of Edgar Allan Poe: A Psycho-Analytic Interpretation</w:t>
      </w:r>
      <w:r>
        <w:rPr>
          <w:lang w:val="en-US"/>
        </w:rPr>
        <w:t xml:space="preserve"> (London: Imago, 1949), p. 408.</w:t>
      </w:r>
    </w:p>
  </w:footnote>
  <w:footnote w:id="11">
    <w:p w:rsidR="009E0B9E" w:rsidRPr="00C11135" w:rsidRDefault="009E0B9E">
      <w:pPr>
        <w:pStyle w:val="FootnoteText"/>
        <w:rPr>
          <w:lang w:val="en-US"/>
        </w:rPr>
      </w:pPr>
      <w:r>
        <w:rPr>
          <w:rStyle w:val="FootnoteReference"/>
        </w:rPr>
        <w:footnoteRef/>
      </w:r>
      <w:r>
        <w:t xml:space="preserve"> </w:t>
      </w:r>
      <w:r w:rsidR="005158A1">
        <w:rPr>
          <w:lang w:val="en-US"/>
        </w:rPr>
        <w:t>Hertz</w:t>
      </w:r>
      <w:r>
        <w:rPr>
          <w:lang w:val="en-US"/>
        </w:rPr>
        <w:t>, p</w:t>
      </w:r>
      <w:r w:rsidR="005158A1">
        <w:rPr>
          <w:lang w:val="en-US"/>
        </w:rPr>
        <w:t>.</w:t>
      </w:r>
      <w:r>
        <w:rPr>
          <w:lang w:val="en-US"/>
        </w:rPr>
        <w:t xml:space="preserve"> 304</w:t>
      </w:r>
    </w:p>
  </w:footnote>
  <w:footnote w:id="12">
    <w:p w:rsidR="009E0B9E" w:rsidRPr="00010B16" w:rsidRDefault="009E0B9E">
      <w:pPr>
        <w:pStyle w:val="FootnoteText"/>
        <w:rPr>
          <w:lang w:val="en-US"/>
        </w:rPr>
      </w:pPr>
      <w:r>
        <w:rPr>
          <w:rStyle w:val="FootnoteReference"/>
        </w:rPr>
        <w:footnoteRef/>
      </w:r>
      <w:r>
        <w:t xml:space="preserve"> </w:t>
      </w:r>
      <w:r>
        <w:rPr>
          <w:lang w:val="en-US"/>
        </w:rPr>
        <w:t>Ibid</w:t>
      </w:r>
      <w:r w:rsidR="005158A1">
        <w:rPr>
          <w:lang w:val="en-US"/>
        </w:rPr>
        <w:t>.,</w:t>
      </w:r>
      <w:r>
        <w:rPr>
          <w:lang w:val="en-US"/>
        </w:rPr>
        <w:t xml:space="preserve"> </w:t>
      </w:r>
      <w:r w:rsidR="005158A1">
        <w:rPr>
          <w:lang w:val="en-US"/>
        </w:rPr>
        <w:t xml:space="preserve">p. </w:t>
      </w:r>
      <w:r>
        <w:rPr>
          <w:lang w:val="en-US"/>
        </w:rPr>
        <w:t>313</w:t>
      </w:r>
    </w:p>
  </w:footnote>
  <w:footnote w:id="13">
    <w:p w:rsidR="009E0B9E" w:rsidRPr="006E2434" w:rsidRDefault="009E0B9E">
      <w:pPr>
        <w:pStyle w:val="FootnoteText"/>
        <w:rPr>
          <w:lang w:val="en-US"/>
        </w:rPr>
      </w:pPr>
      <w:r>
        <w:rPr>
          <w:rStyle w:val="FootnoteReference"/>
        </w:rPr>
        <w:footnoteRef/>
      </w:r>
      <w:r>
        <w:t xml:space="preserve"> </w:t>
      </w:r>
      <w:r w:rsidR="005158A1">
        <w:rPr>
          <w:lang w:val="en-US"/>
        </w:rPr>
        <w:t>Ibid.,</w:t>
      </w:r>
      <w:r>
        <w:rPr>
          <w:lang w:val="en-US"/>
        </w:rPr>
        <w:t xml:space="preserve"> </w:t>
      </w:r>
      <w:r w:rsidR="005158A1">
        <w:rPr>
          <w:lang w:val="en-US"/>
        </w:rPr>
        <w:t xml:space="preserve">p. </w:t>
      </w:r>
      <w:r>
        <w:rPr>
          <w:lang w:val="en-US"/>
        </w:rPr>
        <w:t>312</w:t>
      </w:r>
    </w:p>
  </w:footnote>
  <w:footnote w:id="14">
    <w:p w:rsidR="009E0B9E" w:rsidRPr="00D07A1F" w:rsidRDefault="009E0B9E">
      <w:pPr>
        <w:pStyle w:val="FootnoteText"/>
        <w:rPr>
          <w:lang w:val="en-US"/>
        </w:rPr>
      </w:pPr>
      <w:r>
        <w:rPr>
          <w:rStyle w:val="FootnoteReference"/>
        </w:rPr>
        <w:footnoteRef/>
      </w:r>
      <w:r>
        <w:t xml:space="preserve"> </w:t>
      </w:r>
      <w:r w:rsidR="005158A1">
        <w:rPr>
          <w:lang w:val="en-US"/>
        </w:rPr>
        <w:t>Ibid., p.</w:t>
      </w:r>
      <w:r>
        <w:rPr>
          <w:lang w:val="en-US"/>
        </w:rPr>
        <w:t xml:space="preserve"> 313</w:t>
      </w:r>
    </w:p>
  </w:footnote>
  <w:footnote w:id="15">
    <w:p w:rsidR="009E0B9E" w:rsidRPr="000B344E" w:rsidRDefault="009E0B9E">
      <w:pPr>
        <w:pStyle w:val="FootnoteText"/>
        <w:rPr>
          <w:lang w:val="en-US"/>
        </w:rPr>
      </w:pPr>
      <w:r>
        <w:rPr>
          <w:rStyle w:val="FootnoteReference"/>
        </w:rPr>
        <w:footnoteRef/>
      </w:r>
      <w:r>
        <w:t xml:space="preserve"> </w:t>
      </w:r>
      <w:r>
        <w:rPr>
          <w:lang w:val="en-US"/>
        </w:rPr>
        <w:t xml:space="preserve">Shoshana </w:t>
      </w:r>
      <w:proofErr w:type="spellStart"/>
      <w:r>
        <w:rPr>
          <w:lang w:val="en-US"/>
        </w:rPr>
        <w:t>Felman</w:t>
      </w:r>
      <w:proofErr w:type="spellEnd"/>
      <w:r>
        <w:rPr>
          <w:lang w:val="en-US"/>
        </w:rPr>
        <w:t xml:space="preserve">, </w:t>
      </w:r>
      <w:r w:rsidR="00BE2204">
        <w:rPr>
          <w:lang w:val="en-US"/>
        </w:rPr>
        <w:t>Literature and Psychoanalysis</w:t>
      </w:r>
      <w:r w:rsidR="000E1668">
        <w:rPr>
          <w:lang w:val="en-US"/>
        </w:rPr>
        <w:t>. The Question of Reading: Otherwise (Baltimore, John Hopkins Press, 1982), p.3.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0B9E" w:rsidRPr="007A6B7C" w:rsidRDefault="009E0B9E">
    <w:pPr>
      <w:pStyle w:val="Header"/>
      <w:jc w:val="right"/>
      <w:rPr>
        <w:rFonts w:ascii="Georgia" w:hAnsi="Georgia"/>
        <w:sz w:val="24"/>
        <w:szCs w:val="24"/>
      </w:rPr>
    </w:pPr>
    <w:r w:rsidRPr="007A6B7C">
      <w:rPr>
        <w:rFonts w:ascii="Georgia" w:hAnsi="Georgia"/>
        <w:sz w:val="24"/>
        <w:szCs w:val="24"/>
      </w:rPr>
      <w:t xml:space="preserve">Bowen-Perkins </w:t>
    </w:r>
    <w:sdt>
      <w:sdtPr>
        <w:rPr>
          <w:rFonts w:ascii="Georgia" w:hAnsi="Georgia"/>
          <w:sz w:val="24"/>
          <w:szCs w:val="24"/>
        </w:rPr>
        <w:id w:val="-602037371"/>
        <w:docPartObj>
          <w:docPartGallery w:val="Page Numbers (Top of Page)"/>
          <w:docPartUnique/>
        </w:docPartObj>
      </w:sdtPr>
      <w:sdtEndPr>
        <w:rPr>
          <w:noProof/>
        </w:rPr>
      </w:sdtEndPr>
      <w:sdtContent>
        <w:r w:rsidRPr="007A6B7C">
          <w:rPr>
            <w:rFonts w:ascii="Georgia" w:hAnsi="Georgia"/>
            <w:sz w:val="24"/>
            <w:szCs w:val="24"/>
          </w:rPr>
          <w:fldChar w:fldCharType="begin"/>
        </w:r>
        <w:r w:rsidRPr="007A6B7C">
          <w:rPr>
            <w:rFonts w:ascii="Georgia" w:hAnsi="Georgia"/>
            <w:sz w:val="24"/>
            <w:szCs w:val="24"/>
          </w:rPr>
          <w:instrText xml:space="preserve"> PAGE   \* MERGEFORMAT </w:instrText>
        </w:r>
        <w:r w:rsidRPr="007A6B7C">
          <w:rPr>
            <w:rFonts w:ascii="Georgia" w:hAnsi="Georgia"/>
            <w:sz w:val="24"/>
            <w:szCs w:val="24"/>
          </w:rPr>
          <w:fldChar w:fldCharType="separate"/>
        </w:r>
        <w:r w:rsidR="00780637">
          <w:rPr>
            <w:rFonts w:ascii="Georgia" w:hAnsi="Georgia"/>
            <w:noProof/>
            <w:sz w:val="24"/>
            <w:szCs w:val="24"/>
          </w:rPr>
          <w:t>10</w:t>
        </w:r>
        <w:r w:rsidRPr="007A6B7C">
          <w:rPr>
            <w:rFonts w:ascii="Georgia" w:hAnsi="Georgia"/>
            <w:noProof/>
            <w:sz w:val="24"/>
            <w:szCs w:val="24"/>
          </w:rPr>
          <w:fldChar w:fldCharType="end"/>
        </w:r>
      </w:sdtContent>
    </w:sdt>
  </w:p>
  <w:p w:rsidR="009E0B9E" w:rsidRDefault="009E0B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E1660"/>
    <w:multiLevelType w:val="hybridMultilevel"/>
    <w:tmpl w:val="DEBA1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7A5DEC"/>
    <w:multiLevelType w:val="hybridMultilevel"/>
    <w:tmpl w:val="FE3CE2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3DB0E96"/>
    <w:multiLevelType w:val="hybridMultilevel"/>
    <w:tmpl w:val="95B49B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9E126A6"/>
    <w:multiLevelType w:val="hybridMultilevel"/>
    <w:tmpl w:val="B52CE3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51240C06"/>
    <w:multiLevelType w:val="hybridMultilevel"/>
    <w:tmpl w:val="CB1EECF0"/>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E01182A"/>
    <w:multiLevelType w:val="hybridMultilevel"/>
    <w:tmpl w:val="B750EE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3CA0379"/>
    <w:multiLevelType w:val="hybridMultilevel"/>
    <w:tmpl w:val="E8EAF1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55C17CC"/>
    <w:multiLevelType w:val="hybridMultilevel"/>
    <w:tmpl w:val="3A401622"/>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DCA0B16"/>
    <w:multiLevelType w:val="hybridMultilevel"/>
    <w:tmpl w:val="ED9C16C6"/>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DDC2474"/>
    <w:multiLevelType w:val="hybridMultilevel"/>
    <w:tmpl w:val="70107BF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7E2C3E56"/>
    <w:multiLevelType w:val="hybridMultilevel"/>
    <w:tmpl w:val="443E9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10"/>
  </w:num>
  <w:num w:numId="4">
    <w:abstractNumId w:val="4"/>
  </w:num>
  <w:num w:numId="5">
    <w:abstractNumId w:val="0"/>
  </w:num>
  <w:num w:numId="6">
    <w:abstractNumId w:val="7"/>
  </w:num>
  <w:num w:numId="7">
    <w:abstractNumId w:val="2"/>
  </w:num>
  <w:num w:numId="8">
    <w:abstractNumId w:val="9"/>
  </w:num>
  <w:num w:numId="9">
    <w:abstractNumId w:val="6"/>
  </w:num>
  <w:num w:numId="10">
    <w:abstractNumId w:val="1"/>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4185B"/>
    <w:rsid w:val="000024AD"/>
    <w:rsid w:val="00005AA6"/>
    <w:rsid w:val="00010B16"/>
    <w:rsid w:val="00012056"/>
    <w:rsid w:val="00015364"/>
    <w:rsid w:val="00016769"/>
    <w:rsid w:val="000209E6"/>
    <w:rsid w:val="0002142D"/>
    <w:rsid w:val="0002312F"/>
    <w:rsid w:val="000244AD"/>
    <w:rsid w:val="00024C1D"/>
    <w:rsid w:val="00026059"/>
    <w:rsid w:val="000274DD"/>
    <w:rsid w:val="00027D29"/>
    <w:rsid w:val="000315FF"/>
    <w:rsid w:val="00040EA5"/>
    <w:rsid w:val="00041DCF"/>
    <w:rsid w:val="00044B1A"/>
    <w:rsid w:val="00045984"/>
    <w:rsid w:val="00053EB6"/>
    <w:rsid w:val="00056C25"/>
    <w:rsid w:val="000579DB"/>
    <w:rsid w:val="00060C59"/>
    <w:rsid w:val="000619D6"/>
    <w:rsid w:val="00064661"/>
    <w:rsid w:val="00066679"/>
    <w:rsid w:val="0007137F"/>
    <w:rsid w:val="00071D3B"/>
    <w:rsid w:val="00077681"/>
    <w:rsid w:val="00081E96"/>
    <w:rsid w:val="00083B91"/>
    <w:rsid w:val="0008436D"/>
    <w:rsid w:val="00084BB8"/>
    <w:rsid w:val="00086D8D"/>
    <w:rsid w:val="0009353A"/>
    <w:rsid w:val="00093F71"/>
    <w:rsid w:val="000B344E"/>
    <w:rsid w:val="000B5A6F"/>
    <w:rsid w:val="000B6C21"/>
    <w:rsid w:val="000B77AC"/>
    <w:rsid w:val="000C0E1A"/>
    <w:rsid w:val="000C1253"/>
    <w:rsid w:val="000C576A"/>
    <w:rsid w:val="000C7663"/>
    <w:rsid w:val="000D1E4D"/>
    <w:rsid w:val="000D3D37"/>
    <w:rsid w:val="000D4768"/>
    <w:rsid w:val="000D6F75"/>
    <w:rsid w:val="000E1668"/>
    <w:rsid w:val="000E6FB4"/>
    <w:rsid w:val="000F1705"/>
    <w:rsid w:val="000F2500"/>
    <w:rsid w:val="000F351E"/>
    <w:rsid w:val="000F3F29"/>
    <w:rsid w:val="000F44D1"/>
    <w:rsid w:val="00101FA6"/>
    <w:rsid w:val="0010206F"/>
    <w:rsid w:val="00103531"/>
    <w:rsid w:val="0011062B"/>
    <w:rsid w:val="001108D6"/>
    <w:rsid w:val="00112003"/>
    <w:rsid w:val="00113E3A"/>
    <w:rsid w:val="0012280E"/>
    <w:rsid w:val="00124F93"/>
    <w:rsid w:val="00125449"/>
    <w:rsid w:val="0013459D"/>
    <w:rsid w:val="00136AD4"/>
    <w:rsid w:val="0014185B"/>
    <w:rsid w:val="00143019"/>
    <w:rsid w:val="00143E1E"/>
    <w:rsid w:val="00153FA3"/>
    <w:rsid w:val="00164FF0"/>
    <w:rsid w:val="001730D8"/>
    <w:rsid w:val="001913EB"/>
    <w:rsid w:val="00192BEA"/>
    <w:rsid w:val="00194F0C"/>
    <w:rsid w:val="0019504F"/>
    <w:rsid w:val="00196B1C"/>
    <w:rsid w:val="00196BD3"/>
    <w:rsid w:val="0019757A"/>
    <w:rsid w:val="001A35C4"/>
    <w:rsid w:val="001A39C4"/>
    <w:rsid w:val="001B0DFA"/>
    <w:rsid w:val="001B0F37"/>
    <w:rsid w:val="001B1782"/>
    <w:rsid w:val="001B5D31"/>
    <w:rsid w:val="001C1E75"/>
    <w:rsid w:val="001D1E6C"/>
    <w:rsid w:val="001D35D5"/>
    <w:rsid w:val="001D76A6"/>
    <w:rsid w:val="001E0C44"/>
    <w:rsid w:val="001E12A2"/>
    <w:rsid w:val="001E2ED9"/>
    <w:rsid w:val="001E373E"/>
    <w:rsid w:val="001E6539"/>
    <w:rsid w:val="001E765B"/>
    <w:rsid w:val="001F08B5"/>
    <w:rsid w:val="001F25B6"/>
    <w:rsid w:val="001F7C51"/>
    <w:rsid w:val="00210AFB"/>
    <w:rsid w:val="00213331"/>
    <w:rsid w:val="00215609"/>
    <w:rsid w:val="002172C2"/>
    <w:rsid w:val="00217320"/>
    <w:rsid w:val="002213A9"/>
    <w:rsid w:val="00222C57"/>
    <w:rsid w:val="00225646"/>
    <w:rsid w:val="00230616"/>
    <w:rsid w:val="00233560"/>
    <w:rsid w:val="00237C31"/>
    <w:rsid w:val="00241789"/>
    <w:rsid w:val="00241E8C"/>
    <w:rsid w:val="00244B66"/>
    <w:rsid w:val="002462D2"/>
    <w:rsid w:val="00251BB8"/>
    <w:rsid w:val="00254488"/>
    <w:rsid w:val="0025655B"/>
    <w:rsid w:val="00265AC5"/>
    <w:rsid w:val="00266A31"/>
    <w:rsid w:val="00270EBB"/>
    <w:rsid w:val="002762C1"/>
    <w:rsid w:val="00281316"/>
    <w:rsid w:val="00290628"/>
    <w:rsid w:val="00290721"/>
    <w:rsid w:val="002A1DA3"/>
    <w:rsid w:val="002B005E"/>
    <w:rsid w:val="002B2CFE"/>
    <w:rsid w:val="002B52D3"/>
    <w:rsid w:val="002C1F95"/>
    <w:rsid w:val="002C2075"/>
    <w:rsid w:val="002C6549"/>
    <w:rsid w:val="002C74B7"/>
    <w:rsid w:val="002C7C8F"/>
    <w:rsid w:val="002D06A6"/>
    <w:rsid w:val="002D5DE7"/>
    <w:rsid w:val="002E1563"/>
    <w:rsid w:val="002E240B"/>
    <w:rsid w:val="003029D6"/>
    <w:rsid w:val="003139AD"/>
    <w:rsid w:val="00314EF2"/>
    <w:rsid w:val="0031577A"/>
    <w:rsid w:val="00315C5C"/>
    <w:rsid w:val="003163F6"/>
    <w:rsid w:val="00330EF5"/>
    <w:rsid w:val="00332C8D"/>
    <w:rsid w:val="00342887"/>
    <w:rsid w:val="00345F6D"/>
    <w:rsid w:val="00355E67"/>
    <w:rsid w:val="0036203D"/>
    <w:rsid w:val="003660AA"/>
    <w:rsid w:val="003722CC"/>
    <w:rsid w:val="00373085"/>
    <w:rsid w:val="00373A97"/>
    <w:rsid w:val="0037449F"/>
    <w:rsid w:val="00375496"/>
    <w:rsid w:val="0037553E"/>
    <w:rsid w:val="00377CFF"/>
    <w:rsid w:val="003808D5"/>
    <w:rsid w:val="00384BE7"/>
    <w:rsid w:val="00392587"/>
    <w:rsid w:val="0039486C"/>
    <w:rsid w:val="003A4F26"/>
    <w:rsid w:val="003A675E"/>
    <w:rsid w:val="003B294C"/>
    <w:rsid w:val="003B2C8E"/>
    <w:rsid w:val="003B67B3"/>
    <w:rsid w:val="003C01AE"/>
    <w:rsid w:val="003C0EC1"/>
    <w:rsid w:val="003C3F0D"/>
    <w:rsid w:val="003C4E97"/>
    <w:rsid w:val="003C5B89"/>
    <w:rsid w:val="003D0A2E"/>
    <w:rsid w:val="003D0BC0"/>
    <w:rsid w:val="003D4FA8"/>
    <w:rsid w:val="003D5AB3"/>
    <w:rsid w:val="003E1B67"/>
    <w:rsid w:val="003E302E"/>
    <w:rsid w:val="003E73BA"/>
    <w:rsid w:val="003F3466"/>
    <w:rsid w:val="003F3705"/>
    <w:rsid w:val="00403266"/>
    <w:rsid w:val="00403FF2"/>
    <w:rsid w:val="004040C2"/>
    <w:rsid w:val="00404FCD"/>
    <w:rsid w:val="00405C4C"/>
    <w:rsid w:val="00411036"/>
    <w:rsid w:val="00412405"/>
    <w:rsid w:val="00415D54"/>
    <w:rsid w:val="0041722E"/>
    <w:rsid w:val="004261D7"/>
    <w:rsid w:val="004263AC"/>
    <w:rsid w:val="004269B7"/>
    <w:rsid w:val="004309B4"/>
    <w:rsid w:val="00431383"/>
    <w:rsid w:val="00431D57"/>
    <w:rsid w:val="004339B0"/>
    <w:rsid w:val="00434C2D"/>
    <w:rsid w:val="00437F3C"/>
    <w:rsid w:val="004402FF"/>
    <w:rsid w:val="00443028"/>
    <w:rsid w:val="00443520"/>
    <w:rsid w:val="00443B64"/>
    <w:rsid w:val="00444D07"/>
    <w:rsid w:val="00452D95"/>
    <w:rsid w:val="004553FA"/>
    <w:rsid w:val="004600E2"/>
    <w:rsid w:val="00474285"/>
    <w:rsid w:val="00475795"/>
    <w:rsid w:val="0047683A"/>
    <w:rsid w:val="0048018D"/>
    <w:rsid w:val="00480C4C"/>
    <w:rsid w:val="004916AE"/>
    <w:rsid w:val="004946B8"/>
    <w:rsid w:val="004A1033"/>
    <w:rsid w:val="004B0FD4"/>
    <w:rsid w:val="004B2216"/>
    <w:rsid w:val="004B3640"/>
    <w:rsid w:val="004C17BD"/>
    <w:rsid w:val="004C1950"/>
    <w:rsid w:val="004C30B9"/>
    <w:rsid w:val="004D036A"/>
    <w:rsid w:val="004D220C"/>
    <w:rsid w:val="004D27AE"/>
    <w:rsid w:val="004D4CB6"/>
    <w:rsid w:val="004E3556"/>
    <w:rsid w:val="004F4763"/>
    <w:rsid w:val="004F4F5B"/>
    <w:rsid w:val="004F6200"/>
    <w:rsid w:val="00511169"/>
    <w:rsid w:val="00512FB6"/>
    <w:rsid w:val="00513729"/>
    <w:rsid w:val="00513F53"/>
    <w:rsid w:val="005158A1"/>
    <w:rsid w:val="005176BA"/>
    <w:rsid w:val="00532440"/>
    <w:rsid w:val="0053255E"/>
    <w:rsid w:val="00533EED"/>
    <w:rsid w:val="005413AC"/>
    <w:rsid w:val="005429FF"/>
    <w:rsid w:val="0054415C"/>
    <w:rsid w:val="00545836"/>
    <w:rsid w:val="00545D4B"/>
    <w:rsid w:val="005504EB"/>
    <w:rsid w:val="00554461"/>
    <w:rsid w:val="00563496"/>
    <w:rsid w:val="00564817"/>
    <w:rsid w:val="0057501E"/>
    <w:rsid w:val="00576526"/>
    <w:rsid w:val="005802CC"/>
    <w:rsid w:val="00581377"/>
    <w:rsid w:val="00583E9A"/>
    <w:rsid w:val="00585845"/>
    <w:rsid w:val="00596C3C"/>
    <w:rsid w:val="00597AF1"/>
    <w:rsid w:val="005A4AF7"/>
    <w:rsid w:val="005A7C41"/>
    <w:rsid w:val="005B6187"/>
    <w:rsid w:val="005B6DBF"/>
    <w:rsid w:val="005C1247"/>
    <w:rsid w:val="005C2DA6"/>
    <w:rsid w:val="005C30BA"/>
    <w:rsid w:val="005C3C71"/>
    <w:rsid w:val="005C4747"/>
    <w:rsid w:val="005D0135"/>
    <w:rsid w:val="005E696D"/>
    <w:rsid w:val="005F4F34"/>
    <w:rsid w:val="005F53D8"/>
    <w:rsid w:val="005F6D56"/>
    <w:rsid w:val="0060112D"/>
    <w:rsid w:val="00605AE6"/>
    <w:rsid w:val="00610D55"/>
    <w:rsid w:val="00612EAB"/>
    <w:rsid w:val="006134F1"/>
    <w:rsid w:val="00613DEC"/>
    <w:rsid w:val="0062144A"/>
    <w:rsid w:val="0062318C"/>
    <w:rsid w:val="006255B0"/>
    <w:rsid w:val="00625774"/>
    <w:rsid w:val="00626974"/>
    <w:rsid w:val="00626E9E"/>
    <w:rsid w:val="00627FB5"/>
    <w:rsid w:val="00631134"/>
    <w:rsid w:val="00632029"/>
    <w:rsid w:val="006335D6"/>
    <w:rsid w:val="00636B83"/>
    <w:rsid w:val="00637A96"/>
    <w:rsid w:val="00642A9B"/>
    <w:rsid w:val="00650C97"/>
    <w:rsid w:val="00651D11"/>
    <w:rsid w:val="00661B59"/>
    <w:rsid w:val="00666FDD"/>
    <w:rsid w:val="00671F34"/>
    <w:rsid w:val="006733A6"/>
    <w:rsid w:val="00676213"/>
    <w:rsid w:val="006803D2"/>
    <w:rsid w:val="006820C4"/>
    <w:rsid w:val="00682C53"/>
    <w:rsid w:val="00684ADE"/>
    <w:rsid w:val="00686199"/>
    <w:rsid w:val="006A43ED"/>
    <w:rsid w:val="006A499C"/>
    <w:rsid w:val="006A5629"/>
    <w:rsid w:val="006A633E"/>
    <w:rsid w:val="006A6AAD"/>
    <w:rsid w:val="006B2A8D"/>
    <w:rsid w:val="006B31CF"/>
    <w:rsid w:val="006B4872"/>
    <w:rsid w:val="006B64F6"/>
    <w:rsid w:val="006B6F02"/>
    <w:rsid w:val="006B7DD2"/>
    <w:rsid w:val="006C2E95"/>
    <w:rsid w:val="006D11DE"/>
    <w:rsid w:val="006D29A0"/>
    <w:rsid w:val="006D579F"/>
    <w:rsid w:val="006D70FB"/>
    <w:rsid w:val="006D7669"/>
    <w:rsid w:val="006E2434"/>
    <w:rsid w:val="006F002C"/>
    <w:rsid w:val="006F2D99"/>
    <w:rsid w:val="006F34BA"/>
    <w:rsid w:val="006F5F6D"/>
    <w:rsid w:val="006F6615"/>
    <w:rsid w:val="006F7AC3"/>
    <w:rsid w:val="006F7ECF"/>
    <w:rsid w:val="00700791"/>
    <w:rsid w:val="007018BA"/>
    <w:rsid w:val="007070D6"/>
    <w:rsid w:val="00715B35"/>
    <w:rsid w:val="0072082B"/>
    <w:rsid w:val="007235D9"/>
    <w:rsid w:val="00725D7D"/>
    <w:rsid w:val="00730701"/>
    <w:rsid w:val="007342DA"/>
    <w:rsid w:val="00740B23"/>
    <w:rsid w:val="00741E65"/>
    <w:rsid w:val="007424CB"/>
    <w:rsid w:val="007426ED"/>
    <w:rsid w:val="00742C10"/>
    <w:rsid w:val="00744A08"/>
    <w:rsid w:val="00745E4D"/>
    <w:rsid w:val="00746533"/>
    <w:rsid w:val="00750285"/>
    <w:rsid w:val="00753739"/>
    <w:rsid w:val="0075495C"/>
    <w:rsid w:val="00754F25"/>
    <w:rsid w:val="00762013"/>
    <w:rsid w:val="00771B6C"/>
    <w:rsid w:val="007735BB"/>
    <w:rsid w:val="007775EC"/>
    <w:rsid w:val="00780637"/>
    <w:rsid w:val="00791A8E"/>
    <w:rsid w:val="007924B0"/>
    <w:rsid w:val="0079731B"/>
    <w:rsid w:val="007A5685"/>
    <w:rsid w:val="007A6A21"/>
    <w:rsid w:val="007A6B7C"/>
    <w:rsid w:val="007C6EB4"/>
    <w:rsid w:val="007D090F"/>
    <w:rsid w:val="007D5DC4"/>
    <w:rsid w:val="007E0C93"/>
    <w:rsid w:val="007E3BEE"/>
    <w:rsid w:val="007E6BB3"/>
    <w:rsid w:val="007F324F"/>
    <w:rsid w:val="007F4849"/>
    <w:rsid w:val="008016DD"/>
    <w:rsid w:val="0080312A"/>
    <w:rsid w:val="008053D1"/>
    <w:rsid w:val="008055E3"/>
    <w:rsid w:val="008079B7"/>
    <w:rsid w:val="00807A6F"/>
    <w:rsid w:val="0081008F"/>
    <w:rsid w:val="008125D2"/>
    <w:rsid w:val="008155CE"/>
    <w:rsid w:val="00817A44"/>
    <w:rsid w:val="00822D69"/>
    <w:rsid w:val="00824DCF"/>
    <w:rsid w:val="00830D7C"/>
    <w:rsid w:val="00831AE8"/>
    <w:rsid w:val="00831D57"/>
    <w:rsid w:val="00832C74"/>
    <w:rsid w:val="00832F6E"/>
    <w:rsid w:val="0084022D"/>
    <w:rsid w:val="00842ADD"/>
    <w:rsid w:val="00842B34"/>
    <w:rsid w:val="00863056"/>
    <w:rsid w:val="00863CDE"/>
    <w:rsid w:val="008662BE"/>
    <w:rsid w:val="00867E9C"/>
    <w:rsid w:val="0087361B"/>
    <w:rsid w:val="00873B74"/>
    <w:rsid w:val="00874E29"/>
    <w:rsid w:val="008833D0"/>
    <w:rsid w:val="008841D9"/>
    <w:rsid w:val="00884A6A"/>
    <w:rsid w:val="00890ACD"/>
    <w:rsid w:val="00890BC2"/>
    <w:rsid w:val="0089455B"/>
    <w:rsid w:val="00895BBF"/>
    <w:rsid w:val="008A5622"/>
    <w:rsid w:val="008A5999"/>
    <w:rsid w:val="008A7DD7"/>
    <w:rsid w:val="008B1843"/>
    <w:rsid w:val="008B490D"/>
    <w:rsid w:val="008B5245"/>
    <w:rsid w:val="008B5A72"/>
    <w:rsid w:val="008B5CB6"/>
    <w:rsid w:val="008C1375"/>
    <w:rsid w:val="008C3906"/>
    <w:rsid w:val="008C6907"/>
    <w:rsid w:val="008D115F"/>
    <w:rsid w:val="008D1909"/>
    <w:rsid w:val="008D78A6"/>
    <w:rsid w:val="008E2583"/>
    <w:rsid w:val="008E2BF6"/>
    <w:rsid w:val="008E2C7C"/>
    <w:rsid w:val="008E3607"/>
    <w:rsid w:val="008E50E3"/>
    <w:rsid w:val="008F1998"/>
    <w:rsid w:val="008F252A"/>
    <w:rsid w:val="00911864"/>
    <w:rsid w:val="00912B7A"/>
    <w:rsid w:val="00920923"/>
    <w:rsid w:val="00922842"/>
    <w:rsid w:val="0092406D"/>
    <w:rsid w:val="0093332D"/>
    <w:rsid w:val="00933BDC"/>
    <w:rsid w:val="009414C9"/>
    <w:rsid w:val="0094214C"/>
    <w:rsid w:val="00943989"/>
    <w:rsid w:val="0094410F"/>
    <w:rsid w:val="00945894"/>
    <w:rsid w:val="00952180"/>
    <w:rsid w:val="009601E5"/>
    <w:rsid w:val="00960552"/>
    <w:rsid w:val="009606BE"/>
    <w:rsid w:val="0096417D"/>
    <w:rsid w:val="00971132"/>
    <w:rsid w:val="009748EF"/>
    <w:rsid w:val="009752B7"/>
    <w:rsid w:val="0097695B"/>
    <w:rsid w:val="00981AED"/>
    <w:rsid w:val="00982A6C"/>
    <w:rsid w:val="0098694D"/>
    <w:rsid w:val="00986975"/>
    <w:rsid w:val="009870AB"/>
    <w:rsid w:val="00991204"/>
    <w:rsid w:val="009916C0"/>
    <w:rsid w:val="0099753F"/>
    <w:rsid w:val="009A0AA6"/>
    <w:rsid w:val="009B0CF4"/>
    <w:rsid w:val="009B115E"/>
    <w:rsid w:val="009B75AA"/>
    <w:rsid w:val="009C687C"/>
    <w:rsid w:val="009D0B3C"/>
    <w:rsid w:val="009D239D"/>
    <w:rsid w:val="009D32F4"/>
    <w:rsid w:val="009D7586"/>
    <w:rsid w:val="009E0B9E"/>
    <w:rsid w:val="009E528F"/>
    <w:rsid w:val="009F0F12"/>
    <w:rsid w:val="00A03CAB"/>
    <w:rsid w:val="00A050BE"/>
    <w:rsid w:val="00A05ABE"/>
    <w:rsid w:val="00A15C75"/>
    <w:rsid w:val="00A22DD9"/>
    <w:rsid w:val="00A247D1"/>
    <w:rsid w:val="00A30322"/>
    <w:rsid w:val="00A30C06"/>
    <w:rsid w:val="00A3166B"/>
    <w:rsid w:val="00A32F1D"/>
    <w:rsid w:val="00A34869"/>
    <w:rsid w:val="00A3554E"/>
    <w:rsid w:val="00A43E4B"/>
    <w:rsid w:val="00A5054D"/>
    <w:rsid w:val="00A51126"/>
    <w:rsid w:val="00A51858"/>
    <w:rsid w:val="00A51960"/>
    <w:rsid w:val="00A57AA5"/>
    <w:rsid w:val="00A608B8"/>
    <w:rsid w:val="00A61AA5"/>
    <w:rsid w:val="00A647E4"/>
    <w:rsid w:val="00A724AA"/>
    <w:rsid w:val="00A740BF"/>
    <w:rsid w:val="00A81D9F"/>
    <w:rsid w:val="00A8462C"/>
    <w:rsid w:val="00A85B08"/>
    <w:rsid w:val="00A92745"/>
    <w:rsid w:val="00A97F36"/>
    <w:rsid w:val="00AA6DC2"/>
    <w:rsid w:val="00AA7621"/>
    <w:rsid w:val="00AC378A"/>
    <w:rsid w:val="00AC5724"/>
    <w:rsid w:val="00AC6EF9"/>
    <w:rsid w:val="00AD3BB3"/>
    <w:rsid w:val="00AD47DD"/>
    <w:rsid w:val="00AE0608"/>
    <w:rsid w:val="00AE0C7D"/>
    <w:rsid w:val="00AE25D4"/>
    <w:rsid w:val="00AE37ED"/>
    <w:rsid w:val="00AE471F"/>
    <w:rsid w:val="00AE5059"/>
    <w:rsid w:val="00AE58FE"/>
    <w:rsid w:val="00AF3424"/>
    <w:rsid w:val="00AF582F"/>
    <w:rsid w:val="00AF64CE"/>
    <w:rsid w:val="00AF763C"/>
    <w:rsid w:val="00AF77FB"/>
    <w:rsid w:val="00B03544"/>
    <w:rsid w:val="00B046D5"/>
    <w:rsid w:val="00B04A4D"/>
    <w:rsid w:val="00B2151D"/>
    <w:rsid w:val="00B215D6"/>
    <w:rsid w:val="00B31B8C"/>
    <w:rsid w:val="00B35102"/>
    <w:rsid w:val="00B37561"/>
    <w:rsid w:val="00B4179A"/>
    <w:rsid w:val="00B41FEE"/>
    <w:rsid w:val="00B51A7C"/>
    <w:rsid w:val="00B52646"/>
    <w:rsid w:val="00B56DC4"/>
    <w:rsid w:val="00B60571"/>
    <w:rsid w:val="00B66763"/>
    <w:rsid w:val="00B67CAD"/>
    <w:rsid w:val="00B715BD"/>
    <w:rsid w:val="00B737E6"/>
    <w:rsid w:val="00B75245"/>
    <w:rsid w:val="00B8190F"/>
    <w:rsid w:val="00B84C6F"/>
    <w:rsid w:val="00B9195D"/>
    <w:rsid w:val="00B93950"/>
    <w:rsid w:val="00B944D6"/>
    <w:rsid w:val="00B9489D"/>
    <w:rsid w:val="00BA00F2"/>
    <w:rsid w:val="00BA55FC"/>
    <w:rsid w:val="00BA7812"/>
    <w:rsid w:val="00BB1110"/>
    <w:rsid w:val="00BB1DED"/>
    <w:rsid w:val="00BC04CD"/>
    <w:rsid w:val="00BC09AD"/>
    <w:rsid w:val="00BC10EE"/>
    <w:rsid w:val="00BC2EBC"/>
    <w:rsid w:val="00BD134D"/>
    <w:rsid w:val="00BD4125"/>
    <w:rsid w:val="00BD45CB"/>
    <w:rsid w:val="00BE05FE"/>
    <w:rsid w:val="00BE2204"/>
    <w:rsid w:val="00BE3841"/>
    <w:rsid w:val="00BF0BCC"/>
    <w:rsid w:val="00BF109B"/>
    <w:rsid w:val="00BF1A7E"/>
    <w:rsid w:val="00C00AF5"/>
    <w:rsid w:val="00C02106"/>
    <w:rsid w:val="00C04269"/>
    <w:rsid w:val="00C06392"/>
    <w:rsid w:val="00C10C7F"/>
    <w:rsid w:val="00C11135"/>
    <w:rsid w:val="00C11FE9"/>
    <w:rsid w:val="00C128D7"/>
    <w:rsid w:val="00C15A90"/>
    <w:rsid w:val="00C15E6C"/>
    <w:rsid w:val="00C16EF9"/>
    <w:rsid w:val="00C17DDF"/>
    <w:rsid w:val="00C21D37"/>
    <w:rsid w:val="00C263F5"/>
    <w:rsid w:val="00C26C95"/>
    <w:rsid w:val="00C30295"/>
    <w:rsid w:val="00C31F3F"/>
    <w:rsid w:val="00C32BF3"/>
    <w:rsid w:val="00C40421"/>
    <w:rsid w:val="00C40E4C"/>
    <w:rsid w:val="00C41E0C"/>
    <w:rsid w:val="00C423FB"/>
    <w:rsid w:val="00C44727"/>
    <w:rsid w:val="00C47DA1"/>
    <w:rsid w:val="00C52B97"/>
    <w:rsid w:val="00C5357D"/>
    <w:rsid w:val="00C5419D"/>
    <w:rsid w:val="00C6331A"/>
    <w:rsid w:val="00C66E6F"/>
    <w:rsid w:val="00C71C9D"/>
    <w:rsid w:val="00C73F40"/>
    <w:rsid w:val="00C74F9D"/>
    <w:rsid w:val="00C82160"/>
    <w:rsid w:val="00C8644C"/>
    <w:rsid w:val="00C87F6E"/>
    <w:rsid w:val="00C9546A"/>
    <w:rsid w:val="00C960E1"/>
    <w:rsid w:val="00C97472"/>
    <w:rsid w:val="00C97A2D"/>
    <w:rsid w:val="00CA40C7"/>
    <w:rsid w:val="00CA43B2"/>
    <w:rsid w:val="00CA4C9B"/>
    <w:rsid w:val="00CB076C"/>
    <w:rsid w:val="00CB4B2E"/>
    <w:rsid w:val="00CC402B"/>
    <w:rsid w:val="00CC513D"/>
    <w:rsid w:val="00CD4437"/>
    <w:rsid w:val="00CD62FD"/>
    <w:rsid w:val="00CE21AD"/>
    <w:rsid w:val="00CE31C1"/>
    <w:rsid w:val="00CE43BD"/>
    <w:rsid w:val="00CE4845"/>
    <w:rsid w:val="00CE740B"/>
    <w:rsid w:val="00CF6234"/>
    <w:rsid w:val="00D02718"/>
    <w:rsid w:val="00D03F5A"/>
    <w:rsid w:val="00D07A1F"/>
    <w:rsid w:val="00D10532"/>
    <w:rsid w:val="00D12108"/>
    <w:rsid w:val="00D12986"/>
    <w:rsid w:val="00D1622C"/>
    <w:rsid w:val="00D169F5"/>
    <w:rsid w:val="00D16AAC"/>
    <w:rsid w:val="00D20BB8"/>
    <w:rsid w:val="00D25466"/>
    <w:rsid w:val="00D3099B"/>
    <w:rsid w:val="00D338AD"/>
    <w:rsid w:val="00D33DE5"/>
    <w:rsid w:val="00D35935"/>
    <w:rsid w:val="00D35AD4"/>
    <w:rsid w:val="00D37003"/>
    <w:rsid w:val="00D41738"/>
    <w:rsid w:val="00D41937"/>
    <w:rsid w:val="00D42C0B"/>
    <w:rsid w:val="00D436F3"/>
    <w:rsid w:val="00D43C63"/>
    <w:rsid w:val="00D45489"/>
    <w:rsid w:val="00D47006"/>
    <w:rsid w:val="00D50566"/>
    <w:rsid w:val="00D507E6"/>
    <w:rsid w:val="00D50D55"/>
    <w:rsid w:val="00D5615B"/>
    <w:rsid w:val="00D57B7A"/>
    <w:rsid w:val="00D63984"/>
    <w:rsid w:val="00D650E5"/>
    <w:rsid w:val="00D66F19"/>
    <w:rsid w:val="00D82D4E"/>
    <w:rsid w:val="00D8387C"/>
    <w:rsid w:val="00D83BA6"/>
    <w:rsid w:val="00D845A0"/>
    <w:rsid w:val="00DA144C"/>
    <w:rsid w:val="00DA5A36"/>
    <w:rsid w:val="00DB4440"/>
    <w:rsid w:val="00DB5C52"/>
    <w:rsid w:val="00DB61B0"/>
    <w:rsid w:val="00DB792A"/>
    <w:rsid w:val="00DC1BBC"/>
    <w:rsid w:val="00DC2E2E"/>
    <w:rsid w:val="00DC7327"/>
    <w:rsid w:val="00DD5D5F"/>
    <w:rsid w:val="00DE3F49"/>
    <w:rsid w:val="00DF25F6"/>
    <w:rsid w:val="00DF32EC"/>
    <w:rsid w:val="00E010C2"/>
    <w:rsid w:val="00E037C3"/>
    <w:rsid w:val="00E11F02"/>
    <w:rsid w:val="00E16944"/>
    <w:rsid w:val="00E21CB9"/>
    <w:rsid w:val="00E26EF3"/>
    <w:rsid w:val="00E30EC8"/>
    <w:rsid w:val="00E3446C"/>
    <w:rsid w:val="00E3582E"/>
    <w:rsid w:val="00E60C6F"/>
    <w:rsid w:val="00E61D2E"/>
    <w:rsid w:val="00E62915"/>
    <w:rsid w:val="00E637C4"/>
    <w:rsid w:val="00E63EF8"/>
    <w:rsid w:val="00E65B14"/>
    <w:rsid w:val="00E71197"/>
    <w:rsid w:val="00E7267F"/>
    <w:rsid w:val="00E7393B"/>
    <w:rsid w:val="00E7589F"/>
    <w:rsid w:val="00E759C5"/>
    <w:rsid w:val="00E84588"/>
    <w:rsid w:val="00E85935"/>
    <w:rsid w:val="00E90DE1"/>
    <w:rsid w:val="00E93A3A"/>
    <w:rsid w:val="00EA111E"/>
    <w:rsid w:val="00EA60EE"/>
    <w:rsid w:val="00EB2456"/>
    <w:rsid w:val="00EB4B32"/>
    <w:rsid w:val="00EC0C64"/>
    <w:rsid w:val="00EC0F51"/>
    <w:rsid w:val="00EC4D00"/>
    <w:rsid w:val="00ED1CFA"/>
    <w:rsid w:val="00ED575B"/>
    <w:rsid w:val="00ED5B39"/>
    <w:rsid w:val="00ED7457"/>
    <w:rsid w:val="00ED76F1"/>
    <w:rsid w:val="00EE0436"/>
    <w:rsid w:val="00EE0F56"/>
    <w:rsid w:val="00EE476D"/>
    <w:rsid w:val="00EF13E7"/>
    <w:rsid w:val="00EF1E37"/>
    <w:rsid w:val="00EF45C0"/>
    <w:rsid w:val="00EF7496"/>
    <w:rsid w:val="00F003FD"/>
    <w:rsid w:val="00F0241C"/>
    <w:rsid w:val="00F0486C"/>
    <w:rsid w:val="00F04F61"/>
    <w:rsid w:val="00F12FD1"/>
    <w:rsid w:val="00F13458"/>
    <w:rsid w:val="00F14D86"/>
    <w:rsid w:val="00F16FFD"/>
    <w:rsid w:val="00F2254D"/>
    <w:rsid w:val="00F247F8"/>
    <w:rsid w:val="00F33C41"/>
    <w:rsid w:val="00F34C6E"/>
    <w:rsid w:val="00F44E69"/>
    <w:rsid w:val="00F51FA0"/>
    <w:rsid w:val="00F52635"/>
    <w:rsid w:val="00F548D0"/>
    <w:rsid w:val="00F55217"/>
    <w:rsid w:val="00F55271"/>
    <w:rsid w:val="00F56B36"/>
    <w:rsid w:val="00F64F92"/>
    <w:rsid w:val="00F65182"/>
    <w:rsid w:val="00F655DA"/>
    <w:rsid w:val="00F707A3"/>
    <w:rsid w:val="00F821F8"/>
    <w:rsid w:val="00F9183F"/>
    <w:rsid w:val="00F96444"/>
    <w:rsid w:val="00FA0111"/>
    <w:rsid w:val="00FA0802"/>
    <w:rsid w:val="00FA2FAD"/>
    <w:rsid w:val="00FA47D6"/>
    <w:rsid w:val="00FB3643"/>
    <w:rsid w:val="00FB4A8C"/>
    <w:rsid w:val="00FB5678"/>
    <w:rsid w:val="00FB773F"/>
    <w:rsid w:val="00FC0309"/>
    <w:rsid w:val="00FC3B78"/>
    <w:rsid w:val="00FC44DF"/>
    <w:rsid w:val="00FD2A93"/>
    <w:rsid w:val="00FD3D41"/>
    <w:rsid w:val="00FE01C4"/>
    <w:rsid w:val="00FE0B70"/>
    <w:rsid w:val="00FE2454"/>
    <w:rsid w:val="00FE34F7"/>
    <w:rsid w:val="00FE42D6"/>
    <w:rsid w:val="00FE4D90"/>
    <w:rsid w:val="00FE4EB0"/>
    <w:rsid w:val="00FE5B48"/>
    <w:rsid w:val="00FE6477"/>
    <w:rsid w:val="00FE730B"/>
    <w:rsid w:val="00FF1664"/>
    <w:rsid w:val="00FF1C26"/>
    <w:rsid w:val="00FF3A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A39479"/>
  <w15:docId w15:val="{0338ACCE-C532-4532-A900-8B9EF56AC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4185B"/>
    <w:rPr>
      <w:lang w:val="en-GB"/>
    </w:rPr>
  </w:style>
  <w:style w:type="paragraph" w:styleId="Heading1">
    <w:name w:val="heading 1"/>
    <w:basedOn w:val="Normal"/>
    <w:next w:val="Normal"/>
    <w:link w:val="Heading1Char"/>
    <w:qFormat/>
    <w:rsid w:val="00AC5724"/>
    <w:pPr>
      <w:keepNext/>
      <w:spacing w:before="240" w:after="60" w:line="240" w:lineRule="auto"/>
      <w:outlineLvl w:val="0"/>
    </w:pPr>
    <w:rPr>
      <w:rFonts w:ascii="Arial" w:eastAsia="SimSun" w:hAnsi="Arial" w:cs="Arial"/>
      <w:b/>
      <w:bCs/>
      <w:kern w:val="32"/>
      <w:sz w:val="32"/>
      <w:szCs w:val="32"/>
      <w:lang w:eastAsia="zh-CN"/>
    </w:rPr>
  </w:style>
  <w:style w:type="paragraph" w:styleId="Heading3">
    <w:name w:val="heading 3"/>
    <w:basedOn w:val="Normal"/>
    <w:link w:val="Heading3Char"/>
    <w:qFormat/>
    <w:rsid w:val="00AC5724"/>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3841"/>
    <w:pPr>
      <w:ind w:left="720"/>
      <w:contextualSpacing/>
    </w:pPr>
    <w:rPr>
      <w:rFonts w:eastAsiaTheme="minorEastAsia"/>
      <w:lang w:val="en-US"/>
    </w:rPr>
  </w:style>
  <w:style w:type="character" w:styleId="Hyperlink">
    <w:name w:val="Hyperlink"/>
    <w:basedOn w:val="DefaultParagraphFont"/>
    <w:uiPriority w:val="99"/>
    <w:unhideWhenUsed/>
    <w:rsid w:val="00832C74"/>
    <w:rPr>
      <w:color w:val="0000FF" w:themeColor="hyperlink"/>
      <w:u w:val="single"/>
    </w:rPr>
  </w:style>
  <w:style w:type="paragraph" w:styleId="Header">
    <w:name w:val="header"/>
    <w:basedOn w:val="Normal"/>
    <w:link w:val="HeaderChar"/>
    <w:uiPriority w:val="99"/>
    <w:unhideWhenUsed/>
    <w:rsid w:val="007A6B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6B7C"/>
    <w:rPr>
      <w:lang w:val="en-GB"/>
    </w:rPr>
  </w:style>
  <w:style w:type="paragraph" w:styleId="Footer">
    <w:name w:val="footer"/>
    <w:basedOn w:val="Normal"/>
    <w:link w:val="FooterChar"/>
    <w:uiPriority w:val="99"/>
    <w:unhideWhenUsed/>
    <w:rsid w:val="007A6B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6B7C"/>
    <w:rPr>
      <w:lang w:val="en-GB"/>
    </w:rPr>
  </w:style>
  <w:style w:type="paragraph" w:styleId="BalloonText">
    <w:name w:val="Balloon Text"/>
    <w:basedOn w:val="Normal"/>
    <w:link w:val="BalloonTextChar"/>
    <w:uiPriority w:val="99"/>
    <w:semiHidden/>
    <w:unhideWhenUsed/>
    <w:rsid w:val="007A6B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6B7C"/>
    <w:rPr>
      <w:rFonts w:ascii="Tahoma" w:hAnsi="Tahoma" w:cs="Tahoma"/>
      <w:sz w:val="16"/>
      <w:szCs w:val="16"/>
      <w:lang w:val="en-GB"/>
    </w:rPr>
  </w:style>
  <w:style w:type="paragraph" w:styleId="FootnoteText">
    <w:name w:val="footnote text"/>
    <w:basedOn w:val="Normal"/>
    <w:link w:val="FootnoteTextChar"/>
    <w:uiPriority w:val="99"/>
    <w:semiHidden/>
    <w:unhideWhenUsed/>
    <w:rsid w:val="001F25B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F25B6"/>
    <w:rPr>
      <w:sz w:val="20"/>
      <w:szCs w:val="20"/>
      <w:lang w:val="en-GB"/>
    </w:rPr>
  </w:style>
  <w:style w:type="character" w:styleId="FootnoteReference">
    <w:name w:val="footnote reference"/>
    <w:basedOn w:val="DefaultParagraphFont"/>
    <w:uiPriority w:val="99"/>
    <w:semiHidden/>
    <w:unhideWhenUsed/>
    <w:rsid w:val="001F25B6"/>
    <w:rPr>
      <w:vertAlign w:val="superscript"/>
    </w:rPr>
  </w:style>
  <w:style w:type="character" w:customStyle="1" w:styleId="Heading1Char">
    <w:name w:val="Heading 1 Char"/>
    <w:basedOn w:val="DefaultParagraphFont"/>
    <w:link w:val="Heading1"/>
    <w:rsid w:val="00AC5724"/>
    <w:rPr>
      <w:rFonts w:ascii="Arial" w:eastAsia="SimSun" w:hAnsi="Arial" w:cs="Arial"/>
      <w:b/>
      <w:bCs/>
      <w:kern w:val="32"/>
      <w:sz w:val="32"/>
      <w:szCs w:val="32"/>
      <w:lang w:val="en-GB" w:eastAsia="zh-CN"/>
    </w:rPr>
  </w:style>
  <w:style w:type="character" w:customStyle="1" w:styleId="Heading3Char">
    <w:name w:val="Heading 3 Char"/>
    <w:basedOn w:val="DefaultParagraphFont"/>
    <w:link w:val="Heading3"/>
    <w:rsid w:val="00AC5724"/>
    <w:rPr>
      <w:rFonts w:ascii="Tahoma" w:eastAsia="SimSun" w:hAnsi="Tahoma" w:cs="Tahoma"/>
      <w:b/>
      <w:bCs/>
      <w:sz w:val="20"/>
      <w:szCs w:val="20"/>
      <w:lang w:val="en-GB" w:eastAsia="zh-CN"/>
    </w:rPr>
  </w:style>
  <w:style w:type="paragraph" w:styleId="NormalWeb">
    <w:name w:val="Normal (Web)"/>
    <w:basedOn w:val="Normal"/>
    <w:rsid w:val="00AC5724"/>
    <w:pPr>
      <w:spacing w:before="100" w:beforeAutospacing="1" w:after="100" w:afterAutospacing="1" w:line="240" w:lineRule="auto"/>
    </w:pPr>
    <w:rPr>
      <w:rFonts w:ascii="Georgia" w:eastAsia="SimSun" w:hAnsi="Georgia" w:cs="Times New Roman"/>
      <w:color w:val="000000"/>
      <w:sz w:val="21"/>
      <w:szCs w:val="21"/>
      <w:lang w:eastAsia="zh-CN"/>
    </w:rPr>
  </w:style>
  <w:style w:type="character" w:styleId="UnresolvedMention">
    <w:name w:val="Unresolved Mention"/>
    <w:basedOn w:val="DefaultParagraphFont"/>
    <w:uiPriority w:val="99"/>
    <w:semiHidden/>
    <w:unhideWhenUsed/>
    <w:rsid w:val="003029D6"/>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558362">
      <w:bodyDiv w:val="1"/>
      <w:marLeft w:val="0"/>
      <w:marRight w:val="0"/>
      <w:marTop w:val="0"/>
      <w:marBottom w:val="0"/>
      <w:divBdr>
        <w:top w:val="none" w:sz="0" w:space="0" w:color="auto"/>
        <w:left w:val="none" w:sz="0" w:space="0" w:color="auto"/>
        <w:bottom w:val="none" w:sz="0" w:space="0" w:color="auto"/>
        <w:right w:val="none" w:sz="0" w:space="0" w:color="auto"/>
      </w:divBdr>
      <w:divsChild>
        <w:div w:id="1480031837">
          <w:marLeft w:val="0"/>
          <w:marRight w:val="0"/>
          <w:marTop w:val="0"/>
          <w:marBottom w:val="0"/>
          <w:divBdr>
            <w:top w:val="none" w:sz="0" w:space="0" w:color="auto"/>
            <w:left w:val="none" w:sz="0" w:space="0" w:color="auto"/>
            <w:bottom w:val="none" w:sz="0" w:space="0" w:color="auto"/>
            <w:right w:val="none" w:sz="0" w:space="0" w:color="auto"/>
          </w:divBdr>
        </w:div>
        <w:div w:id="1480417680">
          <w:marLeft w:val="0"/>
          <w:marRight w:val="0"/>
          <w:marTop w:val="0"/>
          <w:marBottom w:val="0"/>
          <w:divBdr>
            <w:top w:val="none" w:sz="0" w:space="0" w:color="auto"/>
            <w:left w:val="none" w:sz="0" w:space="0" w:color="auto"/>
            <w:bottom w:val="none" w:sz="0" w:space="0" w:color="auto"/>
            <w:right w:val="none" w:sz="0" w:space="0" w:color="auto"/>
          </w:divBdr>
        </w:div>
      </w:divsChild>
    </w:div>
    <w:div w:id="949707144">
      <w:bodyDiv w:val="1"/>
      <w:marLeft w:val="0"/>
      <w:marRight w:val="0"/>
      <w:marTop w:val="0"/>
      <w:marBottom w:val="0"/>
      <w:divBdr>
        <w:top w:val="none" w:sz="0" w:space="0" w:color="auto"/>
        <w:left w:val="none" w:sz="0" w:space="0" w:color="auto"/>
        <w:bottom w:val="none" w:sz="0" w:space="0" w:color="auto"/>
        <w:right w:val="none" w:sz="0" w:space="0" w:color="auto"/>
      </w:divBdr>
      <w:divsChild>
        <w:div w:id="2077824075">
          <w:marLeft w:val="0"/>
          <w:marRight w:val="0"/>
          <w:marTop w:val="0"/>
          <w:marBottom w:val="0"/>
          <w:divBdr>
            <w:top w:val="none" w:sz="0" w:space="0" w:color="auto"/>
            <w:left w:val="none" w:sz="0" w:space="0" w:color="auto"/>
            <w:bottom w:val="none" w:sz="0" w:space="0" w:color="auto"/>
            <w:right w:val="none" w:sz="0" w:space="0" w:color="auto"/>
          </w:divBdr>
        </w:div>
        <w:div w:id="528832062">
          <w:marLeft w:val="0"/>
          <w:marRight w:val="0"/>
          <w:marTop w:val="0"/>
          <w:marBottom w:val="0"/>
          <w:divBdr>
            <w:top w:val="none" w:sz="0" w:space="0" w:color="auto"/>
            <w:left w:val="none" w:sz="0" w:space="0" w:color="auto"/>
            <w:bottom w:val="none" w:sz="0" w:space="0" w:color="auto"/>
            <w:right w:val="none" w:sz="0" w:space="0" w:color="auto"/>
          </w:divBdr>
        </w:div>
        <w:div w:id="418216371">
          <w:marLeft w:val="0"/>
          <w:marRight w:val="0"/>
          <w:marTop w:val="0"/>
          <w:marBottom w:val="0"/>
          <w:divBdr>
            <w:top w:val="none" w:sz="0" w:space="0" w:color="auto"/>
            <w:left w:val="none" w:sz="0" w:space="0" w:color="auto"/>
            <w:bottom w:val="none" w:sz="0" w:space="0" w:color="auto"/>
            <w:right w:val="none" w:sz="0" w:space="0" w:color="auto"/>
          </w:divBdr>
        </w:div>
        <w:div w:id="1901360374">
          <w:marLeft w:val="0"/>
          <w:marRight w:val="0"/>
          <w:marTop w:val="0"/>
          <w:marBottom w:val="0"/>
          <w:divBdr>
            <w:top w:val="none" w:sz="0" w:space="0" w:color="auto"/>
            <w:left w:val="none" w:sz="0" w:space="0" w:color="auto"/>
            <w:bottom w:val="none" w:sz="0" w:space="0" w:color="auto"/>
            <w:right w:val="none" w:sz="0" w:space="0" w:color="auto"/>
          </w:divBdr>
        </w:div>
      </w:divsChild>
    </w:div>
    <w:div w:id="1041369206">
      <w:bodyDiv w:val="1"/>
      <w:marLeft w:val="0"/>
      <w:marRight w:val="0"/>
      <w:marTop w:val="0"/>
      <w:marBottom w:val="0"/>
      <w:divBdr>
        <w:top w:val="none" w:sz="0" w:space="0" w:color="auto"/>
        <w:left w:val="none" w:sz="0" w:space="0" w:color="auto"/>
        <w:bottom w:val="none" w:sz="0" w:space="0" w:color="auto"/>
        <w:right w:val="none" w:sz="0" w:space="0" w:color="auto"/>
      </w:divBdr>
      <w:divsChild>
        <w:div w:id="81340124">
          <w:marLeft w:val="0"/>
          <w:marRight w:val="0"/>
          <w:marTop w:val="0"/>
          <w:marBottom w:val="0"/>
          <w:divBdr>
            <w:top w:val="none" w:sz="0" w:space="0" w:color="auto"/>
            <w:left w:val="none" w:sz="0" w:space="0" w:color="auto"/>
            <w:bottom w:val="none" w:sz="0" w:space="0" w:color="auto"/>
            <w:right w:val="none" w:sz="0" w:space="0" w:color="auto"/>
          </w:divBdr>
        </w:div>
        <w:div w:id="1722752981">
          <w:marLeft w:val="0"/>
          <w:marRight w:val="0"/>
          <w:marTop w:val="0"/>
          <w:marBottom w:val="0"/>
          <w:divBdr>
            <w:top w:val="none" w:sz="0" w:space="0" w:color="auto"/>
            <w:left w:val="none" w:sz="0" w:space="0" w:color="auto"/>
            <w:bottom w:val="none" w:sz="0" w:space="0" w:color="auto"/>
            <w:right w:val="none" w:sz="0" w:space="0" w:color="auto"/>
          </w:divBdr>
        </w:div>
      </w:divsChild>
    </w:div>
    <w:div w:id="1835105472">
      <w:bodyDiv w:val="1"/>
      <w:marLeft w:val="0"/>
      <w:marRight w:val="0"/>
      <w:marTop w:val="0"/>
      <w:marBottom w:val="0"/>
      <w:divBdr>
        <w:top w:val="none" w:sz="0" w:space="0" w:color="auto"/>
        <w:left w:val="none" w:sz="0" w:space="0" w:color="auto"/>
        <w:bottom w:val="none" w:sz="0" w:space="0" w:color="auto"/>
        <w:right w:val="none" w:sz="0" w:space="0" w:color="auto"/>
      </w:divBdr>
    </w:div>
    <w:div w:id="1890266457">
      <w:bodyDiv w:val="1"/>
      <w:marLeft w:val="0"/>
      <w:marRight w:val="0"/>
      <w:marTop w:val="0"/>
      <w:marBottom w:val="0"/>
      <w:divBdr>
        <w:top w:val="none" w:sz="0" w:space="0" w:color="auto"/>
        <w:left w:val="none" w:sz="0" w:space="0" w:color="auto"/>
        <w:bottom w:val="none" w:sz="0" w:space="0" w:color="auto"/>
        <w:right w:val="none" w:sz="0" w:space="0" w:color="auto"/>
      </w:divBdr>
      <w:divsChild>
        <w:div w:id="1961256713">
          <w:marLeft w:val="0"/>
          <w:marRight w:val="0"/>
          <w:marTop w:val="0"/>
          <w:marBottom w:val="0"/>
          <w:divBdr>
            <w:top w:val="none" w:sz="0" w:space="0" w:color="auto"/>
            <w:left w:val="none" w:sz="0" w:space="0" w:color="auto"/>
            <w:bottom w:val="none" w:sz="0" w:space="0" w:color="auto"/>
            <w:right w:val="none" w:sz="0" w:space="0" w:color="auto"/>
          </w:divBdr>
        </w:div>
        <w:div w:id="1989938078">
          <w:marLeft w:val="0"/>
          <w:marRight w:val="0"/>
          <w:marTop w:val="0"/>
          <w:marBottom w:val="0"/>
          <w:divBdr>
            <w:top w:val="none" w:sz="0" w:space="0" w:color="auto"/>
            <w:left w:val="none" w:sz="0" w:space="0" w:color="auto"/>
            <w:bottom w:val="none" w:sz="0" w:space="0" w:color="auto"/>
            <w:right w:val="none" w:sz="0" w:space="0" w:color="auto"/>
          </w:divBdr>
        </w:div>
        <w:div w:id="866673128">
          <w:marLeft w:val="0"/>
          <w:marRight w:val="0"/>
          <w:marTop w:val="0"/>
          <w:marBottom w:val="0"/>
          <w:divBdr>
            <w:top w:val="none" w:sz="0" w:space="0" w:color="auto"/>
            <w:left w:val="none" w:sz="0" w:space="0" w:color="auto"/>
            <w:bottom w:val="none" w:sz="0" w:space="0" w:color="auto"/>
            <w:right w:val="none" w:sz="0" w:space="0" w:color="auto"/>
          </w:divBdr>
        </w:div>
        <w:div w:id="722562232">
          <w:marLeft w:val="0"/>
          <w:marRight w:val="0"/>
          <w:marTop w:val="0"/>
          <w:marBottom w:val="0"/>
          <w:divBdr>
            <w:top w:val="none" w:sz="0" w:space="0" w:color="auto"/>
            <w:left w:val="none" w:sz="0" w:space="0" w:color="auto"/>
            <w:bottom w:val="none" w:sz="0" w:space="0" w:color="auto"/>
            <w:right w:val="none" w:sz="0" w:space="0" w:color="auto"/>
          </w:divBdr>
        </w:div>
      </w:divsChild>
    </w:div>
    <w:div w:id="2014139207">
      <w:bodyDiv w:val="1"/>
      <w:marLeft w:val="0"/>
      <w:marRight w:val="0"/>
      <w:marTop w:val="0"/>
      <w:marBottom w:val="0"/>
      <w:divBdr>
        <w:top w:val="none" w:sz="0" w:space="0" w:color="auto"/>
        <w:left w:val="none" w:sz="0" w:space="0" w:color="auto"/>
        <w:bottom w:val="none" w:sz="0" w:space="0" w:color="auto"/>
        <w:right w:val="none" w:sz="0" w:space="0" w:color="auto"/>
      </w:divBdr>
      <w:divsChild>
        <w:div w:id="1818765678">
          <w:marLeft w:val="0"/>
          <w:marRight w:val="0"/>
          <w:marTop w:val="0"/>
          <w:marBottom w:val="0"/>
          <w:divBdr>
            <w:top w:val="none" w:sz="0" w:space="0" w:color="auto"/>
            <w:left w:val="none" w:sz="0" w:space="0" w:color="auto"/>
            <w:bottom w:val="none" w:sz="0" w:space="0" w:color="auto"/>
            <w:right w:val="none" w:sz="0" w:space="0" w:color="auto"/>
          </w:divBdr>
        </w:div>
        <w:div w:id="19767923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9A3A5-BA46-460D-B17A-4B1FBAC812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790</TotalTime>
  <Pages>11</Pages>
  <Words>2561</Words>
  <Characters>14601</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748</cp:revision>
  <dcterms:created xsi:type="dcterms:W3CDTF">2017-11-27T20:26:00Z</dcterms:created>
  <dcterms:modified xsi:type="dcterms:W3CDTF">2017-11-30T22:09:00Z</dcterms:modified>
</cp:coreProperties>
</file>