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2882D" w14:textId="77777777" w:rsidR="00FB4EC3" w:rsidRDefault="00FB4EC3">
      <w:pPr>
        <w:pStyle w:val="Normal1"/>
        <w:jc w:val="center"/>
        <w:rPr>
          <w:rFonts w:ascii="Arial" w:hAnsi="Arial" w:cs="Arial"/>
          <w:b/>
          <w:sz w:val="36"/>
          <w:szCs w:val="36"/>
          <w:u w:val="single"/>
          <w:lang w:val="en-GB"/>
        </w:rPr>
      </w:pPr>
    </w:p>
    <w:p w14:paraId="05ED93E8" w14:textId="77777777" w:rsidR="00B66A12" w:rsidRDefault="00B66A12">
      <w:pPr>
        <w:pStyle w:val="Normal1"/>
        <w:jc w:val="center"/>
        <w:rPr>
          <w:rFonts w:ascii="Arial" w:hAnsi="Arial" w:cs="Arial"/>
          <w:b/>
          <w:sz w:val="36"/>
          <w:szCs w:val="36"/>
          <w:u w:val="single"/>
          <w:lang w:val="en-GB"/>
        </w:rPr>
      </w:pPr>
    </w:p>
    <w:p w14:paraId="781ABA08" w14:textId="724CC34F" w:rsidR="00F85367" w:rsidRDefault="009B738B">
      <w:pPr>
        <w:pStyle w:val="Normal1"/>
        <w:jc w:val="center"/>
        <w:rPr>
          <w:rFonts w:ascii="Arial" w:hAnsi="Arial" w:cs="Arial"/>
          <w:b/>
          <w:sz w:val="36"/>
          <w:szCs w:val="36"/>
          <w:u w:val="single"/>
          <w:lang w:val="en-GB"/>
        </w:rPr>
      </w:pPr>
      <w:r w:rsidRPr="00FB4EC3">
        <w:rPr>
          <w:rFonts w:ascii="Arial" w:hAnsi="Arial" w:cs="Arial"/>
          <w:b/>
          <w:sz w:val="36"/>
          <w:szCs w:val="36"/>
          <w:u w:val="single"/>
          <w:lang w:val="en-GB"/>
        </w:rPr>
        <w:t xml:space="preserve">Strategic Management and Sustainability </w:t>
      </w:r>
      <w:r w:rsidR="00DE46EE" w:rsidRPr="00FB4EC3">
        <w:rPr>
          <w:rFonts w:ascii="Arial" w:hAnsi="Arial" w:cs="Arial"/>
          <w:b/>
          <w:sz w:val="36"/>
          <w:szCs w:val="36"/>
          <w:u w:val="single"/>
          <w:lang w:val="en-GB"/>
        </w:rPr>
        <w:t>(</w:t>
      </w:r>
      <w:r w:rsidR="00F715FD" w:rsidRPr="00FB4EC3">
        <w:rPr>
          <w:rFonts w:ascii="Arial" w:hAnsi="Arial" w:cs="Arial"/>
          <w:b/>
          <w:sz w:val="36"/>
          <w:szCs w:val="36"/>
          <w:u w:val="single"/>
          <w:lang w:val="en-GB"/>
        </w:rPr>
        <w:t>LCBB6004)</w:t>
      </w:r>
    </w:p>
    <w:p w14:paraId="3FBD1A2F" w14:textId="77777777" w:rsidR="00B66A12" w:rsidRDefault="00B66A12">
      <w:pPr>
        <w:pStyle w:val="Normal1"/>
        <w:jc w:val="center"/>
        <w:rPr>
          <w:rFonts w:ascii="Arial" w:hAnsi="Arial" w:cs="Arial"/>
          <w:b/>
          <w:sz w:val="36"/>
          <w:szCs w:val="36"/>
          <w:u w:val="single"/>
          <w:lang w:val="en-GB"/>
        </w:rPr>
      </w:pPr>
    </w:p>
    <w:p w14:paraId="74B34C3E" w14:textId="62D9C224" w:rsidR="00B66A12" w:rsidRDefault="00B66A12">
      <w:pPr>
        <w:pStyle w:val="Normal1"/>
        <w:jc w:val="center"/>
        <w:rPr>
          <w:rFonts w:ascii="Arial" w:hAnsi="Arial" w:cs="Arial"/>
          <w:b/>
          <w:bCs/>
          <w:sz w:val="32"/>
          <w:szCs w:val="32"/>
          <w:u w:val="single"/>
          <w:lang w:val="en-GB"/>
        </w:rPr>
      </w:pPr>
    </w:p>
    <w:p w14:paraId="56F9DAC9" w14:textId="77777777" w:rsidR="00E205B5" w:rsidRPr="00E205B5" w:rsidRDefault="00E205B5">
      <w:pPr>
        <w:pStyle w:val="Normal1"/>
        <w:jc w:val="center"/>
        <w:rPr>
          <w:rFonts w:ascii="Arial" w:hAnsi="Arial" w:cs="Arial"/>
          <w:b/>
          <w:bCs/>
          <w:sz w:val="32"/>
          <w:szCs w:val="32"/>
          <w:u w:val="single"/>
          <w:lang w:val="en-GB"/>
        </w:rPr>
      </w:pPr>
    </w:p>
    <w:p w14:paraId="7ADCF9D2" w14:textId="4A4B2696" w:rsidR="00B66A12" w:rsidRDefault="00B66A12">
      <w:pPr>
        <w:pStyle w:val="Normal1"/>
        <w:rPr>
          <w:rFonts w:ascii="Arial" w:hAnsi="Arial" w:cs="Arial"/>
          <w:b/>
          <w:bCs/>
          <w:sz w:val="32"/>
          <w:szCs w:val="32"/>
          <w:lang w:val="en-GB"/>
        </w:rPr>
      </w:pPr>
      <w:r w:rsidRPr="00E205B5">
        <w:rPr>
          <w:rFonts w:ascii="Arial" w:hAnsi="Arial" w:cs="Arial"/>
          <w:b/>
          <w:bCs/>
          <w:sz w:val="32"/>
          <w:szCs w:val="32"/>
          <w:lang w:val="en-GB"/>
        </w:rPr>
        <w:t xml:space="preserve">          Student Name: </w:t>
      </w:r>
      <w:proofErr w:type="spellStart"/>
      <w:r w:rsidRPr="00E205B5">
        <w:rPr>
          <w:rFonts w:ascii="Arial" w:hAnsi="Arial" w:cs="Arial"/>
          <w:b/>
          <w:bCs/>
          <w:sz w:val="32"/>
          <w:szCs w:val="32"/>
          <w:lang w:val="en-GB"/>
        </w:rPr>
        <w:t>Oana</w:t>
      </w:r>
      <w:proofErr w:type="spellEnd"/>
      <w:r w:rsidRPr="00E205B5">
        <w:rPr>
          <w:rFonts w:ascii="Arial" w:hAnsi="Arial" w:cs="Arial"/>
          <w:b/>
          <w:bCs/>
          <w:sz w:val="32"/>
          <w:szCs w:val="32"/>
          <w:lang w:val="en-GB"/>
        </w:rPr>
        <w:t xml:space="preserve"> Florentina </w:t>
      </w:r>
      <w:proofErr w:type="spellStart"/>
      <w:r w:rsidRPr="00E205B5">
        <w:rPr>
          <w:rFonts w:ascii="Arial" w:hAnsi="Arial" w:cs="Arial"/>
          <w:b/>
          <w:bCs/>
          <w:sz w:val="32"/>
          <w:szCs w:val="32"/>
          <w:lang w:val="en-GB"/>
        </w:rPr>
        <w:t>Dumitriu</w:t>
      </w:r>
      <w:proofErr w:type="spellEnd"/>
      <w:r w:rsidRPr="00E205B5">
        <w:rPr>
          <w:rFonts w:ascii="Arial" w:hAnsi="Arial" w:cs="Arial"/>
          <w:b/>
          <w:bCs/>
          <w:sz w:val="32"/>
          <w:szCs w:val="32"/>
          <w:lang w:val="en-GB"/>
        </w:rPr>
        <w:t xml:space="preserve"> (1909491)</w:t>
      </w:r>
    </w:p>
    <w:p w14:paraId="401432F7" w14:textId="77777777" w:rsidR="00E205B5" w:rsidRPr="00E205B5" w:rsidRDefault="00E205B5">
      <w:pPr>
        <w:pStyle w:val="Normal1"/>
        <w:rPr>
          <w:rFonts w:ascii="Arial" w:hAnsi="Arial" w:cs="Arial"/>
          <w:b/>
          <w:bCs/>
          <w:sz w:val="32"/>
          <w:szCs w:val="32"/>
          <w:lang w:val="en-GB"/>
        </w:rPr>
      </w:pPr>
    </w:p>
    <w:p w14:paraId="53B0A483" w14:textId="61F40BD7" w:rsidR="003532A8" w:rsidRDefault="003532A8">
      <w:pPr>
        <w:pStyle w:val="Normal1"/>
        <w:rPr>
          <w:rFonts w:ascii="Arial" w:hAnsi="Arial" w:cs="Arial"/>
          <w:b/>
          <w:bCs/>
          <w:sz w:val="32"/>
          <w:szCs w:val="32"/>
          <w:lang w:val="en-GB"/>
        </w:rPr>
      </w:pPr>
      <w:r w:rsidRPr="00E205B5">
        <w:rPr>
          <w:rFonts w:ascii="Arial" w:hAnsi="Arial" w:cs="Arial"/>
          <w:b/>
          <w:bCs/>
          <w:sz w:val="32"/>
          <w:szCs w:val="32"/>
          <w:lang w:val="en-GB"/>
        </w:rPr>
        <w:t xml:space="preserve">          Assignment Title: Assessment 2</w:t>
      </w:r>
    </w:p>
    <w:p w14:paraId="6A771656" w14:textId="77777777" w:rsidR="00E205B5" w:rsidRPr="00E205B5" w:rsidRDefault="00E205B5">
      <w:pPr>
        <w:pStyle w:val="Normal1"/>
        <w:rPr>
          <w:rFonts w:ascii="Arial" w:hAnsi="Arial" w:cs="Arial"/>
          <w:b/>
          <w:bCs/>
          <w:sz w:val="32"/>
          <w:szCs w:val="32"/>
          <w:lang w:val="en-GB"/>
        </w:rPr>
      </w:pPr>
    </w:p>
    <w:p w14:paraId="781ABA09" w14:textId="2920A059" w:rsidR="00F85367" w:rsidRPr="006C2DAC" w:rsidRDefault="003532A8">
      <w:pPr>
        <w:pStyle w:val="Normal1"/>
        <w:rPr>
          <w:b/>
          <w:lang w:val="en-GB"/>
        </w:rPr>
      </w:pPr>
      <w:r w:rsidRPr="00E205B5">
        <w:rPr>
          <w:rFonts w:ascii="Arial" w:hAnsi="Arial" w:cs="Arial"/>
          <w:b/>
          <w:bCs/>
          <w:sz w:val="32"/>
          <w:szCs w:val="32"/>
          <w:lang w:val="en-GB"/>
        </w:rPr>
        <w:t xml:space="preserve">          Lec</w:t>
      </w:r>
      <w:r w:rsidR="00E205B5" w:rsidRPr="00E205B5">
        <w:rPr>
          <w:rFonts w:ascii="Arial" w:hAnsi="Arial" w:cs="Arial"/>
          <w:b/>
          <w:bCs/>
          <w:sz w:val="32"/>
          <w:szCs w:val="32"/>
          <w:lang w:val="en-GB"/>
        </w:rPr>
        <w:t>turer: Mary March</w:t>
      </w:r>
      <w:r w:rsidR="009B738B" w:rsidRPr="006C2DAC">
        <w:rPr>
          <w:lang w:val="en-GB"/>
        </w:rPr>
        <w:br w:type="page"/>
      </w:r>
    </w:p>
    <w:bookmarkStart w:id="0" w:name="_o1u17cb5h0ve" w:colFirst="0" w:colLast="0" w:displacedByCustomXml="next"/>
    <w:bookmarkEnd w:id="0" w:displacedByCustomXml="next"/>
    <w:sdt>
      <w:sdtPr>
        <w:rPr>
          <w:rFonts w:ascii="Arial" w:eastAsia="Times New Roman" w:hAnsi="Arial" w:cs="Arial"/>
          <w:b w:val="0"/>
          <w:bCs w:val="0"/>
          <w:color w:val="auto"/>
          <w:sz w:val="22"/>
          <w:szCs w:val="22"/>
          <w:lang w:val="en-GB"/>
        </w:rPr>
        <w:id w:val="88815505"/>
        <w:docPartObj>
          <w:docPartGallery w:val="Table of Contents"/>
          <w:docPartUnique/>
        </w:docPartObj>
      </w:sdtPr>
      <w:sdtEndPr/>
      <w:sdtContent>
        <w:p w14:paraId="781ABA0A" w14:textId="77777777" w:rsidR="00D10AAC" w:rsidRPr="00E205B5" w:rsidRDefault="00D10AAC" w:rsidP="00D10AAC">
          <w:pPr>
            <w:pStyle w:val="TOCHeading"/>
            <w:spacing w:line="360" w:lineRule="auto"/>
            <w:jc w:val="center"/>
            <w:rPr>
              <w:rFonts w:ascii="Arial" w:hAnsi="Arial" w:cs="Arial"/>
              <w:color w:val="auto"/>
              <w:sz w:val="22"/>
              <w:szCs w:val="22"/>
              <w:lang w:val="en-GB"/>
            </w:rPr>
          </w:pPr>
          <w:r w:rsidRPr="00E205B5">
            <w:rPr>
              <w:rFonts w:ascii="Arial" w:hAnsi="Arial" w:cs="Arial"/>
              <w:color w:val="auto"/>
              <w:sz w:val="22"/>
              <w:szCs w:val="22"/>
              <w:lang w:val="en-GB"/>
            </w:rPr>
            <w:t>Table of Contents</w:t>
          </w:r>
        </w:p>
        <w:p w14:paraId="781ABA0B" w14:textId="77777777" w:rsidR="00D10AAC" w:rsidRPr="00E205B5" w:rsidRDefault="00850979" w:rsidP="00D10AAC">
          <w:pPr>
            <w:pStyle w:val="TOC1"/>
            <w:tabs>
              <w:tab w:val="right" w:leader="dot" w:pos="9019"/>
            </w:tabs>
            <w:jc w:val="center"/>
            <w:rPr>
              <w:rFonts w:ascii="Arial" w:hAnsi="Arial" w:cs="Arial"/>
              <w:noProof/>
              <w:sz w:val="22"/>
              <w:szCs w:val="22"/>
              <w:lang w:val="en-GB"/>
            </w:rPr>
          </w:pPr>
          <w:r w:rsidRPr="00E205B5">
            <w:rPr>
              <w:rFonts w:ascii="Arial" w:hAnsi="Arial" w:cs="Arial"/>
              <w:sz w:val="22"/>
              <w:szCs w:val="22"/>
              <w:lang w:val="en-GB"/>
            </w:rPr>
            <w:fldChar w:fldCharType="begin"/>
          </w:r>
          <w:r w:rsidR="00D10AAC" w:rsidRPr="00E205B5">
            <w:rPr>
              <w:rFonts w:ascii="Arial" w:hAnsi="Arial" w:cs="Arial"/>
              <w:sz w:val="22"/>
              <w:szCs w:val="22"/>
              <w:lang w:val="en-GB"/>
            </w:rPr>
            <w:instrText xml:space="preserve"> TOC \o "1-3" \h \z \u </w:instrText>
          </w:r>
          <w:r w:rsidRPr="00E205B5">
            <w:rPr>
              <w:rFonts w:ascii="Arial" w:hAnsi="Arial" w:cs="Arial"/>
              <w:sz w:val="22"/>
              <w:szCs w:val="22"/>
              <w:lang w:val="en-GB"/>
            </w:rPr>
            <w:fldChar w:fldCharType="separate"/>
          </w:r>
          <w:hyperlink w:anchor="_Toc99799584" w:history="1">
            <w:r w:rsidR="00D10AAC" w:rsidRPr="00E205B5">
              <w:rPr>
                <w:rStyle w:val="Hyperlink"/>
                <w:rFonts w:ascii="Arial" w:hAnsi="Arial" w:cs="Arial"/>
                <w:noProof/>
                <w:color w:val="auto"/>
                <w:sz w:val="22"/>
                <w:szCs w:val="22"/>
                <w:lang w:val="en-GB"/>
              </w:rPr>
              <w:t>Introduction</w:t>
            </w:r>
            <w:r w:rsidR="00D10AAC" w:rsidRPr="00E205B5">
              <w:rPr>
                <w:rFonts w:ascii="Arial" w:hAnsi="Arial" w:cs="Arial"/>
                <w:noProof/>
                <w:webHidden/>
                <w:sz w:val="22"/>
                <w:szCs w:val="22"/>
                <w:lang w:val="en-GB"/>
              </w:rPr>
              <w:tab/>
            </w:r>
            <w:r w:rsidRPr="00E205B5">
              <w:rPr>
                <w:rFonts w:ascii="Arial" w:hAnsi="Arial" w:cs="Arial"/>
                <w:noProof/>
                <w:webHidden/>
                <w:sz w:val="22"/>
                <w:szCs w:val="22"/>
                <w:lang w:val="en-GB"/>
              </w:rPr>
              <w:fldChar w:fldCharType="begin"/>
            </w:r>
            <w:r w:rsidR="00D10AAC" w:rsidRPr="00E205B5">
              <w:rPr>
                <w:rFonts w:ascii="Arial" w:hAnsi="Arial" w:cs="Arial"/>
                <w:noProof/>
                <w:webHidden/>
                <w:sz w:val="22"/>
                <w:szCs w:val="22"/>
                <w:lang w:val="en-GB"/>
              </w:rPr>
              <w:instrText xml:space="preserve"> PAGEREF _Toc99799584 \h </w:instrText>
            </w:r>
            <w:r w:rsidRPr="00E205B5">
              <w:rPr>
                <w:rFonts w:ascii="Arial" w:hAnsi="Arial" w:cs="Arial"/>
                <w:noProof/>
                <w:webHidden/>
                <w:sz w:val="22"/>
                <w:szCs w:val="22"/>
                <w:lang w:val="en-GB"/>
              </w:rPr>
            </w:r>
            <w:r w:rsidRPr="00E205B5">
              <w:rPr>
                <w:rFonts w:ascii="Arial" w:hAnsi="Arial" w:cs="Arial"/>
                <w:noProof/>
                <w:webHidden/>
                <w:sz w:val="22"/>
                <w:szCs w:val="22"/>
                <w:lang w:val="en-GB"/>
              </w:rPr>
              <w:fldChar w:fldCharType="separate"/>
            </w:r>
            <w:r w:rsidR="00D10AAC" w:rsidRPr="00E205B5">
              <w:rPr>
                <w:rFonts w:ascii="Arial" w:hAnsi="Arial" w:cs="Arial"/>
                <w:noProof/>
                <w:webHidden/>
                <w:sz w:val="22"/>
                <w:szCs w:val="22"/>
                <w:lang w:val="en-GB"/>
              </w:rPr>
              <w:t>2</w:t>
            </w:r>
            <w:r w:rsidRPr="00E205B5">
              <w:rPr>
                <w:rFonts w:ascii="Arial" w:hAnsi="Arial" w:cs="Arial"/>
                <w:noProof/>
                <w:webHidden/>
                <w:sz w:val="22"/>
                <w:szCs w:val="22"/>
                <w:lang w:val="en-GB"/>
              </w:rPr>
              <w:fldChar w:fldCharType="end"/>
            </w:r>
          </w:hyperlink>
        </w:p>
        <w:p w14:paraId="781ABA0C" w14:textId="77777777" w:rsidR="00D10AAC" w:rsidRPr="00E205B5" w:rsidRDefault="005A7BBD" w:rsidP="00D10AAC">
          <w:pPr>
            <w:pStyle w:val="TOC1"/>
            <w:tabs>
              <w:tab w:val="right" w:leader="dot" w:pos="9019"/>
            </w:tabs>
            <w:jc w:val="center"/>
            <w:rPr>
              <w:rFonts w:ascii="Arial" w:hAnsi="Arial" w:cs="Arial"/>
              <w:noProof/>
              <w:sz w:val="22"/>
              <w:szCs w:val="22"/>
              <w:lang w:val="en-GB"/>
            </w:rPr>
          </w:pPr>
          <w:hyperlink w:anchor="_Toc99799585" w:history="1">
            <w:r w:rsidR="00D10AAC" w:rsidRPr="00E205B5">
              <w:rPr>
                <w:rStyle w:val="Hyperlink"/>
                <w:rFonts w:ascii="Arial" w:hAnsi="Arial" w:cs="Arial"/>
                <w:noProof/>
                <w:color w:val="auto"/>
                <w:sz w:val="22"/>
                <w:szCs w:val="22"/>
                <w:lang w:val="en-GB"/>
              </w:rPr>
              <w:t>Main Body</w:t>
            </w:r>
            <w:r w:rsidR="00D10AAC" w:rsidRPr="00E205B5">
              <w:rPr>
                <w:rFonts w:ascii="Arial" w:hAnsi="Arial" w:cs="Arial"/>
                <w:noProof/>
                <w:webHidden/>
                <w:sz w:val="22"/>
                <w:szCs w:val="22"/>
                <w:lang w:val="en-GB"/>
              </w:rPr>
              <w:tab/>
            </w:r>
            <w:r w:rsidR="00850979" w:rsidRPr="00E205B5">
              <w:rPr>
                <w:rFonts w:ascii="Arial" w:hAnsi="Arial" w:cs="Arial"/>
                <w:noProof/>
                <w:webHidden/>
                <w:sz w:val="22"/>
                <w:szCs w:val="22"/>
                <w:lang w:val="en-GB"/>
              </w:rPr>
              <w:fldChar w:fldCharType="begin"/>
            </w:r>
            <w:r w:rsidR="00D10AAC" w:rsidRPr="00E205B5">
              <w:rPr>
                <w:rFonts w:ascii="Arial" w:hAnsi="Arial" w:cs="Arial"/>
                <w:noProof/>
                <w:webHidden/>
                <w:sz w:val="22"/>
                <w:szCs w:val="22"/>
                <w:lang w:val="en-GB"/>
              </w:rPr>
              <w:instrText xml:space="preserve"> PAGEREF _Toc99799585 \h </w:instrText>
            </w:r>
            <w:r w:rsidR="00850979" w:rsidRPr="00E205B5">
              <w:rPr>
                <w:rFonts w:ascii="Arial" w:hAnsi="Arial" w:cs="Arial"/>
                <w:noProof/>
                <w:webHidden/>
                <w:sz w:val="22"/>
                <w:szCs w:val="22"/>
                <w:lang w:val="en-GB"/>
              </w:rPr>
            </w:r>
            <w:r w:rsidR="00850979" w:rsidRPr="00E205B5">
              <w:rPr>
                <w:rFonts w:ascii="Arial" w:hAnsi="Arial" w:cs="Arial"/>
                <w:noProof/>
                <w:webHidden/>
                <w:sz w:val="22"/>
                <w:szCs w:val="22"/>
                <w:lang w:val="en-GB"/>
              </w:rPr>
              <w:fldChar w:fldCharType="separate"/>
            </w:r>
            <w:r w:rsidR="00D10AAC" w:rsidRPr="00E205B5">
              <w:rPr>
                <w:rFonts w:ascii="Arial" w:hAnsi="Arial" w:cs="Arial"/>
                <w:noProof/>
                <w:webHidden/>
                <w:sz w:val="22"/>
                <w:szCs w:val="22"/>
                <w:lang w:val="en-GB"/>
              </w:rPr>
              <w:t>3</w:t>
            </w:r>
            <w:r w:rsidR="00850979" w:rsidRPr="00E205B5">
              <w:rPr>
                <w:rFonts w:ascii="Arial" w:hAnsi="Arial" w:cs="Arial"/>
                <w:noProof/>
                <w:webHidden/>
                <w:sz w:val="22"/>
                <w:szCs w:val="22"/>
                <w:lang w:val="en-GB"/>
              </w:rPr>
              <w:fldChar w:fldCharType="end"/>
            </w:r>
          </w:hyperlink>
        </w:p>
        <w:p w14:paraId="781ABA0D" w14:textId="77777777" w:rsidR="00D10AAC" w:rsidRPr="00E205B5" w:rsidRDefault="005A7BBD" w:rsidP="00D10AAC">
          <w:pPr>
            <w:pStyle w:val="TOC1"/>
            <w:tabs>
              <w:tab w:val="right" w:leader="dot" w:pos="9019"/>
            </w:tabs>
            <w:jc w:val="center"/>
            <w:rPr>
              <w:rFonts w:ascii="Arial" w:hAnsi="Arial" w:cs="Arial"/>
              <w:noProof/>
              <w:sz w:val="22"/>
              <w:szCs w:val="22"/>
              <w:lang w:val="en-GB"/>
            </w:rPr>
          </w:pPr>
          <w:hyperlink w:anchor="_Toc99799586" w:history="1">
            <w:r w:rsidR="00D10AAC" w:rsidRPr="00E205B5">
              <w:rPr>
                <w:rStyle w:val="Hyperlink"/>
                <w:rFonts w:ascii="Arial" w:hAnsi="Arial" w:cs="Arial"/>
                <w:noProof/>
                <w:color w:val="auto"/>
                <w:sz w:val="22"/>
                <w:szCs w:val="22"/>
                <w:lang w:val="en-GB"/>
              </w:rPr>
              <w:t>Conclusion</w:t>
            </w:r>
            <w:r w:rsidR="00D10AAC" w:rsidRPr="00E205B5">
              <w:rPr>
                <w:rFonts w:ascii="Arial" w:hAnsi="Arial" w:cs="Arial"/>
                <w:noProof/>
                <w:webHidden/>
                <w:sz w:val="22"/>
                <w:szCs w:val="22"/>
                <w:lang w:val="en-GB"/>
              </w:rPr>
              <w:tab/>
            </w:r>
            <w:r w:rsidR="00850979" w:rsidRPr="00E205B5">
              <w:rPr>
                <w:rFonts w:ascii="Arial" w:hAnsi="Arial" w:cs="Arial"/>
                <w:noProof/>
                <w:webHidden/>
                <w:sz w:val="22"/>
                <w:szCs w:val="22"/>
                <w:lang w:val="en-GB"/>
              </w:rPr>
              <w:fldChar w:fldCharType="begin"/>
            </w:r>
            <w:r w:rsidR="00D10AAC" w:rsidRPr="00E205B5">
              <w:rPr>
                <w:rFonts w:ascii="Arial" w:hAnsi="Arial" w:cs="Arial"/>
                <w:noProof/>
                <w:webHidden/>
                <w:sz w:val="22"/>
                <w:szCs w:val="22"/>
                <w:lang w:val="en-GB"/>
              </w:rPr>
              <w:instrText xml:space="preserve"> PAGEREF _Toc99799586 \h </w:instrText>
            </w:r>
            <w:r w:rsidR="00850979" w:rsidRPr="00E205B5">
              <w:rPr>
                <w:rFonts w:ascii="Arial" w:hAnsi="Arial" w:cs="Arial"/>
                <w:noProof/>
                <w:webHidden/>
                <w:sz w:val="22"/>
                <w:szCs w:val="22"/>
                <w:lang w:val="en-GB"/>
              </w:rPr>
            </w:r>
            <w:r w:rsidR="00850979" w:rsidRPr="00E205B5">
              <w:rPr>
                <w:rFonts w:ascii="Arial" w:hAnsi="Arial" w:cs="Arial"/>
                <w:noProof/>
                <w:webHidden/>
                <w:sz w:val="22"/>
                <w:szCs w:val="22"/>
                <w:lang w:val="en-GB"/>
              </w:rPr>
              <w:fldChar w:fldCharType="separate"/>
            </w:r>
            <w:r w:rsidR="00D10AAC" w:rsidRPr="00E205B5">
              <w:rPr>
                <w:rFonts w:ascii="Arial" w:hAnsi="Arial" w:cs="Arial"/>
                <w:noProof/>
                <w:webHidden/>
                <w:sz w:val="22"/>
                <w:szCs w:val="22"/>
                <w:lang w:val="en-GB"/>
              </w:rPr>
              <w:t>8</w:t>
            </w:r>
            <w:r w:rsidR="00850979" w:rsidRPr="00E205B5">
              <w:rPr>
                <w:rFonts w:ascii="Arial" w:hAnsi="Arial" w:cs="Arial"/>
                <w:noProof/>
                <w:webHidden/>
                <w:sz w:val="22"/>
                <w:szCs w:val="22"/>
                <w:lang w:val="en-GB"/>
              </w:rPr>
              <w:fldChar w:fldCharType="end"/>
            </w:r>
          </w:hyperlink>
        </w:p>
        <w:p w14:paraId="781ABA0E" w14:textId="77777777" w:rsidR="00D10AAC" w:rsidRPr="00E205B5" w:rsidRDefault="005A7BBD" w:rsidP="00D10AAC">
          <w:pPr>
            <w:pStyle w:val="TOC1"/>
            <w:tabs>
              <w:tab w:val="right" w:leader="dot" w:pos="9019"/>
            </w:tabs>
            <w:jc w:val="center"/>
            <w:rPr>
              <w:rFonts w:ascii="Arial" w:hAnsi="Arial" w:cs="Arial"/>
              <w:noProof/>
              <w:sz w:val="22"/>
              <w:szCs w:val="22"/>
              <w:lang w:val="en-GB"/>
            </w:rPr>
          </w:pPr>
          <w:hyperlink w:anchor="_Toc99799587" w:history="1">
            <w:r w:rsidR="00D10AAC" w:rsidRPr="00E205B5">
              <w:rPr>
                <w:rStyle w:val="Hyperlink"/>
                <w:rFonts w:ascii="Arial" w:hAnsi="Arial" w:cs="Arial"/>
                <w:noProof/>
                <w:color w:val="auto"/>
                <w:sz w:val="22"/>
                <w:szCs w:val="22"/>
                <w:lang w:val="en-GB"/>
              </w:rPr>
              <w:t>References</w:t>
            </w:r>
            <w:r w:rsidR="00D10AAC" w:rsidRPr="00E205B5">
              <w:rPr>
                <w:rFonts w:ascii="Arial" w:hAnsi="Arial" w:cs="Arial"/>
                <w:noProof/>
                <w:webHidden/>
                <w:sz w:val="22"/>
                <w:szCs w:val="22"/>
                <w:lang w:val="en-GB"/>
              </w:rPr>
              <w:tab/>
            </w:r>
            <w:r w:rsidR="00850979" w:rsidRPr="00E205B5">
              <w:rPr>
                <w:rFonts w:ascii="Arial" w:hAnsi="Arial" w:cs="Arial"/>
                <w:noProof/>
                <w:webHidden/>
                <w:sz w:val="22"/>
                <w:szCs w:val="22"/>
                <w:lang w:val="en-GB"/>
              </w:rPr>
              <w:fldChar w:fldCharType="begin"/>
            </w:r>
            <w:r w:rsidR="00D10AAC" w:rsidRPr="00E205B5">
              <w:rPr>
                <w:rFonts w:ascii="Arial" w:hAnsi="Arial" w:cs="Arial"/>
                <w:noProof/>
                <w:webHidden/>
                <w:sz w:val="22"/>
                <w:szCs w:val="22"/>
                <w:lang w:val="en-GB"/>
              </w:rPr>
              <w:instrText xml:space="preserve"> PAGEREF _Toc99799587 \h </w:instrText>
            </w:r>
            <w:r w:rsidR="00850979" w:rsidRPr="00E205B5">
              <w:rPr>
                <w:rFonts w:ascii="Arial" w:hAnsi="Arial" w:cs="Arial"/>
                <w:noProof/>
                <w:webHidden/>
                <w:sz w:val="22"/>
                <w:szCs w:val="22"/>
                <w:lang w:val="en-GB"/>
              </w:rPr>
            </w:r>
            <w:r w:rsidR="00850979" w:rsidRPr="00E205B5">
              <w:rPr>
                <w:rFonts w:ascii="Arial" w:hAnsi="Arial" w:cs="Arial"/>
                <w:noProof/>
                <w:webHidden/>
                <w:sz w:val="22"/>
                <w:szCs w:val="22"/>
                <w:lang w:val="en-GB"/>
              </w:rPr>
              <w:fldChar w:fldCharType="separate"/>
            </w:r>
            <w:r w:rsidR="00D10AAC" w:rsidRPr="00E205B5">
              <w:rPr>
                <w:rFonts w:ascii="Arial" w:hAnsi="Arial" w:cs="Arial"/>
                <w:noProof/>
                <w:webHidden/>
                <w:sz w:val="22"/>
                <w:szCs w:val="22"/>
                <w:lang w:val="en-GB"/>
              </w:rPr>
              <w:t>9</w:t>
            </w:r>
            <w:r w:rsidR="00850979" w:rsidRPr="00E205B5">
              <w:rPr>
                <w:rFonts w:ascii="Arial" w:hAnsi="Arial" w:cs="Arial"/>
                <w:noProof/>
                <w:webHidden/>
                <w:sz w:val="22"/>
                <w:szCs w:val="22"/>
                <w:lang w:val="en-GB"/>
              </w:rPr>
              <w:fldChar w:fldCharType="end"/>
            </w:r>
          </w:hyperlink>
        </w:p>
        <w:p w14:paraId="781ABA0F" w14:textId="77777777" w:rsidR="00D10AAC" w:rsidRPr="00E205B5" w:rsidRDefault="00850979" w:rsidP="00D10AAC">
          <w:pPr>
            <w:jc w:val="center"/>
            <w:rPr>
              <w:rFonts w:ascii="Arial" w:hAnsi="Arial" w:cs="Arial"/>
              <w:sz w:val="22"/>
              <w:szCs w:val="22"/>
              <w:lang w:val="en-GB"/>
            </w:rPr>
          </w:pPr>
          <w:r w:rsidRPr="00E205B5">
            <w:rPr>
              <w:rFonts w:ascii="Arial" w:hAnsi="Arial" w:cs="Arial"/>
              <w:sz w:val="22"/>
              <w:szCs w:val="22"/>
              <w:lang w:val="en-GB"/>
            </w:rPr>
            <w:fldChar w:fldCharType="end"/>
          </w:r>
        </w:p>
      </w:sdtContent>
    </w:sdt>
    <w:p w14:paraId="781ABA10" w14:textId="77777777" w:rsidR="00D10AAC" w:rsidRPr="00E205B5" w:rsidRDefault="00D10AAC" w:rsidP="00D10AAC">
      <w:pPr>
        <w:jc w:val="center"/>
        <w:rPr>
          <w:rFonts w:ascii="Arial" w:hAnsi="Arial" w:cs="Arial"/>
          <w:b/>
          <w:sz w:val="22"/>
          <w:szCs w:val="22"/>
          <w:lang w:val="en-GB"/>
        </w:rPr>
      </w:pPr>
      <w:bookmarkStart w:id="1" w:name="_Toc99799584"/>
      <w:r w:rsidRPr="00E205B5">
        <w:rPr>
          <w:rFonts w:ascii="Arial" w:hAnsi="Arial" w:cs="Arial"/>
          <w:sz w:val="22"/>
          <w:szCs w:val="22"/>
          <w:lang w:val="en-GB"/>
        </w:rPr>
        <w:br w:type="page"/>
      </w:r>
    </w:p>
    <w:p w14:paraId="781ABA11" w14:textId="77777777" w:rsidR="00F85367" w:rsidRPr="00E205B5" w:rsidRDefault="009B738B">
      <w:pPr>
        <w:pStyle w:val="Heading1"/>
        <w:rPr>
          <w:rFonts w:ascii="Arial" w:hAnsi="Arial" w:cs="Arial"/>
          <w:sz w:val="22"/>
          <w:szCs w:val="22"/>
          <w:lang w:val="en-GB"/>
        </w:rPr>
      </w:pPr>
      <w:r w:rsidRPr="00E205B5">
        <w:rPr>
          <w:rFonts w:ascii="Arial" w:hAnsi="Arial" w:cs="Arial"/>
          <w:sz w:val="22"/>
          <w:szCs w:val="22"/>
          <w:lang w:val="en-GB"/>
        </w:rPr>
        <w:lastRenderedPageBreak/>
        <w:t>Introduction</w:t>
      </w:r>
      <w:bookmarkEnd w:id="1"/>
    </w:p>
    <w:p w14:paraId="781ABA12"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 xml:space="preserve">British Petroleum is a British gas and oil company which is headquartered in London, England. The company was founded in the year 1909 and it was founded by Charles Greenway and William Knox D'Arcy and currently it has its operations around the world. The major products of the company mainly include natural gas, petroleum, aviation fuel and also the motor fuels. </w:t>
      </w:r>
    </w:p>
    <w:p w14:paraId="781ABA13"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Strategic management and sustainability is the adoption of business activities and strategies in such a way that it meets with the needs of the stakeholders and also the needs of the enterprises. Along with the fulfilment of the needs it is also made sure that the strategies contribute in enhancing and sustaining the natural and human resources that are needed for the future (</w:t>
      </w:r>
      <w:r w:rsidRPr="00E205B5">
        <w:rPr>
          <w:rFonts w:ascii="Arial" w:hAnsi="Arial" w:cs="Arial"/>
          <w:sz w:val="22"/>
          <w:szCs w:val="22"/>
          <w:highlight w:val="white"/>
          <w:lang w:val="en-GB"/>
        </w:rPr>
        <w:t>Ceil, 2019</w:t>
      </w:r>
      <w:r w:rsidRPr="00E205B5">
        <w:rPr>
          <w:rFonts w:ascii="Arial" w:hAnsi="Arial" w:cs="Arial"/>
          <w:sz w:val="22"/>
          <w:szCs w:val="22"/>
          <w:lang w:val="en-GB"/>
        </w:rPr>
        <w:t xml:space="preserve">). This study will mainly focus on analysing various strategies of British Petroleum and the major focus will be the impact of Brexit and Covid-19. This study will analyse how Brexit and Covid-19 has impacted the strategies of the company.          </w:t>
      </w:r>
    </w:p>
    <w:p w14:paraId="781ABA14" w14:textId="77777777" w:rsidR="00F85367" w:rsidRPr="00E205B5" w:rsidRDefault="00F85367">
      <w:pPr>
        <w:pStyle w:val="Normal1"/>
        <w:rPr>
          <w:rFonts w:ascii="Arial" w:hAnsi="Arial" w:cs="Arial"/>
          <w:b/>
          <w:sz w:val="22"/>
          <w:szCs w:val="22"/>
          <w:lang w:val="en-GB"/>
        </w:rPr>
      </w:pPr>
    </w:p>
    <w:p w14:paraId="781ABA15" w14:textId="77777777" w:rsidR="00F85367" w:rsidRPr="00E205B5" w:rsidRDefault="00F85367">
      <w:pPr>
        <w:pStyle w:val="Normal1"/>
        <w:rPr>
          <w:rFonts w:ascii="Arial" w:hAnsi="Arial" w:cs="Arial"/>
          <w:b/>
          <w:sz w:val="22"/>
          <w:szCs w:val="22"/>
          <w:lang w:val="en-GB"/>
        </w:rPr>
      </w:pPr>
    </w:p>
    <w:p w14:paraId="781ABA16" w14:textId="77777777" w:rsidR="00F85367" w:rsidRPr="00E205B5" w:rsidRDefault="009B738B">
      <w:pPr>
        <w:pStyle w:val="Normal1"/>
        <w:rPr>
          <w:rFonts w:ascii="Arial" w:hAnsi="Arial" w:cs="Arial"/>
          <w:b/>
          <w:sz w:val="22"/>
          <w:szCs w:val="22"/>
          <w:lang w:val="en-GB"/>
        </w:rPr>
      </w:pPr>
      <w:r w:rsidRPr="00E205B5">
        <w:rPr>
          <w:rFonts w:ascii="Arial" w:hAnsi="Arial" w:cs="Arial"/>
          <w:sz w:val="22"/>
          <w:szCs w:val="22"/>
          <w:lang w:val="en-GB"/>
        </w:rPr>
        <w:br w:type="page"/>
      </w:r>
    </w:p>
    <w:p w14:paraId="781ABA17" w14:textId="77777777" w:rsidR="00F85367" w:rsidRPr="00E205B5" w:rsidRDefault="009B738B">
      <w:pPr>
        <w:pStyle w:val="Heading1"/>
        <w:rPr>
          <w:rFonts w:ascii="Arial" w:hAnsi="Arial" w:cs="Arial"/>
          <w:sz w:val="22"/>
          <w:szCs w:val="22"/>
          <w:lang w:val="en-GB"/>
        </w:rPr>
      </w:pPr>
      <w:bookmarkStart w:id="2" w:name="_tdko7nin202m" w:colFirst="0" w:colLast="0"/>
      <w:bookmarkStart w:id="3" w:name="_Toc99799585"/>
      <w:bookmarkEnd w:id="2"/>
      <w:r w:rsidRPr="00E205B5">
        <w:rPr>
          <w:rFonts w:ascii="Arial" w:hAnsi="Arial" w:cs="Arial"/>
          <w:sz w:val="22"/>
          <w:szCs w:val="22"/>
          <w:lang w:val="en-GB"/>
        </w:rPr>
        <w:lastRenderedPageBreak/>
        <w:t>Main Body</w:t>
      </w:r>
      <w:bookmarkEnd w:id="3"/>
    </w:p>
    <w:p w14:paraId="781ABA18"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The vision statement of British Petroleum is “reimagining energy” and also states that the ambition of the company is to become net-zero and also help the world achieve net-zero. The new strategy of the company mainly includes that the company wishes to become a different energy company by the end of the year 2050 (</w:t>
      </w:r>
      <w:r w:rsidRPr="00E205B5">
        <w:rPr>
          <w:rFonts w:ascii="Arial" w:hAnsi="Arial" w:cs="Arial"/>
          <w:sz w:val="22"/>
          <w:szCs w:val="22"/>
          <w:highlight w:val="white"/>
          <w:lang w:val="en-GB"/>
        </w:rPr>
        <w:t>Ceil, 2019</w:t>
      </w:r>
      <w:r w:rsidRPr="00E205B5">
        <w:rPr>
          <w:rFonts w:ascii="Arial" w:hAnsi="Arial" w:cs="Arial"/>
          <w:sz w:val="22"/>
          <w:szCs w:val="22"/>
          <w:lang w:val="en-GB"/>
        </w:rPr>
        <w:t>).  It also has the strategy for making the investments for having low carbon and also reducing the emissions made by the company. The company has also built up the aim for diversifying and also decarbonising by getting into renewables, hydrogen and biofuels. The focus of the company will be reduced from oil and will shift towards biofuels, hydrogen and renewable energy. But with the numerous changes that have occurred due to the various external factors that have impacted the political situation of the company. BP has been an international oil company for over a century now and is defined by the two core commodities which are produced by two “core businesses”. But recently the company has shifted its focus from a company which is driven for resources production to a company that will deliver the solutions of energy for the customers (</w:t>
      </w:r>
      <w:r w:rsidRPr="00E205B5">
        <w:rPr>
          <w:rFonts w:ascii="Arial" w:hAnsi="Arial" w:cs="Arial"/>
          <w:sz w:val="22"/>
          <w:szCs w:val="22"/>
          <w:highlight w:val="white"/>
          <w:lang w:val="en-GB"/>
        </w:rPr>
        <w:t>Ceil, 2019</w:t>
      </w:r>
      <w:r w:rsidRPr="00E205B5">
        <w:rPr>
          <w:rFonts w:ascii="Arial" w:hAnsi="Arial" w:cs="Arial"/>
          <w:sz w:val="22"/>
          <w:szCs w:val="22"/>
          <w:lang w:val="en-GB"/>
        </w:rPr>
        <w:t xml:space="preserve">). BP Petroleum believes that the new strategy that they have adopted will play a major role in delivering a coherent and comprehensive approach for turning the ambition of net zero into action. So for achieving this BP has changed their focus towards significantly scaling up the business of low-carbon energy and also transforming the offers of mobility and convenience. The focus of the company is towards reducing gas, oil and refining portfolio.      </w:t>
      </w:r>
    </w:p>
    <w:p w14:paraId="781ABA19"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w:t>
      </w:r>
      <w:r w:rsidRPr="00E205B5">
        <w:rPr>
          <w:rFonts w:ascii="Arial" w:hAnsi="Arial" w:cs="Arial"/>
          <w:b/>
          <w:sz w:val="22"/>
          <w:szCs w:val="22"/>
          <w:lang w:val="en-GB"/>
        </w:rPr>
        <w:t>PESTLE analysis</w:t>
      </w:r>
      <w:r w:rsidRPr="00E205B5">
        <w:rPr>
          <w:rFonts w:ascii="Arial" w:hAnsi="Arial" w:cs="Arial"/>
          <w:sz w:val="22"/>
          <w:szCs w:val="22"/>
          <w:lang w:val="en-GB"/>
        </w:rPr>
        <w:t>” can be conducted for analysing various factors that have had an impact on the strategy of British Petroleum</w:t>
      </w:r>
      <w:r w:rsidR="006C2DAC" w:rsidRPr="00E205B5">
        <w:rPr>
          <w:rFonts w:ascii="Arial" w:hAnsi="Arial" w:cs="Arial"/>
          <w:sz w:val="22"/>
          <w:szCs w:val="22"/>
          <w:lang w:val="en-GB"/>
        </w:rPr>
        <w:t xml:space="preserve"> in the last five years</w:t>
      </w:r>
      <w:r w:rsidRPr="00E205B5">
        <w:rPr>
          <w:rFonts w:ascii="Arial" w:hAnsi="Arial" w:cs="Arial"/>
          <w:sz w:val="22"/>
          <w:szCs w:val="22"/>
          <w:lang w:val="en-GB"/>
        </w:rPr>
        <w:t>. Due to the impact of Brexit the company has been facing a number of negative impacts and one of the major negative impacts that was faced by the company was nationwide shortage of HGV drivers (</w:t>
      </w:r>
      <w:proofErr w:type="spellStart"/>
      <w:r w:rsidR="006C2DAC" w:rsidRPr="00E205B5">
        <w:rPr>
          <w:rFonts w:ascii="Arial" w:hAnsi="Arial" w:cs="Arial"/>
          <w:color w:val="222222"/>
          <w:sz w:val="22"/>
          <w:szCs w:val="22"/>
          <w:highlight w:val="white"/>
          <w:lang w:val="en-GB"/>
        </w:rPr>
        <w:t>Kinneging</w:t>
      </w:r>
      <w:proofErr w:type="spellEnd"/>
      <w:r w:rsidR="006C2DAC" w:rsidRPr="00E205B5">
        <w:rPr>
          <w:rFonts w:ascii="Arial" w:hAnsi="Arial" w:cs="Arial"/>
          <w:color w:val="222222"/>
          <w:sz w:val="22"/>
          <w:szCs w:val="22"/>
          <w:highlight w:val="white"/>
          <w:lang w:val="en-GB"/>
        </w:rPr>
        <w:t>,</w:t>
      </w:r>
      <w:r w:rsidRPr="00E205B5">
        <w:rPr>
          <w:rFonts w:ascii="Arial" w:hAnsi="Arial" w:cs="Arial"/>
          <w:color w:val="222222"/>
          <w:sz w:val="22"/>
          <w:szCs w:val="22"/>
          <w:highlight w:val="white"/>
          <w:lang w:val="en-GB"/>
        </w:rPr>
        <w:t xml:space="preserve"> 2020</w:t>
      </w:r>
      <w:r w:rsidRPr="00E205B5">
        <w:rPr>
          <w:rFonts w:ascii="Arial" w:hAnsi="Arial" w:cs="Arial"/>
          <w:sz w:val="22"/>
          <w:szCs w:val="22"/>
          <w:lang w:val="en-GB"/>
        </w:rPr>
        <w:t>). Due to this numbers of petrol stations were forced to shut down due to the negative impact of drivers shortage who left the forecourts without the supplies. It was reported by BP that almost 100 of the forecourts under BP faced the shortage of one grade fuel due to the shortage of fuels which was caused by the lack of deliveries (</w:t>
      </w:r>
      <w:r w:rsidRPr="00E205B5">
        <w:rPr>
          <w:rFonts w:ascii="Arial" w:hAnsi="Arial" w:cs="Arial"/>
          <w:color w:val="222222"/>
          <w:sz w:val="22"/>
          <w:szCs w:val="22"/>
          <w:highlight w:val="white"/>
          <w:lang w:val="en-GB"/>
        </w:rPr>
        <w:t xml:space="preserve">Capobianco </w:t>
      </w:r>
      <w:r w:rsidRPr="00E205B5">
        <w:rPr>
          <w:rFonts w:ascii="Arial" w:hAnsi="Arial" w:cs="Arial"/>
          <w:i/>
          <w:color w:val="222222"/>
          <w:sz w:val="22"/>
          <w:szCs w:val="22"/>
          <w:highlight w:val="white"/>
          <w:lang w:val="en-GB"/>
        </w:rPr>
        <w:t xml:space="preserve">et al., </w:t>
      </w:r>
      <w:r w:rsidRPr="00E205B5">
        <w:rPr>
          <w:rFonts w:ascii="Arial" w:hAnsi="Arial" w:cs="Arial"/>
          <w:color w:val="222222"/>
          <w:sz w:val="22"/>
          <w:szCs w:val="22"/>
          <w:highlight w:val="white"/>
          <w:lang w:val="en-GB"/>
        </w:rPr>
        <w:t>2021</w:t>
      </w:r>
      <w:r w:rsidRPr="00E205B5">
        <w:rPr>
          <w:rFonts w:ascii="Arial" w:hAnsi="Arial" w:cs="Arial"/>
          <w:sz w:val="22"/>
          <w:szCs w:val="22"/>
          <w:lang w:val="en-GB"/>
        </w:rPr>
        <w:t>). Although it was said that there was no major shortage of fuels, the company faced acute shortage of the labourers and also the shortage of supply chain network. All these were faced by BP due to the negative impact of Brexit. Most of the employees of BP were from the EU and when Brexit got implemented, the free movement between the EU and the UK were stopped. This caused m</w:t>
      </w:r>
      <w:r w:rsidR="00D10AAC" w:rsidRPr="00E205B5">
        <w:rPr>
          <w:rFonts w:ascii="Arial" w:hAnsi="Arial" w:cs="Arial"/>
          <w:sz w:val="22"/>
          <w:szCs w:val="22"/>
          <w:lang w:val="en-GB"/>
        </w:rPr>
        <w:t>ost of the labourers to leave UK</w:t>
      </w:r>
      <w:r w:rsidRPr="00E205B5">
        <w:rPr>
          <w:rFonts w:ascii="Arial" w:hAnsi="Arial" w:cs="Arial"/>
          <w:sz w:val="22"/>
          <w:szCs w:val="22"/>
          <w:lang w:val="en-GB"/>
        </w:rPr>
        <w:t xml:space="preserve"> and it resulted in acute shortage of the labourers and also the drivers. It caused the supply chain of the BP to face acute shortage and the business operations of the company severely impacted.</w:t>
      </w:r>
    </w:p>
    <w:p w14:paraId="781ABA1A" w14:textId="77777777" w:rsidR="00F85367" w:rsidRPr="00E205B5" w:rsidRDefault="009B738B">
      <w:pPr>
        <w:pStyle w:val="Normal1"/>
        <w:rPr>
          <w:rFonts w:ascii="Arial" w:hAnsi="Arial" w:cs="Arial"/>
          <w:sz w:val="22"/>
          <w:szCs w:val="22"/>
          <w:lang w:val="en-GB"/>
        </w:rPr>
      </w:pPr>
      <w:r w:rsidRPr="00E205B5">
        <w:rPr>
          <w:rFonts w:ascii="Arial" w:hAnsi="Arial" w:cs="Arial"/>
          <w:b/>
          <w:i/>
          <w:sz w:val="22"/>
          <w:szCs w:val="22"/>
          <w:lang w:val="en-GB"/>
        </w:rPr>
        <w:t xml:space="preserve">Economic factors </w:t>
      </w:r>
      <w:r w:rsidRPr="00E205B5">
        <w:rPr>
          <w:rFonts w:ascii="Arial" w:hAnsi="Arial" w:cs="Arial"/>
          <w:sz w:val="22"/>
          <w:szCs w:val="22"/>
          <w:lang w:val="en-GB"/>
        </w:rPr>
        <w:t xml:space="preserve">mainly determine how British Petroleum operates and also arrives at the strategic decisions. For instance, Brexit has had a major impact on the economic factor as it </w:t>
      </w:r>
      <w:r w:rsidRPr="00E205B5">
        <w:rPr>
          <w:rFonts w:ascii="Arial" w:hAnsi="Arial" w:cs="Arial"/>
          <w:sz w:val="22"/>
          <w:szCs w:val="22"/>
          <w:lang w:val="en-GB"/>
        </w:rPr>
        <w:lastRenderedPageBreak/>
        <w:t xml:space="preserve">negatively impacted the profit margin, and also the interest rates and also exchange rates have impacted. GDP has also been impacted in a negative way due to the impact that was caused by the Covid-19 and also by Brexit. In the case of the </w:t>
      </w:r>
      <w:r w:rsidRPr="00E205B5">
        <w:rPr>
          <w:rFonts w:ascii="Arial" w:hAnsi="Arial" w:cs="Arial"/>
          <w:b/>
          <w:i/>
          <w:sz w:val="22"/>
          <w:szCs w:val="22"/>
          <w:lang w:val="en-GB"/>
        </w:rPr>
        <w:t>social factors</w:t>
      </w:r>
      <w:r w:rsidRPr="00E205B5">
        <w:rPr>
          <w:rFonts w:ascii="Arial" w:hAnsi="Arial" w:cs="Arial"/>
          <w:sz w:val="22"/>
          <w:szCs w:val="22"/>
          <w:lang w:val="en-GB"/>
        </w:rPr>
        <w:t>, covid-19 and Brexit have highly impacted the social trends (</w:t>
      </w:r>
      <w:r w:rsidRPr="00E205B5">
        <w:rPr>
          <w:rFonts w:ascii="Arial" w:hAnsi="Arial" w:cs="Arial"/>
          <w:sz w:val="22"/>
          <w:szCs w:val="22"/>
          <w:highlight w:val="white"/>
          <w:lang w:val="en-GB"/>
        </w:rPr>
        <w:t>BBC News, 2022</w:t>
      </w:r>
      <w:r w:rsidRPr="00E205B5">
        <w:rPr>
          <w:rFonts w:ascii="Arial" w:hAnsi="Arial" w:cs="Arial"/>
          <w:sz w:val="22"/>
          <w:szCs w:val="22"/>
          <w:lang w:val="en-GB"/>
        </w:rPr>
        <w:t>). And as a result of which people have started to prefer a healthy lifestyle and as a result people have started activities like walking, cycling and so on. This has caused a major impact on the sales of the company in the last couple of years. In the case of the</w:t>
      </w:r>
      <w:r w:rsidRPr="00E205B5">
        <w:rPr>
          <w:rFonts w:ascii="Arial" w:hAnsi="Arial" w:cs="Arial"/>
          <w:b/>
          <w:i/>
          <w:sz w:val="22"/>
          <w:szCs w:val="22"/>
          <w:lang w:val="en-GB"/>
        </w:rPr>
        <w:t xml:space="preserve"> technological factor</w:t>
      </w:r>
      <w:r w:rsidRPr="00E205B5">
        <w:rPr>
          <w:rFonts w:ascii="Arial" w:hAnsi="Arial" w:cs="Arial"/>
          <w:sz w:val="22"/>
          <w:szCs w:val="22"/>
          <w:lang w:val="en-GB"/>
        </w:rPr>
        <w:t xml:space="preserve">, the company has also been facing some of the major challenges which are mainly based on creating innovative products. This has impacted the attitude of customers towards the overall performance of BP and has had a potential impact on the demand of the product of the company. </w:t>
      </w:r>
    </w:p>
    <w:p w14:paraId="781ABA1B"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 xml:space="preserve">In 2009 the company received the </w:t>
      </w:r>
      <w:r w:rsidR="006C2DAC" w:rsidRPr="00E205B5">
        <w:rPr>
          <w:rFonts w:ascii="Arial" w:hAnsi="Arial" w:cs="Arial"/>
          <w:sz w:val="22"/>
          <w:szCs w:val="22"/>
          <w:lang w:val="en-GB"/>
        </w:rPr>
        <w:t>Green wash</w:t>
      </w:r>
      <w:r w:rsidRPr="00E205B5">
        <w:rPr>
          <w:rFonts w:ascii="Arial" w:hAnsi="Arial" w:cs="Arial"/>
          <w:sz w:val="22"/>
          <w:szCs w:val="22"/>
          <w:lang w:val="en-GB"/>
        </w:rPr>
        <w:t xml:space="preserve"> award, which was the award for the company that could not make a considerate effort towards climate change. But later the company came up with the new </w:t>
      </w:r>
      <w:r w:rsidR="006C2DAC" w:rsidRPr="00E205B5">
        <w:rPr>
          <w:rFonts w:ascii="Arial" w:hAnsi="Arial" w:cs="Arial"/>
          <w:sz w:val="22"/>
          <w:szCs w:val="22"/>
          <w:lang w:val="en-GB"/>
        </w:rPr>
        <w:t>strategies that have</w:t>
      </w:r>
      <w:r w:rsidRPr="00E205B5">
        <w:rPr>
          <w:rFonts w:ascii="Arial" w:hAnsi="Arial" w:cs="Arial"/>
          <w:sz w:val="22"/>
          <w:szCs w:val="22"/>
          <w:lang w:val="en-GB"/>
        </w:rPr>
        <w:t xml:space="preserve"> been mentioned above. Due to the impact of Brexit and also due to the impact that was brought upon by the Covid-19, the company has not been able to make a considerable effort in improving the technology for reducing the environmental impact. This is due to the negative impact on the revenue that was brought upon by the Covid-19 and also due to Brexit. </w:t>
      </w:r>
    </w:p>
    <w:p w14:paraId="781ABA1C"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 xml:space="preserve">In the case of the </w:t>
      </w:r>
      <w:r w:rsidRPr="00E205B5">
        <w:rPr>
          <w:rFonts w:ascii="Arial" w:hAnsi="Arial" w:cs="Arial"/>
          <w:b/>
          <w:sz w:val="22"/>
          <w:szCs w:val="22"/>
          <w:lang w:val="en-GB"/>
        </w:rPr>
        <w:t xml:space="preserve">Legal factors </w:t>
      </w:r>
      <w:r w:rsidRPr="00E205B5">
        <w:rPr>
          <w:rFonts w:ascii="Arial" w:hAnsi="Arial" w:cs="Arial"/>
          <w:sz w:val="22"/>
          <w:szCs w:val="22"/>
          <w:lang w:val="en-GB"/>
        </w:rPr>
        <w:t>there are a number of factors that have brought upon the major hurdle for the company to successfully execute the strategies that the company has come up with for the future. There were major legal implications that were brought upon by the legal factors. Brexit led to closed free movement between the EU and the UK and as a result of which the BP faced acute shortage of the Labour. The shortage of labour mainly resulted in the shortage of labour and as a result of which the company faced an acute shortage in the supply (</w:t>
      </w:r>
      <w:r w:rsidRPr="00E205B5">
        <w:rPr>
          <w:rFonts w:ascii="Arial" w:hAnsi="Arial" w:cs="Arial"/>
          <w:sz w:val="22"/>
          <w:szCs w:val="22"/>
          <w:highlight w:val="white"/>
          <w:lang w:val="en-GB"/>
        </w:rPr>
        <w:t>BBC News, 2022</w:t>
      </w:r>
      <w:r w:rsidRPr="00E205B5">
        <w:rPr>
          <w:rFonts w:ascii="Arial" w:hAnsi="Arial" w:cs="Arial"/>
          <w:sz w:val="22"/>
          <w:szCs w:val="22"/>
          <w:lang w:val="en-GB"/>
        </w:rPr>
        <w:t xml:space="preserve">). This caused BP to face the shortage and as a result of which there was a lack of fuel in most of the fuel stations. In addition to this there was also a social-distancing protocol that was imposed by the government. This worsened the labour shortage that was already existent due to Brexit. All the factors that have been mentioned above led to a number of hurdles to the strategies that are set by the BP but the company is still pursuing the strategies that the company. </w:t>
      </w:r>
    </w:p>
    <w:p w14:paraId="781ABA1D" w14:textId="77777777" w:rsidR="00F85367" w:rsidRPr="00E205B5" w:rsidRDefault="00F85367">
      <w:pPr>
        <w:pStyle w:val="Normal1"/>
        <w:rPr>
          <w:rFonts w:ascii="Arial" w:hAnsi="Arial" w:cs="Arial"/>
          <w:sz w:val="22"/>
          <w:szCs w:val="22"/>
          <w:lang w:val="en-GB"/>
        </w:rPr>
      </w:pPr>
    </w:p>
    <w:p w14:paraId="781ABA1E"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 xml:space="preserve">BP has the </w:t>
      </w:r>
      <w:r w:rsidR="006C2DAC" w:rsidRPr="00E205B5">
        <w:rPr>
          <w:rFonts w:ascii="Arial" w:hAnsi="Arial" w:cs="Arial"/>
          <w:sz w:val="22"/>
          <w:szCs w:val="22"/>
          <w:lang w:val="en-GB"/>
        </w:rPr>
        <w:t>pepper</w:t>
      </w:r>
      <w:r w:rsidRPr="00E205B5">
        <w:rPr>
          <w:rFonts w:ascii="Arial" w:hAnsi="Arial" w:cs="Arial"/>
          <w:sz w:val="22"/>
          <w:szCs w:val="22"/>
          <w:lang w:val="en-GB"/>
        </w:rPr>
        <w:t xml:space="preserve"> resources for aligning them </w:t>
      </w:r>
      <w:r w:rsidR="006C2DAC" w:rsidRPr="00E205B5">
        <w:rPr>
          <w:rFonts w:ascii="Arial" w:hAnsi="Arial" w:cs="Arial"/>
          <w:sz w:val="22"/>
          <w:szCs w:val="22"/>
          <w:lang w:val="en-GB"/>
        </w:rPr>
        <w:t>with the</w:t>
      </w:r>
      <w:r w:rsidRPr="00E205B5">
        <w:rPr>
          <w:rFonts w:ascii="Arial" w:hAnsi="Arial" w:cs="Arial"/>
          <w:sz w:val="22"/>
          <w:szCs w:val="22"/>
          <w:lang w:val="en-GB"/>
        </w:rPr>
        <w:t xml:space="preserve"> strategy that they have for meeting with the strategies that they have for the future. </w:t>
      </w:r>
      <w:r w:rsidRPr="00E205B5">
        <w:rPr>
          <w:rFonts w:ascii="Arial" w:hAnsi="Arial" w:cs="Arial"/>
          <w:b/>
          <w:i/>
          <w:sz w:val="22"/>
          <w:szCs w:val="22"/>
          <w:lang w:val="en-GB"/>
        </w:rPr>
        <w:t xml:space="preserve">VRIO </w:t>
      </w:r>
      <w:r w:rsidRPr="00E205B5">
        <w:rPr>
          <w:rFonts w:ascii="Arial" w:hAnsi="Arial" w:cs="Arial"/>
          <w:sz w:val="22"/>
          <w:szCs w:val="22"/>
          <w:lang w:val="en-GB"/>
        </w:rPr>
        <w:t xml:space="preserve">analysis is an </w:t>
      </w:r>
      <w:r w:rsidR="006C2DAC" w:rsidRPr="00E205B5">
        <w:rPr>
          <w:rFonts w:ascii="Arial" w:hAnsi="Arial" w:cs="Arial"/>
          <w:sz w:val="22"/>
          <w:szCs w:val="22"/>
          <w:lang w:val="en-GB"/>
        </w:rPr>
        <w:t>initialise</w:t>
      </w:r>
      <w:r w:rsidRPr="00E205B5">
        <w:rPr>
          <w:rFonts w:ascii="Arial" w:hAnsi="Arial" w:cs="Arial"/>
          <w:sz w:val="22"/>
          <w:szCs w:val="22"/>
          <w:lang w:val="en-GB"/>
        </w:rPr>
        <w:t xml:space="preserve"> that mainly consists of the four questions and can be applied for analysing the resources and capabilities of an organisation. The four questions mainly consist of the “Value, Rarity, Imitability and Organisation (exploit the resources and the capabilities)”. </w:t>
      </w:r>
      <w:r w:rsidRPr="00E205B5">
        <w:rPr>
          <w:rFonts w:ascii="Arial" w:hAnsi="Arial" w:cs="Arial"/>
          <w:b/>
          <w:i/>
          <w:sz w:val="22"/>
          <w:szCs w:val="22"/>
          <w:lang w:val="en-GB"/>
        </w:rPr>
        <w:t xml:space="preserve">Financial resources </w:t>
      </w:r>
      <w:r w:rsidRPr="00E205B5">
        <w:rPr>
          <w:rFonts w:ascii="Arial" w:hAnsi="Arial" w:cs="Arial"/>
          <w:sz w:val="22"/>
          <w:szCs w:val="22"/>
          <w:lang w:val="en-GB"/>
        </w:rPr>
        <w:t xml:space="preserve">of BP are considered to be one of the valuable resources that the company possesses. As reported in 2021, it was reported that the Company was successful in making </w:t>
      </w:r>
      <w:r w:rsidRPr="00E205B5">
        <w:rPr>
          <w:rFonts w:ascii="Arial" w:hAnsi="Arial" w:cs="Arial"/>
          <w:sz w:val="22"/>
          <w:szCs w:val="22"/>
          <w:lang w:val="en-GB"/>
        </w:rPr>
        <w:lastRenderedPageBreak/>
        <w:t>a total earnings of 3.13 billion pounds (</w:t>
      </w:r>
      <w:r w:rsidRPr="00E205B5">
        <w:rPr>
          <w:rFonts w:ascii="Arial" w:hAnsi="Arial" w:cs="Arial"/>
          <w:color w:val="222222"/>
          <w:sz w:val="22"/>
          <w:szCs w:val="22"/>
          <w:highlight w:val="white"/>
          <w:lang w:val="en-GB"/>
        </w:rPr>
        <w:t>Abdul-Salam, 2019</w:t>
      </w:r>
      <w:r w:rsidRPr="00E205B5">
        <w:rPr>
          <w:rFonts w:ascii="Arial" w:hAnsi="Arial" w:cs="Arial"/>
          <w:sz w:val="22"/>
          <w:szCs w:val="22"/>
          <w:lang w:val="en-GB"/>
        </w:rPr>
        <w:t>).  It is valuable because it allows the company to invest on the internal and external opportunities that arise for the company and also allows them to combat them. It is also rare because most of the companies do not possess strong financial resources like BP (</w:t>
      </w:r>
      <w:r w:rsidRPr="00E205B5">
        <w:rPr>
          <w:rFonts w:ascii="Arial" w:hAnsi="Arial" w:cs="Arial"/>
          <w:color w:val="222222"/>
          <w:sz w:val="22"/>
          <w:szCs w:val="22"/>
          <w:highlight w:val="white"/>
          <w:lang w:val="en-GB"/>
        </w:rPr>
        <w:t>Haugen, 2019</w:t>
      </w:r>
      <w:r w:rsidRPr="00E205B5">
        <w:rPr>
          <w:rFonts w:ascii="Arial" w:hAnsi="Arial" w:cs="Arial"/>
          <w:sz w:val="22"/>
          <w:szCs w:val="22"/>
          <w:lang w:val="en-GB"/>
        </w:rPr>
        <w:t>). The company has been able to establish a strong financial position by prolonged profits that have been gained over the years. So it is not easy to imitate a strong financial position. Organisation utilises their strong financial resources in a proper way for gaining competitive advantage over its competitors.</w:t>
      </w:r>
    </w:p>
    <w:p w14:paraId="781ABA1F"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Another valuable resource that BP has is the trained and skilled employees that the company possesses. They have a highly skilled workforce and are provided with proper benefits and compensation. It is possible for others to imitate this resource but it will require high investment for other companies to acquire the skill level that the employees of BP possess. The company makes the full use of this resource for gaining the competitive advantage over its competitors. But due to Brexit and also due to the Covid-19, the company has lost this valuable resource as the company has lost huge numbers of employees. One of the major shortages that the company faced is the shortage of HGV drivers. Another major valuable resource that BP possesses is the pricing strategy of the company. BP has the belief that the prices need to be set economically and needs to be easily accessible by the public, but the final prices are set by the British Government (</w:t>
      </w:r>
      <w:proofErr w:type="spellStart"/>
      <w:r w:rsidRPr="00E205B5">
        <w:rPr>
          <w:rFonts w:ascii="Arial" w:hAnsi="Arial" w:cs="Arial"/>
          <w:color w:val="222222"/>
          <w:sz w:val="22"/>
          <w:szCs w:val="22"/>
          <w:highlight w:val="white"/>
          <w:lang w:val="en-GB"/>
        </w:rPr>
        <w:t>Manasse</w:t>
      </w:r>
      <w:proofErr w:type="spellEnd"/>
      <w:r w:rsidRPr="00E205B5">
        <w:rPr>
          <w:rFonts w:ascii="Arial" w:hAnsi="Arial" w:cs="Arial"/>
          <w:color w:val="222222"/>
          <w:sz w:val="22"/>
          <w:szCs w:val="22"/>
          <w:highlight w:val="white"/>
          <w:lang w:val="en-GB"/>
        </w:rPr>
        <w:t xml:space="preserve"> </w:t>
      </w:r>
      <w:r w:rsidRPr="00E205B5">
        <w:rPr>
          <w:rFonts w:ascii="Arial" w:hAnsi="Arial" w:cs="Arial"/>
          <w:i/>
          <w:color w:val="222222"/>
          <w:sz w:val="22"/>
          <w:szCs w:val="22"/>
          <w:highlight w:val="white"/>
          <w:lang w:val="en-GB"/>
        </w:rPr>
        <w:t xml:space="preserve">et al., </w:t>
      </w:r>
      <w:r w:rsidRPr="00E205B5">
        <w:rPr>
          <w:rFonts w:ascii="Arial" w:hAnsi="Arial" w:cs="Arial"/>
          <w:color w:val="222222"/>
          <w:sz w:val="22"/>
          <w:szCs w:val="22"/>
          <w:highlight w:val="white"/>
          <w:lang w:val="en-GB"/>
        </w:rPr>
        <w:t>2020</w:t>
      </w:r>
      <w:r w:rsidRPr="00E205B5">
        <w:rPr>
          <w:rFonts w:ascii="Arial" w:hAnsi="Arial" w:cs="Arial"/>
          <w:sz w:val="22"/>
          <w:szCs w:val="22"/>
          <w:lang w:val="en-GB"/>
        </w:rPr>
        <w:t>). But this resource of BP is not a rare resource and it also can be imitated by the competitors. The Organisation has the pricing analytic tool and helps the company in attaining “temporary competitive advantage”. The strategy of the company is to attain non-zero and also allow the others to achieve the non-zero and that is the main reason that the price has been kept low.</w:t>
      </w:r>
    </w:p>
    <w:p w14:paraId="781ABA20"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Successful implementation of the digital strategy is another valuable resource and capability for the company. It is a valuable resource for the company because without the proper digital strategies it is not possible for the company to compete with the competitors. It is not a rare resource for BP as other companies are also investing for the operations that are digitalised. This resource of the company is also imitable by others and helps the company in attaining competitive advantage that is sustainable for the company (</w:t>
      </w:r>
      <w:r w:rsidRPr="00E205B5">
        <w:rPr>
          <w:rFonts w:ascii="Arial" w:hAnsi="Arial" w:cs="Arial"/>
          <w:color w:val="222222"/>
          <w:sz w:val="22"/>
          <w:szCs w:val="22"/>
          <w:highlight w:val="white"/>
          <w:lang w:val="en-GB"/>
        </w:rPr>
        <w:t>Mendes, 2018</w:t>
      </w:r>
      <w:r w:rsidRPr="00E205B5">
        <w:rPr>
          <w:rFonts w:ascii="Arial" w:hAnsi="Arial" w:cs="Arial"/>
          <w:sz w:val="22"/>
          <w:szCs w:val="22"/>
          <w:lang w:val="en-GB"/>
        </w:rPr>
        <w:t xml:space="preserve">). BP is making continuous investment in digital technology for aligning with its strategy as the company has to make extensive use of the technology for being able to achieve its objective of attaining non-zero. The company also has the focus on making more use of the hydrogen energy, bio-fuels and also the renewable energy and for the company to achieve this objective, BP makes extensive use of the digital technology. Another major valuable resource of the company mainly includes the resources like human resources, financial resources, marketing expertise and also the operation management of the company. The company also has the numbers of rare resources and all the valuable resources that BP possesses are very costly for other companies to imitate. </w:t>
      </w:r>
    </w:p>
    <w:p w14:paraId="781ABA21"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lastRenderedPageBreak/>
        <w:t>Another valuable resource that the BP has is the sales force and the management of channels and is one of the major valuable resources of the company. Even if it is a valuable resource it is not the rare resource for the company and it can be easily imitated by the competitors. Having access to the resources and also executing them successfully for gaining the successful implementation of the strategy of the company (</w:t>
      </w:r>
      <w:r w:rsidRPr="00E205B5">
        <w:rPr>
          <w:rFonts w:ascii="Arial" w:hAnsi="Arial" w:cs="Arial"/>
          <w:color w:val="222222"/>
          <w:sz w:val="22"/>
          <w:szCs w:val="22"/>
          <w:highlight w:val="white"/>
          <w:lang w:val="en-GB"/>
        </w:rPr>
        <w:t>Mendes, 2018</w:t>
      </w:r>
      <w:r w:rsidRPr="00E205B5">
        <w:rPr>
          <w:rFonts w:ascii="Arial" w:hAnsi="Arial" w:cs="Arial"/>
          <w:sz w:val="22"/>
          <w:szCs w:val="22"/>
          <w:lang w:val="en-GB"/>
        </w:rPr>
        <w:t xml:space="preserve">). It is also a rare resource of the company because other companies have come in terms with the dominant position that the company has in the market. It can be imitated by the competitors but it will require high investment for the competitors to achieve the dominant position. All these resources and the capabilities that BP possesses are used in such a manner that they perfectly align with the strategy of the company for attaining non-zero.    </w:t>
      </w:r>
    </w:p>
    <w:p w14:paraId="781ABA22" w14:textId="77777777" w:rsidR="00F85367" w:rsidRPr="00E205B5" w:rsidRDefault="00F85367">
      <w:pPr>
        <w:pStyle w:val="Normal1"/>
        <w:rPr>
          <w:rFonts w:ascii="Arial" w:hAnsi="Arial" w:cs="Arial"/>
          <w:sz w:val="22"/>
          <w:szCs w:val="22"/>
          <w:lang w:val="en-GB"/>
        </w:rPr>
      </w:pPr>
    </w:p>
    <w:p w14:paraId="781ABA23"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The sustainability frame of British Petroleum mainly focuses on making the difference in the environment in which the company operates. The scope of the company is to provide care to the planet by covering biodiversity, nature-based solutions, water management which also includes the focus of reducing or removing the carbon emissions, sustainable pricing and also through circularity (</w:t>
      </w:r>
      <w:proofErr w:type="spellStart"/>
      <w:r w:rsidRPr="00E205B5">
        <w:rPr>
          <w:rFonts w:ascii="Arial" w:hAnsi="Arial" w:cs="Arial"/>
          <w:color w:val="222222"/>
          <w:sz w:val="22"/>
          <w:szCs w:val="22"/>
          <w:highlight w:val="white"/>
          <w:lang w:val="en-GB"/>
        </w:rPr>
        <w:t>Tantau</w:t>
      </w:r>
      <w:proofErr w:type="spellEnd"/>
      <w:r w:rsidRPr="00E205B5">
        <w:rPr>
          <w:rFonts w:ascii="Arial" w:hAnsi="Arial" w:cs="Arial"/>
          <w:color w:val="222222"/>
          <w:sz w:val="22"/>
          <w:szCs w:val="22"/>
          <w:highlight w:val="white"/>
          <w:lang w:val="en-GB"/>
        </w:rPr>
        <w:t xml:space="preserve"> and </w:t>
      </w:r>
      <w:proofErr w:type="spellStart"/>
      <w:r w:rsidRPr="00E205B5">
        <w:rPr>
          <w:rFonts w:ascii="Arial" w:hAnsi="Arial" w:cs="Arial"/>
          <w:color w:val="222222"/>
          <w:sz w:val="22"/>
          <w:szCs w:val="22"/>
          <w:highlight w:val="white"/>
          <w:lang w:val="en-GB"/>
        </w:rPr>
        <w:t>Frăţilă</w:t>
      </w:r>
      <w:proofErr w:type="spellEnd"/>
      <w:r w:rsidRPr="00E205B5">
        <w:rPr>
          <w:rFonts w:ascii="Arial" w:hAnsi="Arial" w:cs="Arial"/>
          <w:color w:val="222222"/>
          <w:sz w:val="22"/>
          <w:szCs w:val="22"/>
          <w:highlight w:val="white"/>
          <w:lang w:val="en-GB"/>
        </w:rPr>
        <w:t>, 2021</w:t>
      </w:r>
      <w:r w:rsidRPr="00E205B5">
        <w:rPr>
          <w:rFonts w:ascii="Arial" w:hAnsi="Arial" w:cs="Arial"/>
          <w:sz w:val="22"/>
          <w:szCs w:val="22"/>
          <w:lang w:val="en-GB"/>
        </w:rPr>
        <w:t xml:space="preserve">).      </w:t>
      </w:r>
    </w:p>
    <w:p w14:paraId="781ABA24"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 xml:space="preserve">One of the major theories of environmental sustainability that can be applied by British Petroleum for improving their environmental sustainability is Corporate Social Responsibility. One of the major approaches to sustainability that can be applied by BP is that the company needs to focus on getting involved with the local communities. The company needs to participate in the local events that </w:t>
      </w:r>
      <w:proofErr w:type="spellStart"/>
      <w:r w:rsidRPr="00E205B5">
        <w:rPr>
          <w:rFonts w:ascii="Arial" w:hAnsi="Arial" w:cs="Arial"/>
          <w:sz w:val="22"/>
          <w:szCs w:val="22"/>
          <w:lang w:val="en-GB"/>
        </w:rPr>
        <w:t>tre</w:t>
      </w:r>
      <w:proofErr w:type="spellEnd"/>
      <w:r w:rsidRPr="00E205B5">
        <w:rPr>
          <w:rFonts w:ascii="Arial" w:hAnsi="Arial" w:cs="Arial"/>
          <w:sz w:val="22"/>
          <w:szCs w:val="22"/>
          <w:lang w:val="en-GB"/>
        </w:rPr>
        <w:t xml:space="preserve"> organised and also needs to focus on buying and selling of the local products. Apart from the approaches of sustainability that the company has considered for reducing the carbon emissions, the company can also apply to measures for going green. Some of the major approaches for going green mainly include encouraging the employees to make the low use of the electricity when it is not required. The alternative transportation can also be encouraged by the company and opting for a mode of transportation that is environmentally friendly (</w:t>
      </w:r>
      <w:proofErr w:type="spellStart"/>
      <w:r w:rsidRPr="00E205B5">
        <w:rPr>
          <w:rFonts w:ascii="Arial" w:hAnsi="Arial" w:cs="Arial"/>
          <w:color w:val="222222"/>
          <w:sz w:val="22"/>
          <w:szCs w:val="22"/>
          <w:highlight w:val="white"/>
          <w:lang w:val="en-GB"/>
        </w:rPr>
        <w:t>Latapí</w:t>
      </w:r>
      <w:proofErr w:type="spellEnd"/>
      <w:r w:rsidRPr="00E205B5">
        <w:rPr>
          <w:rFonts w:ascii="Arial" w:hAnsi="Arial" w:cs="Arial"/>
          <w:color w:val="222222"/>
          <w:sz w:val="22"/>
          <w:szCs w:val="22"/>
          <w:highlight w:val="white"/>
          <w:lang w:val="en-GB"/>
        </w:rPr>
        <w:t xml:space="preserve"> </w:t>
      </w:r>
      <w:proofErr w:type="spellStart"/>
      <w:r w:rsidRPr="00E205B5">
        <w:rPr>
          <w:rFonts w:ascii="Arial" w:hAnsi="Arial" w:cs="Arial"/>
          <w:color w:val="222222"/>
          <w:sz w:val="22"/>
          <w:szCs w:val="22"/>
          <w:highlight w:val="white"/>
          <w:lang w:val="en-GB"/>
        </w:rPr>
        <w:t>Agudelo</w:t>
      </w:r>
      <w:proofErr w:type="spellEnd"/>
      <w:r w:rsidRPr="00E205B5">
        <w:rPr>
          <w:rFonts w:ascii="Arial" w:hAnsi="Arial" w:cs="Arial"/>
          <w:color w:val="222222"/>
          <w:sz w:val="22"/>
          <w:szCs w:val="22"/>
          <w:highlight w:val="white"/>
          <w:lang w:val="en-GB"/>
        </w:rPr>
        <w:t xml:space="preserve"> </w:t>
      </w:r>
      <w:r w:rsidRPr="00E205B5">
        <w:rPr>
          <w:rFonts w:ascii="Arial" w:hAnsi="Arial" w:cs="Arial"/>
          <w:i/>
          <w:color w:val="222222"/>
          <w:sz w:val="22"/>
          <w:szCs w:val="22"/>
          <w:highlight w:val="white"/>
          <w:lang w:val="en-GB"/>
        </w:rPr>
        <w:t xml:space="preserve">et al., </w:t>
      </w:r>
      <w:r w:rsidRPr="00E205B5">
        <w:rPr>
          <w:rFonts w:ascii="Arial" w:hAnsi="Arial" w:cs="Arial"/>
          <w:color w:val="222222"/>
          <w:sz w:val="22"/>
          <w:szCs w:val="22"/>
          <w:highlight w:val="white"/>
          <w:lang w:val="en-GB"/>
        </w:rPr>
        <w:t>2019</w:t>
      </w:r>
      <w:r w:rsidRPr="00E205B5">
        <w:rPr>
          <w:rFonts w:ascii="Arial" w:hAnsi="Arial" w:cs="Arial"/>
          <w:sz w:val="22"/>
          <w:szCs w:val="22"/>
          <w:lang w:val="en-GB"/>
        </w:rPr>
        <w:t>). For example, the employees can be encouraged for using public transportation or also can be encouraged for having the shared transport. BP can also involve itself in the development of the employees as it is as important as supporting the local community. For example, one afternoon slot can be allocated for the development of the employees working within an organisation.</w:t>
      </w:r>
    </w:p>
    <w:p w14:paraId="781ABA25"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Implementation of all these activities will allow the company to have a number of competitive advantages as it will provide the company with better quality for attracting new talents and will also allow the company to retain the staff of the company (</w:t>
      </w:r>
      <w:r w:rsidRPr="00E205B5">
        <w:rPr>
          <w:rFonts w:ascii="Arial" w:hAnsi="Arial" w:cs="Arial"/>
          <w:color w:val="222222"/>
          <w:sz w:val="22"/>
          <w:szCs w:val="22"/>
          <w:highlight w:val="white"/>
          <w:lang w:val="en-GB"/>
        </w:rPr>
        <w:t xml:space="preserve">Zaman </w:t>
      </w:r>
      <w:r w:rsidRPr="00E205B5">
        <w:rPr>
          <w:rFonts w:ascii="Arial" w:hAnsi="Arial" w:cs="Arial"/>
          <w:i/>
          <w:color w:val="222222"/>
          <w:sz w:val="22"/>
          <w:szCs w:val="22"/>
          <w:highlight w:val="white"/>
          <w:lang w:val="en-GB"/>
        </w:rPr>
        <w:t xml:space="preserve">et al., </w:t>
      </w:r>
      <w:r w:rsidRPr="00E205B5">
        <w:rPr>
          <w:rFonts w:ascii="Arial" w:hAnsi="Arial" w:cs="Arial"/>
          <w:color w:val="222222"/>
          <w:sz w:val="22"/>
          <w:szCs w:val="22"/>
          <w:highlight w:val="white"/>
          <w:lang w:val="en-GB"/>
        </w:rPr>
        <w:t>2022</w:t>
      </w:r>
      <w:r w:rsidRPr="00E205B5">
        <w:rPr>
          <w:rFonts w:ascii="Arial" w:hAnsi="Arial" w:cs="Arial"/>
          <w:sz w:val="22"/>
          <w:szCs w:val="22"/>
          <w:lang w:val="en-GB"/>
        </w:rPr>
        <w:t xml:space="preserve">). It will also play a major role in improving the brand image as most of the customers are conscious towards environmental sustainability. It will also allow the company to have easier access to the capital. It will also improve the loyalty of the customers as the customers tend to stand </w:t>
      </w:r>
      <w:r w:rsidRPr="00E205B5">
        <w:rPr>
          <w:rFonts w:ascii="Arial" w:hAnsi="Arial" w:cs="Arial"/>
          <w:sz w:val="22"/>
          <w:szCs w:val="22"/>
          <w:lang w:val="en-GB"/>
        </w:rPr>
        <w:lastRenderedPageBreak/>
        <w:t xml:space="preserve">with the company that is conscious towards the environment. The company also has the major focus on having the net-zero by the end of the year 2050 and the CSR will play a major role in improving the chances for achieving it and also gain competitive advantage (He and Harris, 2020).     </w:t>
      </w:r>
    </w:p>
    <w:p w14:paraId="781ABA26" w14:textId="77777777" w:rsidR="00F85367" w:rsidRPr="00E205B5" w:rsidRDefault="00F85367">
      <w:pPr>
        <w:pStyle w:val="Normal1"/>
        <w:rPr>
          <w:rFonts w:ascii="Arial" w:hAnsi="Arial" w:cs="Arial"/>
          <w:sz w:val="22"/>
          <w:szCs w:val="22"/>
          <w:lang w:val="en-GB"/>
        </w:rPr>
      </w:pPr>
    </w:p>
    <w:p w14:paraId="781ABA27" w14:textId="77777777" w:rsidR="00F85367" w:rsidRPr="00E205B5" w:rsidRDefault="009B738B">
      <w:pPr>
        <w:pStyle w:val="Normal1"/>
        <w:rPr>
          <w:rFonts w:ascii="Arial" w:hAnsi="Arial" w:cs="Arial"/>
          <w:b/>
          <w:sz w:val="22"/>
          <w:szCs w:val="22"/>
          <w:lang w:val="en-GB"/>
        </w:rPr>
      </w:pPr>
      <w:r w:rsidRPr="00E205B5">
        <w:rPr>
          <w:rFonts w:ascii="Arial" w:hAnsi="Arial" w:cs="Arial"/>
          <w:sz w:val="22"/>
          <w:szCs w:val="22"/>
          <w:lang w:val="en-GB"/>
        </w:rPr>
        <w:br w:type="page"/>
      </w:r>
    </w:p>
    <w:p w14:paraId="781ABA28" w14:textId="77777777" w:rsidR="00F85367" w:rsidRPr="00E205B5" w:rsidRDefault="009B738B">
      <w:pPr>
        <w:pStyle w:val="Heading1"/>
        <w:rPr>
          <w:rFonts w:ascii="Arial" w:hAnsi="Arial" w:cs="Arial"/>
          <w:sz w:val="22"/>
          <w:szCs w:val="22"/>
          <w:lang w:val="en-GB"/>
        </w:rPr>
      </w:pPr>
      <w:bookmarkStart w:id="4" w:name="_cn35lh6kk5vs" w:colFirst="0" w:colLast="0"/>
      <w:bookmarkStart w:id="5" w:name="_Toc99799586"/>
      <w:bookmarkEnd w:id="4"/>
      <w:r w:rsidRPr="00E205B5">
        <w:rPr>
          <w:rFonts w:ascii="Arial" w:hAnsi="Arial" w:cs="Arial"/>
          <w:sz w:val="22"/>
          <w:szCs w:val="22"/>
          <w:lang w:val="en-GB"/>
        </w:rPr>
        <w:lastRenderedPageBreak/>
        <w:t>Conclusion</w:t>
      </w:r>
      <w:bookmarkEnd w:id="5"/>
    </w:p>
    <w:p w14:paraId="781ABA29" w14:textId="77777777" w:rsidR="00F85367" w:rsidRPr="00E205B5" w:rsidRDefault="009B738B">
      <w:pPr>
        <w:pStyle w:val="Normal1"/>
        <w:rPr>
          <w:rFonts w:ascii="Arial" w:hAnsi="Arial" w:cs="Arial"/>
          <w:sz w:val="22"/>
          <w:szCs w:val="22"/>
          <w:lang w:val="en-GB"/>
        </w:rPr>
      </w:pPr>
      <w:r w:rsidRPr="00E205B5">
        <w:rPr>
          <w:rFonts w:ascii="Arial" w:hAnsi="Arial" w:cs="Arial"/>
          <w:sz w:val="22"/>
          <w:szCs w:val="22"/>
          <w:lang w:val="en-GB"/>
        </w:rPr>
        <w:t xml:space="preserve">Based on the analysis made in the study, it can be concluded that BP uses a number of strategies for organisational development. While making the strategies for the company it is also made sure that the company focuses on maintaining sustainability. It has also been found in the study that the company has been severely impacted by Brexit and Covid-19. Even If the company has faced a severe impact of the Covid-19 and Brexit, BP has not made any changes to the strategies that are set by the company. It has also been found in the study that strategies and approaches that are undertaken by BP </w:t>
      </w:r>
      <w:r w:rsidR="00D10AAC" w:rsidRPr="00E205B5">
        <w:rPr>
          <w:rFonts w:ascii="Arial" w:hAnsi="Arial" w:cs="Arial"/>
          <w:sz w:val="22"/>
          <w:szCs w:val="22"/>
          <w:lang w:val="en-GB"/>
        </w:rPr>
        <w:t>align</w:t>
      </w:r>
      <w:r w:rsidRPr="00E205B5">
        <w:rPr>
          <w:rFonts w:ascii="Arial" w:hAnsi="Arial" w:cs="Arial"/>
          <w:sz w:val="22"/>
          <w:szCs w:val="22"/>
          <w:lang w:val="en-GB"/>
        </w:rPr>
        <w:t xml:space="preserve"> with sustainability and the focus is made for reducing the environmental impact. Moreover, the company also utilises its resources and capabilities in such a manner that it perfectly aligns with the sustainability strategies of the company.        </w:t>
      </w:r>
    </w:p>
    <w:p w14:paraId="781ABA2A" w14:textId="77777777" w:rsidR="00F85367" w:rsidRPr="00E205B5" w:rsidRDefault="009B738B">
      <w:pPr>
        <w:pStyle w:val="Normal1"/>
        <w:rPr>
          <w:rFonts w:ascii="Arial" w:hAnsi="Arial" w:cs="Arial"/>
          <w:b/>
          <w:sz w:val="22"/>
          <w:szCs w:val="22"/>
          <w:lang w:val="en-GB"/>
        </w:rPr>
      </w:pPr>
      <w:r w:rsidRPr="00E205B5">
        <w:rPr>
          <w:rFonts w:ascii="Arial" w:hAnsi="Arial" w:cs="Arial"/>
          <w:sz w:val="22"/>
          <w:szCs w:val="22"/>
          <w:lang w:val="en-GB"/>
        </w:rPr>
        <w:br w:type="page"/>
      </w:r>
    </w:p>
    <w:p w14:paraId="781ABA2B" w14:textId="77777777" w:rsidR="00F85367" w:rsidRPr="00E205B5" w:rsidRDefault="009B738B">
      <w:pPr>
        <w:pStyle w:val="Heading1"/>
        <w:rPr>
          <w:rFonts w:ascii="Arial" w:hAnsi="Arial" w:cs="Arial"/>
          <w:sz w:val="22"/>
          <w:szCs w:val="22"/>
          <w:lang w:val="en-GB"/>
        </w:rPr>
      </w:pPr>
      <w:bookmarkStart w:id="6" w:name="_awht7b10zy23" w:colFirst="0" w:colLast="0"/>
      <w:bookmarkStart w:id="7" w:name="_Toc99799587"/>
      <w:bookmarkEnd w:id="6"/>
      <w:r w:rsidRPr="00E205B5">
        <w:rPr>
          <w:rFonts w:ascii="Arial" w:hAnsi="Arial" w:cs="Arial"/>
          <w:sz w:val="22"/>
          <w:szCs w:val="22"/>
          <w:lang w:val="en-GB"/>
        </w:rPr>
        <w:lastRenderedPageBreak/>
        <w:t>References</w:t>
      </w:r>
      <w:bookmarkEnd w:id="7"/>
    </w:p>
    <w:p w14:paraId="781ABA2C" w14:textId="77777777" w:rsidR="006C2DAC" w:rsidRPr="00E205B5" w:rsidRDefault="006C2DAC" w:rsidP="006C2DAC">
      <w:pPr>
        <w:pStyle w:val="Normal1"/>
        <w:rPr>
          <w:rFonts w:ascii="Arial" w:hAnsi="Arial" w:cs="Arial"/>
          <w:sz w:val="22"/>
          <w:szCs w:val="22"/>
          <w:lang w:val="en-GB"/>
        </w:rPr>
      </w:pPr>
    </w:p>
    <w:p w14:paraId="781ABA2D" w14:textId="77777777" w:rsidR="006C2DAC" w:rsidRPr="00E205B5" w:rsidRDefault="006C2DAC" w:rsidP="006C2DAC">
      <w:pPr>
        <w:pStyle w:val="Normal1"/>
        <w:rPr>
          <w:rFonts w:ascii="Arial" w:hAnsi="Arial" w:cs="Arial"/>
          <w:sz w:val="22"/>
          <w:szCs w:val="22"/>
          <w:lang w:val="en-GB"/>
        </w:rPr>
      </w:pPr>
      <w:r w:rsidRPr="00E205B5">
        <w:rPr>
          <w:rFonts w:ascii="Arial" w:hAnsi="Arial" w:cs="Arial"/>
          <w:color w:val="222222"/>
          <w:sz w:val="22"/>
          <w:szCs w:val="22"/>
          <w:highlight w:val="white"/>
          <w:lang w:val="en-GB"/>
        </w:rPr>
        <w:t xml:space="preserve">Abdul-Salam, Y., 2019. </w:t>
      </w:r>
      <w:r w:rsidRPr="00E205B5">
        <w:rPr>
          <w:rFonts w:ascii="Arial" w:hAnsi="Arial" w:cs="Arial"/>
          <w:i/>
          <w:sz w:val="22"/>
          <w:szCs w:val="22"/>
          <w:lang w:val="en-GB"/>
        </w:rPr>
        <w:t>Evaluating the Impact of Brexit on Natural Gas Trade between the UK and the EU: A Spatial Equilibrium Analysis</w:t>
      </w:r>
      <w:r w:rsidRPr="00E205B5">
        <w:rPr>
          <w:rFonts w:ascii="Arial" w:hAnsi="Arial" w:cs="Arial"/>
          <w:sz w:val="22"/>
          <w:szCs w:val="22"/>
          <w:lang w:val="en-GB"/>
        </w:rPr>
        <w:t xml:space="preserve"> (No. 008). Centre for Energy Economics Research and Policy, Heriot-Watt University.</w:t>
      </w:r>
    </w:p>
    <w:p w14:paraId="781ABA2E" w14:textId="77777777" w:rsidR="006C2DAC" w:rsidRPr="00E205B5" w:rsidRDefault="006C2DAC" w:rsidP="006C2DAC">
      <w:pPr>
        <w:pStyle w:val="Normal1"/>
        <w:rPr>
          <w:rFonts w:ascii="Arial" w:hAnsi="Arial" w:cs="Arial"/>
          <w:sz w:val="22"/>
          <w:szCs w:val="22"/>
          <w:lang w:val="en-GB"/>
        </w:rPr>
      </w:pPr>
      <w:r w:rsidRPr="00E205B5">
        <w:rPr>
          <w:rFonts w:ascii="Arial" w:hAnsi="Arial" w:cs="Arial"/>
          <w:sz w:val="22"/>
          <w:szCs w:val="22"/>
          <w:highlight w:val="white"/>
          <w:lang w:val="en-GB"/>
        </w:rPr>
        <w:t xml:space="preserve">BBC News, 2022. </w:t>
      </w:r>
      <w:r w:rsidRPr="00E205B5">
        <w:rPr>
          <w:rFonts w:ascii="Arial" w:hAnsi="Arial" w:cs="Arial"/>
          <w:i/>
          <w:sz w:val="22"/>
          <w:szCs w:val="22"/>
          <w:lang w:val="en-GB"/>
        </w:rPr>
        <w:t>Brexit: The economic impact a year on</w:t>
      </w:r>
      <w:r w:rsidRPr="00E205B5">
        <w:rPr>
          <w:rFonts w:ascii="Arial" w:hAnsi="Arial" w:cs="Arial"/>
          <w:sz w:val="22"/>
          <w:szCs w:val="22"/>
          <w:lang w:val="en-GB"/>
        </w:rPr>
        <w:t>. [online] Available at: &lt;</w:t>
      </w:r>
      <w:hyperlink r:id="rId8">
        <w:r w:rsidRPr="00E205B5">
          <w:rPr>
            <w:rFonts w:ascii="Arial" w:hAnsi="Arial" w:cs="Arial"/>
            <w:color w:val="1155CC"/>
            <w:sz w:val="22"/>
            <w:szCs w:val="22"/>
            <w:u w:val="single"/>
            <w:lang w:val="en-GB"/>
          </w:rPr>
          <w:t>https://www.bbc.com/news/uk-scotland-scotland-business-59741804</w:t>
        </w:r>
      </w:hyperlink>
      <w:r w:rsidRPr="00E205B5">
        <w:rPr>
          <w:rFonts w:ascii="Arial" w:hAnsi="Arial" w:cs="Arial"/>
          <w:sz w:val="22"/>
          <w:szCs w:val="22"/>
          <w:lang w:val="en-GB"/>
        </w:rPr>
        <w:t>&gt; [Accessed 2 April 2022].</w:t>
      </w:r>
    </w:p>
    <w:p w14:paraId="781ABA2F" w14:textId="77777777" w:rsidR="006C2DAC" w:rsidRPr="00E205B5" w:rsidRDefault="006C2DAC" w:rsidP="006C2DAC">
      <w:pPr>
        <w:pStyle w:val="Normal1"/>
        <w:rPr>
          <w:rFonts w:ascii="Arial" w:hAnsi="Arial" w:cs="Arial"/>
          <w:sz w:val="22"/>
          <w:szCs w:val="22"/>
          <w:lang w:val="en-GB"/>
        </w:rPr>
      </w:pPr>
      <w:r w:rsidRPr="00E205B5">
        <w:rPr>
          <w:rFonts w:ascii="Arial" w:hAnsi="Arial" w:cs="Arial"/>
          <w:sz w:val="22"/>
          <w:szCs w:val="22"/>
          <w:highlight w:val="white"/>
          <w:lang w:val="en-GB"/>
        </w:rPr>
        <w:t xml:space="preserve">BBC News, 2022. </w:t>
      </w:r>
      <w:r w:rsidRPr="00E205B5">
        <w:rPr>
          <w:rFonts w:ascii="Arial" w:hAnsi="Arial" w:cs="Arial"/>
          <w:i/>
          <w:sz w:val="22"/>
          <w:szCs w:val="22"/>
          <w:lang w:val="en-GB"/>
        </w:rPr>
        <w:t>Sustainability the key to long-term corporate health</w:t>
      </w:r>
      <w:r w:rsidRPr="00E205B5">
        <w:rPr>
          <w:rFonts w:ascii="Arial" w:hAnsi="Arial" w:cs="Arial"/>
          <w:sz w:val="22"/>
          <w:szCs w:val="22"/>
          <w:lang w:val="en-GB"/>
        </w:rPr>
        <w:t>. [online] Available at: &lt;</w:t>
      </w:r>
      <w:hyperlink r:id="rId9">
        <w:r w:rsidRPr="00E205B5">
          <w:rPr>
            <w:rFonts w:ascii="Arial" w:hAnsi="Arial" w:cs="Arial"/>
            <w:color w:val="1155CC"/>
            <w:sz w:val="22"/>
            <w:szCs w:val="22"/>
            <w:u w:val="single"/>
            <w:lang w:val="en-GB"/>
          </w:rPr>
          <w:t>https://www.bbc.com/news/business-35430228</w:t>
        </w:r>
      </w:hyperlink>
      <w:r w:rsidRPr="00E205B5">
        <w:rPr>
          <w:rFonts w:ascii="Arial" w:hAnsi="Arial" w:cs="Arial"/>
          <w:sz w:val="22"/>
          <w:szCs w:val="22"/>
          <w:lang w:val="en-GB"/>
        </w:rPr>
        <w:t>&gt; [Accessed 2 April 2022].</w:t>
      </w:r>
    </w:p>
    <w:p w14:paraId="781ABA30" w14:textId="77777777" w:rsidR="006C2DAC" w:rsidRPr="00E205B5" w:rsidRDefault="006C2DAC" w:rsidP="006C2DAC">
      <w:pPr>
        <w:pStyle w:val="Normal1"/>
        <w:rPr>
          <w:rFonts w:ascii="Arial" w:hAnsi="Arial" w:cs="Arial"/>
          <w:sz w:val="22"/>
          <w:szCs w:val="22"/>
          <w:lang w:val="en-GB"/>
        </w:rPr>
      </w:pPr>
      <w:r w:rsidRPr="00E205B5">
        <w:rPr>
          <w:rFonts w:ascii="Arial" w:hAnsi="Arial" w:cs="Arial"/>
          <w:color w:val="222222"/>
          <w:sz w:val="22"/>
          <w:szCs w:val="22"/>
          <w:highlight w:val="white"/>
          <w:lang w:val="en-GB"/>
        </w:rPr>
        <w:t xml:space="preserve">Capobianco, N., Basile, V., </w:t>
      </w:r>
      <w:proofErr w:type="spellStart"/>
      <w:r w:rsidRPr="00E205B5">
        <w:rPr>
          <w:rFonts w:ascii="Arial" w:hAnsi="Arial" w:cs="Arial"/>
          <w:color w:val="222222"/>
          <w:sz w:val="22"/>
          <w:szCs w:val="22"/>
          <w:highlight w:val="white"/>
          <w:lang w:val="en-GB"/>
        </w:rPr>
        <w:t>Loia</w:t>
      </w:r>
      <w:proofErr w:type="spellEnd"/>
      <w:r w:rsidRPr="00E205B5">
        <w:rPr>
          <w:rFonts w:ascii="Arial" w:hAnsi="Arial" w:cs="Arial"/>
          <w:color w:val="222222"/>
          <w:sz w:val="22"/>
          <w:szCs w:val="22"/>
          <w:highlight w:val="white"/>
          <w:lang w:val="en-GB"/>
        </w:rPr>
        <w:t xml:space="preserve">, F. and </w:t>
      </w:r>
      <w:proofErr w:type="spellStart"/>
      <w:r w:rsidRPr="00E205B5">
        <w:rPr>
          <w:rFonts w:ascii="Arial" w:hAnsi="Arial" w:cs="Arial"/>
          <w:color w:val="222222"/>
          <w:sz w:val="22"/>
          <w:szCs w:val="22"/>
          <w:highlight w:val="white"/>
          <w:lang w:val="en-GB"/>
        </w:rPr>
        <w:t>Vona</w:t>
      </w:r>
      <w:proofErr w:type="spellEnd"/>
      <w:r w:rsidRPr="00E205B5">
        <w:rPr>
          <w:rFonts w:ascii="Arial" w:hAnsi="Arial" w:cs="Arial"/>
          <w:color w:val="222222"/>
          <w:sz w:val="22"/>
          <w:szCs w:val="22"/>
          <w:highlight w:val="white"/>
          <w:lang w:val="en-GB"/>
        </w:rPr>
        <w:t xml:space="preserve">, R., 2021. Toward a Sustainable Decommissioning of Offshore Platforms in the Oil and Gas Industry: A PESTLE Analysis. </w:t>
      </w:r>
      <w:r w:rsidRPr="00E205B5">
        <w:rPr>
          <w:rFonts w:ascii="Arial" w:hAnsi="Arial" w:cs="Arial"/>
          <w:i/>
          <w:sz w:val="22"/>
          <w:szCs w:val="22"/>
          <w:lang w:val="en-GB"/>
        </w:rPr>
        <w:t>Sustainability</w:t>
      </w:r>
      <w:r w:rsidRPr="00E205B5">
        <w:rPr>
          <w:rFonts w:ascii="Arial" w:hAnsi="Arial" w:cs="Arial"/>
          <w:sz w:val="22"/>
          <w:szCs w:val="22"/>
          <w:lang w:val="en-GB"/>
        </w:rPr>
        <w:t xml:space="preserve">, </w:t>
      </w:r>
      <w:r w:rsidRPr="00E205B5">
        <w:rPr>
          <w:rFonts w:ascii="Arial" w:hAnsi="Arial" w:cs="Arial"/>
          <w:i/>
          <w:sz w:val="22"/>
          <w:szCs w:val="22"/>
          <w:lang w:val="en-GB"/>
        </w:rPr>
        <w:t>13</w:t>
      </w:r>
      <w:r w:rsidRPr="00E205B5">
        <w:rPr>
          <w:rFonts w:ascii="Arial" w:hAnsi="Arial" w:cs="Arial"/>
          <w:sz w:val="22"/>
          <w:szCs w:val="22"/>
          <w:lang w:val="en-GB"/>
        </w:rPr>
        <w:t>(11), p.6266.</w:t>
      </w:r>
    </w:p>
    <w:p w14:paraId="781ABA31" w14:textId="77777777" w:rsidR="006C2DAC" w:rsidRPr="00E205B5" w:rsidRDefault="006C2DAC" w:rsidP="006C2DAC">
      <w:pPr>
        <w:pStyle w:val="Normal1"/>
        <w:rPr>
          <w:rFonts w:ascii="Arial" w:hAnsi="Arial" w:cs="Arial"/>
          <w:sz w:val="22"/>
          <w:szCs w:val="22"/>
          <w:lang w:val="en-GB"/>
        </w:rPr>
      </w:pPr>
      <w:r w:rsidRPr="00E205B5">
        <w:rPr>
          <w:rFonts w:ascii="Arial" w:hAnsi="Arial" w:cs="Arial"/>
          <w:sz w:val="22"/>
          <w:szCs w:val="22"/>
          <w:highlight w:val="white"/>
          <w:lang w:val="en-GB"/>
        </w:rPr>
        <w:t xml:space="preserve">Ceil, C., 2019. Strategic Report on British Petroleum. </w:t>
      </w:r>
      <w:r w:rsidRPr="00E205B5">
        <w:rPr>
          <w:rFonts w:ascii="Arial" w:hAnsi="Arial" w:cs="Arial"/>
          <w:i/>
          <w:sz w:val="22"/>
          <w:szCs w:val="22"/>
          <w:lang w:val="en-GB"/>
        </w:rPr>
        <w:t>SSRN Electronic Journal</w:t>
      </w:r>
      <w:r w:rsidRPr="00E205B5">
        <w:rPr>
          <w:rFonts w:ascii="Arial" w:hAnsi="Arial" w:cs="Arial"/>
          <w:sz w:val="22"/>
          <w:szCs w:val="22"/>
          <w:lang w:val="en-GB"/>
        </w:rPr>
        <w:t>,.</w:t>
      </w:r>
    </w:p>
    <w:p w14:paraId="781ABA32" w14:textId="77777777" w:rsidR="006C2DAC" w:rsidRPr="00E205B5" w:rsidRDefault="006C2DAC" w:rsidP="006C2DAC">
      <w:pPr>
        <w:pStyle w:val="Normal1"/>
        <w:jc w:val="left"/>
        <w:rPr>
          <w:rFonts w:ascii="Arial" w:hAnsi="Arial" w:cs="Arial"/>
          <w:sz w:val="22"/>
          <w:szCs w:val="22"/>
          <w:lang w:val="en-GB"/>
        </w:rPr>
      </w:pPr>
      <w:r w:rsidRPr="00E205B5">
        <w:rPr>
          <w:rFonts w:ascii="Arial" w:hAnsi="Arial" w:cs="Arial"/>
          <w:color w:val="222222"/>
          <w:sz w:val="22"/>
          <w:szCs w:val="22"/>
          <w:highlight w:val="white"/>
          <w:lang w:val="en-GB"/>
        </w:rPr>
        <w:t xml:space="preserve">García-Sánchez, I.M. and García-Sánchez, A., 2020. Corporate social responsibility during COVID-19 pandemic. </w:t>
      </w:r>
      <w:r w:rsidRPr="00E205B5">
        <w:rPr>
          <w:rFonts w:ascii="Arial" w:hAnsi="Arial" w:cs="Arial"/>
          <w:i/>
          <w:sz w:val="22"/>
          <w:szCs w:val="22"/>
          <w:lang w:val="en-GB"/>
        </w:rPr>
        <w:t>Journal of Open Innovation: Technology, Market, and Complexity</w:t>
      </w:r>
      <w:r w:rsidRPr="00E205B5">
        <w:rPr>
          <w:rFonts w:ascii="Arial" w:hAnsi="Arial" w:cs="Arial"/>
          <w:sz w:val="22"/>
          <w:szCs w:val="22"/>
          <w:lang w:val="en-GB"/>
        </w:rPr>
        <w:t xml:space="preserve">, </w:t>
      </w:r>
      <w:r w:rsidRPr="00E205B5">
        <w:rPr>
          <w:rFonts w:ascii="Arial" w:hAnsi="Arial" w:cs="Arial"/>
          <w:i/>
          <w:sz w:val="22"/>
          <w:szCs w:val="22"/>
          <w:lang w:val="en-GB"/>
        </w:rPr>
        <w:t>6</w:t>
      </w:r>
      <w:r w:rsidRPr="00E205B5">
        <w:rPr>
          <w:rFonts w:ascii="Arial" w:hAnsi="Arial" w:cs="Arial"/>
          <w:sz w:val="22"/>
          <w:szCs w:val="22"/>
          <w:lang w:val="en-GB"/>
        </w:rPr>
        <w:t>(4), p.126.</w:t>
      </w:r>
    </w:p>
    <w:p w14:paraId="781ABA33" w14:textId="77777777" w:rsidR="006C2DAC" w:rsidRPr="00E205B5" w:rsidRDefault="006C2DAC" w:rsidP="006C2DAC">
      <w:pPr>
        <w:pStyle w:val="Normal1"/>
        <w:rPr>
          <w:rFonts w:ascii="Arial" w:hAnsi="Arial" w:cs="Arial"/>
          <w:sz w:val="22"/>
          <w:szCs w:val="22"/>
          <w:lang w:val="en-GB"/>
        </w:rPr>
      </w:pPr>
      <w:r w:rsidRPr="00E205B5">
        <w:rPr>
          <w:rFonts w:ascii="Arial" w:hAnsi="Arial" w:cs="Arial"/>
          <w:color w:val="222222"/>
          <w:sz w:val="22"/>
          <w:szCs w:val="22"/>
          <w:highlight w:val="white"/>
          <w:lang w:val="en-GB"/>
        </w:rPr>
        <w:t xml:space="preserve">Haugen, J., 2019. </w:t>
      </w:r>
      <w:r w:rsidRPr="00E205B5">
        <w:rPr>
          <w:rFonts w:ascii="Arial" w:hAnsi="Arial" w:cs="Arial"/>
          <w:i/>
          <w:sz w:val="22"/>
          <w:szCs w:val="22"/>
          <w:lang w:val="en-GB"/>
        </w:rPr>
        <w:t>Rebranding of Equinor: transition into a global energy company</w:t>
      </w:r>
      <w:r w:rsidRPr="00E205B5">
        <w:rPr>
          <w:rFonts w:ascii="Arial" w:hAnsi="Arial" w:cs="Arial"/>
          <w:sz w:val="22"/>
          <w:szCs w:val="22"/>
          <w:lang w:val="en-GB"/>
        </w:rPr>
        <w:t xml:space="preserve"> (Master's thesis, Nord </w:t>
      </w:r>
      <w:proofErr w:type="spellStart"/>
      <w:r w:rsidRPr="00E205B5">
        <w:rPr>
          <w:rFonts w:ascii="Arial" w:hAnsi="Arial" w:cs="Arial"/>
          <w:sz w:val="22"/>
          <w:szCs w:val="22"/>
          <w:lang w:val="en-GB"/>
        </w:rPr>
        <w:t>universitet</w:t>
      </w:r>
      <w:proofErr w:type="spellEnd"/>
      <w:r w:rsidRPr="00E205B5">
        <w:rPr>
          <w:rFonts w:ascii="Arial" w:hAnsi="Arial" w:cs="Arial"/>
          <w:sz w:val="22"/>
          <w:szCs w:val="22"/>
          <w:lang w:val="en-GB"/>
        </w:rPr>
        <w:t>).</w:t>
      </w:r>
    </w:p>
    <w:p w14:paraId="781ABA34" w14:textId="77777777" w:rsidR="006C2DAC" w:rsidRPr="00E205B5" w:rsidRDefault="006C2DAC" w:rsidP="006C2DAC">
      <w:pPr>
        <w:pStyle w:val="Normal1"/>
        <w:rPr>
          <w:rFonts w:ascii="Arial" w:hAnsi="Arial" w:cs="Arial"/>
          <w:sz w:val="22"/>
          <w:szCs w:val="22"/>
          <w:lang w:val="en-GB"/>
        </w:rPr>
      </w:pPr>
      <w:r w:rsidRPr="00E205B5">
        <w:rPr>
          <w:rFonts w:ascii="Arial" w:hAnsi="Arial" w:cs="Arial"/>
          <w:color w:val="222222"/>
          <w:sz w:val="22"/>
          <w:szCs w:val="22"/>
          <w:highlight w:val="white"/>
          <w:lang w:val="en-GB"/>
        </w:rPr>
        <w:t xml:space="preserve">He, H. and Harris, L., 2020. The impact of Covid-19 pandemic on corporate social responsibility and marketing philosophy. </w:t>
      </w:r>
      <w:r w:rsidRPr="00E205B5">
        <w:rPr>
          <w:rFonts w:ascii="Arial" w:hAnsi="Arial" w:cs="Arial"/>
          <w:i/>
          <w:sz w:val="22"/>
          <w:szCs w:val="22"/>
          <w:lang w:val="en-GB"/>
        </w:rPr>
        <w:t>Journal of business research</w:t>
      </w:r>
      <w:r w:rsidRPr="00E205B5">
        <w:rPr>
          <w:rFonts w:ascii="Arial" w:hAnsi="Arial" w:cs="Arial"/>
          <w:sz w:val="22"/>
          <w:szCs w:val="22"/>
          <w:lang w:val="en-GB"/>
        </w:rPr>
        <w:t xml:space="preserve">, </w:t>
      </w:r>
      <w:r w:rsidRPr="00E205B5">
        <w:rPr>
          <w:rFonts w:ascii="Arial" w:hAnsi="Arial" w:cs="Arial"/>
          <w:i/>
          <w:sz w:val="22"/>
          <w:szCs w:val="22"/>
          <w:lang w:val="en-GB"/>
        </w:rPr>
        <w:t>116</w:t>
      </w:r>
      <w:r w:rsidRPr="00E205B5">
        <w:rPr>
          <w:rFonts w:ascii="Arial" w:hAnsi="Arial" w:cs="Arial"/>
          <w:sz w:val="22"/>
          <w:szCs w:val="22"/>
          <w:lang w:val="en-GB"/>
        </w:rPr>
        <w:t>, pp.176-182.</w:t>
      </w:r>
    </w:p>
    <w:p w14:paraId="781ABA35" w14:textId="77777777" w:rsidR="006C2DAC" w:rsidRPr="00E205B5" w:rsidRDefault="006C2DAC" w:rsidP="006C2DAC">
      <w:pPr>
        <w:pStyle w:val="Normal1"/>
        <w:rPr>
          <w:rFonts w:ascii="Arial" w:hAnsi="Arial" w:cs="Arial"/>
          <w:sz w:val="22"/>
          <w:szCs w:val="22"/>
          <w:lang w:val="en-GB"/>
        </w:rPr>
      </w:pPr>
      <w:proofErr w:type="spellStart"/>
      <w:r w:rsidRPr="00E205B5">
        <w:rPr>
          <w:rFonts w:ascii="Arial" w:hAnsi="Arial" w:cs="Arial"/>
          <w:sz w:val="22"/>
          <w:szCs w:val="22"/>
          <w:highlight w:val="white"/>
          <w:lang w:val="en-GB"/>
        </w:rPr>
        <w:t>Hubbe</w:t>
      </w:r>
      <w:proofErr w:type="spellEnd"/>
      <w:r w:rsidRPr="00E205B5">
        <w:rPr>
          <w:rFonts w:ascii="Arial" w:hAnsi="Arial" w:cs="Arial"/>
          <w:sz w:val="22"/>
          <w:szCs w:val="22"/>
          <w:highlight w:val="white"/>
          <w:lang w:val="en-GB"/>
        </w:rPr>
        <w:t xml:space="preserve">, A. and </w:t>
      </w:r>
      <w:proofErr w:type="spellStart"/>
      <w:r w:rsidRPr="00E205B5">
        <w:rPr>
          <w:rFonts w:ascii="Arial" w:hAnsi="Arial" w:cs="Arial"/>
          <w:sz w:val="22"/>
          <w:szCs w:val="22"/>
          <w:highlight w:val="white"/>
          <w:lang w:val="en-GB"/>
        </w:rPr>
        <w:t>Hubbe</w:t>
      </w:r>
      <w:proofErr w:type="spellEnd"/>
      <w:r w:rsidRPr="00E205B5">
        <w:rPr>
          <w:rFonts w:ascii="Arial" w:hAnsi="Arial" w:cs="Arial"/>
          <w:sz w:val="22"/>
          <w:szCs w:val="22"/>
          <w:highlight w:val="white"/>
          <w:lang w:val="en-GB"/>
        </w:rPr>
        <w:t xml:space="preserve">, M., 2019. Current Climate Change and the Future of Life on the Planet. </w:t>
      </w:r>
      <w:r w:rsidRPr="00E205B5">
        <w:rPr>
          <w:rFonts w:ascii="Arial" w:hAnsi="Arial" w:cs="Arial"/>
          <w:i/>
          <w:sz w:val="22"/>
          <w:szCs w:val="22"/>
          <w:lang w:val="en-GB"/>
        </w:rPr>
        <w:t>Frontiers for Young Minds</w:t>
      </w:r>
      <w:r w:rsidRPr="00E205B5">
        <w:rPr>
          <w:rFonts w:ascii="Arial" w:hAnsi="Arial" w:cs="Arial"/>
          <w:sz w:val="22"/>
          <w:szCs w:val="22"/>
          <w:lang w:val="en-GB"/>
        </w:rPr>
        <w:t>, 7.</w:t>
      </w:r>
    </w:p>
    <w:p w14:paraId="781ABA36" w14:textId="77777777" w:rsidR="006C2DAC" w:rsidRPr="00E205B5" w:rsidRDefault="006C2DAC" w:rsidP="006C2DAC">
      <w:pPr>
        <w:pStyle w:val="Normal1"/>
        <w:rPr>
          <w:rFonts w:ascii="Arial" w:hAnsi="Arial" w:cs="Arial"/>
          <w:color w:val="222222"/>
          <w:sz w:val="22"/>
          <w:szCs w:val="22"/>
          <w:highlight w:val="white"/>
          <w:lang w:val="en-GB"/>
        </w:rPr>
      </w:pPr>
      <w:proofErr w:type="spellStart"/>
      <w:r w:rsidRPr="00E205B5">
        <w:rPr>
          <w:rFonts w:ascii="Arial" w:hAnsi="Arial" w:cs="Arial"/>
          <w:color w:val="222222"/>
          <w:sz w:val="22"/>
          <w:szCs w:val="22"/>
          <w:highlight w:val="white"/>
          <w:lang w:val="en-GB"/>
        </w:rPr>
        <w:t>Kinneging</w:t>
      </w:r>
      <w:proofErr w:type="spellEnd"/>
      <w:r w:rsidRPr="00E205B5">
        <w:rPr>
          <w:rFonts w:ascii="Arial" w:hAnsi="Arial" w:cs="Arial"/>
          <w:color w:val="222222"/>
          <w:sz w:val="22"/>
          <w:szCs w:val="22"/>
          <w:highlight w:val="white"/>
          <w:lang w:val="en-GB"/>
        </w:rPr>
        <w:t>, J.J., 2020. The impact of Brexit on the Equity Market.</w:t>
      </w:r>
    </w:p>
    <w:p w14:paraId="781ABA37" w14:textId="77777777" w:rsidR="006C2DAC" w:rsidRPr="00E205B5" w:rsidRDefault="006C2DAC" w:rsidP="006C2DAC">
      <w:pPr>
        <w:pStyle w:val="Normal1"/>
        <w:rPr>
          <w:rFonts w:ascii="Arial" w:hAnsi="Arial" w:cs="Arial"/>
          <w:sz w:val="22"/>
          <w:szCs w:val="22"/>
          <w:lang w:val="en-GB"/>
        </w:rPr>
      </w:pPr>
      <w:proofErr w:type="spellStart"/>
      <w:r w:rsidRPr="00E205B5">
        <w:rPr>
          <w:rFonts w:ascii="Arial" w:hAnsi="Arial" w:cs="Arial"/>
          <w:color w:val="222222"/>
          <w:sz w:val="22"/>
          <w:szCs w:val="22"/>
          <w:highlight w:val="white"/>
          <w:lang w:val="en-GB"/>
        </w:rPr>
        <w:t>Latapí</w:t>
      </w:r>
      <w:proofErr w:type="spellEnd"/>
      <w:r w:rsidRPr="00E205B5">
        <w:rPr>
          <w:rFonts w:ascii="Arial" w:hAnsi="Arial" w:cs="Arial"/>
          <w:color w:val="222222"/>
          <w:sz w:val="22"/>
          <w:szCs w:val="22"/>
          <w:highlight w:val="white"/>
          <w:lang w:val="en-GB"/>
        </w:rPr>
        <w:t xml:space="preserve"> </w:t>
      </w:r>
      <w:proofErr w:type="spellStart"/>
      <w:r w:rsidRPr="00E205B5">
        <w:rPr>
          <w:rFonts w:ascii="Arial" w:hAnsi="Arial" w:cs="Arial"/>
          <w:color w:val="222222"/>
          <w:sz w:val="22"/>
          <w:szCs w:val="22"/>
          <w:highlight w:val="white"/>
          <w:lang w:val="en-GB"/>
        </w:rPr>
        <w:t>Agudelo</w:t>
      </w:r>
      <w:proofErr w:type="spellEnd"/>
      <w:r w:rsidRPr="00E205B5">
        <w:rPr>
          <w:rFonts w:ascii="Arial" w:hAnsi="Arial" w:cs="Arial"/>
          <w:color w:val="222222"/>
          <w:sz w:val="22"/>
          <w:szCs w:val="22"/>
          <w:highlight w:val="white"/>
          <w:lang w:val="en-GB"/>
        </w:rPr>
        <w:t xml:space="preserve">, M.A., </w:t>
      </w:r>
      <w:proofErr w:type="spellStart"/>
      <w:r w:rsidRPr="00E205B5">
        <w:rPr>
          <w:rFonts w:ascii="Arial" w:hAnsi="Arial" w:cs="Arial"/>
          <w:color w:val="222222"/>
          <w:sz w:val="22"/>
          <w:szCs w:val="22"/>
          <w:highlight w:val="white"/>
          <w:lang w:val="en-GB"/>
        </w:rPr>
        <w:t>Jóhannsdóttir</w:t>
      </w:r>
      <w:proofErr w:type="spellEnd"/>
      <w:r w:rsidRPr="00E205B5">
        <w:rPr>
          <w:rFonts w:ascii="Arial" w:hAnsi="Arial" w:cs="Arial"/>
          <w:color w:val="222222"/>
          <w:sz w:val="22"/>
          <w:szCs w:val="22"/>
          <w:highlight w:val="white"/>
          <w:lang w:val="en-GB"/>
        </w:rPr>
        <w:t xml:space="preserve">, L. and </w:t>
      </w:r>
      <w:proofErr w:type="spellStart"/>
      <w:r w:rsidRPr="00E205B5">
        <w:rPr>
          <w:rFonts w:ascii="Arial" w:hAnsi="Arial" w:cs="Arial"/>
          <w:color w:val="222222"/>
          <w:sz w:val="22"/>
          <w:szCs w:val="22"/>
          <w:highlight w:val="white"/>
          <w:lang w:val="en-GB"/>
        </w:rPr>
        <w:t>Davídsdóttir</w:t>
      </w:r>
      <w:proofErr w:type="spellEnd"/>
      <w:r w:rsidRPr="00E205B5">
        <w:rPr>
          <w:rFonts w:ascii="Arial" w:hAnsi="Arial" w:cs="Arial"/>
          <w:color w:val="222222"/>
          <w:sz w:val="22"/>
          <w:szCs w:val="22"/>
          <w:highlight w:val="white"/>
          <w:lang w:val="en-GB"/>
        </w:rPr>
        <w:t xml:space="preserve">, B., 2019. A literature review of the history and evolution of corporate social responsibility. </w:t>
      </w:r>
      <w:r w:rsidRPr="00E205B5">
        <w:rPr>
          <w:rFonts w:ascii="Arial" w:hAnsi="Arial" w:cs="Arial"/>
          <w:i/>
          <w:sz w:val="22"/>
          <w:szCs w:val="22"/>
          <w:lang w:val="en-GB"/>
        </w:rPr>
        <w:t>International Journal of Corporate Social Responsibility</w:t>
      </w:r>
      <w:r w:rsidRPr="00E205B5">
        <w:rPr>
          <w:rFonts w:ascii="Arial" w:hAnsi="Arial" w:cs="Arial"/>
          <w:sz w:val="22"/>
          <w:szCs w:val="22"/>
          <w:lang w:val="en-GB"/>
        </w:rPr>
        <w:t xml:space="preserve">, </w:t>
      </w:r>
      <w:r w:rsidRPr="00E205B5">
        <w:rPr>
          <w:rFonts w:ascii="Arial" w:hAnsi="Arial" w:cs="Arial"/>
          <w:i/>
          <w:sz w:val="22"/>
          <w:szCs w:val="22"/>
          <w:lang w:val="en-GB"/>
        </w:rPr>
        <w:t>4</w:t>
      </w:r>
      <w:r w:rsidRPr="00E205B5">
        <w:rPr>
          <w:rFonts w:ascii="Arial" w:hAnsi="Arial" w:cs="Arial"/>
          <w:sz w:val="22"/>
          <w:szCs w:val="22"/>
          <w:lang w:val="en-GB"/>
        </w:rPr>
        <w:t>(1), pp.1-23.</w:t>
      </w:r>
    </w:p>
    <w:p w14:paraId="781ABA38" w14:textId="77777777" w:rsidR="006C2DAC" w:rsidRPr="00E205B5" w:rsidRDefault="006C2DAC" w:rsidP="006C2DAC">
      <w:pPr>
        <w:pStyle w:val="Normal1"/>
        <w:rPr>
          <w:rFonts w:ascii="Arial" w:hAnsi="Arial" w:cs="Arial"/>
          <w:color w:val="222222"/>
          <w:sz w:val="22"/>
          <w:szCs w:val="22"/>
          <w:highlight w:val="white"/>
          <w:lang w:val="en-GB"/>
        </w:rPr>
      </w:pPr>
      <w:proofErr w:type="spellStart"/>
      <w:r w:rsidRPr="00E205B5">
        <w:rPr>
          <w:rFonts w:ascii="Arial" w:hAnsi="Arial" w:cs="Arial"/>
          <w:color w:val="222222"/>
          <w:sz w:val="22"/>
          <w:szCs w:val="22"/>
          <w:highlight w:val="white"/>
          <w:lang w:val="en-GB"/>
        </w:rPr>
        <w:t>Manasse</w:t>
      </w:r>
      <w:proofErr w:type="spellEnd"/>
      <w:r w:rsidRPr="00E205B5">
        <w:rPr>
          <w:rFonts w:ascii="Arial" w:hAnsi="Arial" w:cs="Arial"/>
          <w:color w:val="222222"/>
          <w:sz w:val="22"/>
          <w:szCs w:val="22"/>
          <w:highlight w:val="white"/>
          <w:lang w:val="en-GB"/>
        </w:rPr>
        <w:t xml:space="preserve">, P., </w:t>
      </w:r>
      <w:proofErr w:type="spellStart"/>
      <w:r w:rsidRPr="00E205B5">
        <w:rPr>
          <w:rFonts w:ascii="Arial" w:hAnsi="Arial" w:cs="Arial"/>
          <w:color w:val="222222"/>
          <w:sz w:val="22"/>
          <w:szCs w:val="22"/>
          <w:highlight w:val="white"/>
          <w:lang w:val="en-GB"/>
        </w:rPr>
        <w:t>Moramarco</w:t>
      </w:r>
      <w:proofErr w:type="spellEnd"/>
      <w:r w:rsidRPr="00E205B5">
        <w:rPr>
          <w:rFonts w:ascii="Arial" w:hAnsi="Arial" w:cs="Arial"/>
          <w:color w:val="222222"/>
          <w:sz w:val="22"/>
          <w:szCs w:val="22"/>
          <w:highlight w:val="white"/>
          <w:lang w:val="en-GB"/>
        </w:rPr>
        <w:t xml:space="preserve">, G. and </w:t>
      </w:r>
      <w:proofErr w:type="spellStart"/>
      <w:r w:rsidRPr="00E205B5">
        <w:rPr>
          <w:rFonts w:ascii="Arial" w:hAnsi="Arial" w:cs="Arial"/>
          <w:color w:val="222222"/>
          <w:sz w:val="22"/>
          <w:szCs w:val="22"/>
          <w:highlight w:val="white"/>
          <w:lang w:val="en-GB"/>
        </w:rPr>
        <w:t>Trigilia</w:t>
      </w:r>
      <w:proofErr w:type="spellEnd"/>
      <w:r w:rsidRPr="00E205B5">
        <w:rPr>
          <w:rFonts w:ascii="Arial" w:hAnsi="Arial" w:cs="Arial"/>
          <w:color w:val="222222"/>
          <w:sz w:val="22"/>
          <w:szCs w:val="22"/>
          <w:highlight w:val="white"/>
          <w:lang w:val="en-GB"/>
        </w:rPr>
        <w:t>, G., 2020. Exchange Rates and Political Uncertainty: The Brexit Case.</w:t>
      </w:r>
    </w:p>
    <w:p w14:paraId="781ABA39" w14:textId="77777777" w:rsidR="006C2DAC" w:rsidRPr="00E205B5" w:rsidRDefault="006C2DAC" w:rsidP="006C2DAC">
      <w:pPr>
        <w:pStyle w:val="Normal1"/>
        <w:rPr>
          <w:rFonts w:ascii="Arial" w:hAnsi="Arial" w:cs="Arial"/>
          <w:sz w:val="22"/>
          <w:szCs w:val="22"/>
          <w:lang w:val="en-GB"/>
        </w:rPr>
      </w:pPr>
      <w:r w:rsidRPr="00E205B5">
        <w:rPr>
          <w:rFonts w:ascii="Arial" w:hAnsi="Arial" w:cs="Arial"/>
          <w:color w:val="222222"/>
          <w:sz w:val="22"/>
          <w:szCs w:val="22"/>
          <w:highlight w:val="white"/>
          <w:lang w:val="en-GB"/>
        </w:rPr>
        <w:t xml:space="preserve">Mendes, M.V.I., 2018. The winding road of corporate strategy. </w:t>
      </w:r>
      <w:proofErr w:type="spellStart"/>
      <w:r w:rsidRPr="00E205B5">
        <w:rPr>
          <w:rFonts w:ascii="Arial" w:hAnsi="Arial" w:cs="Arial"/>
          <w:i/>
          <w:sz w:val="22"/>
          <w:szCs w:val="22"/>
          <w:lang w:val="en-GB"/>
        </w:rPr>
        <w:t>Revista</w:t>
      </w:r>
      <w:proofErr w:type="spellEnd"/>
      <w:r w:rsidRPr="00E205B5">
        <w:rPr>
          <w:rFonts w:ascii="Arial" w:hAnsi="Arial" w:cs="Arial"/>
          <w:i/>
          <w:sz w:val="22"/>
          <w:szCs w:val="22"/>
          <w:lang w:val="en-GB"/>
        </w:rPr>
        <w:t xml:space="preserve"> </w:t>
      </w:r>
      <w:proofErr w:type="spellStart"/>
      <w:r w:rsidRPr="00E205B5">
        <w:rPr>
          <w:rFonts w:ascii="Arial" w:hAnsi="Arial" w:cs="Arial"/>
          <w:i/>
          <w:sz w:val="22"/>
          <w:szCs w:val="22"/>
          <w:lang w:val="en-GB"/>
        </w:rPr>
        <w:t>Pensamento</w:t>
      </w:r>
      <w:proofErr w:type="spellEnd"/>
      <w:r w:rsidRPr="00E205B5">
        <w:rPr>
          <w:rFonts w:ascii="Arial" w:hAnsi="Arial" w:cs="Arial"/>
          <w:i/>
          <w:sz w:val="22"/>
          <w:szCs w:val="22"/>
          <w:lang w:val="en-GB"/>
        </w:rPr>
        <w:t xml:space="preserve"> </w:t>
      </w:r>
      <w:proofErr w:type="spellStart"/>
      <w:r w:rsidRPr="00E205B5">
        <w:rPr>
          <w:rFonts w:ascii="Arial" w:hAnsi="Arial" w:cs="Arial"/>
          <w:i/>
          <w:sz w:val="22"/>
          <w:szCs w:val="22"/>
          <w:lang w:val="en-GB"/>
        </w:rPr>
        <w:t>Contemporâneo</w:t>
      </w:r>
      <w:proofErr w:type="spellEnd"/>
      <w:r w:rsidRPr="00E205B5">
        <w:rPr>
          <w:rFonts w:ascii="Arial" w:hAnsi="Arial" w:cs="Arial"/>
          <w:i/>
          <w:sz w:val="22"/>
          <w:szCs w:val="22"/>
          <w:lang w:val="en-GB"/>
        </w:rPr>
        <w:t xml:space="preserve"> </w:t>
      </w:r>
      <w:proofErr w:type="spellStart"/>
      <w:r w:rsidRPr="00E205B5">
        <w:rPr>
          <w:rFonts w:ascii="Arial" w:hAnsi="Arial" w:cs="Arial"/>
          <w:i/>
          <w:sz w:val="22"/>
          <w:szCs w:val="22"/>
          <w:lang w:val="en-GB"/>
        </w:rPr>
        <w:t>em</w:t>
      </w:r>
      <w:proofErr w:type="spellEnd"/>
      <w:r w:rsidRPr="00E205B5">
        <w:rPr>
          <w:rFonts w:ascii="Arial" w:hAnsi="Arial" w:cs="Arial"/>
          <w:i/>
          <w:sz w:val="22"/>
          <w:szCs w:val="22"/>
          <w:lang w:val="en-GB"/>
        </w:rPr>
        <w:t xml:space="preserve"> </w:t>
      </w:r>
      <w:proofErr w:type="spellStart"/>
      <w:r w:rsidRPr="00E205B5">
        <w:rPr>
          <w:rFonts w:ascii="Arial" w:hAnsi="Arial" w:cs="Arial"/>
          <w:i/>
          <w:sz w:val="22"/>
          <w:szCs w:val="22"/>
          <w:lang w:val="en-GB"/>
        </w:rPr>
        <w:t>Administração</w:t>
      </w:r>
      <w:proofErr w:type="spellEnd"/>
      <w:r w:rsidRPr="00E205B5">
        <w:rPr>
          <w:rFonts w:ascii="Arial" w:hAnsi="Arial" w:cs="Arial"/>
          <w:sz w:val="22"/>
          <w:szCs w:val="22"/>
          <w:lang w:val="en-GB"/>
        </w:rPr>
        <w:t xml:space="preserve">, </w:t>
      </w:r>
      <w:r w:rsidRPr="00E205B5">
        <w:rPr>
          <w:rFonts w:ascii="Arial" w:hAnsi="Arial" w:cs="Arial"/>
          <w:i/>
          <w:sz w:val="22"/>
          <w:szCs w:val="22"/>
          <w:lang w:val="en-GB"/>
        </w:rPr>
        <w:t>12</w:t>
      </w:r>
      <w:r w:rsidRPr="00E205B5">
        <w:rPr>
          <w:rFonts w:ascii="Arial" w:hAnsi="Arial" w:cs="Arial"/>
          <w:sz w:val="22"/>
          <w:szCs w:val="22"/>
          <w:lang w:val="en-GB"/>
        </w:rPr>
        <w:t>(1), pp.33-46.</w:t>
      </w:r>
    </w:p>
    <w:p w14:paraId="781ABA3A" w14:textId="77777777" w:rsidR="006C2DAC" w:rsidRPr="00E205B5" w:rsidRDefault="006C2DAC" w:rsidP="006C2DAC">
      <w:pPr>
        <w:pStyle w:val="Normal1"/>
        <w:rPr>
          <w:rFonts w:ascii="Arial" w:hAnsi="Arial" w:cs="Arial"/>
          <w:sz w:val="22"/>
          <w:szCs w:val="22"/>
          <w:lang w:val="en-GB"/>
        </w:rPr>
      </w:pPr>
      <w:proofErr w:type="spellStart"/>
      <w:r w:rsidRPr="00E205B5">
        <w:rPr>
          <w:rFonts w:ascii="Arial" w:hAnsi="Arial" w:cs="Arial"/>
          <w:color w:val="222222"/>
          <w:sz w:val="22"/>
          <w:szCs w:val="22"/>
          <w:highlight w:val="white"/>
          <w:lang w:val="en-GB"/>
        </w:rPr>
        <w:t>Tantau</w:t>
      </w:r>
      <w:proofErr w:type="spellEnd"/>
      <w:r w:rsidRPr="00E205B5">
        <w:rPr>
          <w:rFonts w:ascii="Arial" w:hAnsi="Arial" w:cs="Arial"/>
          <w:color w:val="222222"/>
          <w:sz w:val="22"/>
          <w:szCs w:val="22"/>
          <w:highlight w:val="white"/>
          <w:lang w:val="en-GB"/>
        </w:rPr>
        <w:t xml:space="preserve">, A.D. and </w:t>
      </w:r>
      <w:proofErr w:type="spellStart"/>
      <w:r w:rsidRPr="00E205B5">
        <w:rPr>
          <w:rFonts w:ascii="Arial" w:hAnsi="Arial" w:cs="Arial"/>
          <w:color w:val="222222"/>
          <w:sz w:val="22"/>
          <w:szCs w:val="22"/>
          <w:highlight w:val="white"/>
          <w:lang w:val="en-GB"/>
        </w:rPr>
        <w:t>Frăţilă</w:t>
      </w:r>
      <w:proofErr w:type="spellEnd"/>
      <w:r w:rsidRPr="00E205B5">
        <w:rPr>
          <w:rFonts w:ascii="Arial" w:hAnsi="Arial" w:cs="Arial"/>
          <w:color w:val="222222"/>
          <w:sz w:val="22"/>
          <w:szCs w:val="22"/>
          <w:highlight w:val="white"/>
          <w:lang w:val="en-GB"/>
        </w:rPr>
        <w:t xml:space="preserve">, L.C., 2021. Business Development in the Renewable Energy Industry. In </w:t>
      </w:r>
      <w:r w:rsidRPr="00E205B5">
        <w:rPr>
          <w:rFonts w:ascii="Arial" w:hAnsi="Arial" w:cs="Arial"/>
          <w:i/>
          <w:sz w:val="22"/>
          <w:szCs w:val="22"/>
          <w:lang w:val="en-GB"/>
        </w:rPr>
        <w:t>Research Anthology on Clean Energy Management and Solutions</w:t>
      </w:r>
      <w:r w:rsidRPr="00E205B5">
        <w:rPr>
          <w:rFonts w:ascii="Arial" w:hAnsi="Arial" w:cs="Arial"/>
          <w:sz w:val="22"/>
          <w:szCs w:val="22"/>
          <w:lang w:val="en-GB"/>
        </w:rPr>
        <w:t xml:space="preserve"> (pp. 1439-1474). IGI Global.</w:t>
      </w:r>
    </w:p>
    <w:p w14:paraId="781ABA3B" w14:textId="77777777" w:rsidR="006C2DAC" w:rsidRPr="006C2DAC" w:rsidRDefault="006C2DAC" w:rsidP="006C2DAC">
      <w:pPr>
        <w:pStyle w:val="Normal1"/>
        <w:rPr>
          <w:lang w:val="en-GB"/>
        </w:rPr>
      </w:pPr>
      <w:r w:rsidRPr="00E205B5">
        <w:rPr>
          <w:rFonts w:ascii="Arial" w:hAnsi="Arial" w:cs="Arial"/>
          <w:color w:val="222222"/>
          <w:sz w:val="22"/>
          <w:szCs w:val="22"/>
          <w:highlight w:val="white"/>
          <w:lang w:val="en-GB"/>
        </w:rPr>
        <w:t>Zaman, R., Jain, T., Samara, G. and Jamali, D., 2022. Corporate governance meets corporate social responsibility: Mapping the inte</w:t>
      </w:r>
      <w:r w:rsidRPr="006C2DAC">
        <w:rPr>
          <w:color w:val="222222"/>
          <w:highlight w:val="white"/>
          <w:lang w:val="en-GB"/>
        </w:rPr>
        <w:t xml:space="preserve">rface. </w:t>
      </w:r>
      <w:r w:rsidRPr="006C2DAC">
        <w:rPr>
          <w:i/>
          <w:lang w:val="en-GB"/>
        </w:rPr>
        <w:t>Business &amp; Society</w:t>
      </w:r>
      <w:r w:rsidRPr="006C2DAC">
        <w:rPr>
          <w:lang w:val="en-GB"/>
        </w:rPr>
        <w:t xml:space="preserve">, </w:t>
      </w:r>
      <w:r w:rsidRPr="006C2DAC">
        <w:rPr>
          <w:i/>
          <w:lang w:val="en-GB"/>
        </w:rPr>
        <w:t>61</w:t>
      </w:r>
      <w:r w:rsidRPr="006C2DAC">
        <w:rPr>
          <w:lang w:val="en-GB"/>
        </w:rPr>
        <w:t>(3), pp.690-752.</w:t>
      </w:r>
    </w:p>
    <w:sectPr w:rsidR="006C2DAC" w:rsidRPr="006C2DAC" w:rsidSect="00F85367">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63F7C" w14:textId="77777777" w:rsidR="005A7BBD" w:rsidRDefault="005A7BBD" w:rsidP="00D10AAC">
      <w:pPr>
        <w:spacing w:line="240" w:lineRule="auto"/>
      </w:pPr>
      <w:r>
        <w:separator/>
      </w:r>
    </w:p>
  </w:endnote>
  <w:endnote w:type="continuationSeparator" w:id="0">
    <w:p w14:paraId="74972D98" w14:textId="77777777" w:rsidR="005A7BBD" w:rsidRDefault="005A7BBD" w:rsidP="00D10A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15504"/>
      <w:docPartObj>
        <w:docPartGallery w:val="Page Numbers (Bottom of Page)"/>
        <w:docPartUnique/>
      </w:docPartObj>
    </w:sdtPr>
    <w:sdtEndPr/>
    <w:sdtContent>
      <w:p w14:paraId="781ABA40" w14:textId="77777777" w:rsidR="00D10AAC" w:rsidRDefault="005A7BBD">
        <w:pPr>
          <w:pStyle w:val="Footer"/>
          <w:jc w:val="right"/>
        </w:pPr>
        <w:r>
          <w:fldChar w:fldCharType="begin"/>
        </w:r>
        <w:r>
          <w:instrText xml:space="preserve"> PAGE   \* MERGEFORMAT </w:instrText>
        </w:r>
        <w:r>
          <w:fldChar w:fldCharType="separate"/>
        </w:r>
        <w:r w:rsidR="006C2DAC">
          <w:rPr>
            <w:noProof/>
          </w:rPr>
          <w:t>10</w:t>
        </w:r>
        <w:r>
          <w:rPr>
            <w:noProof/>
          </w:rPr>
          <w:fldChar w:fldCharType="end"/>
        </w:r>
      </w:p>
    </w:sdtContent>
  </w:sdt>
  <w:p w14:paraId="781ABA41" w14:textId="77777777" w:rsidR="00D10AAC" w:rsidRDefault="00D10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E027C" w14:textId="77777777" w:rsidR="005A7BBD" w:rsidRDefault="005A7BBD" w:rsidP="00D10AAC">
      <w:pPr>
        <w:spacing w:line="240" w:lineRule="auto"/>
      </w:pPr>
      <w:r>
        <w:separator/>
      </w:r>
    </w:p>
  </w:footnote>
  <w:footnote w:type="continuationSeparator" w:id="0">
    <w:p w14:paraId="220EFED8" w14:textId="77777777" w:rsidR="005A7BBD" w:rsidRDefault="005A7BBD" w:rsidP="00D10A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80D8E"/>
    <w:multiLevelType w:val="hybridMultilevel"/>
    <w:tmpl w:val="424855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6065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5367"/>
    <w:rsid w:val="003532A8"/>
    <w:rsid w:val="005A7BBD"/>
    <w:rsid w:val="00673B95"/>
    <w:rsid w:val="006C2DAC"/>
    <w:rsid w:val="00850979"/>
    <w:rsid w:val="009B738B"/>
    <w:rsid w:val="00B66A12"/>
    <w:rsid w:val="00D10AAC"/>
    <w:rsid w:val="00DE46EE"/>
    <w:rsid w:val="00E205B5"/>
    <w:rsid w:val="00F715FD"/>
    <w:rsid w:val="00F85367"/>
    <w:rsid w:val="00FB4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ABA08"/>
  <w15:docId w15:val="{86DE6242-1947-4619-8428-E1B5D3CB0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979"/>
  </w:style>
  <w:style w:type="paragraph" w:styleId="Heading1">
    <w:name w:val="heading 1"/>
    <w:basedOn w:val="Normal1"/>
    <w:next w:val="Normal1"/>
    <w:rsid w:val="00F85367"/>
    <w:pPr>
      <w:keepNext/>
      <w:keepLines/>
      <w:outlineLvl w:val="0"/>
    </w:pPr>
    <w:rPr>
      <w:b/>
    </w:rPr>
  </w:style>
  <w:style w:type="paragraph" w:styleId="Heading2">
    <w:name w:val="heading 2"/>
    <w:basedOn w:val="Normal1"/>
    <w:next w:val="Normal1"/>
    <w:rsid w:val="00F85367"/>
    <w:pPr>
      <w:keepNext/>
      <w:keepLines/>
      <w:spacing w:before="360" w:after="120"/>
      <w:outlineLvl w:val="1"/>
    </w:pPr>
    <w:rPr>
      <w:sz w:val="32"/>
      <w:szCs w:val="32"/>
    </w:rPr>
  </w:style>
  <w:style w:type="paragraph" w:styleId="Heading3">
    <w:name w:val="heading 3"/>
    <w:basedOn w:val="Normal1"/>
    <w:next w:val="Normal1"/>
    <w:rsid w:val="00F85367"/>
    <w:pPr>
      <w:keepNext/>
      <w:keepLines/>
      <w:spacing w:before="320" w:after="80"/>
      <w:outlineLvl w:val="2"/>
    </w:pPr>
    <w:rPr>
      <w:color w:val="434343"/>
      <w:sz w:val="28"/>
      <w:szCs w:val="28"/>
    </w:rPr>
  </w:style>
  <w:style w:type="paragraph" w:styleId="Heading4">
    <w:name w:val="heading 4"/>
    <w:basedOn w:val="Normal1"/>
    <w:next w:val="Normal1"/>
    <w:rsid w:val="00F85367"/>
    <w:pPr>
      <w:keepNext/>
      <w:keepLines/>
      <w:spacing w:before="280" w:after="80"/>
      <w:outlineLvl w:val="3"/>
    </w:pPr>
    <w:rPr>
      <w:color w:val="666666"/>
    </w:rPr>
  </w:style>
  <w:style w:type="paragraph" w:styleId="Heading5">
    <w:name w:val="heading 5"/>
    <w:basedOn w:val="Normal1"/>
    <w:next w:val="Normal1"/>
    <w:rsid w:val="00F85367"/>
    <w:pPr>
      <w:keepNext/>
      <w:keepLines/>
      <w:spacing w:before="240" w:after="80"/>
      <w:outlineLvl w:val="4"/>
    </w:pPr>
    <w:rPr>
      <w:color w:val="666666"/>
      <w:sz w:val="22"/>
      <w:szCs w:val="22"/>
    </w:rPr>
  </w:style>
  <w:style w:type="paragraph" w:styleId="Heading6">
    <w:name w:val="heading 6"/>
    <w:basedOn w:val="Normal1"/>
    <w:next w:val="Normal1"/>
    <w:rsid w:val="00F8536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85367"/>
  </w:style>
  <w:style w:type="paragraph" w:styleId="Title">
    <w:name w:val="Title"/>
    <w:basedOn w:val="Normal1"/>
    <w:next w:val="Normal1"/>
    <w:rsid w:val="00F85367"/>
    <w:pPr>
      <w:keepNext/>
      <w:keepLines/>
      <w:spacing w:after="60"/>
    </w:pPr>
    <w:rPr>
      <w:sz w:val="52"/>
      <w:szCs w:val="52"/>
    </w:rPr>
  </w:style>
  <w:style w:type="paragraph" w:styleId="Subtitle">
    <w:name w:val="Subtitle"/>
    <w:basedOn w:val="Normal1"/>
    <w:next w:val="Normal1"/>
    <w:rsid w:val="00F85367"/>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D10AA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10AAC"/>
  </w:style>
  <w:style w:type="paragraph" w:styleId="Footer">
    <w:name w:val="footer"/>
    <w:basedOn w:val="Normal"/>
    <w:link w:val="FooterChar"/>
    <w:uiPriority w:val="99"/>
    <w:unhideWhenUsed/>
    <w:rsid w:val="00D10AAC"/>
    <w:pPr>
      <w:tabs>
        <w:tab w:val="center" w:pos="4680"/>
        <w:tab w:val="right" w:pos="9360"/>
      </w:tabs>
      <w:spacing w:line="240" w:lineRule="auto"/>
    </w:pPr>
  </w:style>
  <w:style w:type="character" w:customStyle="1" w:styleId="FooterChar">
    <w:name w:val="Footer Char"/>
    <w:basedOn w:val="DefaultParagraphFont"/>
    <w:link w:val="Footer"/>
    <w:uiPriority w:val="99"/>
    <w:rsid w:val="00D10AAC"/>
  </w:style>
  <w:style w:type="paragraph" w:styleId="TOCHeading">
    <w:name w:val="TOC Heading"/>
    <w:basedOn w:val="Heading1"/>
    <w:next w:val="Normal"/>
    <w:uiPriority w:val="39"/>
    <w:semiHidden/>
    <w:unhideWhenUsed/>
    <w:qFormat/>
    <w:rsid w:val="00D10AA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10AAC"/>
    <w:pPr>
      <w:spacing w:after="100"/>
    </w:pPr>
  </w:style>
  <w:style w:type="character" w:styleId="Hyperlink">
    <w:name w:val="Hyperlink"/>
    <w:basedOn w:val="DefaultParagraphFont"/>
    <w:uiPriority w:val="99"/>
    <w:unhideWhenUsed/>
    <w:rsid w:val="00D10AAC"/>
    <w:rPr>
      <w:color w:val="0000FF" w:themeColor="hyperlink"/>
      <w:u w:val="single"/>
    </w:rPr>
  </w:style>
  <w:style w:type="paragraph" w:styleId="BalloonText">
    <w:name w:val="Balloon Text"/>
    <w:basedOn w:val="Normal"/>
    <w:link w:val="BalloonTextChar"/>
    <w:uiPriority w:val="99"/>
    <w:semiHidden/>
    <w:unhideWhenUsed/>
    <w:rsid w:val="00D10A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0AA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uk-scotland-scotland-business-597418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bc.com/news/business-354302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CBAC26-B9DE-47F3-9D5F-CA23CC0B0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2684</Words>
  <Characters>15302</Characters>
  <Application>Microsoft Office Word</Application>
  <DocSecurity>0</DocSecurity>
  <Lines>127</Lines>
  <Paragraphs>35</Paragraphs>
  <ScaleCrop>false</ScaleCrop>
  <Company/>
  <LinksUpToDate>false</LinksUpToDate>
  <CharactersWithSpaces>17951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9</cp:revision>
  <dcterms:created xsi:type="dcterms:W3CDTF">2022-04-02T08:16:00Z</dcterms:created>
  <dcterms:modified xsi:type="dcterms:W3CDTF">2022-04-24T12:20:00Z</dcterms:modified>
</cp:coreProperties>
</file>