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E1CF6" w14:textId="66C770C4" w:rsidR="001D2902" w:rsidRPr="00C403F6" w:rsidRDefault="000146FE" w:rsidP="00C403F6">
      <w:pPr>
        <w:spacing w:line="360" w:lineRule="auto"/>
        <w:rPr>
          <w:rFonts w:ascii="Arial" w:hAnsi="Arial" w:cs="Arial"/>
          <w:sz w:val="22"/>
          <w:szCs w:val="22"/>
        </w:rPr>
      </w:pPr>
      <w:r w:rsidRPr="00C403F6">
        <w:rPr>
          <w:rFonts w:ascii="Arial" w:hAnsi="Arial" w:cs="Arial"/>
          <w:sz w:val="22"/>
          <w:szCs w:val="22"/>
        </w:rPr>
        <w:t>Student Name:</w:t>
      </w:r>
      <w:r w:rsidR="00DC1A2B" w:rsidRPr="00C403F6">
        <w:rPr>
          <w:rFonts w:ascii="Arial" w:hAnsi="Arial" w:cs="Arial"/>
          <w:sz w:val="22"/>
          <w:szCs w:val="22"/>
        </w:rPr>
        <w:t xml:space="preserve"> </w:t>
      </w:r>
      <w:r w:rsidR="00965231" w:rsidRPr="00C403F6">
        <w:rPr>
          <w:rFonts w:ascii="Arial" w:hAnsi="Arial" w:cs="Arial"/>
          <w:sz w:val="22"/>
          <w:szCs w:val="22"/>
        </w:rPr>
        <w:t>Areeba Khan</w:t>
      </w:r>
    </w:p>
    <w:p w14:paraId="6D44B3CC" w14:textId="66E0DD03" w:rsidR="000146FE" w:rsidRPr="00C403F6" w:rsidRDefault="000146FE" w:rsidP="00C403F6">
      <w:pPr>
        <w:spacing w:line="360" w:lineRule="auto"/>
        <w:rPr>
          <w:rFonts w:ascii="Arial" w:hAnsi="Arial" w:cs="Arial"/>
          <w:sz w:val="22"/>
          <w:szCs w:val="22"/>
        </w:rPr>
      </w:pPr>
      <w:r w:rsidRPr="00C403F6">
        <w:rPr>
          <w:rFonts w:ascii="Arial" w:hAnsi="Arial" w:cs="Arial"/>
          <w:sz w:val="22"/>
          <w:szCs w:val="22"/>
        </w:rPr>
        <w:t>Student Number:</w:t>
      </w:r>
      <w:r w:rsidR="00DC1A2B" w:rsidRPr="00C403F6">
        <w:rPr>
          <w:rFonts w:ascii="Arial" w:hAnsi="Arial" w:cs="Arial"/>
          <w:sz w:val="22"/>
          <w:szCs w:val="22"/>
        </w:rPr>
        <w:t xml:space="preserve"> </w:t>
      </w:r>
      <w:r w:rsidR="00965231" w:rsidRPr="00C403F6">
        <w:rPr>
          <w:rFonts w:ascii="Arial" w:hAnsi="Arial" w:cs="Arial"/>
          <w:sz w:val="22"/>
          <w:szCs w:val="22"/>
        </w:rPr>
        <w:t>241</w:t>
      </w:r>
      <w:r w:rsidR="00DC1A2B" w:rsidRPr="00C403F6">
        <w:rPr>
          <w:rFonts w:ascii="Arial" w:hAnsi="Arial" w:cs="Arial"/>
          <w:sz w:val="22"/>
          <w:szCs w:val="22"/>
        </w:rPr>
        <w:t>9588</w:t>
      </w:r>
    </w:p>
    <w:p w14:paraId="1F20DF7E" w14:textId="3E24FA94" w:rsidR="000146FE" w:rsidRPr="00C403F6" w:rsidRDefault="000146FE" w:rsidP="00C403F6">
      <w:pPr>
        <w:spacing w:line="360" w:lineRule="auto"/>
        <w:rPr>
          <w:rFonts w:ascii="Arial" w:hAnsi="Arial" w:cs="Arial"/>
          <w:sz w:val="22"/>
          <w:szCs w:val="22"/>
        </w:rPr>
      </w:pPr>
      <w:r w:rsidRPr="00C403F6">
        <w:rPr>
          <w:rFonts w:ascii="Arial" w:hAnsi="Arial" w:cs="Arial"/>
          <w:sz w:val="22"/>
          <w:szCs w:val="22"/>
        </w:rPr>
        <w:t>Module Code:</w:t>
      </w:r>
      <w:r w:rsidR="00DC3E04" w:rsidRPr="00C403F6">
        <w:rPr>
          <w:rFonts w:ascii="Arial" w:hAnsi="Arial" w:cs="Arial"/>
          <w:sz w:val="22"/>
          <w:szCs w:val="22"/>
        </w:rPr>
        <w:t xml:space="preserve"> </w:t>
      </w:r>
      <w:r w:rsidR="00DC1A2B" w:rsidRPr="00C403F6">
        <w:rPr>
          <w:rFonts w:ascii="Arial" w:hAnsi="Arial" w:cs="Arial"/>
          <w:sz w:val="22"/>
          <w:szCs w:val="22"/>
        </w:rPr>
        <w:t>BMPH</w:t>
      </w:r>
      <w:r w:rsidR="00DC3E04" w:rsidRPr="00C403F6">
        <w:rPr>
          <w:rFonts w:ascii="Arial" w:hAnsi="Arial" w:cs="Arial"/>
          <w:sz w:val="22"/>
          <w:szCs w:val="22"/>
        </w:rPr>
        <w:t>5016</w:t>
      </w:r>
    </w:p>
    <w:p w14:paraId="033AD3C3" w14:textId="6ED6D546" w:rsidR="000146FE" w:rsidRPr="00C403F6" w:rsidRDefault="000146FE" w:rsidP="00C403F6">
      <w:pPr>
        <w:spacing w:line="360" w:lineRule="auto"/>
        <w:rPr>
          <w:rFonts w:ascii="Arial" w:hAnsi="Arial" w:cs="Arial"/>
          <w:bCs/>
          <w:sz w:val="22"/>
          <w:szCs w:val="22"/>
        </w:rPr>
      </w:pPr>
      <w:r w:rsidRPr="00C403F6">
        <w:rPr>
          <w:rFonts w:ascii="Arial" w:hAnsi="Arial" w:cs="Arial"/>
          <w:sz w:val="22"/>
          <w:szCs w:val="22"/>
        </w:rPr>
        <w:t>Module Title:</w:t>
      </w:r>
      <w:r w:rsidR="00DC3E04" w:rsidRPr="00C403F6">
        <w:rPr>
          <w:rFonts w:ascii="Arial" w:hAnsi="Arial" w:cs="Arial"/>
          <w:sz w:val="22"/>
          <w:szCs w:val="22"/>
        </w:rPr>
        <w:t xml:space="preserve"> </w:t>
      </w:r>
      <w:r w:rsidR="00DC3E04" w:rsidRPr="00C403F6">
        <w:rPr>
          <w:rFonts w:ascii="Arial" w:hAnsi="Arial" w:cs="Arial"/>
          <w:bCs/>
          <w:sz w:val="22"/>
          <w:szCs w:val="22"/>
        </w:rPr>
        <w:t>Principles of Health and Social Care Practice</w:t>
      </w:r>
    </w:p>
    <w:p w14:paraId="2DE0692E" w14:textId="6F3E466E" w:rsidR="000146FE" w:rsidRPr="00C403F6" w:rsidRDefault="00965231" w:rsidP="00C403F6">
      <w:pPr>
        <w:spacing w:line="360" w:lineRule="auto"/>
        <w:rPr>
          <w:rFonts w:ascii="Arial" w:hAnsi="Arial" w:cs="Arial"/>
          <w:sz w:val="22"/>
          <w:szCs w:val="22"/>
        </w:rPr>
      </w:pPr>
      <w:r w:rsidRPr="00C403F6">
        <w:rPr>
          <w:rFonts w:ascii="Arial" w:hAnsi="Arial" w:cs="Arial"/>
          <w:sz w:val="22"/>
          <w:szCs w:val="22"/>
        </w:rPr>
        <w:t>Lecturer</w:t>
      </w:r>
      <w:r w:rsidR="001916F6" w:rsidRPr="00C403F6">
        <w:rPr>
          <w:rFonts w:ascii="Arial" w:hAnsi="Arial" w:cs="Arial"/>
          <w:sz w:val="22"/>
          <w:szCs w:val="22"/>
        </w:rPr>
        <w:t>’</w:t>
      </w:r>
      <w:r w:rsidRPr="00C403F6">
        <w:rPr>
          <w:rFonts w:ascii="Arial" w:hAnsi="Arial" w:cs="Arial"/>
          <w:sz w:val="22"/>
          <w:szCs w:val="22"/>
        </w:rPr>
        <w:t>s Name:</w:t>
      </w:r>
      <w:r w:rsidR="00BA1261" w:rsidRPr="00C403F6">
        <w:rPr>
          <w:rFonts w:ascii="Arial" w:hAnsi="Arial" w:cs="Arial"/>
          <w:sz w:val="22"/>
          <w:szCs w:val="22"/>
        </w:rPr>
        <w:t xml:space="preserve"> </w:t>
      </w:r>
      <w:r w:rsidR="00C403F6" w:rsidRPr="00C403F6">
        <w:rPr>
          <w:rFonts w:ascii="Arial" w:hAnsi="Arial" w:cs="Arial"/>
          <w:color w:val="1D2125"/>
          <w:sz w:val="22"/>
          <w:szCs w:val="22"/>
          <w:shd w:val="clear" w:color="auto" w:fill="FFFFFF"/>
        </w:rPr>
        <w:t>Precious Igbinigie</w:t>
      </w:r>
    </w:p>
    <w:p w14:paraId="1A6553B9" w14:textId="77777777" w:rsidR="006A04A8" w:rsidRPr="00C403F6" w:rsidRDefault="00965231" w:rsidP="00C403F6">
      <w:pPr>
        <w:spacing w:line="360" w:lineRule="auto"/>
        <w:rPr>
          <w:rFonts w:ascii="Arial" w:hAnsi="Arial" w:cs="Arial"/>
          <w:sz w:val="22"/>
          <w:szCs w:val="22"/>
        </w:rPr>
      </w:pPr>
      <w:r w:rsidRPr="00C403F6">
        <w:rPr>
          <w:rFonts w:ascii="Arial" w:hAnsi="Arial" w:cs="Arial"/>
          <w:sz w:val="22"/>
          <w:szCs w:val="22"/>
        </w:rPr>
        <w:t>Assignment Title:</w:t>
      </w:r>
      <w:r w:rsidR="00BA1261" w:rsidRPr="00C403F6">
        <w:rPr>
          <w:rFonts w:ascii="Arial" w:hAnsi="Arial" w:cs="Arial"/>
          <w:sz w:val="22"/>
          <w:szCs w:val="22"/>
        </w:rPr>
        <w:t xml:space="preserve"> Component 2: Written Assignment</w:t>
      </w:r>
      <w:r w:rsidR="001C77F3" w:rsidRPr="00C403F6">
        <w:rPr>
          <w:rFonts w:ascii="Arial" w:hAnsi="Arial" w:cs="Arial"/>
          <w:sz w:val="22"/>
          <w:szCs w:val="22"/>
        </w:rPr>
        <w:t xml:space="preserve"> (Report)</w:t>
      </w:r>
    </w:p>
    <w:p w14:paraId="6D06FA01" w14:textId="77777777" w:rsidR="006A04A8" w:rsidRPr="00C403F6" w:rsidRDefault="006A04A8" w:rsidP="00C403F6">
      <w:pPr>
        <w:spacing w:line="360" w:lineRule="auto"/>
        <w:rPr>
          <w:rFonts w:ascii="Arial" w:hAnsi="Arial" w:cs="Arial"/>
          <w:sz w:val="22"/>
          <w:szCs w:val="22"/>
        </w:rPr>
      </w:pPr>
    </w:p>
    <w:p w14:paraId="265809EE" w14:textId="77777777" w:rsidR="006A04A8" w:rsidRPr="00C403F6" w:rsidRDefault="006A04A8" w:rsidP="00C403F6">
      <w:pPr>
        <w:spacing w:line="360" w:lineRule="auto"/>
        <w:rPr>
          <w:rFonts w:ascii="Arial" w:hAnsi="Arial" w:cs="Arial"/>
          <w:sz w:val="22"/>
          <w:szCs w:val="22"/>
        </w:rPr>
      </w:pPr>
    </w:p>
    <w:p w14:paraId="7C2EED84" w14:textId="77777777" w:rsidR="006A04A8" w:rsidRPr="00C403F6" w:rsidRDefault="006A04A8" w:rsidP="00C403F6">
      <w:pPr>
        <w:spacing w:line="360" w:lineRule="auto"/>
        <w:rPr>
          <w:rFonts w:ascii="Arial" w:hAnsi="Arial" w:cs="Arial"/>
          <w:sz w:val="22"/>
          <w:szCs w:val="22"/>
        </w:rPr>
      </w:pPr>
    </w:p>
    <w:p w14:paraId="4E009BBE" w14:textId="77777777" w:rsidR="006A04A8" w:rsidRPr="00C403F6" w:rsidRDefault="006A04A8" w:rsidP="00C403F6">
      <w:pPr>
        <w:spacing w:line="360" w:lineRule="auto"/>
        <w:rPr>
          <w:rFonts w:ascii="Arial" w:hAnsi="Arial" w:cs="Arial"/>
          <w:sz w:val="22"/>
          <w:szCs w:val="22"/>
        </w:rPr>
      </w:pPr>
    </w:p>
    <w:p w14:paraId="74112CC1" w14:textId="77777777" w:rsidR="006A04A8" w:rsidRPr="00C403F6" w:rsidRDefault="006A04A8" w:rsidP="00C403F6">
      <w:pPr>
        <w:spacing w:line="360" w:lineRule="auto"/>
        <w:rPr>
          <w:rFonts w:ascii="Arial" w:hAnsi="Arial" w:cs="Arial"/>
          <w:sz w:val="22"/>
          <w:szCs w:val="22"/>
        </w:rPr>
      </w:pPr>
    </w:p>
    <w:p w14:paraId="50F50F68" w14:textId="77777777" w:rsidR="006A04A8" w:rsidRPr="00C403F6" w:rsidRDefault="006A04A8" w:rsidP="00C403F6">
      <w:pPr>
        <w:spacing w:line="360" w:lineRule="auto"/>
        <w:rPr>
          <w:rFonts w:ascii="Arial" w:hAnsi="Arial" w:cs="Arial"/>
          <w:sz w:val="22"/>
          <w:szCs w:val="22"/>
        </w:rPr>
      </w:pPr>
    </w:p>
    <w:p w14:paraId="59242E4E" w14:textId="77777777" w:rsidR="006A04A8" w:rsidRPr="00C403F6" w:rsidRDefault="006A04A8" w:rsidP="00C403F6">
      <w:pPr>
        <w:spacing w:line="360" w:lineRule="auto"/>
        <w:rPr>
          <w:rFonts w:ascii="Arial" w:hAnsi="Arial" w:cs="Arial"/>
          <w:sz w:val="22"/>
          <w:szCs w:val="22"/>
        </w:rPr>
      </w:pPr>
    </w:p>
    <w:p w14:paraId="1ECED964" w14:textId="77777777" w:rsidR="006A04A8" w:rsidRPr="00C403F6" w:rsidRDefault="006A04A8" w:rsidP="00C403F6">
      <w:pPr>
        <w:spacing w:line="360" w:lineRule="auto"/>
        <w:rPr>
          <w:rFonts w:ascii="Arial" w:hAnsi="Arial" w:cs="Arial"/>
          <w:sz w:val="22"/>
          <w:szCs w:val="22"/>
        </w:rPr>
      </w:pPr>
    </w:p>
    <w:p w14:paraId="5EE877F6" w14:textId="77777777" w:rsidR="006A04A8" w:rsidRPr="00C403F6" w:rsidRDefault="006A04A8" w:rsidP="00C403F6">
      <w:pPr>
        <w:spacing w:line="360" w:lineRule="auto"/>
        <w:rPr>
          <w:rFonts w:ascii="Arial" w:hAnsi="Arial" w:cs="Arial"/>
          <w:sz w:val="22"/>
          <w:szCs w:val="22"/>
        </w:rPr>
      </w:pPr>
    </w:p>
    <w:p w14:paraId="4DF332C1" w14:textId="77777777" w:rsidR="006A04A8" w:rsidRPr="00C403F6" w:rsidRDefault="006A04A8" w:rsidP="00C403F6">
      <w:pPr>
        <w:spacing w:line="360" w:lineRule="auto"/>
        <w:rPr>
          <w:rFonts w:ascii="Arial" w:hAnsi="Arial" w:cs="Arial"/>
          <w:sz w:val="22"/>
          <w:szCs w:val="22"/>
        </w:rPr>
      </w:pPr>
    </w:p>
    <w:p w14:paraId="3D74D2EA" w14:textId="77777777" w:rsidR="006A04A8" w:rsidRPr="00C403F6" w:rsidRDefault="006A04A8" w:rsidP="00C403F6">
      <w:pPr>
        <w:spacing w:line="360" w:lineRule="auto"/>
        <w:rPr>
          <w:rFonts w:ascii="Arial" w:hAnsi="Arial" w:cs="Arial"/>
          <w:sz w:val="22"/>
          <w:szCs w:val="22"/>
        </w:rPr>
      </w:pPr>
    </w:p>
    <w:p w14:paraId="42B5E14D" w14:textId="77777777" w:rsidR="006A04A8" w:rsidRPr="00C403F6" w:rsidRDefault="006A04A8" w:rsidP="00C403F6">
      <w:pPr>
        <w:spacing w:line="360" w:lineRule="auto"/>
        <w:rPr>
          <w:rFonts w:ascii="Arial" w:hAnsi="Arial" w:cs="Arial"/>
          <w:sz w:val="22"/>
          <w:szCs w:val="22"/>
        </w:rPr>
      </w:pPr>
    </w:p>
    <w:p w14:paraId="19E0CF03" w14:textId="77777777" w:rsidR="006A04A8" w:rsidRPr="00C403F6" w:rsidRDefault="006A04A8" w:rsidP="00C403F6">
      <w:pPr>
        <w:spacing w:line="360" w:lineRule="auto"/>
        <w:rPr>
          <w:rFonts w:ascii="Arial" w:hAnsi="Arial" w:cs="Arial"/>
          <w:sz w:val="22"/>
          <w:szCs w:val="22"/>
        </w:rPr>
      </w:pPr>
    </w:p>
    <w:p w14:paraId="1EDFD5F8" w14:textId="77777777" w:rsidR="006A04A8" w:rsidRPr="00C403F6" w:rsidRDefault="006A04A8" w:rsidP="00C403F6">
      <w:pPr>
        <w:spacing w:line="360" w:lineRule="auto"/>
        <w:rPr>
          <w:rFonts w:ascii="Arial" w:hAnsi="Arial" w:cs="Arial"/>
          <w:sz w:val="22"/>
          <w:szCs w:val="22"/>
        </w:rPr>
      </w:pPr>
    </w:p>
    <w:p w14:paraId="4F20D546" w14:textId="77777777" w:rsidR="006A04A8" w:rsidRPr="00C403F6" w:rsidRDefault="006A04A8" w:rsidP="00C403F6">
      <w:pPr>
        <w:spacing w:line="360" w:lineRule="auto"/>
        <w:rPr>
          <w:rFonts w:ascii="Arial" w:hAnsi="Arial" w:cs="Arial"/>
          <w:sz w:val="22"/>
          <w:szCs w:val="22"/>
        </w:rPr>
      </w:pPr>
    </w:p>
    <w:p w14:paraId="35B45C03" w14:textId="77777777" w:rsidR="006A04A8" w:rsidRPr="00C403F6" w:rsidRDefault="006A04A8" w:rsidP="00C403F6">
      <w:pPr>
        <w:spacing w:line="360" w:lineRule="auto"/>
        <w:rPr>
          <w:rFonts w:ascii="Arial" w:hAnsi="Arial" w:cs="Arial"/>
          <w:sz w:val="22"/>
          <w:szCs w:val="22"/>
        </w:rPr>
      </w:pPr>
    </w:p>
    <w:p w14:paraId="5BD8B688" w14:textId="77777777" w:rsidR="006A04A8" w:rsidRPr="00C403F6" w:rsidRDefault="006A04A8" w:rsidP="00C403F6">
      <w:pPr>
        <w:spacing w:line="360" w:lineRule="auto"/>
        <w:rPr>
          <w:rFonts w:ascii="Arial" w:hAnsi="Arial" w:cs="Arial"/>
          <w:sz w:val="22"/>
          <w:szCs w:val="22"/>
        </w:rPr>
      </w:pPr>
    </w:p>
    <w:p w14:paraId="4DAB7250" w14:textId="77777777" w:rsidR="006A04A8" w:rsidRPr="00C403F6" w:rsidRDefault="006A04A8" w:rsidP="00C403F6">
      <w:pPr>
        <w:spacing w:line="360" w:lineRule="auto"/>
        <w:rPr>
          <w:rFonts w:ascii="Arial" w:hAnsi="Arial" w:cs="Arial"/>
          <w:sz w:val="22"/>
          <w:szCs w:val="22"/>
        </w:rPr>
      </w:pPr>
    </w:p>
    <w:p w14:paraId="400A6C3A" w14:textId="77777777" w:rsidR="006A04A8" w:rsidRPr="00C403F6" w:rsidRDefault="006A04A8" w:rsidP="00C403F6">
      <w:pPr>
        <w:spacing w:line="360" w:lineRule="auto"/>
        <w:rPr>
          <w:rFonts w:ascii="Arial" w:hAnsi="Arial" w:cs="Arial"/>
          <w:sz w:val="22"/>
          <w:szCs w:val="22"/>
        </w:rPr>
      </w:pPr>
    </w:p>
    <w:p w14:paraId="75F82E4A" w14:textId="4742F030" w:rsidR="006A04A8" w:rsidRPr="00C403F6" w:rsidRDefault="006A04A8" w:rsidP="00C403F6">
      <w:pPr>
        <w:spacing w:line="360" w:lineRule="auto"/>
        <w:rPr>
          <w:rFonts w:ascii="Arial" w:hAnsi="Arial" w:cs="Arial"/>
          <w:b/>
          <w:bCs/>
          <w:sz w:val="22"/>
          <w:szCs w:val="22"/>
        </w:rPr>
      </w:pPr>
      <w:r w:rsidRPr="00C403F6">
        <w:rPr>
          <w:rFonts w:ascii="Arial" w:hAnsi="Arial" w:cs="Arial"/>
          <w:b/>
          <w:bCs/>
          <w:sz w:val="22"/>
          <w:szCs w:val="22"/>
        </w:rPr>
        <w:lastRenderedPageBreak/>
        <w:t>Evaluation of Person-Centred Care (PCC) and Partnership Working (PW) in Health and Social Care: Integration within UK Policy and Practice</w:t>
      </w:r>
      <w:r w:rsidR="00CE1045" w:rsidRPr="00C403F6">
        <w:rPr>
          <w:rFonts w:ascii="Arial" w:hAnsi="Arial" w:cs="Arial"/>
          <w:b/>
          <w:bCs/>
          <w:sz w:val="22"/>
          <w:szCs w:val="22"/>
        </w:rPr>
        <w:t xml:space="preserve">: </w:t>
      </w:r>
    </w:p>
    <w:p w14:paraId="41D86455" w14:textId="77777777" w:rsidR="00DB02D6" w:rsidRPr="00C403F6" w:rsidRDefault="00DB02D6" w:rsidP="00C403F6">
      <w:pPr>
        <w:spacing w:line="360" w:lineRule="auto"/>
        <w:rPr>
          <w:rFonts w:ascii="Arial" w:hAnsi="Arial" w:cs="Arial"/>
          <w:sz w:val="22"/>
          <w:szCs w:val="22"/>
        </w:rPr>
      </w:pPr>
      <w:r w:rsidRPr="00C403F6">
        <w:rPr>
          <w:rFonts w:ascii="Arial" w:hAnsi="Arial" w:cs="Arial"/>
          <w:sz w:val="22"/>
          <w:szCs w:val="22"/>
        </w:rPr>
        <w:t>This report explores Person-Centred Care (PCC) and Partnership Working (PW), highlighting how the two approaches connect within UK health and social care policy and practice. PCC focuses on placing the individual’s values, preferences, and needs at the centre of care, while PW promotes collaboration among professionals, organisations, service users, and communities to deliver coordinated support.</w:t>
      </w:r>
    </w:p>
    <w:p w14:paraId="5229DFF3" w14:textId="77777777" w:rsidR="00DB02D6" w:rsidRPr="00C403F6" w:rsidRDefault="00DB02D6" w:rsidP="00C403F6">
      <w:pPr>
        <w:spacing w:line="360" w:lineRule="auto"/>
        <w:rPr>
          <w:rFonts w:ascii="Arial" w:hAnsi="Arial" w:cs="Arial"/>
          <w:sz w:val="22"/>
          <w:szCs w:val="22"/>
        </w:rPr>
      </w:pPr>
      <w:r w:rsidRPr="00C403F6">
        <w:rPr>
          <w:rFonts w:ascii="Arial" w:hAnsi="Arial" w:cs="Arial"/>
          <w:sz w:val="22"/>
          <w:szCs w:val="22"/>
        </w:rPr>
        <w:t xml:space="preserve">PCC has been shown to improve patient satisfaction, adherence, and outcomes, though it can be limited by resource constraints and implementation challenges. The Person-Centred Nursing Framework (PCNF), developed by McCormack and McCance, provides a structured approach to PCC, encompassing prerequisites, the care environment, processes, and outcomes. Both PCC and PW are strongly aligned with ethical principles such as autonomy, beneficence, non-maleficence, and justice. PW supports integrated service delivery through Integrated Care Systems (ICSs), but barriers remain around communication and coordination across organisations. </w:t>
      </w:r>
    </w:p>
    <w:p w14:paraId="1B129353" w14:textId="4DFEC14D" w:rsidR="0005229C" w:rsidRPr="00C403F6" w:rsidRDefault="0005229C" w:rsidP="00C403F6">
      <w:pPr>
        <w:spacing w:line="360" w:lineRule="auto"/>
        <w:rPr>
          <w:rFonts w:ascii="Arial" w:hAnsi="Arial" w:cs="Arial"/>
          <w:sz w:val="22"/>
          <w:szCs w:val="22"/>
        </w:rPr>
      </w:pPr>
      <w:r w:rsidRPr="00C403F6">
        <w:rPr>
          <w:rFonts w:ascii="Arial" w:hAnsi="Arial" w:cs="Arial"/>
          <w:sz w:val="22"/>
          <w:szCs w:val="22"/>
        </w:rPr>
        <w:t>The main findings indicate that PW provides the structural foundation needed to implement PCC, particularly within community-based multidisciplinary teams (MDTs) supporting older adults with frailty and long-term conditions. Legislation such as the Care Act 2014 and the Health and Care Act 2022 provides strong backing for both approaches, yet gaps in implementation persist due to workforce shortages and funding pressures.</w:t>
      </w:r>
    </w:p>
    <w:p w14:paraId="1645D879" w14:textId="32AA9379" w:rsidR="0005229C" w:rsidRPr="00C403F6" w:rsidRDefault="0005229C" w:rsidP="00C403F6">
      <w:pPr>
        <w:spacing w:line="360" w:lineRule="auto"/>
        <w:rPr>
          <w:rFonts w:ascii="Arial" w:hAnsi="Arial" w:cs="Arial"/>
          <w:sz w:val="22"/>
          <w:szCs w:val="22"/>
        </w:rPr>
      </w:pPr>
      <w:r w:rsidRPr="00C403F6">
        <w:rPr>
          <w:rFonts w:ascii="Arial" w:hAnsi="Arial" w:cs="Arial"/>
          <w:sz w:val="22"/>
          <w:szCs w:val="22"/>
        </w:rPr>
        <w:t>Recommendations include enhancing interprofessional training, implementing shared digital care records, and strengthening co-production within neighbourhood teams. These measures aim to improve equity, efficiency, and the long-term sustainability of health and social care in the UK (McCance and McCormack, 2025).</w:t>
      </w:r>
    </w:p>
    <w:p w14:paraId="71A21722" w14:textId="77777777" w:rsidR="004B25EC" w:rsidRPr="00C403F6" w:rsidRDefault="004B25EC" w:rsidP="00C403F6">
      <w:pPr>
        <w:spacing w:line="360" w:lineRule="auto"/>
        <w:jc w:val="center"/>
        <w:rPr>
          <w:rFonts w:ascii="Arial" w:hAnsi="Arial" w:cs="Arial"/>
          <w:b/>
          <w:bCs/>
          <w:sz w:val="22"/>
          <w:szCs w:val="22"/>
        </w:rPr>
      </w:pPr>
      <w:r w:rsidRPr="00C403F6">
        <w:rPr>
          <w:rFonts w:ascii="Arial" w:hAnsi="Arial" w:cs="Arial"/>
          <w:b/>
          <w:bCs/>
          <w:sz w:val="22"/>
          <w:szCs w:val="22"/>
        </w:rPr>
        <w:t>Introduction</w:t>
      </w:r>
    </w:p>
    <w:p w14:paraId="725E63F7" w14:textId="46C5F13B" w:rsidR="004B25EC" w:rsidRPr="00C403F6" w:rsidRDefault="004B25EC" w:rsidP="00C403F6">
      <w:pPr>
        <w:spacing w:line="360" w:lineRule="auto"/>
        <w:rPr>
          <w:rFonts w:ascii="Arial" w:hAnsi="Arial" w:cs="Arial"/>
          <w:sz w:val="22"/>
          <w:szCs w:val="22"/>
        </w:rPr>
      </w:pPr>
      <w:r w:rsidRPr="00C403F6">
        <w:rPr>
          <w:rFonts w:ascii="Arial" w:hAnsi="Arial" w:cs="Arial"/>
          <w:sz w:val="22"/>
          <w:szCs w:val="22"/>
        </w:rPr>
        <w:t xml:space="preserve">Person-Centred Care (PCC) and Partnership Working (PW) form the foundation of modern, effective health and social care. PW enables collaborative, integrated delivery across professionals and sectors. </w:t>
      </w:r>
      <w:r w:rsidR="008F560B" w:rsidRPr="00C403F6">
        <w:rPr>
          <w:rFonts w:ascii="Arial" w:hAnsi="Arial" w:cs="Arial"/>
          <w:sz w:val="22"/>
          <w:szCs w:val="22"/>
        </w:rPr>
        <w:t>PCC places the individual at the heart of decision-making, ensuring care is tailored to their unique values, preferences, and needs. PW involves collaborative efforts among professionals, organisations, service users, and communities to deliver coordinated, holistic support. These approaches are not isolated; they interconnect, with PW providing the structural and relational mechanisms to operationalise PCC in practice.</w:t>
      </w:r>
      <w:r w:rsidR="00AC1204" w:rsidRPr="00C403F6">
        <w:rPr>
          <w:rFonts w:ascii="Arial" w:hAnsi="Arial" w:cs="Arial"/>
          <w:sz w:val="22"/>
          <w:szCs w:val="22"/>
        </w:rPr>
        <w:t xml:space="preserve"> </w:t>
      </w:r>
      <w:r w:rsidR="00AA28F6" w:rsidRPr="00C403F6">
        <w:rPr>
          <w:rFonts w:ascii="Arial" w:hAnsi="Arial" w:cs="Arial"/>
          <w:sz w:val="22"/>
          <w:szCs w:val="22"/>
        </w:rPr>
        <w:t xml:space="preserve">Combined, </w:t>
      </w:r>
      <w:r w:rsidRPr="00C403F6">
        <w:rPr>
          <w:rFonts w:ascii="Arial" w:hAnsi="Arial" w:cs="Arial"/>
          <w:sz w:val="22"/>
          <w:szCs w:val="22"/>
        </w:rPr>
        <w:t>they promote holistic, dignified care and align with UK policy ambitions for integration and personalisation.</w:t>
      </w:r>
    </w:p>
    <w:p w14:paraId="638F57A8" w14:textId="2A2DFB3C" w:rsidR="004B25EC" w:rsidRPr="00C403F6" w:rsidRDefault="004B25EC" w:rsidP="00C403F6">
      <w:pPr>
        <w:spacing w:line="360" w:lineRule="auto"/>
        <w:rPr>
          <w:rFonts w:ascii="Arial" w:hAnsi="Arial" w:cs="Arial"/>
          <w:sz w:val="22"/>
          <w:szCs w:val="22"/>
        </w:rPr>
      </w:pPr>
      <w:r w:rsidRPr="00C403F6">
        <w:rPr>
          <w:rFonts w:ascii="Arial" w:hAnsi="Arial" w:cs="Arial"/>
          <w:sz w:val="22"/>
          <w:szCs w:val="22"/>
        </w:rPr>
        <w:lastRenderedPageBreak/>
        <w:t>This report defines PCC and analyses its benefits and limitations, critically examines the Person-Centred Nursing Framework as an underpinning theory, analyses ethical fundamentals, evaluates PW, explores its application in community-based multidisciplinary teams supporting older adults with frailty and long-term conditions, discusses relevant policy and legislation, and provides evidence-based recommendations for future development in the UK. The chosen setting illustrates how PCC and PW operate together in neighbourhood health services within Integrated Care Systems (ICSs).</w:t>
      </w:r>
    </w:p>
    <w:p w14:paraId="333BC734" w14:textId="77777777" w:rsidR="00CD6E18" w:rsidRPr="00C403F6" w:rsidRDefault="00CD6E18" w:rsidP="00C403F6">
      <w:pPr>
        <w:spacing w:line="360" w:lineRule="auto"/>
        <w:jc w:val="center"/>
        <w:rPr>
          <w:rFonts w:ascii="Arial" w:hAnsi="Arial" w:cs="Arial"/>
          <w:b/>
          <w:bCs/>
          <w:sz w:val="22"/>
          <w:szCs w:val="22"/>
        </w:rPr>
      </w:pPr>
      <w:r w:rsidRPr="00C403F6">
        <w:rPr>
          <w:rFonts w:ascii="Arial" w:hAnsi="Arial" w:cs="Arial"/>
          <w:b/>
          <w:bCs/>
          <w:sz w:val="22"/>
          <w:szCs w:val="22"/>
        </w:rPr>
        <w:t>Definition, Benefits, and Limitations of Person-Centred Care</w:t>
      </w:r>
    </w:p>
    <w:p w14:paraId="2E38C1D3" w14:textId="575F7E80" w:rsidR="004B25EC" w:rsidRPr="00C403F6" w:rsidRDefault="00CD6E18" w:rsidP="00C403F6">
      <w:pPr>
        <w:spacing w:line="360" w:lineRule="auto"/>
        <w:rPr>
          <w:rFonts w:ascii="Arial" w:hAnsi="Arial" w:cs="Arial"/>
          <w:sz w:val="22"/>
          <w:szCs w:val="22"/>
        </w:rPr>
      </w:pPr>
      <w:r w:rsidRPr="00C403F6">
        <w:rPr>
          <w:rFonts w:ascii="Arial" w:hAnsi="Arial" w:cs="Arial"/>
          <w:sz w:val="22"/>
          <w:szCs w:val="22"/>
        </w:rPr>
        <w:t>Person-Centred Care is an approach that respects and responds to individuals’ preferences, needs, and values, guiding all clinical decisions. It emphasises dignity, compassion, coordinated support, personalisation, and empowerment</w:t>
      </w:r>
      <w:r w:rsidR="003D7CBD" w:rsidRPr="00C403F6">
        <w:rPr>
          <w:rFonts w:ascii="Arial" w:hAnsi="Arial" w:cs="Arial"/>
          <w:sz w:val="22"/>
          <w:szCs w:val="22"/>
        </w:rPr>
        <w:t xml:space="preserve"> (NHS, 2026).</w:t>
      </w:r>
      <w:r w:rsidR="00890761" w:rsidRPr="00C403F6">
        <w:rPr>
          <w:rFonts w:ascii="Arial" w:hAnsi="Arial" w:cs="Arial"/>
          <w:sz w:val="22"/>
          <w:szCs w:val="22"/>
        </w:rPr>
        <w:t xml:space="preserve"> Person-centred care is an approach that treats individuals as equal partners in planning, delivering, and reviewing their care. It focuses on their personal circumstances, values, needs, and preferences rather than solely on clinical conditions</w:t>
      </w:r>
    </w:p>
    <w:p w14:paraId="73C93BFF" w14:textId="537FC20B" w:rsidR="00435104" w:rsidRPr="00C403F6" w:rsidRDefault="00435104" w:rsidP="00C403F6">
      <w:pPr>
        <w:spacing w:line="360" w:lineRule="auto"/>
        <w:rPr>
          <w:rFonts w:ascii="Arial" w:hAnsi="Arial" w:cs="Arial"/>
          <w:sz w:val="22"/>
          <w:szCs w:val="22"/>
        </w:rPr>
      </w:pPr>
      <w:r w:rsidRPr="00C403F6">
        <w:rPr>
          <w:rFonts w:ascii="Arial" w:hAnsi="Arial" w:cs="Arial"/>
          <w:sz w:val="22"/>
          <w:szCs w:val="22"/>
        </w:rPr>
        <w:t>The main benefits of Person-Centred Care (PCC) include better health outcomes, higher patient satisfaction, greater treatment adherence, and improved quality of life through empowerment and dignity. PCC helps reduce unnecessary interventions and supports cost-effectiveness by aligning care with what matters most to the individual, leading to fewer hospital admissions and better management of long-term conditions. Research also shows that it enhances emotional well-being and enables patients to achieve their health goals more efficiently. In community-based multidisciplinary teams (MDTs) caring for older adults, PCC supports holistic assessments, aligns care with personal goals, promotes independence, and reduces avoidable interventions (Nkhoma et al., 2022).</w:t>
      </w:r>
    </w:p>
    <w:p w14:paraId="232984EC" w14:textId="1B7C2EBF" w:rsidR="006902D4" w:rsidRPr="00C403F6" w:rsidRDefault="00435104" w:rsidP="00C403F6">
      <w:pPr>
        <w:spacing w:line="360" w:lineRule="auto"/>
        <w:rPr>
          <w:rFonts w:ascii="Arial" w:hAnsi="Arial" w:cs="Arial"/>
          <w:sz w:val="22"/>
          <w:szCs w:val="22"/>
        </w:rPr>
      </w:pPr>
      <w:r w:rsidRPr="00C403F6">
        <w:rPr>
          <w:rFonts w:ascii="Arial" w:hAnsi="Arial" w:cs="Arial"/>
          <w:sz w:val="22"/>
          <w:szCs w:val="22"/>
        </w:rPr>
        <w:t>However, PCC is not without its challenges. It can be resource-intensive, requiring additional time, skilled staff, and organisational culture change</w:t>
      </w:r>
      <w:r w:rsidR="001D38DB" w:rsidRPr="00C403F6">
        <w:rPr>
          <w:rFonts w:ascii="Arial" w:hAnsi="Arial" w:cs="Arial"/>
          <w:sz w:val="22"/>
          <w:szCs w:val="22"/>
        </w:rPr>
        <w:t xml:space="preserve">, and </w:t>
      </w:r>
      <w:r w:rsidRPr="00C403F6">
        <w:rPr>
          <w:rFonts w:ascii="Arial" w:hAnsi="Arial" w:cs="Arial"/>
          <w:sz w:val="22"/>
          <w:szCs w:val="22"/>
        </w:rPr>
        <w:t>difficult demands in high-pressure acute or understaffed environments. Implementation can also be inconsistent due to professional resistance, capacity constraints under the Mental Capacity Act 2005, or systemic barriers such as fragmented services. Complex cases involving multi-morbidity can further complicate decision-making, as balancing individual preferences with clinical safety or resource limitations may be difficult. In community MDT settings, these challenges often appear as workload pressures and variable access to shared information, which can limit consistent implementation even when strong policy frameworks exist. Despite these limitations, PCC remains a cornerstone of ethical and effective care when supported by the right structures and organisational commitment (The Health Foundation, 2014).</w:t>
      </w:r>
    </w:p>
    <w:p w14:paraId="4980D89C" w14:textId="77777777" w:rsidR="00010536" w:rsidRPr="00C403F6" w:rsidRDefault="00735E44" w:rsidP="00C403F6">
      <w:pPr>
        <w:spacing w:line="360" w:lineRule="auto"/>
        <w:jc w:val="center"/>
        <w:rPr>
          <w:rFonts w:ascii="Arial" w:hAnsi="Arial" w:cs="Arial"/>
          <w:b/>
          <w:bCs/>
          <w:sz w:val="22"/>
          <w:szCs w:val="22"/>
        </w:rPr>
      </w:pPr>
      <w:r w:rsidRPr="00C403F6">
        <w:rPr>
          <w:rFonts w:ascii="Arial" w:hAnsi="Arial" w:cs="Arial"/>
          <w:b/>
          <w:bCs/>
          <w:sz w:val="22"/>
          <w:szCs w:val="22"/>
        </w:rPr>
        <w:lastRenderedPageBreak/>
        <w:t>Theory Underpinning PCC: Critical Examination of the Person-Centred Nursing Framework</w:t>
      </w:r>
    </w:p>
    <w:p w14:paraId="4B91EED6" w14:textId="1713F7B6" w:rsidR="00C13268" w:rsidRPr="00C403F6" w:rsidRDefault="00735E44" w:rsidP="00C403F6">
      <w:pPr>
        <w:spacing w:line="360" w:lineRule="auto"/>
        <w:rPr>
          <w:rFonts w:ascii="Arial" w:hAnsi="Arial" w:cs="Arial"/>
          <w:sz w:val="22"/>
          <w:szCs w:val="22"/>
        </w:rPr>
      </w:pPr>
      <w:r w:rsidRPr="00C403F6">
        <w:rPr>
          <w:rFonts w:ascii="Arial" w:hAnsi="Arial" w:cs="Arial"/>
          <w:sz w:val="22"/>
          <w:szCs w:val="22"/>
        </w:rPr>
        <w:t xml:space="preserve">The Person-Centred Nursing Framework (PCNF), developed by McCormack and McCance </w:t>
      </w:r>
      <w:r w:rsidR="008D072D" w:rsidRPr="00C403F6">
        <w:rPr>
          <w:rFonts w:ascii="Arial" w:hAnsi="Arial" w:cs="Arial"/>
          <w:sz w:val="22"/>
          <w:szCs w:val="22"/>
        </w:rPr>
        <w:t>(</w:t>
      </w:r>
      <w:r w:rsidRPr="00C403F6">
        <w:rPr>
          <w:rFonts w:ascii="Arial" w:hAnsi="Arial" w:cs="Arial"/>
          <w:sz w:val="22"/>
          <w:szCs w:val="22"/>
        </w:rPr>
        <w:t>2025), is a mid-range theory comprising four domains: prerequisites (nurse attributes like authenticity and expertise), the care environment (supportive culture and leadership), person-centred processes (shared decision-making, sympathetic presence, engagement), and person-centred outcomes</w:t>
      </w:r>
      <w:r w:rsidR="008B7A33" w:rsidRPr="00C403F6">
        <w:rPr>
          <w:rFonts w:ascii="Arial" w:hAnsi="Arial" w:cs="Arial"/>
          <w:sz w:val="22"/>
          <w:szCs w:val="22"/>
        </w:rPr>
        <w:t>.</w:t>
      </w:r>
    </w:p>
    <w:p w14:paraId="2EF66760" w14:textId="4979E3AB" w:rsidR="008B7A33" w:rsidRPr="00C403F6" w:rsidRDefault="008B7A33" w:rsidP="00C403F6">
      <w:pPr>
        <w:spacing w:line="360" w:lineRule="auto"/>
        <w:rPr>
          <w:rFonts w:ascii="Arial" w:hAnsi="Arial" w:cs="Arial"/>
          <w:sz w:val="22"/>
          <w:szCs w:val="22"/>
        </w:rPr>
      </w:pPr>
      <w:r w:rsidRPr="00C403F6">
        <w:rPr>
          <w:rFonts w:ascii="Arial" w:hAnsi="Arial" w:cs="Arial"/>
          <w:sz w:val="22"/>
          <w:szCs w:val="22"/>
        </w:rPr>
        <w:t xml:space="preserve">This framework, rooted in humanistic psychology, supports PCC principles by linking individual interactions to organisational systems. It promotes relationship-based, holistic practice over task-oriented care. Strengths include its practical applicability and evidence base across settings. </w:t>
      </w:r>
      <w:r w:rsidR="00757AF8" w:rsidRPr="00C403F6">
        <w:rPr>
          <w:rFonts w:ascii="Arial" w:hAnsi="Arial" w:cs="Arial"/>
          <w:sz w:val="22"/>
          <w:szCs w:val="22"/>
        </w:rPr>
        <w:t>Critically, the PCNF’s strengths lie in its practicality and evidence base. It provides actionable strategies for practice development, supported by empirical research across settings, and explicitly links micro-level interactions to macro-level organisational change. It promotes measurable outcomes and aligns well with multi-professional working. However, limitations include its primary focus on nursing, which may undervalue contributions from other disciplines (e.g., social work or allied health). Implementation demands significant investment in staff development and leadership</w:t>
      </w:r>
      <w:r w:rsidR="003C04D8" w:rsidRPr="00C403F6">
        <w:rPr>
          <w:rFonts w:ascii="Arial" w:hAnsi="Arial" w:cs="Arial"/>
          <w:sz w:val="22"/>
          <w:szCs w:val="22"/>
        </w:rPr>
        <w:t xml:space="preserve">, </w:t>
      </w:r>
      <w:r w:rsidR="00757AF8" w:rsidRPr="00C403F6">
        <w:rPr>
          <w:rFonts w:ascii="Arial" w:hAnsi="Arial" w:cs="Arial"/>
          <w:sz w:val="22"/>
          <w:szCs w:val="22"/>
        </w:rPr>
        <w:t>often constrained by workforce shortages</w:t>
      </w:r>
      <w:r w:rsidR="003C04D8" w:rsidRPr="00C403F6">
        <w:rPr>
          <w:rFonts w:ascii="Arial" w:hAnsi="Arial" w:cs="Arial"/>
          <w:sz w:val="22"/>
          <w:szCs w:val="22"/>
        </w:rPr>
        <w:t xml:space="preserve">, </w:t>
      </w:r>
      <w:r w:rsidR="00757AF8" w:rsidRPr="00C403F6">
        <w:rPr>
          <w:rFonts w:ascii="Arial" w:hAnsi="Arial" w:cs="Arial"/>
          <w:sz w:val="22"/>
          <w:szCs w:val="22"/>
        </w:rPr>
        <w:t>and critics argue it can remain aspirational in resource-limited environments where biomedical priorities dominate. Nonetheless, the PCNF offers a robust, theoretically grounded model that operationalises PCC and bridges theory to frontline practice</w:t>
      </w:r>
      <w:r w:rsidR="00990ABF" w:rsidRPr="00C403F6">
        <w:rPr>
          <w:rFonts w:ascii="Arial" w:hAnsi="Arial" w:cs="Arial"/>
          <w:sz w:val="22"/>
          <w:szCs w:val="22"/>
        </w:rPr>
        <w:t xml:space="preserve"> </w:t>
      </w:r>
      <w:r w:rsidR="00085B7C" w:rsidRPr="00C403F6">
        <w:rPr>
          <w:rFonts w:ascii="Arial" w:hAnsi="Arial" w:cs="Arial"/>
          <w:sz w:val="22"/>
          <w:szCs w:val="22"/>
        </w:rPr>
        <w:t>(Mc</w:t>
      </w:r>
      <w:r w:rsidR="00BA0502" w:rsidRPr="00C403F6">
        <w:rPr>
          <w:rFonts w:ascii="Arial" w:hAnsi="Arial" w:cs="Arial"/>
          <w:sz w:val="22"/>
          <w:szCs w:val="22"/>
        </w:rPr>
        <w:t>Cormack</w:t>
      </w:r>
      <w:r w:rsidR="008D072D" w:rsidRPr="00C403F6">
        <w:rPr>
          <w:rFonts w:ascii="Arial" w:hAnsi="Arial" w:cs="Arial"/>
          <w:sz w:val="22"/>
          <w:szCs w:val="22"/>
        </w:rPr>
        <w:t xml:space="preserve">, </w:t>
      </w:r>
      <w:r w:rsidR="00A7517B" w:rsidRPr="00C403F6">
        <w:rPr>
          <w:rFonts w:ascii="Arial" w:hAnsi="Arial" w:cs="Arial"/>
          <w:sz w:val="22"/>
          <w:szCs w:val="22"/>
        </w:rPr>
        <w:t>2011).</w:t>
      </w:r>
      <w:r w:rsidR="00BA0502" w:rsidRPr="00C403F6">
        <w:rPr>
          <w:rFonts w:ascii="Arial" w:hAnsi="Arial" w:cs="Arial"/>
          <w:sz w:val="22"/>
          <w:szCs w:val="22"/>
        </w:rPr>
        <w:t xml:space="preserve"> </w:t>
      </w:r>
    </w:p>
    <w:p w14:paraId="6D31EBB8" w14:textId="3DE8A039" w:rsidR="008B7A33" w:rsidRPr="00C403F6" w:rsidRDefault="008B7A33" w:rsidP="00C403F6">
      <w:pPr>
        <w:spacing w:line="360" w:lineRule="auto"/>
        <w:rPr>
          <w:rFonts w:ascii="Arial" w:hAnsi="Arial" w:cs="Arial"/>
          <w:sz w:val="22"/>
          <w:szCs w:val="22"/>
        </w:rPr>
      </w:pPr>
      <w:r w:rsidRPr="00C403F6">
        <w:rPr>
          <w:rFonts w:ascii="Arial" w:hAnsi="Arial" w:cs="Arial"/>
          <w:sz w:val="22"/>
          <w:szCs w:val="22"/>
        </w:rPr>
        <w:t>In the chosen MDT setting for frail older adults, the PCNF guides holistic assessments and co-produced care plans, facilitating shared power and biographical understanding. However, fragmented records and time pressures can hinder full application, highlighting the need for supportive environments to translate theory into sustained practice.</w:t>
      </w:r>
    </w:p>
    <w:p w14:paraId="4DDADA1B" w14:textId="77777777" w:rsidR="00A9161B" w:rsidRPr="00C403F6" w:rsidRDefault="00A9161B" w:rsidP="00C403F6">
      <w:pPr>
        <w:spacing w:line="360" w:lineRule="auto"/>
        <w:jc w:val="center"/>
        <w:rPr>
          <w:rFonts w:ascii="Arial" w:hAnsi="Arial" w:cs="Arial"/>
          <w:sz w:val="22"/>
          <w:szCs w:val="22"/>
        </w:rPr>
      </w:pPr>
    </w:p>
    <w:p w14:paraId="733497FA" w14:textId="4DDDB7A3" w:rsidR="000F5300" w:rsidRPr="00C403F6" w:rsidRDefault="000F5300" w:rsidP="00C403F6">
      <w:pPr>
        <w:spacing w:line="360" w:lineRule="auto"/>
        <w:jc w:val="center"/>
        <w:rPr>
          <w:rFonts w:ascii="Arial" w:hAnsi="Arial" w:cs="Arial"/>
          <w:sz w:val="22"/>
          <w:szCs w:val="22"/>
        </w:rPr>
      </w:pPr>
      <w:r w:rsidRPr="00C403F6">
        <w:rPr>
          <w:rFonts w:ascii="Arial" w:hAnsi="Arial" w:cs="Arial"/>
          <w:sz w:val="22"/>
          <w:szCs w:val="22"/>
        </w:rPr>
        <w:t>Ethical Fundamentals of Health and Social Care</w:t>
      </w:r>
    </w:p>
    <w:p w14:paraId="20FC115B" w14:textId="49AD53DC" w:rsidR="008B7A33" w:rsidRPr="00C403F6" w:rsidRDefault="000F5300" w:rsidP="00C403F6">
      <w:pPr>
        <w:spacing w:line="360" w:lineRule="auto"/>
        <w:rPr>
          <w:rFonts w:ascii="Arial" w:hAnsi="Arial" w:cs="Arial"/>
          <w:sz w:val="22"/>
          <w:szCs w:val="22"/>
        </w:rPr>
      </w:pPr>
      <w:r w:rsidRPr="00C403F6">
        <w:rPr>
          <w:rFonts w:ascii="Arial" w:hAnsi="Arial" w:cs="Arial"/>
          <w:sz w:val="22"/>
          <w:szCs w:val="22"/>
        </w:rPr>
        <w:t>Ethical practice rests on Beauchamp</w:t>
      </w:r>
      <w:r w:rsidR="00B9675A" w:rsidRPr="00C403F6">
        <w:rPr>
          <w:rFonts w:ascii="Arial" w:hAnsi="Arial" w:cs="Arial"/>
          <w:sz w:val="22"/>
          <w:szCs w:val="22"/>
        </w:rPr>
        <w:t xml:space="preserve"> </w:t>
      </w:r>
      <w:r w:rsidRPr="00C403F6">
        <w:rPr>
          <w:rFonts w:ascii="Arial" w:hAnsi="Arial" w:cs="Arial"/>
          <w:sz w:val="22"/>
          <w:szCs w:val="22"/>
        </w:rPr>
        <w:t xml:space="preserve">and Childress’s four principles: respect for autonomy, beneficence, non-maleficence, and justice. These provide a flexible framework </w:t>
      </w:r>
      <w:r w:rsidR="00AC5C1B" w:rsidRPr="00C403F6">
        <w:rPr>
          <w:rFonts w:ascii="Arial" w:hAnsi="Arial" w:cs="Arial"/>
          <w:sz w:val="22"/>
          <w:szCs w:val="22"/>
        </w:rPr>
        <w:t xml:space="preserve">that is </w:t>
      </w:r>
      <w:r w:rsidRPr="00C403F6">
        <w:rPr>
          <w:rFonts w:ascii="Arial" w:hAnsi="Arial" w:cs="Arial"/>
          <w:sz w:val="22"/>
          <w:szCs w:val="22"/>
        </w:rPr>
        <w:t>widely used in UK professional codes</w:t>
      </w:r>
      <w:r w:rsidR="00B9675A" w:rsidRPr="00C403F6">
        <w:rPr>
          <w:rFonts w:ascii="Arial" w:hAnsi="Arial" w:cs="Arial"/>
          <w:sz w:val="22"/>
          <w:szCs w:val="22"/>
        </w:rPr>
        <w:t xml:space="preserve"> (Beauchamp and Childress, 2019).</w:t>
      </w:r>
    </w:p>
    <w:p w14:paraId="76E2470F" w14:textId="1F06CE43" w:rsidR="00AC5C1B" w:rsidRPr="00C403F6" w:rsidRDefault="00EA0E9B" w:rsidP="00C403F6">
      <w:pPr>
        <w:spacing w:line="360" w:lineRule="auto"/>
        <w:rPr>
          <w:rFonts w:ascii="Arial" w:hAnsi="Arial" w:cs="Arial"/>
          <w:sz w:val="22"/>
          <w:szCs w:val="22"/>
        </w:rPr>
      </w:pPr>
      <w:r w:rsidRPr="00C403F6">
        <w:rPr>
          <w:rFonts w:ascii="Arial" w:hAnsi="Arial" w:cs="Arial"/>
          <w:sz w:val="22"/>
          <w:szCs w:val="22"/>
        </w:rPr>
        <w:t xml:space="preserve">Autonomy requires respecting individuals’ decision-making capacity and obtaining informed consent, which directly aligns with PCC’s emphasis on personal values and choice. Beneficence obliges acting in the person’s best interests (e.g., promoting wellbeing), while non-maleficence demands avoiding harm principles that PCC balances through </w:t>
      </w:r>
      <w:r w:rsidRPr="00C403F6">
        <w:rPr>
          <w:rFonts w:ascii="Arial" w:hAnsi="Arial" w:cs="Arial"/>
          <w:sz w:val="22"/>
          <w:szCs w:val="22"/>
        </w:rPr>
        <w:lastRenderedPageBreak/>
        <w:t>personalised, dignity-focused care. Justice ensures fair distribution of resources and access, addressing inequalities. PCC embodies these by prioritising the person’s perspective, but tensions arise, for instance, respecting autonomy may conflict with beneficence in cases of capacity impairment or lack of resources. Justice</w:t>
      </w:r>
      <w:r w:rsidR="00AC5C1B" w:rsidRPr="00C403F6">
        <w:rPr>
          <w:rFonts w:ascii="Arial" w:hAnsi="Arial" w:cs="Arial"/>
          <w:sz w:val="22"/>
          <w:szCs w:val="22"/>
        </w:rPr>
        <w:t xml:space="preserve"> ensures equitable access and resource distribution.</w:t>
      </w:r>
    </w:p>
    <w:p w14:paraId="2578BAEC" w14:textId="35F7E166" w:rsidR="00AC5C1B" w:rsidRPr="00C403F6" w:rsidRDefault="00AC5C1B" w:rsidP="00C403F6">
      <w:pPr>
        <w:spacing w:line="360" w:lineRule="auto"/>
        <w:rPr>
          <w:rFonts w:ascii="Arial" w:hAnsi="Arial" w:cs="Arial"/>
          <w:sz w:val="22"/>
          <w:szCs w:val="22"/>
        </w:rPr>
      </w:pPr>
      <w:r w:rsidRPr="00C403F6">
        <w:rPr>
          <w:rFonts w:ascii="Arial" w:hAnsi="Arial" w:cs="Arial"/>
          <w:sz w:val="22"/>
          <w:szCs w:val="22"/>
        </w:rPr>
        <w:t>In community MDTs for older adults, ethical dilemmas include balancing autonomy in capacity-limited cases (e.g., advanced frailty) with beneficence in risk management, or justice in allocating limited community resources. Resolutions often involve Mental Capacity Act assessments and multidisciplinary discussions. Differing viewpoints exist; some prioritise autonomy, while others emphasise protective beneficence for vulnerable populations. PCC and PW mitigate tensions by promoting transparent collaboration and co-production, though power imbalances can still arise.</w:t>
      </w:r>
    </w:p>
    <w:p w14:paraId="52718AD0" w14:textId="77777777" w:rsidR="0052107B" w:rsidRPr="00C403F6" w:rsidRDefault="0052107B" w:rsidP="00C403F6">
      <w:pPr>
        <w:spacing w:line="360" w:lineRule="auto"/>
        <w:jc w:val="center"/>
        <w:rPr>
          <w:rFonts w:ascii="Arial" w:hAnsi="Arial" w:cs="Arial"/>
          <w:sz w:val="22"/>
          <w:szCs w:val="22"/>
        </w:rPr>
      </w:pPr>
      <w:r w:rsidRPr="00C403F6">
        <w:rPr>
          <w:rFonts w:ascii="Arial" w:hAnsi="Arial" w:cs="Arial"/>
          <w:sz w:val="22"/>
          <w:szCs w:val="22"/>
        </w:rPr>
        <w:t>Evaluation of Partnership Working</w:t>
      </w:r>
    </w:p>
    <w:p w14:paraId="5FD73561" w14:textId="59854962" w:rsidR="00AC5C1B" w:rsidRPr="00C403F6" w:rsidRDefault="0052107B" w:rsidP="00C403F6">
      <w:pPr>
        <w:spacing w:line="360" w:lineRule="auto"/>
        <w:rPr>
          <w:rFonts w:ascii="Arial" w:hAnsi="Arial" w:cs="Arial"/>
          <w:sz w:val="22"/>
          <w:szCs w:val="22"/>
        </w:rPr>
      </w:pPr>
      <w:r w:rsidRPr="00C403F6">
        <w:rPr>
          <w:rFonts w:ascii="Arial" w:hAnsi="Arial" w:cs="Arial"/>
          <w:sz w:val="22"/>
          <w:szCs w:val="22"/>
        </w:rPr>
        <w:t>Partnership Working involves collaborative arrangements between health and social care professionals, organisations, service users, carers, and communities to deliver seamless, holistic support. It is central to Integrated Care Systems (ICSs), which bring together the NHS, local authorities, and the voluntary sector</w:t>
      </w:r>
      <w:r w:rsidR="00E413E5" w:rsidRPr="00C403F6">
        <w:rPr>
          <w:rFonts w:ascii="Arial" w:hAnsi="Arial" w:cs="Arial"/>
          <w:sz w:val="22"/>
          <w:szCs w:val="22"/>
        </w:rPr>
        <w:t xml:space="preserve"> (NHS, 2023).</w:t>
      </w:r>
    </w:p>
    <w:p w14:paraId="12BE0C60" w14:textId="5C8D92E8" w:rsidR="001916F6" w:rsidRPr="00C403F6" w:rsidRDefault="001916F6" w:rsidP="00C403F6">
      <w:pPr>
        <w:spacing w:line="360" w:lineRule="auto"/>
        <w:rPr>
          <w:rFonts w:ascii="Arial" w:hAnsi="Arial" w:cs="Arial"/>
          <w:sz w:val="22"/>
          <w:szCs w:val="22"/>
        </w:rPr>
      </w:pPr>
      <w:r w:rsidRPr="00C403F6">
        <w:rPr>
          <w:rFonts w:ascii="Arial" w:hAnsi="Arial" w:cs="Arial"/>
          <w:sz w:val="22"/>
          <w:szCs w:val="22"/>
        </w:rPr>
        <w:t>Benefits include reduced duplication, improved coordination, better outcomes for complex needs, innovation, and user empowerment. Challenges include professional and cultural differences, communication barriers, funding silos, and power imbalances, leading to inconsistent implementation.</w:t>
      </w:r>
    </w:p>
    <w:p w14:paraId="312E002A" w14:textId="7BA96B8F" w:rsidR="00E413E5" w:rsidRPr="00C403F6" w:rsidRDefault="001916F6" w:rsidP="00C403F6">
      <w:pPr>
        <w:spacing w:line="360" w:lineRule="auto"/>
        <w:rPr>
          <w:rFonts w:ascii="Arial" w:hAnsi="Arial" w:cs="Arial"/>
          <w:sz w:val="22"/>
          <w:szCs w:val="22"/>
        </w:rPr>
      </w:pPr>
      <w:r w:rsidRPr="00C403F6">
        <w:rPr>
          <w:rFonts w:ascii="Arial" w:hAnsi="Arial" w:cs="Arial"/>
          <w:sz w:val="22"/>
          <w:szCs w:val="22"/>
        </w:rPr>
        <w:t>In the chosen community MDT setting, PW enables integrated assessments for frail older adults, combining medical management, social support, and voluntary sector input. This reduces admissions and supports independence. Evidence shows positive process improvements, though consistent gains in outcomes require strong governance.</w:t>
      </w:r>
      <w:r w:rsidR="00F6682B" w:rsidRPr="00C403F6">
        <w:rPr>
          <w:rFonts w:ascii="Arial" w:hAnsi="Arial" w:cs="Arial"/>
          <w:sz w:val="22"/>
          <w:szCs w:val="22"/>
        </w:rPr>
        <w:t xml:space="preserve"> Therefore,</w:t>
      </w:r>
      <w:r w:rsidR="00B80DBC" w:rsidRPr="00C403F6">
        <w:rPr>
          <w:rFonts w:ascii="Arial" w:hAnsi="Arial" w:cs="Arial"/>
          <w:sz w:val="22"/>
          <w:szCs w:val="22"/>
        </w:rPr>
        <w:t xml:space="preserve"> the four principles provide a flexible yet principled foundation that reinforces PCC and PW as morally imperative rather than optional.</w:t>
      </w:r>
      <w:r w:rsidR="00F6682B" w:rsidRPr="00C403F6">
        <w:rPr>
          <w:rFonts w:ascii="Arial" w:hAnsi="Arial" w:cs="Arial"/>
          <w:sz w:val="22"/>
          <w:szCs w:val="22"/>
        </w:rPr>
        <w:t xml:space="preserve"> </w:t>
      </w:r>
      <w:r w:rsidRPr="00C403F6">
        <w:rPr>
          <w:rFonts w:ascii="Arial" w:hAnsi="Arial" w:cs="Arial"/>
          <w:sz w:val="22"/>
          <w:szCs w:val="22"/>
        </w:rPr>
        <w:t>Overall, PW is essential for addressing multi</w:t>
      </w:r>
      <w:r w:rsidR="0023428F" w:rsidRPr="00C403F6">
        <w:rPr>
          <w:rFonts w:ascii="Arial" w:hAnsi="Arial" w:cs="Arial"/>
          <w:sz w:val="22"/>
          <w:szCs w:val="22"/>
        </w:rPr>
        <w:t xml:space="preserve">ple </w:t>
      </w:r>
      <w:r w:rsidR="00F6682B" w:rsidRPr="00C403F6">
        <w:rPr>
          <w:rFonts w:ascii="Arial" w:hAnsi="Arial" w:cs="Arial"/>
          <w:sz w:val="22"/>
          <w:szCs w:val="22"/>
        </w:rPr>
        <w:t xml:space="preserve">problems </w:t>
      </w:r>
      <w:r w:rsidR="00156246" w:rsidRPr="00C403F6">
        <w:rPr>
          <w:rFonts w:ascii="Arial" w:hAnsi="Arial" w:cs="Arial"/>
          <w:sz w:val="22"/>
          <w:szCs w:val="22"/>
        </w:rPr>
        <w:t>yet</w:t>
      </w:r>
      <w:r w:rsidRPr="00C403F6">
        <w:rPr>
          <w:rFonts w:ascii="Arial" w:hAnsi="Arial" w:cs="Arial"/>
          <w:sz w:val="22"/>
          <w:szCs w:val="22"/>
        </w:rPr>
        <w:t xml:space="preserve"> demands sustained leadership to overcome barriers. </w:t>
      </w:r>
    </w:p>
    <w:p w14:paraId="3F7FD643" w14:textId="77777777" w:rsidR="00F532F9" w:rsidRPr="00C403F6" w:rsidRDefault="00F532F9" w:rsidP="00C403F6">
      <w:pPr>
        <w:spacing w:line="360" w:lineRule="auto"/>
        <w:jc w:val="center"/>
        <w:rPr>
          <w:rFonts w:ascii="Arial" w:hAnsi="Arial" w:cs="Arial"/>
          <w:b/>
          <w:bCs/>
          <w:sz w:val="22"/>
          <w:szCs w:val="22"/>
        </w:rPr>
      </w:pPr>
      <w:r w:rsidRPr="00C403F6">
        <w:rPr>
          <w:rFonts w:ascii="Arial" w:hAnsi="Arial" w:cs="Arial"/>
          <w:b/>
          <w:bCs/>
          <w:sz w:val="22"/>
          <w:szCs w:val="22"/>
        </w:rPr>
        <w:t>Application of Partnership Working in the Chosen Setting</w:t>
      </w:r>
    </w:p>
    <w:p w14:paraId="351E7A3F" w14:textId="12A15C66" w:rsidR="00156246" w:rsidRPr="00C403F6" w:rsidRDefault="00156246" w:rsidP="00C403F6">
      <w:pPr>
        <w:spacing w:line="360" w:lineRule="auto"/>
        <w:rPr>
          <w:rFonts w:ascii="Arial" w:hAnsi="Arial" w:cs="Arial"/>
          <w:sz w:val="22"/>
          <w:szCs w:val="22"/>
        </w:rPr>
      </w:pPr>
      <w:r w:rsidRPr="00C403F6">
        <w:rPr>
          <w:rFonts w:ascii="Arial" w:hAnsi="Arial" w:cs="Arial"/>
          <w:sz w:val="22"/>
          <w:szCs w:val="22"/>
        </w:rPr>
        <w:t>Partnership working refers to collaborative arrangements between health and social care professionals, organisations, service users, carers, and communities to deliver integrated, seamless support. It moves beyond</w:t>
      </w:r>
      <w:r w:rsidR="000736E0" w:rsidRPr="00C403F6">
        <w:rPr>
          <w:rFonts w:ascii="Arial" w:hAnsi="Arial" w:cs="Arial"/>
          <w:sz w:val="22"/>
          <w:szCs w:val="22"/>
        </w:rPr>
        <w:t xml:space="preserve"> segregated </w:t>
      </w:r>
      <w:r w:rsidRPr="00C403F6">
        <w:rPr>
          <w:rFonts w:ascii="Arial" w:hAnsi="Arial" w:cs="Arial"/>
          <w:sz w:val="22"/>
          <w:szCs w:val="22"/>
        </w:rPr>
        <w:t>work to shared goals, information, and accountability</w:t>
      </w:r>
      <w:r w:rsidR="007119D5" w:rsidRPr="00C403F6">
        <w:rPr>
          <w:rFonts w:ascii="Arial" w:hAnsi="Arial" w:cs="Arial"/>
          <w:sz w:val="22"/>
          <w:szCs w:val="22"/>
        </w:rPr>
        <w:t xml:space="preserve"> (ROC, 2026). </w:t>
      </w:r>
      <w:r w:rsidR="00C54ADC" w:rsidRPr="00C403F6">
        <w:rPr>
          <w:rFonts w:ascii="Arial" w:hAnsi="Arial" w:cs="Arial"/>
          <w:sz w:val="22"/>
          <w:szCs w:val="22"/>
        </w:rPr>
        <w:t xml:space="preserve"> However, the evaluation reveals challenges. Barriers include different professional cultures, power imbalances, bureaucratic structures, funding silos, and </w:t>
      </w:r>
      <w:r w:rsidR="00C54ADC" w:rsidRPr="00C403F6">
        <w:rPr>
          <w:rFonts w:ascii="Arial" w:hAnsi="Arial" w:cs="Arial"/>
          <w:sz w:val="22"/>
          <w:szCs w:val="22"/>
        </w:rPr>
        <w:lastRenderedPageBreak/>
        <w:t xml:space="preserve">communication failures, which can lead to fragmented implementation and variable outcomes. Evidence on effectiveness is mixed, </w:t>
      </w:r>
      <w:r w:rsidR="00B0042A" w:rsidRPr="00C403F6">
        <w:rPr>
          <w:rFonts w:ascii="Arial" w:hAnsi="Arial" w:cs="Arial"/>
          <w:sz w:val="22"/>
          <w:szCs w:val="22"/>
        </w:rPr>
        <w:t xml:space="preserve">with </w:t>
      </w:r>
      <w:r w:rsidR="00C54ADC" w:rsidRPr="00C403F6">
        <w:rPr>
          <w:rFonts w:ascii="Arial" w:hAnsi="Arial" w:cs="Arial"/>
          <w:sz w:val="22"/>
          <w:szCs w:val="22"/>
        </w:rPr>
        <w:t xml:space="preserve">stronger </w:t>
      </w:r>
      <w:r w:rsidR="00B0042A" w:rsidRPr="00C403F6">
        <w:rPr>
          <w:rFonts w:ascii="Arial" w:hAnsi="Arial" w:cs="Arial"/>
          <w:sz w:val="22"/>
          <w:szCs w:val="22"/>
        </w:rPr>
        <w:t>support for</w:t>
      </w:r>
      <w:r w:rsidR="00C54ADC" w:rsidRPr="00C403F6">
        <w:rPr>
          <w:rFonts w:ascii="Arial" w:hAnsi="Arial" w:cs="Arial"/>
          <w:sz w:val="22"/>
          <w:szCs w:val="22"/>
        </w:rPr>
        <w:t xml:space="preserve"> process improvements than </w:t>
      </w:r>
      <w:r w:rsidR="00B0042A" w:rsidRPr="00C403F6">
        <w:rPr>
          <w:rFonts w:ascii="Arial" w:hAnsi="Arial" w:cs="Arial"/>
          <w:sz w:val="22"/>
          <w:szCs w:val="22"/>
        </w:rPr>
        <w:t xml:space="preserve">for </w:t>
      </w:r>
      <w:r w:rsidR="00C54ADC" w:rsidRPr="00C403F6">
        <w:rPr>
          <w:rFonts w:ascii="Arial" w:hAnsi="Arial" w:cs="Arial"/>
          <w:sz w:val="22"/>
          <w:szCs w:val="22"/>
        </w:rPr>
        <w:t xml:space="preserve">consistent </w:t>
      </w:r>
      <w:r w:rsidR="00DB77EF" w:rsidRPr="00C403F6">
        <w:rPr>
          <w:rFonts w:ascii="Arial" w:hAnsi="Arial" w:cs="Arial"/>
          <w:sz w:val="22"/>
          <w:szCs w:val="22"/>
        </w:rPr>
        <w:t>gains</w:t>
      </w:r>
      <w:r w:rsidR="00C54ADC" w:rsidRPr="00C403F6">
        <w:rPr>
          <w:rFonts w:ascii="Arial" w:hAnsi="Arial" w:cs="Arial"/>
          <w:sz w:val="22"/>
          <w:szCs w:val="22"/>
        </w:rPr>
        <w:t xml:space="preserve"> </w:t>
      </w:r>
      <w:r w:rsidR="00DB77EF" w:rsidRPr="00C403F6">
        <w:rPr>
          <w:rFonts w:ascii="Arial" w:hAnsi="Arial" w:cs="Arial"/>
          <w:sz w:val="22"/>
          <w:szCs w:val="22"/>
        </w:rPr>
        <w:t>in outcome</w:t>
      </w:r>
      <w:r w:rsidR="00C54ADC" w:rsidRPr="00C403F6">
        <w:rPr>
          <w:rFonts w:ascii="Arial" w:hAnsi="Arial" w:cs="Arial"/>
          <w:sz w:val="22"/>
          <w:szCs w:val="22"/>
        </w:rPr>
        <w:t>s, highlighting the need for clear governance and evaluation</w:t>
      </w:r>
      <w:r w:rsidR="00B0042A" w:rsidRPr="00C403F6">
        <w:rPr>
          <w:rFonts w:ascii="Arial" w:hAnsi="Arial" w:cs="Arial"/>
          <w:sz w:val="22"/>
          <w:szCs w:val="22"/>
        </w:rPr>
        <w:t xml:space="preserve"> </w:t>
      </w:r>
      <w:r w:rsidR="00AE5070" w:rsidRPr="00C403F6">
        <w:rPr>
          <w:rFonts w:ascii="Arial" w:hAnsi="Arial" w:cs="Arial"/>
          <w:sz w:val="22"/>
          <w:szCs w:val="22"/>
        </w:rPr>
        <w:t xml:space="preserve">(Glasby, Dickinson and Miller, 2011). </w:t>
      </w:r>
    </w:p>
    <w:p w14:paraId="264B9285" w14:textId="2D9054DF" w:rsidR="00F532F9" w:rsidRPr="00C403F6" w:rsidRDefault="00F532F9" w:rsidP="00C403F6">
      <w:pPr>
        <w:spacing w:line="360" w:lineRule="auto"/>
        <w:rPr>
          <w:rFonts w:ascii="Arial" w:hAnsi="Arial" w:cs="Arial"/>
          <w:sz w:val="22"/>
          <w:szCs w:val="22"/>
        </w:rPr>
      </w:pPr>
      <w:r w:rsidRPr="00C403F6">
        <w:rPr>
          <w:rFonts w:ascii="Arial" w:hAnsi="Arial" w:cs="Arial"/>
          <w:sz w:val="22"/>
          <w:szCs w:val="22"/>
        </w:rPr>
        <w:t>In community-based MDTs supporting older adults with frailty and long-term conditions, PW operationalises PCC through regular (often virtual) meetings involving GPs, nurses, social workers, therapists, and community partners. Holistic assessments integrate health and social needs, co-producing care plans that reflect individual goals, such as maintaining home living with adaptations and carer support.</w:t>
      </w:r>
    </w:p>
    <w:p w14:paraId="3814EDCF" w14:textId="064A6B37" w:rsidR="00CB4300" w:rsidRPr="00C403F6" w:rsidRDefault="00CB4300" w:rsidP="00C403F6">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C403F6">
        <w:rPr>
          <w:rFonts w:ascii="Arial" w:eastAsia="Times New Roman" w:hAnsi="Arial" w:cs="Arial"/>
          <w:color w:val="000000" w:themeColor="text1"/>
          <w:kern w:val="0"/>
          <w:sz w:val="22"/>
          <w:szCs w:val="22"/>
          <w:lang w:eastAsia="en-GB"/>
          <w14:ligatures w14:val="none"/>
        </w:rPr>
        <w:t>Examples show that shared decision-making and integrated data can lead to fewer hospital admissions and a better overall patient experience. However, challenges remain, particularly around coordinating schedules and sharing information across different systems (Thomson et al., 2024). Successful cases highlight how person</w:t>
      </w:r>
      <w:r w:rsidRPr="00C403F6">
        <w:rPr>
          <w:rFonts w:ascii="Arial" w:eastAsia="Times New Roman" w:hAnsi="Arial" w:cs="Arial"/>
          <w:color w:val="000000" w:themeColor="text1"/>
          <w:kern w:val="0"/>
          <w:sz w:val="22"/>
          <w:szCs w:val="22"/>
          <w:lang w:eastAsia="en-GB"/>
          <w14:ligatures w14:val="none"/>
        </w:rPr>
        <w:noBreakHyphen/>
        <w:t>centred working (PW) provides a strong foundation for person-centred care (PCC), helping move away from siloed services toward more neighbourhood-focused care within integrated care systems (ICSs). This context shows both the promise of PW and the importance of having strong digital systems and relational support in place. Even with its limitations, PW tends to be viewed positively when supported by effective leadership, co-located teams, and frameworks focused on shared outcomes. Overall, PW is essential for tackling multi-morbidity and health inequalities, reinforcing its status as a policy priority.</w:t>
      </w:r>
    </w:p>
    <w:p w14:paraId="15F3FA4A" w14:textId="77777777" w:rsidR="00CB4300" w:rsidRPr="00C403F6" w:rsidRDefault="003B1CF8" w:rsidP="00C403F6">
      <w:pPr>
        <w:spacing w:after="0" w:line="360" w:lineRule="auto"/>
        <w:rPr>
          <w:rFonts w:ascii="Arial" w:eastAsia="Times New Roman" w:hAnsi="Arial" w:cs="Arial"/>
          <w:color w:val="000000" w:themeColor="text1"/>
          <w:kern w:val="0"/>
          <w:sz w:val="22"/>
          <w:szCs w:val="22"/>
          <w:lang w:eastAsia="en-GB"/>
          <w14:ligatures w14:val="none"/>
        </w:rPr>
      </w:pPr>
      <w:r>
        <w:pict w14:anchorId="7BED3BD3">
          <v:rect id="Horizontal Line 6" o:spid="_x0000_s1026" alt="" style="width:451.3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64E30B71" w14:textId="77777777" w:rsidR="00CB4300" w:rsidRPr="00C403F6" w:rsidRDefault="00CB4300" w:rsidP="00C403F6">
      <w:pPr>
        <w:spacing w:line="360" w:lineRule="auto"/>
        <w:rPr>
          <w:rFonts w:ascii="Arial" w:hAnsi="Arial" w:cs="Arial"/>
          <w:color w:val="000000" w:themeColor="text1"/>
          <w:sz w:val="22"/>
          <w:szCs w:val="22"/>
        </w:rPr>
      </w:pPr>
    </w:p>
    <w:p w14:paraId="34AE0406" w14:textId="77777777" w:rsidR="000861EC" w:rsidRPr="00C403F6" w:rsidRDefault="000861EC" w:rsidP="00C403F6">
      <w:pPr>
        <w:spacing w:line="360" w:lineRule="auto"/>
        <w:jc w:val="center"/>
        <w:rPr>
          <w:rFonts w:ascii="Arial" w:hAnsi="Arial" w:cs="Arial"/>
          <w:b/>
          <w:bCs/>
          <w:sz w:val="22"/>
          <w:szCs w:val="22"/>
        </w:rPr>
      </w:pPr>
      <w:r w:rsidRPr="00C403F6">
        <w:rPr>
          <w:rFonts w:ascii="Arial" w:hAnsi="Arial" w:cs="Arial"/>
          <w:b/>
          <w:bCs/>
          <w:sz w:val="22"/>
          <w:szCs w:val="22"/>
        </w:rPr>
        <w:t>Relevant Policy and Legislation</w:t>
      </w:r>
    </w:p>
    <w:p w14:paraId="2EA66D59" w14:textId="5956CE19" w:rsidR="000861EC" w:rsidRPr="00C403F6" w:rsidRDefault="000861EC" w:rsidP="00C403F6">
      <w:pPr>
        <w:spacing w:line="360" w:lineRule="auto"/>
        <w:rPr>
          <w:rFonts w:ascii="Arial" w:hAnsi="Arial" w:cs="Arial"/>
          <w:color w:val="1B1B1B"/>
          <w:sz w:val="22"/>
          <w:szCs w:val="22"/>
          <w:shd w:val="clear" w:color="auto" w:fill="FFFFFF"/>
        </w:rPr>
      </w:pPr>
      <w:r w:rsidRPr="00C403F6">
        <w:rPr>
          <w:rFonts w:ascii="Arial" w:hAnsi="Arial" w:cs="Arial"/>
          <w:sz w:val="22"/>
          <w:szCs w:val="22"/>
        </w:rPr>
        <w:t xml:space="preserve">Key UK legislation strongly embeds PCC and PW. The Care Act 2014 mandates person-centred wellbeing assessments, prevention, and integration, and requires </w:t>
      </w:r>
      <w:r w:rsidR="00F62EE0" w:rsidRPr="00C403F6">
        <w:rPr>
          <w:rFonts w:ascii="Arial" w:hAnsi="Arial" w:cs="Arial"/>
          <w:sz w:val="22"/>
          <w:szCs w:val="22"/>
        </w:rPr>
        <w:t>individuals'</w:t>
      </w:r>
      <w:r w:rsidRPr="00C403F6">
        <w:rPr>
          <w:rFonts w:ascii="Arial" w:hAnsi="Arial" w:cs="Arial"/>
          <w:sz w:val="22"/>
          <w:szCs w:val="22"/>
        </w:rPr>
        <w:t xml:space="preserve"> involvement in care planning. The Health and Care Act 2022 </w:t>
      </w:r>
      <w:r w:rsidR="00402D9B" w:rsidRPr="00C403F6">
        <w:rPr>
          <w:rFonts w:ascii="Arial" w:hAnsi="Arial" w:cs="Arial"/>
          <w:sz w:val="22"/>
          <w:szCs w:val="22"/>
        </w:rPr>
        <w:t>establish</w:t>
      </w:r>
      <w:r w:rsidRPr="00C403F6">
        <w:rPr>
          <w:rFonts w:ascii="Arial" w:hAnsi="Arial" w:cs="Arial"/>
          <w:sz w:val="22"/>
          <w:szCs w:val="22"/>
        </w:rPr>
        <w:t xml:space="preserve"> Integrated Care Boards (ICBs) and Partnerships (ICPs), promoting collaboration, reducing bureaucracy, and mandating public involvement and co-production</w:t>
      </w:r>
      <w:r w:rsidR="003C0AEE" w:rsidRPr="00C403F6">
        <w:rPr>
          <w:rFonts w:ascii="Arial" w:hAnsi="Arial" w:cs="Arial"/>
          <w:sz w:val="22"/>
          <w:szCs w:val="22"/>
        </w:rPr>
        <w:t xml:space="preserve"> (Barnes, Boland and Linhart, 2014)</w:t>
      </w:r>
      <w:r w:rsidR="00402D9B" w:rsidRPr="00C403F6">
        <w:rPr>
          <w:rFonts w:ascii="Arial" w:hAnsi="Arial" w:cs="Arial"/>
          <w:sz w:val="22"/>
          <w:szCs w:val="22"/>
        </w:rPr>
        <w:t xml:space="preserve"> (Kingsfund,2024).</w:t>
      </w:r>
      <w:r w:rsidR="005C2524" w:rsidRPr="00C403F6">
        <w:rPr>
          <w:rFonts w:ascii="Arial" w:hAnsi="Arial" w:cs="Arial"/>
          <w:sz w:val="22"/>
          <w:szCs w:val="22"/>
        </w:rPr>
        <w:t xml:space="preserve"> Key UK legislation strongly embeds PCC and PW. The Care Act 2014 mandates person-centred wellbeing assessments, prevention, and integration, and requires the involvement of individuals in care planning (Department of Health and Social Care, 2014). The Health and Care Act 2022 </w:t>
      </w:r>
      <w:r w:rsidR="00402D9B" w:rsidRPr="00C403F6">
        <w:rPr>
          <w:rFonts w:ascii="Arial" w:hAnsi="Arial" w:cs="Arial"/>
          <w:sz w:val="22"/>
          <w:szCs w:val="22"/>
        </w:rPr>
        <w:t>includes</w:t>
      </w:r>
      <w:r w:rsidR="005C2524" w:rsidRPr="00C403F6">
        <w:rPr>
          <w:rFonts w:ascii="Arial" w:hAnsi="Arial" w:cs="Arial"/>
          <w:sz w:val="22"/>
          <w:szCs w:val="22"/>
        </w:rPr>
        <w:t xml:space="preserve"> Integrated Care Boards (ICBs) and Partnerships (ICPs), promoting collaboration, reducing bureaucracy, and mandating public </w:t>
      </w:r>
      <w:r w:rsidR="005C2524" w:rsidRPr="00C403F6">
        <w:rPr>
          <w:rFonts w:ascii="Arial" w:hAnsi="Arial" w:cs="Arial"/>
          <w:sz w:val="22"/>
          <w:szCs w:val="22"/>
        </w:rPr>
        <w:lastRenderedPageBreak/>
        <w:t>involvement and co-production (Department of Health and Social Care, 2022; NHS England, 2023).</w:t>
      </w:r>
    </w:p>
    <w:p w14:paraId="0227107F" w14:textId="77777777" w:rsidR="00613BF9" w:rsidRPr="00C403F6" w:rsidRDefault="00613BF9" w:rsidP="00C403F6">
      <w:pPr>
        <w:spacing w:line="360" w:lineRule="auto"/>
        <w:rPr>
          <w:rFonts w:ascii="Arial" w:hAnsi="Arial" w:cs="Arial"/>
          <w:sz w:val="22"/>
          <w:szCs w:val="22"/>
        </w:rPr>
      </w:pPr>
      <w:r w:rsidRPr="00C403F6">
        <w:rPr>
          <w:rFonts w:ascii="Arial" w:hAnsi="Arial" w:cs="Arial"/>
          <w:sz w:val="22"/>
          <w:szCs w:val="22"/>
        </w:rPr>
        <w:t>Other relevant laws include the Health and Social Care Act 2012 (patient involvement), Human Rights Act 1998, and Equality Act 2010 (equity and non-discrimination).</w:t>
      </w:r>
    </w:p>
    <w:p w14:paraId="29568E8F" w14:textId="041FD88F" w:rsidR="003412E2" w:rsidRPr="00C403F6" w:rsidRDefault="00613BF9" w:rsidP="00C403F6">
      <w:pPr>
        <w:spacing w:line="360" w:lineRule="auto"/>
        <w:rPr>
          <w:rFonts w:ascii="Arial" w:hAnsi="Arial" w:cs="Arial"/>
          <w:sz w:val="22"/>
          <w:szCs w:val="22"/>
        </w:rPr>
      </w:pPr>
      <w:r w:rsidRPr="00C403F6">
        <w:rPr>
          <w:rFonts w:ascii="Arial" w:hAnsi="Arial" w:cs="Arial"/>
          <w:sz w:val="22"/>
          <w:szCs w:val="22"/>
        </w:rPr>
        <w:t>These policies support PCC and PW by making integration and personalisation statutory duties, particularly benefiting community MDTs through Better Care Fund mechanisms and neighbourhood health priorities. However, they can hinder progress via implementation gaps from funding constraints and workforce shortages</w:t>
      </w:r>
      <w:r w:rsidR="001D0C8B" w:rsidRPr="00C403F6">
        <w:rPr>
          <w:rFonts w:ascii="Arial" w:hAnsi="Arial" w:cs="Arial"/>
          <w:sz w:val="22"/>
          <w:szCs w:val="22"/>
        </w:rPr>
        <w:t xml:space="preserve"> (Limb, 2022). </w:t>
      </w:r>
      <w:r w:rsidRPr="00C403F6">
        <w:rPr>
          <w:rFonts w:ascii="Arial" w:hAnsi="Arial" w:cs="Arial"/>
          <w:sz w:val="22"/>
          <w:szCs w:val="22"/>
        </w:rPr>
        <w:t>In the chosen setting, legislation drives joint working but requires local interpretation to overcome resource pressures and ensure equitable application.</w:t>
      </w:r>
    </w:p>
    <w:p w14:paraId="3BFCD983" w14:textId="1A1817D2" w:rsidR="00613BF9" w:rsidRPr="00C403F6" w:rsidRDefault="00613BF9" w:rsidP="00C403F6">
      <w:pPr>
        <w:spacing w:line="360" w:lineRule="auto"/>
        <w:rPr>
          <w:rFonts w:ascii="Arial" w:hAnsi="Arial" w:cs="Arial"/>
          <w:sz w:val="22"/>
          <w:szCs w:val="22"/>
        </w:rPr>
      </w:pPr>
      <w:r w:rsidRPr="00C403F6">
        <w:rPr>
          <w:rFonts w:ascii="Arial" w:hAnsi="Arial" w:cs="Arial"/>
          <w:sz w:val="22"/>
          <w:szCs w:val="22"/>
        </w:rPr>
        <w:t xml:space="preserve"> </w:t>
      </w:r>
      <w:r w:rsidR="006E0C0C" w:rsidRPr="00C403F6">
        <w:rPr>
          <w:rFonts w:ascii="Arial" w:hAnsi="Arial" w:cs="Arial"/>
          <w:sz w:val="22"/>
          <w:szCs w:val="22"/>
        </w:rPr>
        <w:t xml:space="preserve">The NHS Constitution and </w:t>
      </w:r>
      <w:r w:rsidR="00DE223E" w:rsidRPr="00C403F6">
        <w:rPr>
          <w:rFonts w:ascii="Arial" w:hAnsi="Arial" w:cs="Arial"/>
          <w:sz w:val="22"/>
          <w:szCs w:val="22"/>
        </w:rPr>
        <w:t>Long-Term</w:t>
      </w:r>
      <w:r w:rsidR="006E0C0C" w:rsidRPr="00C403F6">
        <w:rPr>
          <w:rFonts w:ascii="Arial" w:hAnsi="Arial" w:cs="Arial"/>
          <w:sz w:val="22"/>
          <w:szCs w:val="22"/>
        </w:rPr>
        <w:t xml:space="preserve"> Plan (updated through 2025/26 planning guidance) reinforce PCC via personalised care and PW through neighbourhood health services and Better Care Fund requirements. The NHS England statutory guidance on working with people and communities (under the 2022 Act) mandates co-production.</w:t>
      </w:r>
    </w:p>
    <w:p w14:paraId="2407F120" w14:textId="77777777" w:rsidR="00955713" w:rsidRPr="00C403F6" w:rsidRDefault="00955713" w:rsidP="00C403F6">
      <w:pPr>
        <w:spacing w:line="360" w:lineRule="auto"/>
        <w:rPr>
          <w:rFonts w:ascii="Arial" w:hAnsi="Arial" w:cs="Arial"/>
          <w:b/>
          <w:bCs/>
          <w:sz w:val="22"/>
          <w:szCs w:val="22"/>
        </w:rPr>
      </w:pPr>
    </w:p>
    <w:p w14:paraId="2BD741A1" w14:textId="497EE444" w:rsidR="000724AD" w:rsidRPr="00C403F6" w:rsidRDefault="000724AD" w:rsidP="00C403F6">
      <w:pPr>
        <w:spacing w:line="360" w:lineRule="auto"/>
        <w:jc w:val="center"/>
        <w:rPr>
          <w:rFonts w:ascii="Arial" w:hAnsi="Arial" w:cs="Arial"/>
          <w:b/>
          <w:bCs/>
          <w:sz w:val="22"/>
          <w:szCs w:val="22"/>
        </w:rPr>
      </w:pPr>
      <w:r w:rsidRPr="00C403F6">
        <w:rPr>
          <w:rFonts w:ascii="Arial" w:hAnsi="Arial" w:cs="Arial"/>
          <w:b/>
          <w:bCs/>
          <w:sz w:val="22"/>
          <w:szCs w:val="22"/>
        </w:rPr>
        <w:t>Recommendations for Future Development</w:t>
      </w:r>
    </w:p>
    <w:p w14:paraId="7BFD96E0" w14:textId="77777777" w:rsidR="000724AD" w:rsidRPr="00C403F6" w:rsidRDefault="000724AD" w:rsidP="00C403F6">
      <w:pPr>
        <w:spacing w:line="360" w:lineRule="auto"/>
        <w:rPr>
          <w:rFonts w:ascii="Arial" w:hAnsi="Arial" w:cs="Arial"/>
          <w:b/>
          <w:bCs/>
          <w:sz w:val="22"/>
          <w:szCs w:val="22"/>
        </w:rPr>
      </w:pPr>
      <w:r w:rsidRPr="00C403F6">
        <w:rPr>
          <w:rFonts w:ascii="Arial" w:hAnsi="Arial" w:cs="Arial"/>
          <w:b/>
          <w:bCs/>
          <w:sz w:val="22"/>
          <w:szCs w:val="22"/>
        </w:rPr>
        <w:t>Several evidence-based recommendations address gaps in PCC and PW in the UK:</w:t>
      </w:r>
    </w:p>
    <w:p w14:paraId="20E79009" w14:textId="77777777" w:rsidR="00FB0667" w:rsidRPr="00C403F6" w:rsidRDefault="00FB0667" w:rsidP="00C403F6">
      <w:pPr>
        <w:pStyle w:val="ListParagraph"/>
        <w:numPr>
          <w:ilvl w:val="0"/>
          <w:numId w:val="3"/>
        </w:numPr>
        <w:spacing w:line="360" w:lineRule="auto"/>
        <w:rPr>
          <w:rFonts w:ascii="Arial" w:hAnsi="Arial" w:cs="Arial"/>
          <w:sz w:val="22"/>
          <w:szCs w:val="22"/>
        </w:rPr>
      </w:pPr>
      <w:r w:rsidRPr="00C403F6">
        <w:rPr>
          <w:rFonts w:ascii="Arial" w:hAnsi="Arial" w:cs="Arial"/>
          <w:sz w:val="22"/>
          <w:szCs w:val="22"/>
        </w:rPr>
        <w:t>Improve interprofessional education and training by using the Person-Centred Approaches framework and the PCNF competencies. This would help multidisciplinary teams develop a shared understanding, improve collaboration, and break down cultural barriers. Challenge: workforce shortages and finding time for staff to attend training (McCance and McCormack, 2025).</w:t>
      </w:r>
    </w:p>
    <w:p w14:paraId="6E8D7F0F" w14:textId="77777777" w:rsidR="00FB0667" w:rsidRPr="00C403F6" w:rsidRDefault="00FB0667" w:rsidP="00C403F6">
      <w:pPr>
        <w:pStyle w:val="ListParagraph"/>
        <w:numPr>
          <w:ilvl w:val="0"/>
          <w:numId w:val="3"/>
        </w:numPr>
        <w:spacing w:line="360" w:lineRule="auto"/>
        <w:rPr>
          <w:rFonts w:ascii="Arial" w:hAnsi="Arial" w:cs="Arial"/>
          <w:sz w:val="22"/>
          <w:szCs w:val="22"/>
        </w:rPr>
      </w:pPr>
      <w:r w:rsidRPr="00C403F6">
        <w:rPr>
          <w:rFonts w:ascii="Arial" w:hAnsi="Arial" w:cs="Arial"/>
          <w:sz w:val="22"/>
          <w:szCs w:val="22"/>
        </w:rPr>
        <w:t>Speed up digital integration, such as shared care records, to support real-time person</w:t>
      </w:r>
      <w:r w:rsidRPr="00C403F6">
        <w:rPr>
          <w:rFonts w:ascii="Cambria Math" w:hAnsi="Cambria Math" w:cs="Cambria Math"/>
          <w:sz w:val="22"/>
          <w:szCs w:val="22"/>
        </w:rPr>
        <w:t>‑</w:t>
      </w:r>
      <w:r w:rsidRPr="00C403F6">
        <w:rPr>
          <w:rFonts w:ascii="Arial" w:hAnsi="Arial" w:cs="Arial"/>
          <w:sz w:val="22"/>
          <w:szCs w:val="22"/>
        </w:rPr>
        <w:t>centred working while meeting data protection requirements. In community settings for older adults, this would allow smoother, more holistic assessments. Challenge: technical issues like system interoperability and cybersecurity concerns.</w:t>
      </w:r>
    </w:p>
    <w:p w14:paraId="455061D4" w14:textId="206F72BD" w:rsidR="00FB0667" w:rsidRPr="00C403F6" w:rsidRDefault="00FB0667" w:rsidP="00C403F6">
      <w:pPr>
        <w:pStyle w:val="ListParagraph"/>
        <w:numPr>
          <w:ilvl w:val="0"/>
          <w:numId w:val="3"/>
        </w:numPr>
        <w:spacing w:line="360" w:lineRule="auto"/>
        <w:rPr>
          <w:rFonts w:ascii="Arial" w:hAnsi="Arial" w:cs="Arial"/>
          <w:sz w:val="22"/>
          <w:szCs w:val="22"/>
        </w:rPr>
      </w:pPr>
      <w:r w:rsidRPr="00C403F6">
        <w:rPr>
          <w:rFonts w:ascii="Arial" w:hAnsi="Arial" w:cs="Arial"/>
          <w:sz w:val="22"/>
          <w:szCs w:val="22"/>
        </w:rPr>
        <w:t>Strengthen co-production and user involvement within ICS governance and neighbourhood teams by actively including the voices of older people and their carers. This aligns with duties outlined in the Health and Care Act. Challenge: engagement can be tokenistic if sufficient resources aren’t provided (NHS England, 2023).</w:t>
      </w:r>
    </w:p>
    <w:p w14:paraId="37C5D3C3" w14:textId="5CE0DC60" w:rsidR="00FB0667" w:rsidRPr="00C403F6" w:rsidRDefault="00FB0667" w:rsidP="00C403F6">
      <w:pPr>
        <w:pStyle w:val="ListParagraph"/>
        <w:numPr>
          <w:ilvl w:val="0"/>
          <w:numId w:val="3"/>
        </w:numPr>
        <w:spacing w:line="360" w:lineRule="auto"/>
        <w:rPr>
          <w:rFonts w:ascii="Arial" w:hAnsi="Arial" w:cs="Arial"/>
          <w:sz w:val="22"/>
          <w:szCs w:val="22"/>
        </w:rPr>
      </w:pPr>
      <w:r w:rsidRPr="00C403F6">
        <w:rPr>
          <w:rFonts w:ascii="Arial" w:hAnsi="Arial" w:cs="Arial"/>
          <w:sz w:val="22"/>
          <w:szCs w:val="22"/>
        </w:rPr>
        <w:t xml:space="preserve">Invest in preventive care and neighbourhood health services, with a particular focus on frailty pathways. This approach is both cost-effective and linked to better </w:t>
      </w:r>
      <w:r w:rsidRPr="00C403F6">
        <w:rPr>
          <w:rFonts w:ascii="Arial" w:hAnsi="Arial" w:cs="Arial"/>
          <w:sz w:val="22"/>
          <w:szCs w:val="22"/>
        </w:rPr>
        <w:lastRenderedPageBreak/>
        <w:t>outcomes. Challenge: Short-term funding pressures can make it difficult to invest in long-term improvements.</w:t>
      </w:r>
    </w:p>
    <w:p w14:paraId="538A4C48" w14:textId="3B59C033" w:rsidR="006B1398" w:rsidRPr="00C403F6" w:rsidRDefault="00FB0667" w:rsidP="00C403F6">
      <w:pPr>
        <w:pStyle w:val="ListParagraph"/>
        <w:numPr>
          <w:ilvl w:val="0"/>
          <w:numId w:val="3"/>
        </w:numPr>
        <w:spacing w:line="360" w:lineRule="auto"/>
        <w:rPr>
          <w:rFonts w:ascii="Arial" w:hAnsi="Arial" w:cs="Arial"/>
          <w:sz w:val="22"/>
          <w:szCs w:val="22"/>
        </w:rPr>
      </w:pPr>
      <w:r w:rsidRPr="00C403F6">
        <w:rPr>
          <w:rFonts w:ascii="Arial" w:hAnsi="Arial" w:cs="Arial"/>
          <w:sz w:val="22"/>
          <w:szCs w:val="22"/>
        </w:rPr>
        <w:t>Embed robust evaluation practices that use user-experience feedback and measures focused on inequalities (e.g., Core20PLUS5). Research shows that using outcome measures in this way helps sustain improvements over time (Thomson et al., 2024).</w:t>
      </w:r>
    </w:p>
    <w:p w14:paraId="17C23150" w14:textId="77777777" w:rsidR="006B1398" w:rsidRPr="00C403F6" w:rsidRDefault="006B1398" w:rsidP="00C403F6">
      <w:pPr>
        <w:spacing w:line="360" w:lineRule="auto"/>
        <w:jc w:val="center"/>
        <w:rPr>
          <w:rFonts w:ascii="Arial" w:hAnsi="Arial" w:cs="Arial"/>
          <w:b/>
          <w:bCs/>
          <w:sz w:val="22"/>
          <w:szCs w:val="22"/>
        </w:rPr>
      </w:pPr>
      <w:r w:rsidRPr="00C403F6">
        <w:rPr>
          <w:rFonts w:ascii="Arial" w:hAnsi="Arial" w:cs="Arial"/>
          <w:b/>
          <w:bCs/>
          <w:sz w:val="22"/>
          <w:szCs w:val="22"/>
        </w:rPr>
        <w:t>Conclusion</w:t>
      </w:r>
    </w:p>
    <w:p w14:paraId="0FEA8F4D" w14:textId="2008AA72" w:rsidR="006B1398" w:rsidRPr="00C403F6" w:rsidRDefault="006B1398" w:rsidP="00C403F6">
      <w:pPr>
        <w:spacing w:line="360" w:lineRule="auto"/>
        <w:rPr>
          <w:rFonts w:ascii="Arial" w:hAnsi="Arial" w:cs="Arial"/>
          <w:sz w:val="22"/>
          <w:szCs w:val="22"/>
        </w:rPr>
      </w:pPr>
      <w:r w:rsidRPr="00C403F6">
        <w:rPr>
          <w:rFonts w:ascii="Arial" w:hAnsi="Arial" w:cs="Arial"/>
          <w:sz w:val="22"/>
          <w:szCs w:val="22"/>
        </w:rPr>
        <w:t>PCC and PW are interdependent: PW provides collaborative structures, while PCC ensures an ethical, individualised focus. In community MDTs for frail older adults, their integration demonstrates improved coordination and personalisation, reinforced by legislation such as the Care Act 2014 and Health and Care Act 2022. Main findings confirm benefits in outcomes and efficiency, tempered by resource and cultural challenges</w:t>
      </w:r>
      <w:r w:rsidR="00152D32" w:rsidRPr="00C403F6">
        <w:rPr>
          <w:rFonts w:ascii="Arial" w:hAnsi="Arial" w:cs="Arial"/>
          <w:sz w:val="22"/>
          <w:szCs w:val="22"/>
        </w:rPr>
        <w:t xml:space="preserve"> (Moore et al., 2017; Page et al., 2024).</w:t>
      </w:r>
    </w:p>
    <w:p w14:paraId="0A34FFB7" w14:textId="18CF537E" w:rsidR="006B1398" w:rsidRPr="00C403F6" w:rsidRDefault="006B1398" w:rsidP="00C403F6">
      <w:pPr>
        <w:spacing w:line="360" w:lineRule="auto"/>
        <w:rPr>
          <w:rFonts w:ascii="Arial" w:hAnsi="Arial" w:cs="Arial"/>
          <w:sz w:val="22"/>
          <w:szCs w:val="22"/>
        </w:rPr>
      </w:pPr>
      <w:r w:rsidRPr="00C403F6">
        <w:rPr>
          <w:rFonts w:ascii="Arial" w:hAnsi="Arial" w:cs="Arial"/>
          <w:sz w:val="22"/>
          <w:szCs w:val="22"/>
        </w:rPr>
        <w:t>Prioritising training, digital support, and co-production will address gaps and realise full potential. Ultimately, embedding PCC and PW strengthens UK health and social care, promoting dignity, equity, and better lives for individuals and communities.</w:t>
      </w:r>
    </w:p>
    <w:p w14:paraId="03F8BA1B" w14:textId="77777777" w:rsidR="00FC0312" w:rsidRPr="00C403F6" w:rsidRDefault="00FC0312" w:rsidP="00C403F6">
      <w:pPr>
        <w:spacing w:line="360" w:lineRule="auto"/>
        <w:ind w:left="360"/>
        <w:rPr>
          <w:rFonts w:ascii="Arial" w:hAnsi="Arial" w:cs="Arial"/>
          <w:sz w:val="22"/>
          <w:szCs w:val="22"/>
        </w:rPr>
      </w:pPr>
    </w:p>
    <w:p w14:paraId="1D217BE8" w14:textId="77777777" w:rsidR="003412E2" w:rsidRPr="00C403F6" w:rsidRDefault="003412E2" w:rsidP="00C403F6">
      <w:pPr>
        <w:spacing w:line="360" w:lineRule="auto"/>
        <w:ind w:left="360"/>
        <w:rPr>
          <w:rFonts w:ascii="Arial" w:hAnsi="Arial" w:cs="Arial"/>
          <w:sz w:val="22"/>
          <w:szCs w:val="22"/>
        </w:rPr>
      </w:pPr>
    </w:p>
    <w:p w14:paraId="67B3FDE6" w14:textId="77777777" w:rsidR="003412E2" w:rsidRPr="00C403F6" w:rsidRDefault="003412E2" w:rsidP="00C403F6">
      <w:pPr>
        <w:spacing w:line="360" w:lineRule="auto"/>
        <w:ind w:left="360"/>
        <w:rPr>
          <w:rFonts w:ascii="Arial" w:hAnsi="Arial" w:cs="Arial"/>
          <w:sz w:val="22"/>
          <w:szCs w:val="22"/>
        </w:rPr>
      </w:pPr>
    </w:p>
    <w:p w14:paraId="15D11F4F" w14:textId="77777777" w:rsidR="003412E2" w:rsidRPr="00C403F6" w:rsidRDefault="003412E2" w:rsidP="00C403F6">
      <w:pPr>
        <w:spacing w:line="360" w:lineRule="auto"/>
        <w:ind w:left="360"/>
        <w:rPr>
          <w:rFonts w:ascii="Arial" w:hAnsi="Arial" w:cs="Arial"/>
          <w:sz w:val="22"/>
          <w:szCs w:val="22"/>
        </w:rPr>
      </w:pPr>
    </w:p>
    <w:p w14:paraId="40B2E4CF" w14:textId="77777777" w:rsidR="003412E2" w:rsidRDefault="003412E2" w:rsidP="00B65FCD">
      <w:pPr>
        <w:spacing w:line="360" w:lineRule="auto"/>
        <w:ind w:left="360"/>
        <w:rPr>
          <w:rFonts w:ascii="Arial" w:hAnsi="Arial" w:cs="Arial"/>
          <w:sz w:val="22"/>
          <w:szCs w:val="22"/>
        </w:rPr>
      </w:pPr>
    </w:p>
    <w:p w14:paraId="775D1E40" w14:textId="77777777" w:rsidR="003412E2" w:rsidRDefault="003412E2" w:rsidP="00B65FCD">
      <w:pPr>
        <w:spacing w:line="360" w:lineRule="auto"/>
        <w:ind w:left="360"/>
        <w:rPr>
          <w:rFonts w:ascii="Arial" w:hAnsi="Arial" w:cs="Arial"/>
          <w:sz w:val="22"/>
          <w:szCs w:val="22"/>
        </w:rPr>
      </w:pPr>
    </w:p>
    <w:p w14:paraId="2598218C" w14:textId="77777777" w:rsidR="003412E2" w:rsidRDefault="003412E2" w:rsidP="00B65FCD">
      <w:pPr>
        <w:spacing w:line="360" w:lineRule="auto"/>
        <w:ind w:left="360"/>
        <w:rPr>
          <w:rFonts w:ascii="Arial" w:hAnsi="Arial" w:cs="Arial"/>
          <w:sz w:val="22"/>
          <w:szCs w:val="22"/>
        </w:rPr>
      </w:pPr>
    </w:p>
    <w:p w14:paraId="6A2F7174" w14:textId="77777777" w:rsidR="003412E2" w:rsidRDefault="003412E2" w:rsidP="00B65FCD">
      <w:pPr>
        <w:spacing w:line="360" w:lineRule="auto"/>
        <w:ind w:left="360"/>
        <w:rPr>
          <w:rFonts w:ascii="Arial" w:hAnsi="Arial" w:cs="Arial"/>
          <w:sz w:val="22"/>
          <w:szCs w:val="22"/>
        </w:rPr>
      </w:pPr>
    </w:p>
    <w:p w14:paraId="2C0EB822" w14:textId="77777777" w:rsidR="003412E2" w:rsidRDefault="003412E2" w:rsidP="00B65FCD">
      <w:pPr>
        <w:spacing w:line="360" w:lineRule="auto"/>
        <w:ind w:left="360"/>
        <w:rPr>
          <w:rFonts w:ascii="Arial" w:hAnsi="Arial" w:cs="Arial"/>
          <w:sz w:val="22"/>
          <w:szCs w:val="22"/>
        </w:rPr>
      </w:pPr>
    </w:p>
    <w:p w14:paraId="5747B2D8" w14:textId="77777777" w:rsidR="003412E2" w:rsidRDefault="003412E2" w:rsidP="00B65FCD">
      <w:pPr>
        <w:spacing w:line="360" w:lineRule="auto"/>
        <w:ind w:left="360"/>
        <w:rPr>
          <w:rFonts w:ascii="Arial" w:hAnsi="Arial" w:cs="Arial"/>
          <w:sz w:val="22"/>
          <w:szCs w:val="22"/>
        </w:rPr>
      </w:pPr>
    </w:p>
    <w:p w14:paraId="752E9AFF" w14:textId="77777777" w:rsidR="003412E2" w:rsidRDefault="003412E2" w:rsidP="00B65FCD">
      <w:pPr>
        <w:spacing w:line="360" w:lineRule="auto"/>
        <w:ind w:left="360"/>
        <w:rPr>
          <w:rFonts w:ascii="Arial" w:hAnsi="Arial" w:cs="Arial"/>
          <w:sz w:val="22"/>
          <w:szCs w:val="22"/>
        </w:rPr>
      </w:pPr>
    </w:p>
    <w:p w14:paraId="65511AA5" w14:textId="77777777" w:rsidR="003412E2" w:rsidRDefault="003412E2" w:rsidP="00B65FCD">
      <w:pPr>
        <w:spacing w:line="360" w:lineRule="auto"/>
        <w:ind w:left="360"/>
        <w:rPr>
          <w:rFonts w:ascii="Arial" w:hAnsi="Arial" w:cs="Arial"/>
          <w:sz w:val="22"/>
          <w:szCs w:val="22"/>
        </w:rPr>
      </w:pPr>
    </w:p>
    <w:p w14:paraId="613D1BE6" w14:textId="77777777" w:rsidR="003412E2" w:rsidRDefault="003412E2" w:rsidP="00B65FCD">
      <w:pPr>
        <w:spacing w:line="360" w:lineRule="auto"/>
        <w:ind w:left="360"/>
        <w:rPr>
          <w:rFonts w:ascii="Arial" w:hAnsi="Arial" w:cs="Arial"/>
          <w:sz w:val="22"/>
          <w:szCs w:val="22"/>
        </w:rPr>
      </w:pPr>
    </w:p>
    <w:p w14:paraId="566243A6" w14:textId="77777777" w:rsidR="00C403F6" w:rsidRDefault="00C403F6" w:rsidP="00C403F6">
      <w:pPr>
        <w:spacing w:line="360" w:lineRule="auto"/>
        <w:rPr>
          <w:rFonts w:ascii="Arial" w:hAnsi="Arial" w:cs="Arial"/>
          <w:sz w:val="22"/>
          <w:szCs w:val="22"/>
        </w:rPr>
      </w:pPr>
    </w:p>
    <w:p w14:paraId="5C96C8FC" w14:textId="1EBDAFC5" w:rsidR="003412E2" w:rsidRPr="00961082" w:rsidRDefault="003412E2" w:rsidP="00C403F6">
      <w:pPr>
        <w:spacing w:line="360" w:lineRule="auto"/>
        <w:jc w:val="center"/>
        <w:rPr>
          <w:rFonts w:ascii="Arial" w:hAnsi="Arial" w:cs="Arial"/>
          <w:sz w:val="22"/>
          <w:szCs w:val="22"/>
        </w:rPr>
      </w:pPr>
      <w:r w:rsidRPr="00961082">
        <w:rPr>
          <w:rFonts w:ascii="Arial" w:hAnsi="Arial" w:cs="Arial"/>
          <w:sz w:val="22"/>
          <w:szCs w:val="22"/>
        </w:rPr>
        <w:lastRenderedPageBreak/>
        <w:t>Reference List</w:t>
      </w:r>
    </w:p>
    <w:p w14:paraId="3392F675" w14:textId="77777777" w:rsidR="001163BB" w:rsidRPr="00961082" w:rsidRDefault="001163BB" w:rsidP="00961082">
      <w:pPr>
        <w:spacing w:line="360" w:lineRule="auto"/>
        <w:ind w:left="360"/>
        <w:rPr>
          <w:rFonts w:ascii="Arial" w:hAnsi="Arial" w:cs="Arial"/>
          <w:color w:val="000000" w:themeColor="text1"/>
          <w:sz w:val="22"/>
          <w:szCs w:val="22"/>
          <w:lang w:eastAsia="en-GB"/>
        </w:rPr>
      </w:pPr>
      <w:r w:rsidRPr="00961082">
        <w:rPr>
          <w:rFonts w:ascii="Arial" w:hAnsi="Arial" w:cs="Arial"/>
          <w:color w:val="000000" w:themeColor="text1"/>
          <w:sz w:val="22"/>
          <w:szCs w:val="22"/>
          <w:lang w:eastAsia="en-GB"/>
        </w:rPr>
        <w:t>Barnes, D., Boland, B., Linhart, K. and Wilson, K. (2017) ‘</w:t>
      </w:r>
      <w:r w:rsidRPr="00961082">
        <w:rPr>
          <w:rFonts w:ascii="Arial" w:hAnsi="Arial" w:cs="Arial"/>
          <w:i/>
          <w:iCs/>
          <w:color w:val="000000" w:themeColor="text1"/>
          <w:sz w:val="22"/>
          <w:szCs w:val="22"/>
          <w:lang w:eastAsia="en-GB"/>
        </w:rPr>
        <w:t>Personalisation and social care assessment – the Care Act 2014’,</w:t>
      </w:r>
      <w:r w:rsidRPr="00961082">
        <w:rPr>
          <w:rFonts w:ascii="Arial" w:hAnsi="Arial" w:cs="Arial"/>
          <w:color w:val="000000" w:themeColor="text1"/>
          <w:sz w:val="22"/>
          <w:szCs w:val="22"/>
          <w:lang w:eastAsia="en-GB"/>
        </w:rPr>
        <w:t xml:space="preserve"> BJPsych Bulletin, 41(3), pp. 176–180. Available at: </w:t>
      </w:r>
      <w:hyperlink r:id="rId7" w:history="1">
        <w:r w:rsidRPr="00961082">
          <w:rPr>
            <w:rStyle w:val="Hyperlink"/>
            <w:rFonts w:ascii="Arial" w:hAnsi="Arial" w:cs="Arial"/>
            <w:sz w:val="22"/>
            <w:szCs w:val="22"/>
            <w:lang w:eastAsia="en-GB"/>
          </w:rPr>
          <w:t>https://pmc.ncbi.nlm.nih.gov/articles/PMC5451654/</w:t>
        </w:r>
      </w:hyperlink>
      <w:r w:rsidRPr="00961082">
        <w:rPr>
          <w:rFonts w:ascii="Arial" w:hAnsi="Arial" w:cs="Arial"/>
          <w:color w:val="000000" w:themeColor="text1"/>
          <w:sz w:val="22"/>
          <w:szCs w:val="22"/>
          <w:lang w:eastAsia="en-GB"/>
        </w:rPr>
        <w:t xml:space="preserve">  (Accessed: 27 March 2026).</w:t>
      </w:r>
    </w:p>
    <w:p w14:paraId="2805B7CE" w14:textId="77777777" w:rsidR="001163BB" w:rsidRPr="00961082" w:rsidRDefault="001163BB" w:rsidP="00CD3A6D">
      <w:pPr>
        <w:spacing w:line="360" w:lineRule="auto"/>
        <w:ind w:left="360"/>
        <w:rPr>
          <w:rFonts w:ascii="Arial" w:hAnsi="Arial" w:cs="Arial"/>
          <w:sz w:val="22"/>
          <w:szCs w:val="22"/>
        </w:rPr>
      </w:pPr>
      <w:r w:rsidRPr="00961082">
        <w:rPr>
          <w:rFonts w:ascii="Arial" w:hAnsi="Arial" w:cs="Arial"/>
          <w:sz w:val="22"/>
          <w:szCs w:val="22"/>
        </w:rPr>
        <w:t xml:space="preserve">Beauchamp, T.L. and Childress, J.F. (2019) </w:t>
      </w:r>
      <w:r w:rsidRPr="00961082">
        <w:rPr>
          <w:rFonts w:ascii="Arial" w:hAnsi="Arial" w:cs="Arial"/>
          <w:i/>
          <w:iCs/>
          <w:sz w:val="22"/>
          <w:szCs w:val="22"/>
        </w:rPr>
        <w:t>Principles of biomedical ethics</w:t>
      </w:r>
      <w:r w:rsidRPr="00961082">
        <w:rPr>
          <w:rFonts w:ascii="Arial" w:hAnsi="Arial" w:cs="Arial"/>
          <w:sz w:val="22"/>
          <w:szCs w:val="22"/>
        </w:rPr>
        <w:t xml:space="preserve">. 8th edn. New York: Oxford University Press. Available at: </w:t>
      </w:r>
      <w:hyperlink r:id="rId8" w:history="1">
        <w:r w:rsidRPr="00961082">
          <w:rPr>
            <w:rStyle w:val="Hyperlink"/>
            <w:rFonts w:ascii="Arial" w:hAnsi="Arial" w:cs="Arial"/>
            <w:sz w:val="22"/>
            <w:szCs w:val="22"/>
          </w:rPr>
          <w:t>https://bioethics.pitt.edu/sites/default/files/Stott%2C%20Chapter%203%20Beauchamp.pdf/</w:t>
        </w:r>
      </w:hyperlink>
      <w:r w:rsidRPr="00961082">
        <w:rPr>
          <w:rFonts w:ascii="Arial" w:hAnsi="Arial" w:cs="Arial"/>
          <w:sz w:val="22"/>
          <w:szCs w:val="22"/>
        </w:rPr>
        <w:t xml:space="preserve"> (Accessed: 25 March 2026).</w:t>
      </w:r>
    </w:p>
    <w:p w14:paraId="7E691061" w14:textId="77777777" w:rsidR="001163BB" w:rsidRPr="00961082" w:rsidRDefault="001163BB" w:rsidP="00CD3A6D">
      <w:pPr>
        <w:spacing w:line="360" w:lineRule="auto"/>
        <w:ind w:left="360"/>
        <w:rPr>
          <w:rFonts w:ascii="Arial" w:hAnsi="Arial" w:cs="Arial"/>
          <w:sz w:val="22"/>
          <w:szCs w:val="22"/>
        </w:rPr>
      </w:pPr>
      <w:r w:rsidRPr="00961082">
        <w:rPr>
          <w:rFonts w:ascii="Arial" w:hAnsi="Arial" w:cs="Arial"/>
          <w:sz w:val="22"/>
          <w:szCs w:val="22"/>
        </w:rPr>
        <w:t xml:space="preserve">Department of Health and Social Care (2022) </w:t>
      </w:r>
      <w:r w:rsidRPr="00961082">
        <w:rPr>
          <w:rFonts w:ascii="Arial" w:hAnsi="Arial" w:cs="Arial"/>
          <w:i/>
          <w:iCs/>
          <w:sz w:val="22"/>
          <w:szCs w:val="22"/>
        </w:rPr>
        <w:t>Health and Care Act 2022</w:t>
      </w:r>
      <w:r w:rsidRPr="00961082">
        <w:rPr>
          <w:rFonts w:ascii="Arial" w:hAnsi="Arial" w:cs="Arial"/>
          <w:sz w:val="22"/>
          <w:szCs w:val="22"/>
        </w:rPr>
        <w:t xml:space="preserve">. London: HMSO. Available at: </w:t>
      </w:r>
      <w:hyperlink r:id="rId9" w:history="1">
        <w:r w:rsidRPr="00961082">
          <w:rPr>
            <w:rStyle w:val="Hyperlink"/>
            <w:rFonts w:ascii="Arial" w:hAnsi="Arial" w:cs="Arial"/>
            <w:sz w:val="22"/>
            <w:szCs w:val="22"/>
          </w:rPr>
          <w:t>https://www.legislation.gov.uk/ukpga/2022/31/contents/</w:t>
        </w:r>
      </w:hyperlink>
      <w:r w:rsidRPr="00961082">
        <w:rPr>
          <w:rFonts w:ascii="Arial" w:hAnsi="Arial" w:cs="Arial"/>
          <w:sz w:val="22"/>
          <w:szCs w:val="22"/>
        </w:rPr>
        <w:t xml:space="preserve">  (Accessed: 24 March 2026).</w:t>
      </w:r>
    </w:p>
    <w:p w14:paraId="1FA6626F" w14:textId="77777777" w:rsidR="001163BB" w:rsidRPr="00961082" w:rsidRDefault="001163BB" w:rsidP="00961082">
      <w:pPr>
        <w:spacing w:line="360" w:lineRule="auto"/>
        <w:ind w:left="360"/>
        <w:rPr>
          <w:rFonts w:ascii="Arial" w:hAnsi="Arial" w:cs="Arial"/>
          <w:color w:val="000000" w:themeColor="text1"/>
          <w:sz w:val="22"/>
          <w:szCs w:val="22"/>
          <w:lang w:eastAsia="en-GB"/>
        </w:rPr>
      </w:pPr>
      <w:r w:rsidRPr="00961082">
        <w:rPr>
          <w:rFonts w:ascii="Arial" w:hAnsi="Arial" w:cs="Arial"/>
          <w:color w:val="000000" w:themeColor="text1"/>
          <w:sz w:val="22"/>
          <w:szCs w:val="22"/>
          <w:lang w:eastAsia="en-GB"/>
        </w:rPr>
        <w:t xml:space="preserve">Glasby, J., Dickinson, H. and Miller, R. (2011) </w:t>
      </w:r>
      <w:r w:rsidRPr="00961082">
        <w:rPr>
          <w:rFonts w:ascii="Arial" w:hAnsi="Arial" w:cs="Arial"/>
          <w:i/>
          <w:iCs/>
          <w:color w:val="000000" w:themeColor="text1"/>
          <w:sz w:val="22"/>
          <w:szCs w:val="22"/>
          <w:lang w:eastAsia="en-GB"/>
        </w:rPr>
        <w:t>‘Partnership working in England – where we are now and where we’ve come from’</w:t>
      </w:r>
      <w:r w:rsidRPr="00961082">
        <w:rPr>
          <w:rFonts w:ascii="Arial" w:hAnsi="Arial" w:cs="Arial"/>
          <w:color w:val="000000" w:themeColor="text1"/>
          <w:sz w:val="22"/>
          <w:szCs w:val="22"/>
          <w:lang w:eastAsia="en-GB"/>
        </w:rPr>
        <w:t xml:space="preserve">, International Journal of Integrated Care, 11(Special 10th Anniversary Edition). Available at: </w:t>
      </w:r>
      <w:hyperlink r:id="rId10" w:history="1">
        <w:r w:rsidRPr="00961082">
          <w:rPr>
            <w:rStyle w:val="Hyperlink"/>
            <w:rFonts w:ascii="Arial" w:hAnsi="Arial" w:cs="Arial"/>
            <w:sz w:val="22"/>
            <w:szCs w:val="22"/>
            <w:lang w:eastAsia="en-GB"/>
          </w:rPr>
          <w:t>https://www.ncbi.nlm.nih.gov/pmc/articles/PMC3111890/</w:t>
        </w:r>
      </w:hyperlink>
      <w:r w:rsidRPr="00961082">
        <w:rPr>
          <w:rFonts w:ascii="Arial" w:hAnsi="Arial" w:cs="Arial"/>
          <w:color w:val="000000" w:themeColor="text1"/>
          <w:sz w:val="22"/>
          <w:szCs w:val="22"/>
          <w:lang w:eastAsia="en-GB"/>
        </w:rPr>
        <w:t xml:space="preserve">  (Accessed: 26 March 2026)</w:t>
      </w:r>
    </w:p>
    <w:p w14:paraId="4D1B0647" w14:textId="77777777" w:rsidR="001163BB" w:rsidRPr="00961082" w:rsidRDefault="001163BB" w:rsidP="00CD3A6D">
      <w:pPr>
        <w:spacing w:line="360" w:lineRule="auto"/>
        <w:ind w:left="360"/>
        <w:rPr>
          <w:rFonts w:ascii="Arial" w:hAnsi="Arial" w:cs="Arial"/>
          <w:sz w:val="22"/>
          <w:szCs w:val="22"/>
        </w:rPr>
      </w:pPr>
      <w:r w:rsidRPr="00961082">
        <w:rPr>
          <w:rFonts w:ascii="Arial" w:hAnsi="Arial" w:cs="Arial"/>
          <w:sz w:val="22"/>
          <w:szCs w:val="22"/>
        </w:rPr>
        <w:t xml:space="preserve">Health Education England (2026) </w:t>
      </w:r>
      <w:r w:rsidRPr="00961082">
        <w:rPr>
          <w:rFonts w:ascii="Arial" w:hAnsi="Arial" w:cs="Arial"/>
          <w:i/>
          <w:iCs/>
          <w:sz w:val="22"/>
          <w:szCs w:val="22"/>
        </w:rPr>
        <w:t>Person-centred care</w:t>
      </w:r>
      <w:r w:rsidRPr="00961082">
        <w:rPr>
          <w:rFonts w:ascii="Arial" w:hAnsi="Arial" w:cs="Arial"/>
          <w:sz w:val="22"/>
          <w:szCs w:val="22"/>
        </w:rPr>
        <w:t xml:space="preserve">. Available at: </w:t>
      </w:r>
      <w:hyperlink r:id="rId11" w:history="1">
        <w:r w:rsidRPr="00961082">
          <w:rPr>
            <w:rStyle w:val="Hyperlink"/>
            <w:rFonts w:ascii="Arial" w:hAnsi="Arial" w:cs="Arial"/>
            <w:sz w:val="22"/>
            <w:szCs w:val="22"/>
          </w:rPr>
          <w:t>https://www.hee.nhs.uk/our-work/person-centred-care/</w:t>
        </w:r>
      </w:hyperlink>
      <w:r w:rsidRPr="00961082">
        <w:rPr>
          <w:rFonts w:ascii="Arial" w:hAnsi="Arial" w:cs="Arial"/>
          <w:sz w:val="22"/>
          <w:szCs w:val="22"/>
        </w:rPr>
        <w:t xml:space="preserve">  (Accessed: 24 March 2026).</w:t>
      </w:r>
    </w:p>
    <w:p w14:paraId="20CCB659" w14:textId="77777777" w:rsidR="001163BB" w:rsidRDefault="001163BB" w:rsidP="00CD3A6D">
      <w:pPr>
        <w:spacing w:line="360" w:lineRule="auto"/>
        <w:ind w:left="360"/>
        <w:rPr>
          <w:rFonts w:ascii="Arial" w:hAnsi="Arial" w:cs="Arial"/>
          <w:sz w:val="22"/>
          <w:szCs w:val="22"/>
        </w:rPr>
      </w:pPr>
      <w:r w:rsidRPr="00961082">
        <w:rPr>
          <w:rFonts w:ascii="Arial" w:hAnsi="Arial" w:cs="Arial"/>
          <w:sz w:val="22"/>
          <w:szCs w:val="22"/>
        </w:rPr>
        <w:t xml:space="preserve">Kings Fund (2024) </w:t>
      </w:r>
      <w:r w:rsidRPr="00961082">
        <w:rPr>
          <w:rFonts w:ascii="Arial" w:hAnsi="Arial" w:cs="Arial"/>
          <w:i/>
          <w:iCs/>
          <w:sz w:val="22"/>
          <w:szCs w:val="22"/>
        </w:rPr>
        <w:t>Realising the potential of integrated care systems</w:t>
      </w:r>
      <w:r w:rsidRPr="00961082">
        <w:rPr>
          <w:rFonts w:ascii="Arial" w:hAnsi="Arial" w:cs="Arial"/>
          <w:sz w:val="22"/>
          <w:szCs w:val="22"/>
        </w:rPr>
        <w:t xml:space="preserve">. London: The King’s Fund. Available at: </w:t>
      </w:r>
      <w:hyperlink r:id="rId12" w:history="1">
        <w:r w:rsidRPr="00961082">
          <w:rPr>
            <w:rStyle w:val="Hyperlink"/>
            <w:rFonts w:ascii="Arial" w:hAnsi="Arial" w:cs="Arial"/>
            <w:sz w:val="22"/>
            <w:szCs w:val="22"/>
          </w:rPr>
          <w:t>https://www.kingsfund.org.uk/insight-and-analysis/reports/integrated-care-systems-workforce/</w:t>
        </w:r>
      </w:hyperlink>
      <w:r w:rsidRPr="00961082">
        <w:rPr>
          <w:rFonts w:ascii="Arial" w:hAnsi="Arial" w:cs="Arial"/>
          <w:sz w:val="22"/>
          <w:szCs w:val="22"/>
        </w:rPr>
        <w:t xml:space="preserve">  (Accessed: 27 March 2026).</w:t>
      </w:r>
    </w:p>
    <w:p w14:paraId="7719EBA9" w14:textId="64D73496" w:rsidR="00822B95" w:rsidRDefault="00822B95" w:rsidP="00CD3A6D">
      <w:pPr>
        <w:spacing w:line="360" w:lineRule="auto"/>
        <w:ind w:left="360"/>
        <w:rPr>
          <w:rFonts w:ascii="Arial" w:hAnsi="Arial" w:cs="Arial"/>
          <w:sz w:val="22"/>
          <w:szCs w:val="22"/>
        </w:rPr>
      </w:pPr>
      <w:r w:rsidRPr="00822B95">
        <w:rPr>
          <w:rFonts w:ascii="Arial" w:hAnsi="Arial" w:cs="Arial"/>
          <w:sz w:val="22"/>
          <w:szCs w:val="22"/>
        </w:rPr>
        <w:t>Limb, M. (2022) ‘</w:t>
      </w:r>
      <w:r w:rsidRPr="00822B95">
        <w:rPr>
          <w:rFonts w:ascii="Arial" w:hAnsi="Arial" w:cs="Arial"/>
          <w:i/>
          <w:iCs/>
          <w:sz w:val="22"/>
          <w:szCs w:val="22"/>
        </w:rPr>
        <w:t>Integrated care systems face challenges fulfilling hopes of improving population health’</w:t>
      </w:r>
      <w:r w:rsidRPr="00822B95">
        <w:rPr>
          <w:rFonts w:ascii="Arial" w:hAnsi="Arial" w:cs="Arial"/>
          <w:sz w:val="22"/>
          <w:szCs w:val="22"/>
        </w:rPr>
        <w:t xml:space="preserve">. Available at: </w:t>
      </w:r>
      <w:hyperlink r:id="rId13" w:history="1">
        <w:r w:rsidR="00A654B3" w:rsidRPr="00025DF0">
          <w:rPr>
            <w:rStyle w:val="Hyperlink"/>
            <w:rFonts w:ascii="Arial" w:hAnsi="Arial" w:cs="Arial"/>
            <w:sz w:val="22"/>
            <w:szCs w:val="22"/>
          </w:rPr>
          <w:t>https://www.bmj.com/content/379/bmj.o2481/</w:t>
        </w:r>
      </w:hyperlink>
      <w:r w:rsidR="00A654B3">
        <w:rPr>
          <w:rFonts w:ascii="Arial" w:hAnsi="Arial" w:cs="Arial"/>
          <w:sz w:val="22"/>
          <w:szCs w:val="22"/>
        </w:rPr>
        <w:t xml:space="preserve"> </w:t>
      </w:r>
      <w:r w:rsidRPr="00822B95">
        <w:rPr>
          <w:rFonts w:ascii="Arial" w:hAnsi="Arial" w:cs="Arial"/>
          <w:sz w:val="22"/>
          <w:szCs w:val="22"/>
        </w:rPr>
        <w:t xml:space="preserve"> (Accessed: 2</w:t>
      </w:r>
      <w:r w:rsidR="00A654B3">
        <w:rPr>
          <w:rFonts w:ascii="Arial" w:hAnsi="Arial" w:cs="Arial"/>
          <w:sz w:val="22"/>
          <w:szCs w:val="22"/>
        </w:rPr>
        <w:t>7</w:t>
      </w:r>
      <w:r w:rsidRPr="00822B95">
        <w:rPr>
          <w:rFonts w:ascii="Arial" w:hAnsi="Arial" w:cs="Arial"/>
          <w:sz w:val="22"/>
          <w:szCs w:val="22"/>
        </w:rPr>
        <w:t xml:space="preserve"> March 2026).</w:t>
      </w:r>
    </w:p>
    <w:p w14:paraId="2C98DA3A" w14:textId="3A2E20D9" w:rsidR="00274D03" w:rsidRPr="00961082" w:rsidRDefault="00274D03" w:rsidP="00CD3A6D">
      <w:pPr>
        <w:spacing w:line="360" w:lineRule="auto"/>
        <w:ind w:left="360"/>
        <w:rPr>
          <w:rFonts w:ascii="Arial" w:hAnsi="Arial" w:cs="Arial"/>
          <w:sz w:val="22"/>
          <w:szCs w:val="22"/>
        </w:rPr>
      </w:pPr>
      <w:r w:rsidRPr="00274D03">
        <w:rPr>
          <w:rFonts w:ascii="Arial" w:hAnsi="Arial" w:cs="Arial"/>
          <w:sz w:val="22"/>
          <w:szCs w:val="22"/>
        </w:rPr>
        <w:t>McCance, T. and McCormack, B. (2025) ‘The Person</w:t>
      </w:r>
      <w:r w:rsidRPr="00274D03">
        <w:rPr>
          <w:rFonts w:ascii="Cambria Math" w:hAnsi="Cambria Math" w:cs="Cambria Math"/>
          <w:sz w:val="22"/>
          <w:szCs w:val="22"/>
        </w:rPr>
        <w:t>‑</w:t>
      </w:r>
      <w:r w:rsidRPr="00274D03">
        <w:rPr>
          <w:rFonts w:ascii="Arial" w:hAnsi="Arial" w:cs="Arial"/>
          <w:sz w:val="22"/>
          <w:szCs w:val="22"/>
        </w:rPr>
        <w:t>centred Nursing Framework: a mid</w:t>
      </w:r>
      <w:r w:rsidRPr="00274D03">
        <w:rPr>
          <w:rFonts w:ascii="Cambria Math" w:hAnsi="Cambria Math" w:cs="Cambria Math"/>
          <w:sz w:val="22"/>
          <w:szCs w:val="22"/>
        </w:rPr>
        <w:t>‑</w:t>
      </w:r>
      <w:r w:rsidRPr="00274D03">
        <w:rPr>
          <w:rFonts w:ascii="Arial" w:hAnsi="Arial" w:cs="Arial"/>
          <w:sz w:val="22"/>
          <w:szCs w:val="22"/>
        </w:rPr>
        <w:t xml:space="preserve">range theory for nursing practice’, </w:t>
      </w:r>
      <w:r w:rsidRPr="00274D03">
        <w:rPr>
          <w:rFonts w:ascii="Arial" w:hAnsi="Arial" w:cs="Arial"/>
          <w:i/>
          <w:iCs/>
          <w:sz w:val="22"/>
          <w:szCs w:val="22"/>
        </w:rPr>
        <w:t>Journal of Research in Nursing</w:t>
      </w:r>
      <w:r w:rsidRPr="00274D03">
        <w:rPr>
          <w:rFonts w:ascii="Arial" w:hAnsi="Arial" w:cs="Arial"/>
          <w:sz w:val="22"/>
          <w:szCs w:val="22"/>
        </w:rPr>
        <w:t xml:space="preserve">, 30(1), pp. 47–60. Available at: </w:t>
      </w:r>
      <w:hyperlink r:id="rId14" w:history="1">
        <w:r w:rsidRPr="00025DF0">
          <w:rPr>
            <w:rStyle w:val="Hyperlink"/>
            <w:rFonts w:ascii="Arial" w:hAnsi="Arial" w:cs="Arial"/>
            <w:sz w:val="22"/>
            <w:szCs w:val="22"/>
          </w:rPr>
          <w:t>https://journals.sagepub.com/doi/10.1177/17449871241281428/</w:t>
        </w:r>
      </w:hyperlink>
      <w:r>
        <w:rPr>
          <w:rFonts w:ascii="Arial" w:hAnsi="Arial" w:cs="Arial"/>
          <w:sz w:val="22"/>
          <w:szCs w:val="22"/>
        </w:rPr>
        <w:t xml:space="preserve"> </w:t>
      </w:r>
      <w:r w:rsidRPr="00274D03">
        <w:rPr>
          <w:rFonts w:ascii="Arial" w:hAnsi="Arial" w:cs="Arial"/>
          <w:sz w:val="22"/>
          <w:szCs w:val="22"/>
        </w:rPr>
        <w:t xml:space="preserve"> (Accessed: 28 March 2026)</w:t>
      </w:r>
    </w:p>
    <w:p w14:paraId="1A9A60AE" w14:textId="285D4C3F" w:rsidR="00286F0D" w:rsidRDefault="00286F0D" w:rsidP="00DA7D02">
      <w:pPr>
        <w:spacing w:line="360" w:lineRule="auto"/>
        <w:ind w:left="360"/>
        <w:rPr>
          <w:rFonts w:ascii="Arial" w:hAnsi="Arial" w:cs="Arial"/>
          <w:sz w:val="22"/>
          <w:szCs w:val="22"/>
        </w:rPr>
      </w:pPr>
      <w:r w:rsidRPr="00286F0D">
        <w:rPr>
          <w:rFonts w:ascii="Arial" w:hAnsi="Arial" w:cs="Arial"/>
          <w:sz w:val="22"/>
          <w:szCs w:val="22"/>
        </w:rPr>
        <w:t>McCormack, B. and McCance, T. (2021) ‘The person</w:t>
      </w:r>
      <w:r w:rsidRPr="00286F0D">
        <w:rPr>
          <w:rFonts w:ascii="Cambria Math" w:hAnsi="Cambria Math" w:cs="Cambria Math"/>
          <w:sz w:val="22"/>
          <w:szCs w:val="22"/>
        </w:rPr>
        <w:t>‑</w:t>
      </w:r>
      <w:r w:rsidRPr="00286F0D">
        <w:rPr>
          <w:rFonts w:ascii="Arial" w:hAnsi="Arial" w:cs="Arial"/>
          <w:sz w:val="22"/>
          <w:szCs w:val="22"/>
        </w:rPr>
        <w:t xml:space="preserve">centred nursing framework’, in Dewing, J., McCormack, B. and McCance, T. (eds.) </w:t>
      </w:r>
      <w:r w:rsidRPr="00286F0D">
        <w:rPr>
          <w:rFonts w:ascii="Arial" w:hAnsi="Arial" w:cs="Arial"/>
          <w:i/>
          <w:iCs/>
          <w:sz w:val="22"/>
          <w:szCs w:val="22"/>
        </w:rPr>
        <w:t>Person</w:t>
      </w:r>
      <w:r w:rsidRPr="00286F0D">
        <w:rPr>
          <w:rFonts w:ascii="Cambria Math" w:hAnsi="Cambria Math" w:cs="Cambria Math"/>
          <w:i/>
          <w:iCs/>
          <w:sz w:val="22"/>
          <w:szCs w:val="22"/>
        </w:rPr>
        <w:t>‑</w:t>
      </w:r>
      <w:r w:rsidRPr="00286F0D">
        <w:rPr>
          <w:rFonts w:ascii="Arial" w:hAnsi="Arial" w:cs="Arial"/>
          <w:i/>
          <w:iCs/>
          <w:sz w:val="22"/>
          <w:szCs w:val="22"/>
        </w:rPr>
        <w:t>centred nursing research: methodology, methods and outcomes</w:t>
      </w:r>
      <w:r w:rsidRPr="00286F0D">
        <w:rPr>
          <w:rFonts w:ascii="Arial" w:hAnsi="Arial" w:cs="Arial"/>
          <w:sz w:val="22"/>
          <w:szCs w:val="22"/>
        </w:rPr>
        <w:t>. Cham: Springer, pp. 13–28. doi:10.1007/978</w:t>
      </w:r>
      <w:r w:rsidRPr="00286F0D">
        <w:rPr>
          <w:rFonts w:ascii="Cambria Math" w:hAnsi="Cambria Math" w:cs="Cambria Math"/>
          <w:sz w:val="22"/>
          <w:szCs w:val="22"/>
        </w:rPr>
        <w:t>‑</w:t>
      </w:r>
      <w:r w:rsidRPr="00286F0D">
        <w:rPr>
          <w:rFonts w:ascii="Arial" w:hAnsi="Arial" w:cs="Arial"/>
          <w:sz w:val="22"/>
          <w:szCs w:val="22"/>
        </w:rPr>
        <w:t>3</w:t>
      </w:r>
      <w:r w:rsidRPr="00286F0D">
        <w:rPr>
          <w:rFonts w:ascii="Cambria Math" w:hAnsi="Cambria Math" w:cs="Cambria Math"/>
          <w:sz w:val="22"/>
          <w:szCs w:val="22"/>
        </w:rPr>
        <w:t>‑</w:t>
      </w:r>
      <w:r w:rsidRPr="00286F0D">
        <w:rPr>
          <w:rFonts w:ascii="Arial" w:hAnsi="Arial" w:cs="Arial"/>
          <w:sz w:val="22"/>
          <w:szCs w:val="22"/>
        </w:rPr>
        <w:t>030</w:t>
      </w:r>
      <w:r w:rsidRPr="00286F0D">
        <w:rPr>
          <w:rFonts w:ascii="Cambria Math" w:hAnsi="Cambria Math" w:cs="Cambria Math"/>
          <w:sz w:val="22"/>
          <w:szCs w:val="22"/>
        </w:rPr>
        <w:t>‑</w:t>
      </w:r>
      <w:r w:rsidRPr="00286F0D">
        <w:rPr>
          <w:rFonts w:ascii="Arial" w:hAnsi="Arial" w:cs="Arial"/>
          <w:sz w:val="22"/>
          <w:szCs w:val="22"/>
        </w:rPr>
        <w:t>27868</w:t>
      </w:r>
      <w:r w:rsidRPr="00286F0D">
        <w:rPr>
          <w:rFonts w:ascii="Cambria Math" w:hAnsi="Cambria Math" w:cs="Cambria Math"/>
          <w:sz w:val="22"/>
          <w:szCs w:val="22"/>
        </w:rPr>
        <w:t>‑</w:t>
      </w:r>
      <w:r w:rsidRPr="00286F0D">
        <w:rPr>
          <w:rFonts w:ascii="Arial" w:hAnsi="Arial" w:cs="Arial"/>
          <w:sz w:val="22"/>
          <w:szCs w:val="22"/>
        </w:rPr>
        <w:t>7_2</w:t>
      </w:r>
      <w:r>
        <w:rPr>
          <w:rFonts w:ascii="Arial" w:hAnsi="Arial" w:cs="Arial"/>
          <w:sz w:val="22"/>
          <w:szCs w:val="22"/>
        </w:rPr>
        <w:t xml:space="preserve">. </w:t>
      </w:r>
    </w:p>
    <w:p w14:paraId="4AAFA18A" w14:textId="35CEA035" w:rsidR="00EE5013" w:rsidRDefault="00EE5013" w:rsidP="00961082">
      <w:pPr>
        <w:spacing w:line="360" w:lineRule="auto"/>
        <w:ind w:left="360"/>
        <w:rPr>
          <w:rFonts w:ascii="Arial" w:hAnsi="Arial" w:cs="Arial"/>
          <w:color w:val="000000" w:themeColor="text1"/>
          <w:sz w:val="22"/>
          <w:szCs w:val="22"/>
        </w:rPr>
      </w:pPr>
      <w:r w:rsidRPr="00EE5013">
        <w:rPr>
          <w:rFonts w:ascii="Arial" w:hAnsi="Arial" w:cs="Arial"/>
          <w:color w:val="000000" w:themeColor="text1"/>
          <w:sz w:val="22"/>
          <w:szCs w:val="22"/>
        </w:rPr>
        <w:lastRenderedPageBreak/>
        <w:t>Moore, L., Britten, N., Lydahl, D.,</w:t>
      </w:r>
      <w:r>
        <w:rPr>
          <w:rFonts w:ascii="Arial" w:hAnsi="Arial" w:cs="Arial"/>
          <w:color w:val="000000" w:themeColor="text1"/>
          <w:sz w:val="22"/>
          <w:szCs w:val="22"/>
        </w:rPr>
        <w:t xml:space="preserve"> </w:t>
      </w:r>
      <w:r w:rsidRPr="00EE5013">
        <w:rPr>
          <w:rFonts w:ascii="Arial" w:hAnsi="Arial" w:cs="Arial"/>
          <w:i/>
          <w:iCs/>
          <w:color w:val="000000" w:themeColor="text1"/>
          <w:sz w:val="22"/>
          <w:szCs w:val="22"/>
        </w:rPr>
        <w:t>et al</w:t>
      </w:r>
      <w:r w:rsidRPr="00EE5013">
        <w:rPr>
          <w:rFonts w:ascii="Arial" w:hAnsi="Arial" w:cs="Arial"/>
          <w:color w:val="000000" w:themeColor="text1"/>
          <w:sz w:val="22"/>
          <w:szCs w:val="22"/>
        </w:rPr>
        <w:t xml:space="preserve"> (2017) ‘Barriers and facilitators to the implementation of person</w:t>
      </w:r>
      <w:r w:rsidRPr="00EE5013">
        <w:rPr>
          <w:rFonts w:ascii="Cambria Math" w:hAnsi="Cambria Math" w:cs="Cambria Math"/>
          <w:color w:val="000000" w:themeColor="text1"/>
          <w:sz w:val="22"/>
          <w:szCs w:val="22"/>
        </w:rPr>
        <w:t>‑</w:t>
      </w:r>
      <w:r w:rsidRPr="00EE5013">
        <w:rPr>
          <w:rFonts w:ascii="Arial" w:hAnsi="Arial" w:cs="Arial"/>
          <w:color w:val="000000" w:themeColor="text1"/>
          <w:sz w:val="22"/>
          <w:szCs w:val="22"/>
        </w:rPr>
        <w:t xml:space="preserve">centred care in different healthcare contexts’, </w:t>
      </w:r>
      <w:r w:rsidRPr="0045422E">
        <w:rPr>
          <w:rFonts w:ascii="Arial" w:hAnsi="Arial" w:cs="Arial"/>
          <w:i/>
          <w:iCs/>
          <w:color w:val="000000" w:themeColor="text1"/>
          <w:sz w:val="22"/>
          <w:szCs w:val="22"/>
        </w:rPr>
        <w:t>Scandinavian Journal of Caring Sciences</w:t>
      </w:r>
      <w:r w:rsidRPr="00EE5013">
        <w:rPr>
          <w:rFonts w:ascii="Arial" w:hAnsi="Arial" w:cs="Arial"/>
          <w:color w:val="000000" w:themeColor="text1"/>
          <w:sz w:val="22"/>
          <w:szCs w:val="22"/>
        </w:rPr>
        <w:t xml:space="preserve">, 31(4), pp. 662–673. Available at: </w:t>
      </w:r>
      <w:hyperlink r:id="rId15" w:history="1">
        <w:r w:rsidRPr="00025DF0">
          <w:rPr>
            <w:rStyle w:val="Hyperlink"/>
            <w:rFonts w:ascii="Arial" w:hAnsi="Arial" w:cs="Arial"/>
            <w:sz w:val="22"/>
            <w:szCs w:val="22"/>
          </w:rPr>
          <w:t>https://onlinelibrary.wiley.com/doi/10.1111/scs.12376/</w:t>
        </w:r>
      </w:hyperlink>
      <w:r>
        <w:rPr>
          <w:rFonts w:ascii="Arial" w:hAnsi="Arial" w:cs="Arial"/>
          <w:color w:val="000000" w:themeColor="text1"/>
          <w:sz w:val="22"/>
          <w:szCs w:val="22"/>
        </w:rPr>
        <w:t xml:space="preserve"> </w:t>
      </w:r>
      <w:r w:rsidRPr="00EE5013">
        <w:rPr>
          <w:rFonts w:ascii="Arial" w:hAnsi="Arial" w:cs="Arial"/>
          <w:color w:val="000000" w:themeColor="text1"/>
          <w:sz w:val="22"/>
          <w:szCs w:val="22"/>
        </w:rPr>
        <w:t xml:space="preserve">(Accessed: </w:t>
      </w:r>
      <w:r>
        <w:rPr>
          <w:rFonts w:ascii="Arial" w:hAnsi="Arial" w:cs="Arial"/>
          <w:color w:val="000000" w:themeColor="text1"/>
          <w:sz w:val="22"/>
          <w:szCs w:val="22"/>
        </w:rPr>
        <w:t xml:space="preserve">27 </w:t>
      </w:r>
      <w:r w:rsidRPr="00EE5013">
        <w:rPr>
          <w:rFonts w:ascii="Arial" w:hAnsi="Arial" w:cs="Arial"/>
          <w:color w:val="000000" w:themeColor="text1"/>
          <w:sz w:val="22"/>
          <w:szCs w:val="22"/>
        </w:rPr>
        <w:t>March 2026)</w:t>
      </w:r>
    </w:p>
    <w:p w14:paraId="441D489B" w14:textId="50619576" w:rsidR="001163BB" w:rsidRPr="00961082" w:rsidRDefault="001163BB" w:rsidP="00961082">
      <w:pPr>
        <w:spacing w:line="360" w:lineRule="auto"/>
        <w:ind w:left="360"/>
        <w:rPr>
          <w:rFonts w:ascii="Arial" w:hAnsi="Arial" w:cs="Arial"/>
          <w:sz w:val="22"/>
          <w:szCs w:val="22"/>
        </w:rPr>
      </w:pPr>
      <w:r w:rsidRPr="00961082">
        <w:rPr>
          <w:rFonts w:ascii="Arial" w:hAnsi="Arial" w:cs="Arial"/>
          <w:color w:val="000000" w:themeColor="text1"/>
          <w:sz w:val="22"/>
          <w:szCs w:val="22"/>
        </w:rPr>
        <w:t xml:space="preserve">NHS (2026) </w:t>
      </w:r>
      <w:r w:rsidRPr="00961082">
        <w:rPr>
          <w:rFonts w:ascii="Arial" w:eastAsia="Times New Roman" w:hAnsi="Arial" w:cs="Arial"/>
          <w:i/>
          <w:iCs/>
          <w:color w:val="222222"/>
          <w:kern w:val="36"/>
          <w:sz w:val="22"/>
          <w:szCs w:val="22"/>
          <w:lang w:eastAsia="en-GB"/>
          <w14:ligatures w14:val="none"/>
        </w:rPr>
        <w:t xml:space="preserve">Person-centred care. </w:t>
      </w:r>
      <w:r w:rsidRPr="00961082">
        <w:rPr>
          <w:rFonts w:ascii="Arial" w:eastAsia="Times New Roman" w:hAnsi="Arial" w:cs="Arial"/>
          <w:color w:val="222222"/>
          <w:kern w:val="36"/>
          <w:sz w:val="22"/>
          <w:szCs w:val="22"/>
          <w:lang w:eastAsia="en-GB"/>
          <w14:ligatures w14:val="none"/>
        </w:rPr>
        <w:t xml:space="preserve">Available at: </w:t>
      </w:r>
      <w:hyperlink r:id="rId16" w:history="1">
        <w:r w:rsidRPr="00961082">
          <w:rPr>
            <w:rStyle w:val="Hyperlink"/>
            <w:rFonts w:ascii="Arial" w:eastAsia="Times New Roman" w:hAnsi="Arial" w:cs="Arial"/>
            <w:kern w:val="36"/>
            <w:sz w:val="22"/>
            <w:szCs w:val="22"/>
            <w:lang w:eastAsia="en-GB"/>
            <w14:ligatures w14:val="none"/>
          </w:rPr>
          <w:t>https://www.hee.nhs.uk/our-work/person-centred-care/</w:t>
        </w:r>
      </w:hyperlink>
      <w:r w:rsidRPr="00961082">
        <w:rPr>
          <w:rFonts w:ascii="Arial" w:eastAsia="Times New Roman" w:hAnsi="Arial" w:cs="Arial"/>
          <w:color w:val="222222"/>
          <w:kern w:val="36"/>
          <w:sz w:val="22"/>
          <w:szCs w:val="22"/>
          <w:lang w:eastAsia="en-GB"/>
          <w14:ligatures w14:val="none"/>
        </w:rPr>
        <w:t xml:space="preserve"> (Accessed: 22 March 2026).</w:t>
      </w:r>
    </w:p>
    <w:p w14:paraId="32773974" w14:textId="77777777" w:rsidR="001163BB" w:rsidRPr="00961082" w:rsidRDefault="001163BB" w:rsidP="00CD3A6D">
      <w:pPr>
        <w:spacing w:line="360" w:lineRule="auto"/>
        <w:ind w:left="360"/>
        <w:rPr>
          <w:rFonts w:ascii="Arial" w:hAnsi="Arial" w:cs="Arial"/>
          <w:sz w:val="22"/>
          <w:szCs w:val="22"/>
        </w:rPr>
      </w:pPr>
      <w:r w:rsidRPr="00961082">
        <w:rPr>
          <w:rFonts w:ascii="Arial" w:hAnsi="Arial" w:cs="Arial"/>
          <w:sz w:val="22"/>
          <w:szCs w:val="22"/>
        </w:rPr>
        <w:t xml:space="preserve">NHS England (2022) </w:t>
      </w:r>
      <w:r w:rsidRPr="00961082">
        <w:rPr>
          <w:rFonts w:ascii="Arial" w:hAnsi="Arial" w:cs="Arial"/>
          <w:i/>
          <w:iCs/>
          <w:sz w:val="22"/>
          <w:szCs w:val="22"/>
        </w:rPr>
        <w:t>Working in partnership with people and communities: statutory guidance</w:t>
      </w:r>
      <w:r w:rsidRPr="00961082">
        <w:rPr>
          <w:rFonts w:ascii="Arial" w:hAnsi="Arial" w:cs="Arial"/>
          <w:sz w:val="22"/>
          <w:szCs w:val="22"/>
        </w:rPr>
        <w:t xml:space="preserve">. Available at: </w:t>
      </w:r>
      <w:hyperlink r:id="rId17" w:history="1">
        <w:r w:rsidRPr="00961082">
          <w:rPr>
            <w:rStyle w:val="Hyperlink"/>
            <w:rFonts w:ascii="Arial" w:hAnsi="Arial" w:cs="Arial"/>
            <w:sz w:val="22"/>
            <w:szCs w:val="22"/>
          </w:rPr>
          <w:t>https://www.england.nhs.uk/long-read/working-in-partnership-with-people-and-communities-statutory-guidance/</w:t>
        </w:r>
      </w:hyperlink>
      <w:r w:rsidRPr="00961082">
        <w:rPr>
          <w:rFonts w:ascii="Arial" w:hAnsi="Arial" w:cs="Arial"/>
          <w:sz w:val="22"/>
          <w:szCs w:val="22"/>
        </w:rPr>
        <w:t xml:space="preserve"> (Accessed: 28 March 2026).</w:t>
      </w:r>
    </w:p>
    <w:p w14:paraId="22E3D422" w14:textId="77777777" w:rsidR="001163BB" w:rsidRPr="00961082" w:rsidRDefault="001163BB" w:rsidP="00CD3A6D">
      <w:pPr>
        <w:spacing w:line="360" w:lineRule="auto"/>
        <w:ind w:left="360"/>
        <w:rPr>
          <w:rFonts w:ascii="Arial" w:hAnsi="Arial" w:cs="Arial"/>
          <w:sz w:val="22"/>
          <w:szCs w:val="22"/>
        </w:rPr>
      </w:pPr>
      <w:r w:rsidRPr="00961082">
        <w:rPr>
          <w:rFonts w:ascii="Arial" w:hAnsi="Arial" w:cs="Arial"/>
          <w:sz w:val="22"/>
          <w:szCs w:val="22"/>
        </w:rPr>
        <w:t xml:space="preserve">NHS England (2025) </w:t>
      </w:r>
      <w:r w:rsidRPr="00961082">
        <w:rPr>
          <w:rFonts w:ascii="Arial" w:hAnsi="Arial" w:cs="Arial"/>
          <w:i/>
          <w:iCs/>
          <w:sz w:val="22"/>
          <w:szCs w:val="22"/>
        </w:rPr>
        <w:t>2025/26 priorities and operational planning guidance</w:t>
      </w:r>
      <w:r w:rsidRPr="00961082">
        <w:rPr>
          <w:rFonts w:ascii="Arial" w:hAnsi="Arial" w:cs="Arial"/>
          <w:sz w:val="22"/>
          <w:szCs w:val="22"/>
        </w:rPr>
        <w:t xml:space="preserve">. Available at: </w:t>
      </w:r>
      <w:hyperlink r:id="rId18" w:history="1">
        <w:r w:rsidRPr="00961082">
          <w:rPr>
            <w:rStyle w:val="Hyperlink"/>
            <w:rFonts w:ascii="Arial" w:hAnsi="Arial" w:cs="Arial"/>
            <w:sz w:val="22"/>
            <w:szCs w:val="22"/>
          </w:rPr>
          <w:t>https://www.england.nhs.uk/long-read/2025-26-priorities-and-operational-planning-guidance/</w:t>
        </w:r>
      </w:hyperlink>
      <w:r w:rsidRPr="00961082">
        <w:rPr>
          <w:rFonts w:ascii="Arial" w:hAnsi="Arial" w:cs="Arial"/>
          <w:sz w:val="22"/>
          <w:szCs w:val="22"/>
        </w:rPr>
        <w:t xml:space="preserve">  (Accessed: 26 March 2026).</w:t>
      </w:r>
    </w:p>
    <w:p w14:paraId="194DF0A6" w14:textId="77AF4D8F" w:rsidR="001163BB" w:rsidRPr="00961082" w:rsidRDefault="001163BB" w:rsidP="00CD3A6D">
      <w:pPr>
        <w:spacing w:line="360" w:lineRule="auto"/>
        <w:ind w:left="360"/>
        <w:rPr>
          <w:rFonts w:ascii="Arial" w:hAnsi="Arial" w:cs="Arial"/>
          <w:sz w:val="22"/>
          <w:szCs w:val="22"/>
        </w:rPr>
      </w:pPr>
      <w:r w:rsidRPr="00961082">
        <w:rPr>
          <w:rFonts w:ascii="Arial" w:hAnsi="Arial" w:cs="Arial"/>
          <w:sz w:val="22"/>
          <w:szCs w:val="22"/>
        </w:rPr>
        <w:t>Nkhoma, K.B. et al. (2022) ‘A systematic review of the impact of person-centred care interventions on the quality of life of older people in care homes’, BMJ Open, 12(7)</w:t>
      </w:r>
      <w:r w:rsidR="00E067B0">
        <w:rPr>
          <w:rFonts w:ascii="Arial" w:hAnsi="Arial" w:cs="Arial"/>
          <w:sz w:val="22"/>
          <w:szCs w:val="22"/>
        </w:rPr>
        <w:t xml:space="preserve">. Available at: </w:t>
      </w:r>
      <w:hyperlink r:id="rId19" w:history="1">
        <w:r w:rsidR="00E067B0" w:rsidRPr="00025DF0">
          <w:rPr>
            <w:rStyle w:val="Hyperlink"/>
          </w:rPr>
          <w:t>https://pmc.ncbi.nlm.nih.gov/articles/PMC9280891/</w:t>
        </w:r>
      </w:hyperlink>
      <w:r w:rsidR="00E067B0">
        <w:t xml:space="preserve"> (Accessed: 27 March 2026).</w:t>
      </w:r>
    </w:p>
    <w:p w14:paraId="5E15D10B" w14:textId="44374A3C" w:rsidR="001163BB" w:rsidRPr="00961082" w:rsidRDefault="001163BB" w:rsidP="00CD3A6D">
      <w:pPr>
        <w:spacing w:line="360" w:lineRule="auto"/>
        <w:ind w:left="360"/>
        <w:rPr>
          <w:rFonts w:ascii="Arial" w:hAnsi="Arial" w:cs="Arial"/>
          <w:sz w:val="22"/>
          <w:szCs w:val="22"/>
        </w:rPr>
      </w:pPr>
      <w:r w:rsidRPr="00961082">
        <w:rPr>
          <w:rFonts w:ascii="Arial" w:hAnsi="Arial" w:cs="Arial"/>
          <w:sz w:val="22"/>
          <w:szCs w:val="22"/>
        </w:rPr>
        <w:t>Page, B. et al. (2024) ‘Floundering or flourishing? Early insights from integrated care systems in England’, International Journal of Integrated Care, 24(1).</w:t>
      </w:r>
      <w:r w:rsidR="002E5D24">
        <w:rPr>
          <w:rFonts w:ascii="Arial" w:hAnsi="Arial" w:cs="Arial"/>
          <w:sz w:val="22"/>
          <w:szCs w:val="22"/>
        </w:rPr>
        <w:t xml:space="preserve"> Available at: </w:t>
      </w:r>
      <w:hyperlink r:id="rId20" w:tgtFrame="_new" w:history="1">
        <w:r w:rsidR="002E5D24">
          <w:rPr>
            <w:rStyle w:val="Hyperlink"/>
          </w:rPr>
          <w:t>https://ijic.org/articles/10.5334/ijic.7738/</w:t>
        </w:r>
      </w:hyperlink>
      <w:r w:rsidR="00893890">
        <w:t xml:space="preserve"> (Accessed 27 March 2026).</w:t>
      </w:r>
    </w:p>
    <w:p w14:paraId="06016A71" w14:textId="77777777" w:rsidR="001163BB" w:rsidRPr="00961082" w:rsidRDefault="001163BB" w:rsidP="00961082">
      <w:pPr>
        <w:spacing w:line="360" w:lineRule="auto"/>
        <w:ind w:left="360"/>
        <w:rPr>
          <w:rFonts w:ascii="Arial" w:hAnsi="Arial" w:cs="Arial"/>
          <w:color w:val="000000" w:themeColor="text1"/>
          <w:sz w:val="22"/>
          <w:szCs w:val="22"/>
          <w:lang w:eastAsia="en-GB"/>
        </w:rPr>
      </w:pPr>
      <w:r w:rsidRPr="00961082">
        <w:rPr>
          <w:rFonts w:ascii="Arial" w:hAnsi="Arial" w:cs="Arial"/>
          <w:color w:val="000000" w:themeColor="text1"/>
          <w:sz w:val="22"/>
          <w:szCs w:val="22"/>
          <w:lang w:eastAsia="en-GB"/>
        </w:rPr>
        <w:t xml:space="preserve">Royal Open College (2026) </w:t>
      </w:r>
      <w:r w:rsidRPr="00961082">
        <w:rPr>
          <w:rFonts w:ascii="Arial" w:hAnsi="Arial" w:cs="Arial"/>
          <w:i/>
          <w:iCs/>
          <w:color w:val="000000" w:themeColor="text1"/>
          <w:sz w:val="22"/>
          <w:szCs w:val="22"/>
          <w:lang w:eastAsia="en-GB"/>
        </w:rPr>
        <w:t>What is partnership working in health and social care?</w:t>
      </w:r>
      <w:r w:rsidRPr="00961082">
        <w:rPr>
          <w:rFonts w:ascii="Arial" w:hAnsi="Arial" w:cs="Arial"/>
          <w:color w:val="000000" w:themeColor="text1"/>
          <w:sz w:val="22"/>
          <w:szCs w:val="22"/>
          <w:lang w:eastAsia="en-GB"/>
        </w:rPr>
        <w:t xml:space="preserve"> Available at: </w:t>
      </w:r>
      <w:hyperlink r:id="rId21" w:history="1">
        <w:r w:rsidRPr="00961082">
          <w:rPr>
            <w:rStyle w:val="Hyperlink"/>
            <w:rFonts w:ascii="Arial" w:hAnsi="Arial" w:cs="Arial"/>
            <w:sz w:val="22"/>
            <w:szCs w:val="22"/>
            <w:lang w:eastAsia="en-GB"/>
          </w:rPr>
          <w:t>https://royalopencollege.org/blog/health-and-social-care/what-is-partnership-working-in-health-and-social-care/</w:t>
        </w:r>
      </w:hyperlink>
      <w:r w:rsidRPr="00961082">
        <w:rPr>
          <w:rFonts w:ascii="Arial" w:hAnsi="Arial" w:cs="Arial"/>
          <w:color w:val="000000" w:themeColor="text1"/>
          <w:sz w:val="22"/>
          <w:szCs w:val="22"/>
          <w:lang w:eastAsia="en-GB"/>
        </w:rPr>
        <w:t xml:space="preserve"> (Accessed: 26 March 2026).</w:t>
      </w:r>
    </w:p>
    <w:p w14:paraId="7F5D238D" w14:textId="77777777" w:rsidR="001163BB" w:rsidRPr="00961082" w:rsidRDefault="001163BB" w:rsidP="00CD3A6D">
      <w:pPr>
        <w:spacing w:line="360" w:lineRule="auto"/>
        <w:ind w:left="360"/>
        <w:rPr>
          <w:rFonts w:ascii="Arial" w:hAnsi="Arial" w:cs="Arial"/>
          <w:sz w:val="22"/>
          <w:szCs w:val="22"/>
        </w:rPr>
      </w:pPr>
      <w:r w:rsidRPr="00961082">
        <w:rPr>
          <w:rFonts w:ascii="Arial" w:hAnsi="Arial" w:cs="Arial"/>
          <w:sz w:val="22"/>
          <w:szCs w:val="22"/>
        </w:rPr>
        <w:t xml:space="preserve">Skills for Care / SCIE Care Act 2014 guidance on person-centred assessment. Available at: </w:t>
      </w:r>
      <w:hyperlink r:id="rId22" w:history="1">
        <w:r w:rsidRPr="00961082">
          <w:rPr>
            <w:rStyle w:val="Hyperlink"/>
            <w:rFonts w:ascii="Arial" w:hAnsi="Arial" w:cs="Arial"/>
            <w:sz w:val="22"/>
            <w:szCs w:val="22"/>
          </w:rPr>
          <w:t>https://www.scie.org.uk/assessment-and-eligibility/key-principles/</w:t>
        </w:r>
      </w:hyperlink>
      <w:r w:rsidRPr="00961082">
        <w:rPr>
          <w:rFonts w:ascii="Arial" w:hAnsi="Arial" w:cs="Arial"/>
          <w:sz w:val="22"/>
          <w:szCs w:val="22"/>
        </w:rPr>
        <w:t xml:space="preserve"> (Accessed: 26 March 2026).</w:t>
      </w:r>
    </w:p>
    <w:p w14:paraId="3329C266" w14:textId="77777777" w:rsidR="001163BB" w:rsidRPr="00961082" w:rsidRDefault="001163BB" w:rsidP="00961082">
      <w:pPr>
        <w:spacing w:line="360" w:lineRule="auto"/>
        <w:ind w:left="360"/>
        <w:rPr>
          <w:rFonts w:ascii="Arial" w:hAnsi="Arial" w:cs="Arial"/>
          <w:color w:val="000000" w:themeColor="text1"/>
          <w:sz w:val="22"/>
          <w:szCs w:val="22"/>
          <w:lang w:eastAsia="en-GB"/>
        </w:rPr>
      </w:pPr>
      <w:r w:rsidRPr="00961082">
        <w:rPr>
          <w:rFonts w:ascii="Arial" w:hAnsi="Arial" w:cs="Arial"/>
          <w:color w:val="000000" w:themeColor="text1"/>
          <w:sz w:val="22"/>
          <w:szCs w:val="22"/>
          <w:lang w:eastAsia="en-GB"/>
        </w:rPr>
        <w:t xml:space="preserve">The Health Foundation (2016) </w:t>
      </w:r>
      <w:r w:rsidRPr="00961082">
        <w:rPr>
          <w:rFonts w:ascii="Arial" w:hAnsi="Arial" w:cs="Arial"/>
          <w:i/>
          <w:iCs/>
          <w:color w:val="000000" w:themeColor="text1"/>
          <w:sz w:val="22"/>
          <w:szCs w:val="22"/>
          <w:lang w:eastAsia="en-GB"/>
        </w:rPr>
        <w:t>Person-centred care made simple: what everyone should know about person-centred care</w:t>
      </w:r>
      <w:r w:rsidRPr="00961082">
        <w:rPr>
          <w:rFonts w:ascii="Arial" w:hAnsi="Arial" w:cs="Arial"/>
          <w:color w:val="000000" w:themeColor="text1"/>
          <w:sz w:val="22"/>
          <w:szCs w:val="22"/>
          <w:lang w:eastAsia="en-GB"/>
        </w:rPr>
        <w:t xml:space="preserve">. London: The Health Foundation. Available at: </w:t>
      </w:r>
      <w:hyperlink r:id="rId23" w:history="1">
        <w:r w:rsidRPr="00961082">
          <w:rPr>
            <w:rStyle w:val="Hyperlink"/>
            <w:rFonts w:ascii="Arial" w:hAnsi="Arial" w:cs="Arial"/>
            <w:sz w:val="22"/>
            <w:szCs w:val="22"/>
            <w:lang w:eastAsia="en-GB"/>
          </w:rPr>
          <w:t>https://www.health.org.uk/sites/default/files/PersonCentredCareMadeSimple.pdf/</w:t>
        </w:r>
      </w:hyperlink>
      <w:r w:rsidRPr="00961082">
        <w:rPr>
          <w:rFonts w:ascii="Arial" w:hAnsi="Arial" w:cs="Arial"/>
          <w:color w:val="000000" w:themeColor="text1"/>
          <w:sz w:val="22"/>
          <w:szCs w:val="22"/>
          <w:lang w:eastAsia="en-GB"/>
        </w:rPr>
        <w:t xml:space="preserve"> (Accessed: 25 March 2026).</w:t>
      </w:r>
    </w:p>
    <w:p w14:paraId="120CCE60" w14:textId="3D943FB7" w:rsidR="001C77F3" w:rsidRPr="00F24AA8" w:rsidRDefault="001163BB" w:rsidP="005C4552">
      <w:pPr>
        <w:spacing w:line="360" w:lineRule="auto"/>
        <w:ind w:left="360"/>
        <w:rPr>
          <w:rFonts w:ascii="Arial" w:hAnsi="Arial" w:cs="Arial"/>
          <w:sz w:val="22"/>
          <w:szCs w:val="22"/>
        </w:rPr>
      </w:pPr>
      <w:r w:rsidRPr="00961082">
        <w:rPr>
          <w:rFonts w:ascii="Arial" w:hAnsi="Arial" w:cs="Arial"/>
          <w:sz w:val="22"/>
          <w:szCs w:val="22"/>
        </w:rPr>
        <w:t>Thomson, L.J.M. et al. (2024) ‘Barriers and enablers of integrated care in the UK: a rapid evidence review’, BMC Health Services Research, 24, 12.</w:t>
      </w:r>
      <w:r w:rsidR="00B82457">
        <w:rPr>
          <w:rFonts w:ascii="Arial" w:hAnsi="Arial" w:cs="Arial"/>
          <w:sz w:val="22"/>
          <w:szCs w:val="22"/>
        </w:rPr>
        <w:t xml:space="preserve"> Available at: </w:t>
      </w:r>
      <w:hyperlink r:id="rId24" w:tgtFrame="_new" w:history="1">
        <w:r w:rsidR="00B82457">
          <w:rPr>
            <w:rStyle w:val="Hyperlink"/>
          </w:rPr>
          <w:t>https://pmc.ncbi.nlm.nih.gov/articles/PMC10794528/</w:t>
        </w:r>
      </w:hyperlink>
      <w:r w:rsidR="00B82457">
        <w:t>( Accessed 28 March 2</w:t>
      </w:r>
      <w:r w:rsidR="005C4552">
        <w:t>026).</w:t>
      </w:r>
    </w:p>
    <w:sectPr w:rsidR="001C77F3" w:rsidRPr="00F24AA8">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FEFE71" w14:textId="77777777" w:rsidR="003B1CF8" w:rsidRDefault="003B1CF8" w:rsidP="001C77F3">
      <w:pPr>
        <w:spacing w:after="0" w:line="240" w:lineRule="auto"/>
      </w:pPr>
      <w:r>
        <w:separator/>
      </w:r>
    </w:p>
  </w:endnote>
  <w:endnote w:type="continuationSeparator" w:id="0">
    <w:p w14:paraId="18A7E844" w14:textId="77777777" w:rsidR="003B1CF8" w:rsidRDefault="003B1CF8" w:rsidP="001C7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6697275"/>
      <w:docPartObj>
        <w:docPartGallery w:val="Page Numbers (Bottom of Page)"/>
        <w:docPartUnique/>
      </w:docPartObj>
    </w:sdtPr>
    <w:sdtEndPr>
      <w:rPr>
        <w:rStyle w:val="PageNumber"/>
      </w:rPr>
    </w:sdtEndPr>
    <w:sdtContent>
      <w:p w14:paraId="72273231" w14:textId="54A17893" w:rsidR="001C77F3" w:rsidRDefault="001C77F3" w:rsidP="003413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22A52A" w14:textId="77777777" w:rsidR="001C77F3" w:rsidRDefault="001C77F3" w:rsidP="001C77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76097183"/>
      <w:docPartObj>
        <w:docPartGallery w:val="Page Numbers (Bottom of Page)"/>
        <w:docPartUnique/>
      </w:docPartObj>
    </w:sdtPr>
    <w:sdtEndPr>
      <w:rPr>
        <w:rStyle w:val="PageNumber"/>
      </w:rPr>
    </w:sdtEndPr>
    <w:sdtContent>
      <w:p w14:paraId="10D34588" w14:textId="22DD2E0B" w:rsidR="001C77F3" w:rsidRDefault="001C77F3" w:rsidP="0034134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9BD1FA" w14:textId="77777777" w:rsidR="001C77F3" w:rsidRDefault="001C77F3" w:rsidP="001C77F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AAD77" w14:textId="77777777" w:rsidR="003B1CF8" w:rsidRDefault="003B1CF8" w:rsidP="001C77F3">
      <w:pPr>
        <w:spacing w:after="0" w:line="240" w:lineRule="auto"/>
      </w:pPr>
      <w:r>
        <w:separator/>
      </w:r>
    </w:p>
  </w:footnote>
  <w:footnote w:type="continuationSeparator" w:id="0">
    <w:p w14:paraId="02262424" w14:textId="77777777" w:rsidR="003B1CF8" w:rsidRDefault="003B1CF8" w:rsidP="001C77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92083"/>
    <w:multiLevelType w:val="hybridMultilevel"/>
    <w:tmpl w:val="EAA08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857D12"/>
    <w:multiLevelType w:val="multilevel"/>
    <w:tmpl w:val="CD746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946F33"/>
    <w:multiLevelType w:val="hybridMultilevel"/>
    <w:tmpl w:val="95DA7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513506">
    <w:abstractNumId w:val="1"/>
  </w:num>
  <w:num w:numId="2" w16cid:durableId="2080709314">
    <w:abstractNumId w:val="2"/>
  </w:num>
  <w:num w:numId="3" w16cid:durableId="1221206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902"/>
    <w:rsid w:val="00010536"/>
    <w:rsid w:val="000146FE"/>
    <w:rsid w:val="000461CD"/>
    <w:rsid w:val="0005229C"/>
    <w:rsid w:val="000724AD"/>
    <w:rsid w:val="000736E0"/>
    <w:rsid w:val="000833DE"/>
    <w:rsid w:val="00085B7C"/>
    <w:rsid w:val="000861EC"/>
    <w:rsid w:val="000A5295"/>
    <w:rsid w:val="000D3120"/>
    <w:rsid w:val="000D734A"/>
    <w:rsid w:val="000F5300"/>
    <w:rsid w:val="00105239"/>
    <w:rsid w:val="001163BB"/>
    <w:rsid w:val="001329FA"/>
    <w:rsid w:val="00141AAE"/>
    <w:rsid w:val="001441B8"/>
    <w:rsid w:val="00152D32"/>
    <w:rsid w:val="00156246"/>
    <w:rsid w:val="00173DF8"/>
    <w:rsid w:val="001916F6"/>
    <w:rsid w:val="001C77F3"/>
    <w:rsid w:val="001D0C8B"/>
    <w:rsid w:val="001D2902"/>
    <w:rsid w:val="001D38DB"/>
    <w:rsid w:val="001D7441"/>
    <w:rsid w:val="0023428F"/>
    <w:rsid w:val="00274D03"/>
    <w:rsid w:val="002849B2"/>
    <w:rsid w:val="00286F0D"/>
    <w:rsid w:val="002A30B5"/>
    <w:rsid w:val="002C007B"/>
    <w:rsid w:val="002E5D24"/>
    <w:rsid w:val="002E6409"/>
    <w:rsid w:val="00340FCB"/>
    <w:rsid w:val="003412E2"/>
    <w:rsid w:val="00364F51"/>
    <w:rsid w:val="003663D1"/>
    <w:rsid w:val="00375850"/>
    <w:rsid w:val="00375F5B"/>
    <w:rsid w:val="003B1CF8"/>
    <w:rsid w:val="003C04D8"/>
    <w:rsid w:val="003C0AEE"/>
    <w:rsid w:val="003D7CBD"/>
    <w:rsid w:val="003F37E6"/>
    <w:rsid w:val="00402D9B"/>
    <w:rsid w:val="004210F8"/>
    <w:rsid w:val="00427014"/>
    <w:rsid w:val="00435104"/>
    <w:rsid w:val="004426F7"/>
    <w:rsid w:val="0045422E"/>
    <w:rsid w:val="0047157A"/>
    <w:rsid w:val="004B25EC"/>
    <w:rsid w:val="005176BA"/>
    <w:rsid w:val="0052107B"/>
    <w:rsid w:val="00521DC0"/>
    <w:rsid w:val="00524C74"/>
    <w:rsid w:val="00530A0F"/>
    <w:rsid w:val="00533372"/>
    <w:rsid w:val="00550DE4"/>
    <w:rsid w:val="005605EF"/>
    <w:rsid w:val="005644B4"/>
    <w:rsid w:val="005827AE"/>
    <w:rsid w:val="005C2524"/>
    <w:rsid w:val="005C4552"/>
    <w:rsid w:val="005C4959"/>
    <w:rsid w:val="005D036F"/>
    <w:rsid w:val="005D3EE8"/>
    <w:rsid w:val="005F0210"/>
    <w:rsid w:val="005F0E7F"/>
    <w:rsid w:val="005F682A"/>
    <w:rsid w:val="006006BF"/>
    <w:rsid w:val="00613BF9"/>
    <w:rsid w:val="00630CDA"/>
    <w:rsid w:val="00645165"/>
    <w:rsid w:val="0066496F"/>
    <w:rsid w:val="00682580"/>
    <w:rsid w:val="006902D4"/>
    <w:rsid w:val="006A04A8"/>
    <w:rsid w:val="006B1398"/>
    <w:rsid w:val="006B1E15"/>
    <w:rsid w:val="006B30C1"/>
    <w:rsid w:val="006C3779"/>
    <w:rsid w:val="006C6DE6"/>
    <w:rsid w:val="006E0461"/>
    <w:rsid w:val="006E0C0C"/>
    <w:rsid w:val="007119D5"/>
    <w:rsid w:val="0071656D"/>
    <w:rsid w:val="007234B3"/>
    <w:rsid w:val="00731A02"/>
    <w:rsid w:val="00735E44"/>
    <w:rsid w:val="007576F5"/>
    <w:rsid w:val="00757AF8"/>
    <w:rsid w:val="00764630"/>
    <w:rsid w:val="007704D8"/>
    <w:rsid w:val="00783D71"/>
    <w:rsid w:val="00822B95"/>
    <w:rsid w:val="00824C62"/>
    <w:rsid w:val="00875444"/>
    <w:rsid w:val="00890761"/>
    <w:rsid w:val="00893890"/>
    <w:rsid w:val="00893CB6"/>
    <w:rsid w:val="008B7A33"/>
    <w:rsid w:val="008D072D"/>
    <w:rsid w:val="008F259A"/>
    <w:rsid w:val="008F560B"/>
    <w:rsid w:val="00905CF2"/>
    <w:rsid w:val="00914890"/>
    <w:rsid w:val="00940D96"/>
    <w:rsid w:val="00955713"/>
    <w:rsid w:val="00961082"/>
    <w:rsid w:val="00965231"/>
    <w:rsid w:val="00982507"/>
    <w:rsid w:val="00990ABF"/>
    <w:rsid w:val="009A1F59"/>
    <w:rsid w:val="009B12C6"/>
    <w:rsid w:val="009B48BD"/>
    <w:rsid w:val="009B4B57"/>
    <w:rsid w:val="009C5880"/>
    <w:rsid w:val="009E10F8"/>
    <w:rsid w:val="009F2C40"/>
    <w:rsid w:val="00A27700"/>
    <w:rsid w:val="00A36E8B"/>
    <w:rsid w:val="00A654B3"/>
    <w:rsid w:val="00A7517B"/>
    <w:rsid w:val="00A9161B"/>
    <w:rsid w:val="00AA28F6"/>
    <w:rsid w:val="00AA77D5"/>
    <w:rsid w:val="00AC1204"/>
    <w:rsid w:val="00AC5C1B"/>
    <w:rsid w:val="00AE5070"/>
    <w:rsid w:val="00B0042A"/>
    <w:rsid w:val="00B01A8C"/>
    <w:rsid w:val="00B04C69"/>
    <w:rsid w:val="00B300A9"/>
    <w:rsid w:val="00B65FCD"/>
    <w:rsid w:val="00B80DBC"/>
    <w:rsid w:val="00B82457"/>
    <w:rsid w:val="00B9675A"/>
    <w:rsid w:val="00BA0502"/>
    <w:rsid w:val="00BA1261"/>
    <w:rsid w:val="00BD5D89"/>
    <w:rsid w:val="00C13268"/>
    <w:rsid w:val="00C403F6"/>
    <w:rsid w:val="00C54ADC"/>
    <w:rsid w:val="00C80EE0"/>
    <w:rsid w:val="00C91587"/>
    <w:rsid w:val="00CB4300"/>
    <w:rsid w:val="00CC2FF3"/>
    <w:rsid w:val="00CD29A0"/>
    <w:rsid w:val="00CD3A6D"/>
    <w:rsid w:val="00CD6A71"/>
    <w:rsid w:val="00CD6E18"/>
    <w:rsid w:val="00CE1045"/>
    <w:rsid w:val="00D0244B"/>
    <w:rsid w:val="00D74BCE"/>
    <w:rsid w:val="00DA1267"/>
    <w:rsid w:val="00DA7D02"/>
    <w:rsid w:val="00DB02D6"/>
    <w:rsid w:val="00DB77EF"/>
    <w:rsid w:val="00DC1A2B"/>
    <w:rsid w:val="00DC3E04"/>
    <w:rsid w:val="00DD6689"/>
    <w:rsid w:val="00DE223E"/>
    <w:rsid w:val="00E067B0"/>
    <w:rsid w:val="00E413E5"/>
    <w:rsid w:val="00E56FEC"/>
    <w:rsid w:val="00E907D6"/>
    <w:rsid w:val="00EA0E9B"/>
    <w:rsid w:val="00EE5013"/>
    <w:rsid w:val="00EF5347"/>
    <w:rsid w:val="00EF7BC8"/>
    <w:rsid w:val="00F20453"/>
    <w:rsid w:val="00F24AA8"/>
    <w:rsid w:val="00F532F9"/>
    <w:rsid w:val="00F62EE0"/>
    <w:rsid w:val="00F65096"/>
    <w:rsid w:val="00F6682B"/>
    <w:rsid w:val="00F712BD"/>
    <w:rsid w:val="00F74F02"/>
    <w:rsid w:val="00F97BC5"/>
    <w:rsid w:val="00FA425A"/>
    <w:rsid w:val="00FB0667"/>
    <w:rsid w:val="00FB1297"/>
    <w:rsid w:val="00FC0312"/>
    <w:rsid w:val="00FC1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127443B"/>
  <w15:chartTrackingRefBased/>
  <w15:docId w15:val="{19CCECB7-6200-9A46-B197-34A2A8DC0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9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D29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D29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D29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D29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D29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9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9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9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9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D29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D29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D29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D29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D29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29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29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2902"/>
    <w:rPr>
      <w:rFonts w:eastAsiaTheme="majorEastAsia" w:cstheme="majorBidi"/>
      <w:color w:val="272727" w:themeColor="text1" w:themeTint="D8"/>
    </w:rPr>
  </w:style>
  <w:style w:type="paragraph" w:styleId="Title">
    <w:name w:val="Title"/>
    <w:basedOn w:val="Normal"/>
    <w:next w:val="Normal"/>
    <w:link w:val="TitleChar"/>
    <w:uiPriority w:val="10"/>
    <w:qFormat/>
    <w:rsid w:val="001D29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29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29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29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902"/>
    <w:pPr>
      <w:spacing w:before="160"/>
      <w:jc w:val="center"/>
    </w:pPr>
    <w:rPr>
      <w:i/>
      <w:iCs/>
      <w:color w:val="404040" w:themeColor="text1" w:themeTint="BF"/>
    </w:rPr>
  </w:style>
  <w:style w:type="character" w:customStyle="1" w:styleId="QuoteChar">
    <w:name w:val="Quote Char"/>
    <w:basedOn w:val="DefaultParagraphFont"/>
    <w:link w:val="Quote"/>
    <w:uiPriority w:val="29"/>
    <w:rsid w:val="001D2902"/>
    <w:rPr>
      <w:i/>
      <w:iCs/>
      <w:color w:val="404040" w:themeColor="text1" w:themeTint="BF"/>
    </w:rPr>
  </w:style>
  <w:style w:type="paragraph" w:styleId="ListParagraph">
    <w:name w:val="List Paragraph"/>
    <w:basedOn w:val="Normal"/>
    <w:uiPriority w:val="34"/>
    <w:qFormat/>
    <w:rsid w:val="001D2902"/>
    <w:pPr>
      <w:ind w:left="720"/>
      <w:contextualSpacing/>
    </w:pPr>
  </w:style>
  <w:style w:type="character" w:styleId="IntenseEmphasis">
    <w:name w:val="Intense Emphasis"/>
    <w:basedOn w:val="DefaultParagraphFont"/>
    <w:uiPriority w:val="21"/>
    <w:qFormat/>
    <w:rsid w:val="001D2902"/>
    <w:rPr>
      <w:i/>
      <w:iCs/>
      <w:color w:val="2F5496" w:themeColor="accent1" w:themeShade="BF"/>
    </w:rPr>
  </w:style>
  <w:style w:type="paragraph" w:styleId="IntenseQuote">
    <w:name w:val="Intense Quote"/>
    <w:basedOn w:val="Normal"/>
    <w:next w:val="Normal"/>
    <w:link w:val="IntenseQuoteChar"/>
    <w:uiPriority w:val="30"/>
    <w:qFormat/>
    <w:rsid w:val="001D29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D2902"/>
    <w:rPr>
      <w:i/>
      <w:iCs/>
      <w:color w:val="2F5496" w:themeColor="accent1" w:themeShade="BF"/>
    </w:rPr>
  </w:style>
  <w:style w:type="character" w:styleId="IntenseReference">
    <w:name w:val="Intense Reference"/>
    <w:basedOn w:val="DefaultParagraphFont"/>
    <w:uiPriority w:val="32"/>
    <w:qFormat/>
    <w:rsid w:val="001D2902"/>
    <w:rPr>
      <w:b/>
      <w:bCs/>
      <w:smallCaps/>
      <w:color w:val="2F5496" w:themeColor="accent1" w:themeShade="BF"/>
      <w:spacing w:val="5"/>
    </w:rPr>
  </w:style>
  <w:style w:type="paragraph" w:styleId="Footer">
    <w:name w:val="footer"/>
    <w:basedOn w:val="Normal"/>
    <w:link w:val="FooterChar"/>
    <w:uiPriority w:val="99"/>
    <w:unhideWhenUsed/>
    <w:rsid w:val="001C77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7F3"/>
  </w:style>
  <w:style w:type="character" w:styleId="PageNumber">
    <w:name w:val="page number"/>
    <w:basedOn w:val="DefaultParagraphFont"/>
    <w:uiPriority w:val="99"/>
    <w:semiHidden/>
    <w:unhideWhenUsed/>
    <w:rsid w:val="001C77F3"/>
  </w:style>
  <w:style w:type="paragraph" w:styleId="NormalWeb">
    <w:name w:val="Normal (Web)"/>
    <w:basedOn w:val="Normal"/>
    <w:uiPriority w:val="99"/>
    <w:semiHidden/>
    <w:unhideWhenUsed/>
    <w:rsid w:val="006A04A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24C62"/>
    <w:rPr>
      <w:color w:val="0000FF"/>
      <w:u w:val="single"/>
    </w:rPr>
  </w:style>
  <w:style w:type="character" w:styleId="UnresolvedMention">
    <w:name w:val="Unresolved Mention"/>
    <w:basedOn w:val="DefaultParagraphFont"/>
    <w:uiPriority w:val="99"/>
    <w:semiHidden/>
    <w:unhideWhenUsed/>
    <w:rsid w:val="00521D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oethics.pitt.edu/sites/default/files/Stott%2C%20Chapter%203%20Beauchamp.pdf/" TargetMode="External"/><Relationship Id="rId13" Type="http://schemas.openxmlformats.org/officeDocument/2006/relationships/hyperlink" Target="https://www.bmj.com/content/379/bmj.o2481/" TargetMode="External"/><Relationship Id="rId18" Type="http://schemas.openxmlformats.org/officeDocument/2006/relationships/hyperlink" Target="https://www.england.nhs.uk/long-read/2025-26-priorities-and-operational-planning-guidance/"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royalopencollege.org/blog/health-and-social-care/what-is-partnership-working-in-health-and-social-care/" TargetMode="External"/><Relationship Id="rId7" Type="http://schemas.openxmlformats.org/officeDocument/2006/relationships/hyperlink" Target="https://pmc.ncbi.nlm.nih.gov/articles/PMC5451654/" TargetMode="External"/><Relationship Id="rId12" Type="http://schemas.openxmlformats.org/officeDocument/2006/relationships/hyperlink" Target="https://www.kingsfund.org.uk/insight-and-analysis/reports/integrated-care-systems-workforce/" TargetMode="External"/><Relationship Id="rId17" Type="http://schemas.openxmlformats.org/officeDocument/2006/relationships/hyperlink" Target="https://www.england.nhs.uk/long-read/working-in-partnership-with-people-and-communities-statutory-guidanc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hee.nhs.uk/our-work/person-centred-care/" TargetMode="External"/><Relationship Id="rId20" Type="http://schemas.openxmlformats.org/officeDocument/2006/relationships/hyperlink" Target="https://ijic.org/articles/10.5334/ijic.7738/?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e.nhs.uk/our-work/person-centred-care/" TargetMode="External"/><Relationship Id="rId24" Type="http://schemas.openxmlformats.org/officeDocument/2006/relationships/hyperlink" Target="https://pmc.ncbi.nlm.nih.gov/articles/PMC10794528/?utm_source=chatgpt.com" TargetMode="External"/><Relationship Id="rId5" Type="http://schemas.openxmlformats.org/officeDocument/2006/relationships/footnotes" Target="footnotes.xml"/><Relationship Id="rId15" Type="http://schemas.openxmlformats.org/officeDocument/2006/relationships/hyperlink" Target="https://onlinelibrary.wiley.com/doi/10.1111/scs.12376/" TargetMode="External"/><Relationship Id="rId23" Type="http://schemas.openxmlformats.org/officeDocument/2006/relationships/hyperlink" Target="https://www.health.org.uk/sites/default/files/PersonCentredCareMadeSimple.pdf/" TargetMode="External"/><Relationship Id="rId28" Type="http://schemas.openxmlformats.org/officeDocument/2006/relationships/theme" Target="theme/theme1.xml"/><Relationship Id="rId10" Type="http://schemas.openxmlformats.org/officeDocument/2006/relationships/hyperlink" Target="https://www.ncbi.nlm.nih.gov/pmc/articles/PMC3111890/" TargetMode="External"/><Relationship Id="rId19" Type="http://schemas.openxmlformats.org/officeDocument/2006/relationships/hyperlink" Target="https://pmc.ncbi.nlm.nih.gov/articles/PMC9280891/" TargetMode="External"/><Relationship Id="rId4" Type="http://schemas.openxmlformats.org/officeDocument/2006/relationships/webSettings" Target="webSettings.xml"/><Relationship Id="rId9" Type="http://schemas.openxmlformats.org/officeDocument/2006/relationships/hyperlink" Target="https://www.legislation.gov.uk/ukpga/2022/31/contents/" TargetMode="External"/><Relationship Id="rId14" Type="http://schemas.openxmlformats.org/officeDocument/2006/relationships/hyperlink" Target="https://journals.sagepub.com/doi/10.1177/17449871241281428/" TargetMode="External"/><Relationship Id="rId22" Type="http://schemas.openxmlformats.org/officeDocument/2006/relationships/hyperlink" Target="https://www.scie.org.uk/assessment-and-eligibility/key-principl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2906</Words>
  <Characters>20172</Characters>
  <Application>Microsoft Office Word</Application>
  <DocSecurity>0</DocSecurity>
  <Lines>347</Lines>
  <Paragraphs>84</Paragraphs>
  <ScaleCrop>false</ScaleCrop>
  <Company/>
  <LinksUpToDate>false</LinksUpToDate>
  <CharactersWithSpaces>22994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Khan (2419588)</dc:creator>
  <cp:keywords/>
  <dc:description/>
  <cp:lastModifiedBy>Areeba Khan (2419588)</cp:lastModifiedBy>
  <cp:revision>2</cp:revision>
  <dcterms:created xsi:type="dcterms:W3CDTF">2026-03-28T11:50:00Z</dcterms:created>
  <dcterms:modified xsi:type="dcterms:W3CDTF">2026-03-28T11:50:00Z</dcterms:modified>
</cp:coreProperties>
</file>