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Submitted by:</w:t>
      </w:r>
      <w:r>
        <w:rPr>
          <w:rFonts w:ascii="Calibri" w:hAnsi="Calibri" w:cs="Calibri" w:eastAsia="Calibri"/>
          <w:color w:val="auto"/>
          <w:spacing w:val="0"/>
          <w:position w:val="0"/>
          <w:sz w:val="22"/>
          <w:shd w:fill="auto" w:val="clear"/>
        </w:rPr>
        <w:t xml:space="preserve">Marcel Laurentiu Gornic</w:t>
      </w:r>
    </w:p>
    <w:p>
      <w:pPr>
        <w:spacing w:before="0" w:after="200" w:line="276"/>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Student Number</w:t>
      </w:r>
      <w:r>
        <w:rPr>
          <w:rFonts w:ascii="Calibri" w:hAnsi="Calibri" w:cs="Calibri" w:eastAsia="Calibri"/>
          <w:color w:val="auto"/>
          <w:spacing w:val="0"/>
          <w:position w:val="0"/>
          <w:sz w:val="22"/>
          <w:shd w:fill="auto" w:val="clear"/>
        </w:rPr>
        <w:t xml:space="preserve">:181747</w:t>
      </w:r>
      <w:r>
        <w:rPr>
          <w:rFonts w:ascii="Calibri" w:hAnsi="Calibri" w:cs="Calibri" w:eastAsia="Calibri"/>
          <w:color w:val="auto"/>
          <w:spacing w:val="0"/>
          <w:position w:val="0"/>
          <w:sz w:val="22"/>
          <w:shd w:fill="auto" w:val="clear"/>
        </w:rPr>
        <w:t xml:space="preserve">0</w:t>
      </w:r>
    </w:p>
    <w:p>
      <w:pPr>
        <w:spacing w:before="0" w:after="200" w:line="276"/>
        <w:ind w:right="0" w:left="0" w:firstLine="0"/>
        <w:jc w:val="center"/>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Module Title:</w:t>
      </w:r>
      <w:r>
        <w:rPr>
          <w:rFonts w:ascii="Calibri" w:hAnsi="Calibri" w:cs="Calibri" w:eastAsia="Calibri"/>
          <w:color w:val="auto"/>
          <w:spacing w:val="-10"/>
          <w:position w:val="0"/>
          <w:sz w:val="22"/>
          <w:shd w:fill="auto" w:val="clear"/>
        </w:rPr>
        <w:t xml:space="preserve">Global Business Environment (LCBB4005)</w:t>
      </w:r>
    </w:p>
    <w:p>
      <w:pPr>
        <w:spacing w:before="0" w:after="200" w:line="276"/>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Assignment Title:</w:t>
      </w:r>
      <w:r>
        <w:rPr>
          <w:rFonts w:ascii="Calibri" w:hAnsi="Calibri" w:cs="Calibri" w:eastAsia="Calibri"/>
          <w:color w:val="auto"/>
          <w:spacing w:val="0"/>
          <w:position w:val="0"/>
          <w:sz w:val="22"/>
          <w:shd w:fill="auto" w:val="clear"/>
        </w:rPr>
        <w:t xml:space="preserve">"Global Business Environment ( Assessment-1)"</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709"/>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709"/>
        <w:jc w:val="center"/>
        <w:rPr>
          <w:rFonts w:ascii="Times New Roman" w:hAnsi="Times New Roman" w:cs="Times New Roman" w:eastAsia="Times New Roman"/>
          <w:b/>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Introduction </w:t>
      </w:r>
    </w:p>
    <w:p>
      <w:pPr>
        <w:spacing w:before="0" w:after="160" w:line="480"/>
        <w:ind w:right="0" w:left="0" w:firstLine="709"/>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Electric Vehicles(EVs) are automobiles that use electric motors for propulsion. These vehicles are environmentally efficient due to their low carbon emissions. Although electric cars were first manufactured in the 19</w:t>
      </w:r>
      <w:r>
        <w:rPr>
          <w:rFonts w:ascii="Times New Roman" w:hAnsi="Times New Roman" w:cs="Times New Roman" w:eastAsia="Times New Roman"/>
          <w:color w:val="222222"/>
          <w:spacing w:val="0"/>
          <w:position w:val="0"/>
          <w:sz w:val="24"/>
          <w:shd w:fill="FFFFFF" w:val="clear"/>
          <w:vertAlign w:val="superscript"/>
        </w:rPr>
        <w:t xml:space="preserve">th</w:t>
      </w:r>
      <w:r>
        <w:rPr>
          <w:rFonts w:ascii="Times New Roman" w:hAnsi="Times New Roman" w:cs="Times New Roman" w:eastAsia="Times New Roman"/>
          <w:color w:val="222222"/>
          <w:spacing w:val="0"/>
          <w:position w:val="0"/>
          <w:sz w:val="24"/>
          <w:shd w:fill="FFFFFF" w:val="clear"/>
        </w:rPr>
        <w:t xml:space="preserve"> century, the global preference for fossil fuel products and its availability has slowed the growth of the electric vehicle industry. However, the production of electric automobiles has increased rapidly in the recent past. This growth has been as a result of many global economic, political and social factors. Noteworthy, the increase in electric vehicle production has had an impact on the Internal Combustion Engine (ICE) vehicle industry. Moreover, this growth has also had a ripple effect on the vehicle manufacturing value chain. As such, automobile electrification poses a threat to some players in the industry while posing a threat to others. Therefore, the increase in production and marketing of electric vehicles will disrupt the automobile production industry because it responds to the global need for more efficient and environmentally-friendly vehicles. </w:t>
      </w:r>
    </w:p>
    <w:p>
      <w:pPr>
        <w:spacing w:before="0" w:after="160" w:line="480"/>
        <w:ind w:right="0" w:left="0" w:firstLine="709"/>
        <w:jc w:val="center"/>
        <w:rPr>
          <w:rFonts w:ascii="Times New Roman" w:hAnsi="Times New Roman" w:cs="Times New Roman" w:eastAsia="Times New Roman"/>
          <w:b/>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PESTLE Analysis of The Electric Vehicles Industry</w:t>
      </w:r>
    </w:p>
    <w:p>
      <w:pPr>
        <w:spacing w:before="0" w:after="160" w:line="480"/>
        <w:ind w:right="0" w:left="0" w:firstLine="709"/>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Before analyzing the disruptive effect of electric vehicles on the automobile industry, it is essential to asses the current situation of the electric vehicles industry. In conducting this analysis, it is critical to explore the macro-environmental forces that affect the industry. As such PESTLE analysis of the industry is vital.</w:t>
      </w:r>
    </w:p>
    <w:p>
      <w:pPr>
        <w:spacing w:before="0" w:after="160" w:line="480"/>
        <w:ind w:right="0" w:left="0" w:firstLine="709"/>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Globally, the political environment in which the electric vehicle industry operates varies. In Europe, East Asia and North America governments are actively involved in granting electric vehicle start-up companies tax concessions and subsidies. Moreover, governments have also come up with legislation to encourage the production and use of electric vehicles. For example, through Regulation (EU) 2019/631, the European Union introduced Carbon Dioxide emission performance standards for new passenger cars and vans</w:t>
      </w:r>
      <w:r>
        <w:rPr>
          <w:rFonts w:ascii="Calibri" w:hAnsi="Calibri" w:cs="Calibri" w:eastAsia="Calibri"/>
          <w:color w:val="000000"/>
          <w:spacing w:val="0"/>
          <w:position w:val="0"/>
          <w:sz w:val="22"/>
          <w:shd w:fill="FFFFFF" w:val="clear"/>
        </w:rPr>
        <w:t xml:space="preserve"> </w:t>
      </w:r>
      <w:r>
        <w:rPr>
          <w:rFonts w:ascii="Times New Roman" w:hAnsi="Times New Roman" w:cs="Times New Roman" w:eastAsia="Times New Roman"/>
          <w:color w:val="000000"/>
          <w:spacing w:val="0"/>
          <w:position w:val="0"/>
          <w:sz w:val="24"/>
          <w:shd w:fill="FFFFFF" w:val="clear"/>
        </w:rPr>
        <w:t xml:space="preserve">(European Commission, 2016)</w:t>
      </w:r>
      <w:r>
        <w:rPr>
          <w:rFonts w:ascii="Times New Roman" w:hAnsi="Times New Roman" w:cs="Times New Roman" w:eastAsia="Times New Roman"/>
          <w:color w:val="222222"/>
          <w:spacing w:val="0"/>
          <w:position w:val="0"/>
          <w:sz w:val="24"/>
          <w:shd w:fill="FFFFFF" w:val="clear"/>
        </w:rPr>
        <w:t xml:space="preserve">. As such, there is positive political goodwill to drive the expansion of the electric car production industry. Economically, electric vehicle producers have also benefited from subsidies from governments. For instance, in 2019, the Chinese government offered subsidies averaging 15% per vehicle </w:t>
      </w:r>
      <w:r>
        <w:rPr>
          <w:rFonts w:ascii="Times New Roman" w:hAnsi="Times New Roman" w:cs="Times New Roman" w:eastAsia="Times New Roman"/>
          <w:color w:val="000000"/>
          <w:spacing w:val="0"/>
          <w:position w:val="0"/>
          <w:sz w:val="24"/>
          <w:shd w:fill="FFFFFF" w:val="clear"/>
        </w:rPr>
        <w:t xml:space="preserve">(PricewaterhouseCoopers, 2019). </w:t>
      </w:r>
      <w:r>
        <w:rPr>
          <w:rFonts w:ascii="Times New Roman" w:hAnsi="Times New Roman" w:cs="Times New Roman" w:eastAsia="Times New Roman"/>
          <w:color w:val="222222"/>
          <w:spacing w:val="0"/>
          <w:position w:val="0"/>
          <w:sz w:val="24"/>
          <w:shd w:fill="FFFFFF" w:val="clear"/>
        </w:rPr>
        <w:t xml:space="preserve">Moreover, some countries also offer electric car buyers tax reliefs when they purchase electric cars. Financial institutions are also willing to invest in start-ups in the electric cars value chain. The EV value chain is also benefitting from an increase in technological innovation. The use of artificial intelligence, in particular, is driving this industry. Moreover, technological innovations are creating opportunities for other business models within the industry. The legal environment on the hand is favouring the sector. Patenting prototypes has been simplified, and more countries are enacting regulations that support the production of EVs. The industry can also leverage on its compliance with international environmental regulations to grow. However, most countries are yet to enact laws that are specific to electric vehicle production. Noteworthy, the electric car production industry's strength is environmental efficiency. It is, therefore, evident that all industry indicators give a positive outlook and forecast for the electric automobile industry. With this understanding of the industry's current situation, it is possible to explore the various impacts the expansion of the EV industry will have on its value chain and the value chain of its competitors.</w:t>
      </w:r>
    </w:p>
    <w:p>
      <w:pPr>
        <w:spacing w:before="0" w:after="160" w:line="480"/>
        <w:ind w:right="0" w:left="0" w:firstLine="709"/>
        <w:jc w:val="center"/>
        <w:rPr>
          <w:rFonts w:ascii="Times New Roman" w:hAnsi="Times New Roman" w:cs="Times New Roman" w:eastAsia="Times New Roman"/>
          <w:b/>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Emerging Business Models in The Automobile Industry</w:t>
      </w:r>
    </w:p>
    <w:p>
      <w:pPr>
        <w:spacing w:before="0" w:after="160" w:line="480"/>
        <w:ind w:right="0" w:left="0" w:firstLine="709"/>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Electric car vehicles are at the maturity stage in terms of the product life cycle. As such, there is a steady growth in the establishment of electric car production companies. The long-term effect of this increase is the gradual change in the dynamics of the automobile industry in general. As such, the electrification will create opportunities for some business models. This section, as such, explores the various business models that may emerge as a result of automobile electrification. It is important to note that some of these business businesses may exist in the long run, while others will fail due to internal industry pressures.</w:t>
      </w:r>
    </w:p>
    <w:p>
      <w:pPr>
        <w:spacing w:before="0" w:after="160" w:line="480"/>
        <w:ind w:right="0" w:left="0" w:firstLine="709"/>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The emergence and influx of private charging station designers and providers is undoubtedly one of the significant impacts of an increase in EV production. Charging stations have become common in various countries and are both government or privately owned. These stations rely on technical expertise for development and installation. As such, opportunities are available for developers of these stations. Moreover, since this is a new product on the market, there is still a massive opportunity for innovation. Although most governments in Europe are installing public charging stations, the rapid growth of the electric vehicles industry will eventually lead to a point where demand will surpass supply </w:t>
      </w:r>
      <w:r>
        <w:rPr>
          <w:rFonts w:ascii="Times New Roman" w:hAnsi="Times New Roman" w:cs="Times New Roman" w:eastAsia="Times New Roman"/>
          <w:color w:val="000000"/>
          <w:spacing w:val="0"/>
          <w:position w:val="0"/>
          <w:sz w:val="24"/>
          <w:shd w:fill="FFFFFF" w:val="clear"/>
        </w:rPr>
        <w:t xml:space="preserve">(Scarlat et al., 2015)</w:t>
      </w:r>
      <w:r>
        <w:rPr>
          <w:rFonts w:ascii="Times New Roman" w:hAnsi="Times New Roman" w:cs="Times New Roman" w:eastAsia="Times New Roman"/>
          <w:color w:val="222222"/>
          <w:spacing w:val="0"/>
          <w:position w:val="0"/>
          <w:sz w:val="24"/>
          <w:shd w:fill="FFFFFF" w:val="clear"/>
        </w:rPr>
        <w:t xml:space="preserve">. As such, private charging station providers will become more present in the fuel provision market. This presence can increase through policy initiatives by governments that support the creation of charging infrastructure.</w:t>
      </w:r>
    </w:p>
    <w:p>
      <w:pPr>
        <w:spacing w:before="0" w:after="160" w:line="480"/>
        <w:ind w:right="0" w:left="0" w:firstLine="709"/>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However, the success of these ventures will vary in different countries. In countries where governments have resources to build a robust charging network, the success rate of startups that venture in the electric vehicle charging stations business wmonopolized The main threat is from governments that have traditionally monopolised the energy provision sector. Moreover, the availability of space within  households for the installation of these stations within countries will also influence the success of private charging station providers. For example, in Germany, 75% of households have a parking space or garage </w:t>
      </w:r>
      <w:r>
        <w:rPr>
          <w:rFonts w:ascii="Times New Roman" w:hAnsi="Times New Roman" w:cs="Times New Roman" w:eastAsia="Times New Roman"/>
          <w:color w:val="000000"/>
          <w:spacing w:val="0"/>
          <w:position w:val="0"/>
          <w:sz w:val="24"/>
          <w:shd w:fill="FFFFFF" w:val="clear"/>
        </w:rPr>
        <w:t xml:space="preserve">(Scarlat et al., 2015)</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222222"/>
          <w:spacing w:val="0"/>
          <w:position w:val="0"/>
          <w:sz w:val="24"/>
          <w:shd w:fill="FFFFFF" w:val="clear"/>
        </w:rPr>
        <w:t xml:space="preserve"> Therefore, private charging station providers are confident of success in such a country. There is the argument that owners of slow-charging stations will, in the long run, be forced out of the industry if the production of fast charging stations becomes easier. This suggestion, however, is void since these providers are more likely to integrate fast charging technology onto their business models; hence stay in the market. As such, the provision of charging station services is one of the businesses that will benefit as a result of the expansion of the EV industry.</w:t>
      </w:r>
    </w:p>
    <w:p>
      <w:pPr>
        <w:spacing w:before="0" w:after="160" w:line="480"/>
        <w:ind w:right="0" w:left="0" w:firstLine="709"/>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Rapid electrification of automobiles will also lead to the emergence of private renewable energy producers and suppliers. Most countries are developing regulations that tare expertly designed to push traditional cars out of the market. For example, both France and the Kingdom are planning to ban the production and use of fossil-fueled cars by 2040 </w:t>
      </w:r>
      <w:r>
        <w:rPr>
          <w:rFonts w:ascii="Times New Roman" w:hAnsi="Times New Roman" w:cs="Times New Roman" w:eastAsia="Times New Roman"/>
          <w:color w:val="000000"/>
          <w:spacing w:val="0"/>
          <w:position w:val="0"/>
          <w:sz w:val="24"/>
          <w:shd w:fill="FFFFFF" w:val="clear"/>
        </w:rPr>
        <w:t xml:space="preserve">(Scarlat et al., 2015)</w:t>
      </w:r>
      <w:r>
        <w:rPr>
          <w:rFonts w:ascii="Times New Roman" w:hAnsi="Times New Roman" w:cs="Times New Roman" w:eastAsia="Times New Roman"/>
          <w:color w:val="222222"/>
          <w:spacing w:val="0"/>
          <w:position w:val="0"/>
          <w:sz w:val="24"/>
          <w:shd w:fill="FFFFFF" w:val="clear"/>
        </w:rPr>
        <w:t xml:space="preserve">. As a result, the demand for fossil fuel is set to decline steadily. However, when electric cars reach the maturity stage, the demand for renewable energy will increase rapidly. Most governments, however, are yet to establish the necessary infrastructure for the production of sufficient renewable energy for their industries and households. As a result, there is a need for private entrants into this market to ensure that they meet the public's energy demands. Statistics indicate that the use of renewable energy is at 20% in final energy consumption and 10% in </w:t>
      </w:r>
      <w:r>
        <w:rPr>
          <w:rFonts w:ascii="Times New Roman" w:hAnsi="Times New Roman" w:cs="Times New Roman" w:eastAsia="Times New Roman"/>
          <w:color w:val="000000"/>
          <w:spacing w:val="0"/>
          <w:position w:val="0"/>
          <w:sz w:val="24"/>
          <w:shd w:fill="FFFFFF" w:val="clear"/>
        </w:rPr>
        <w:t xml:space="preserve">(Scarlat et al., 2015)</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222222"/>
          <w:spacing w:val="0"/>
          <w:position w:val="0"/>
          <w:sz w:val="24"/>
          <w:shd w:fill="FFFFFF" w:val="clear"/>
        </w:rPr>
        <w:t xml:space="preserve"> These figures are indicators of the potential that lies in the industry.    </w:t>
      </w:r>
    </w:p>
    <w:p>
      <w:pPr>
        <w:spacing w:before="0" w:after="160" w:line="480"/>
        <w:ind w:right="0" w:left="0" w:firstLine="709"/>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However, business ventures in this industry face two significant threats. First, grid operators in European countries are implementing solutions like energy efficiency targets to regulate energy consumption </w:t>
      </w:r>
      <w:r>
        <w:rPr>
          <w:rFonts w:ascii="Times New Roman" w:hAnsi="Times New Roman" w:cs="Times New Roman" w:eastAsia="Times New Roman"/>
          <w:color w:val="000000"/>
          <w:spacing w:val="0"/>
          <w:position w:val="0"/>
          <w:sz w:val="24"/>
          <w:shd w:fill="FFFFFF" w:val="clear"/>
        </w:rPr>
        <w:t xml:space="preserve">(European Commission, 2016)</w:t>
      </w:r>
      <w:r>
        <w:rPr>
          <w:rFonts w:ascii="Times New Roman" w:hAnsi="Times New Roman" w:cs="Times New Roman" w:eastAsia="Times New Roman"/>
          <w:color w:val="222222"/>
          <w:spacing w:val="0"/>
          <w:position w:val="0"/>
          <w:sz w:val="24"/>
          <w:shd w:fill="FFFFFF" w:val="clear"/>
        </w:rPr>
        <w:t xml:space="preserve">. As such, such governments will be able to produce power that is sufficient for their citizens. Moreover, the number of private ventures into this market is also likely to be low due to the high amount of capital needed to establish such businessemonopolize, companies that successfully enter this market are likely to utilizeize the industry. Governments should also position themselves to utilize the revenue generation opportunity presented by this demand.</w:t>
      </w:r>
    </w:p>
    <w:p>
      <w:pPr>
        <w:spacing w:before="0" w:after="160" w:line="480"/>
        <w:ind w:right="0" w:left="0" w:firstLine="709"/>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It is, however, crucial to note that businesses that produce and supply fossil fuel products face the threat of dissolution. The resultant revolution in the energy industry has however been slowed down by the reliance of major economies on fossil fuel. Therefore, the process of transition from fossil fuels to alternative energy sources is slow since most countries have vast reserves of crude oil, which they need to deplete before transitioning to the full use of renewable energy. Moreover, crude oil plays an essential role in international trade. As such,  countries that produce crude oil may sabotage this transition, as it will hurt their economies. Also, more volatility will be present in the energy sector since unlike the consistent supply of fossil fuels, the generation of some renewable energy is more intermittent, as it is affected by various environmental conditions. Such energy sources include solar and wind energy.  </w:t>
      </w:r>
    </w:p>
    <w:p>
      <w:pPr>
        <w:spacing w:before="0" w:after="160" w:line="480"/>
        <w:ind w:right="0" w:left="0" w:firstLine="709"/>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Still, in the energy sector, the increase in electric vehicles production presents an opportunity for battery pack assembly plants. Battery packs used in electric cars are lithium-ion, nickel-metal hydride, lead-acid and ultracapacitors. Currently, lithium-ion battery packs are the most produced </w:t>
      </w:r>
      <w:r>
        <w:rPr>
          <w:rFonts w:ascii="Times New Roman" w:hAnsi="Times New Roman" w:cs="Times New Roman" w:eastAsia="Times New Roman"/>
          <w:color w:val="000000"/>
          <w:spacing w:val="0"/>
          <w:position w:val="0"/>
          <w:sz w:val="24"/>
          <w:shd w:fill="FFFFFF" w:val="clear"/>
        </w:rPr>
        <w:t xml:space="preserve">(Electric vehicles in Europe: gearing up for a new phase?, 2014)</w:t>
      </w:r>
      <w:r>
        <w:rPr>
          <w:rFonts w:ascii="Times New Roman" w:hAnsi="Times New Roman" w:cs="Times New Roman" w:eastAsia="Times New Roman"/>
          <w:color w:val="222222"/>
          <w:spacing w:val="0"/>
          <w:position w:val="0"/>
          <w:sz w:val="24"/>
          <w:shd w:fill="FFFFFF" w:val="clear"/>
        </w:rPr>
        <w:t xml:space="preserve">. However, due to research and development in the field of battery pack production startups are bound to emerge. Noteworthy, the battery pack production market is volatile. This situation is as a result of battery packs being at their growth stage. However, current trends in the battery production industry for traditional cars indicate that the market is relatively stable since most of the technology used in new models is developed by the existing producers </w:t>
      </w:r>
      <w:r>
        <w:rPr>
          <w:rFonts w:ascii="Times New Roman" w:hAnsi="Times New Roman" w:cs="Times New Roman" w:eastAsia="Times New Roman"/>
          <w:color w:val="000000"/>
          <w:spacing w:val="0"/>
          <w:position w:val="0"/>
          <w:sz w:val="24"/>
          <w:shd w:fill="FFFFFF" w:val="clear"/>
        </w:rPr>
        <w:t xml:space="preserve">(Masiero et al., 2017)</w:t>
      </w:r>
      <w:r>
        <w:rPr>
          <w:rFonts w:ascii="Times New Roman" w:hAnsi="Times New Roman" w:cs="Times New Roman" w:eastAsia="Times New Roman"/>
          <w:color w:val="222222"/>
          <w:spacing w:val="0"/>
          <w:position w:val="0"/>
          <w:sz w:val="24"/>
          <w:shd w:fill="FFFFFF" w:val="clear"/>
        </w:rPr>
        <w:t xml:space="preserve">. As such, the main difference in the market may ultimately be made by the findings of future research in this field, which will reveal the efficiency of one battery type over others. As a result, battery-pack production is a crucial component of the electric vehicle value chain.</w:t>
      </w:r>
    </w:p>
    <w:p>
      <w:pPr>
        <w:spacing w:before="0" w:after="160" w:line="480"/>
        <w:ind w:right="0" w:left="0" w:firstLine="709"/>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Furthermore, battery leasing ad storage services are emerging in the era of electric vehicles. Charging electric vehicles takes longer than refuelling vehicles that use internal combustion engines. Moreover, long-distance vehicles require batteries that can store charge for long. It is also important to note that charging such batteries would need more time. As such, to reduce the inefficiencies that these long charging durations may cause, operators in the logistics industry will rely on battery leasing services</w:t>
      </w:r>
      <w:r>
        <w:rPr>
          <w:rFonts w:ascii="Times New Roman" w:hAnsi="Times New Roman" w:cs="Times New Roman" w:eastAsia="Times New Roman"/>
          <w:color w:val="000000"/>
          <w:spacing w:val="0"/>
          <w:position w:val="0"/>
          <w:sz w:val="24"/>
          <w:shd w:fill="FFFFFF" w:val="clear"/>
        </w:rPr>
        <w:t xml:space="preserve">(Scarlat et al., 2015)</w:t>
      </w:r>
      <w:r>
        <w:rPr>
          <w:rFonts w:ascii="Times New Roman" w:hAnsi="Times New Roman" w:cs="Times New Roman" w:eastAsia="Times New Roman"/>
          <w:color w:val="222222"/>
          <w:spacing w:val="0"/>
          <w:position w:val="0"/>
          <w:sz w:val="24"/>
          <w:shd w:fill="FFFFFF" w:val="clear"/>
        </w:rPr>
        <w:t xml:space="preserve">. Besides, there will be more providers of this service due to the requirement of a relatively low initial capital. However, there will be stiff competition since most businesses will be homogenous. </w:t>
      </w:r>
    </w:p>
    <w:p>
      <w:pPr>
        <w:spacing w:before="0" w:after="160" w:line="480"/>
        <w:ind w:right="0" w:left="0" w:firstLine="709"/>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Another business opportunity that electric vehicles present is in training and skill development. Although some principles in the function of electric cars are fundamentally similar to the functioning of ICE vehicles, there are noticeable mechanical and operational differences between the two vehicle types. For example, ICE vehicles use a gearbox. In electric cars, a single automatic computerized reverse system have replaced this feature. As such, these computerized components will lead to a demand for skills associated with these components </w:t>
      </w:r>
      <w:r>
        <w:rPr>
          <w:rFonts w:ascii="Times New Roman" w:hAnsi="Times New Roman" w:cs="Times New Roman" w:eastAsia="Times New Roman"/>
          <w:color w:val="000000"/>
          <w:spacing w:val="0"/>
          <w:position w:val="0"/>
          <w:sz w:val="24"/>
          <w:shd w:fill="FFFFFF" w:val="clear"/>
        </w:rPr>
        <w:t xml:space="preserve">(Macholz, 2020)</w:t>
      </w:r>
      <w:r>
        <w:rPr>
          <w:rFonts w:ascii="Times New Roman" w:hAnsi="Times New Roman" w:cs="Times New Roman" w:eastAsia="Times New Roman"/>
          <w:color w:val="222222"/>
          <w:spacing w:val="0"/>
          <w:position w:val="0"/>
          <w:sz w:val="24"/>
          <w:shd w:fill="FFFFFF" w:val="clear"/>
        </w:rPr>
        <w:t xml:space="preserve">. Moreover, there will be a need for skills along the value chain, including the production and development of charging stations and battery packs. The demand for these skills will, however, varies across countries depending on the level on the penetration of electric cars in the mobility sector. As a result, current automobile operators may be rendered redundant; hence jobless </w:t>
      </w:r>
      <w:r>
        <w:rPr>
          <w:rFonts w:ascii="Times New Roman" w:hAnsi="Times New Roman" w:cs="Times New Roman" w:eastAsia="Times New Roman"/>
          <w:color w:val="000000"/>
          <w:spacing w:val="0"/>
          <w:position w:val="0"/>
          <w:sz w:val="24"/>
          <w:shd w:fill="FFFFFF" w:val="clear"/>
        </w:rPr>
        <w:t xml:space="preserve">(Scarlat et al., 2015)</w:t>
      </w:r>
      <w:r>
        <w:rPr>
          <w:rFonts w:ascii="Times New Roman" w:hAnsi="Times New Roman" w:cs="Times New Roman" w:eastAsia="Times New Roman"/>
          <w:color w:val="222222"/>
          <w:spacing w:val="0"/>
          <w:position w:val="0"/>
          <w:sz w:val="24"/>
          <w:shd w:fill="FFFFFF" w:val="clear"/>
        </w:rPr>
        <w:t xml:space="preserve">. However, with the slow rate at which the adoption of EVs is taking place, these individuals can master the new skills required and may therefore still operate in the industry. It is also vital to point out that the skillset demand will shift from majorly mechanical to an understanding of automated systems.  </w:t>
      </w:r>
    </w:p>
    <w:p>
      <w:pPr>
        <w:spacing w:before="0" w:after="160" w:line="480"/>
        <w:ind w:right="0" w:left="0" w:firstLine="709"/>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Electric vehicles production also presents an opportunity for investment into new mobility business models such as car-sharing and full mobility solutions. These mobility solutions differ from car-sharing services in that they complement the use of car-sharing by integrating it into a model that has other mobility services. These services include journey advice founded on integrated mobility, and combine public transport with private transports. For instance, Turo, a car-sharing service, is growing rapidly in Europe.</w:t>
      </w:r>
    </w:p>
    <w:p>
      <w:pPr>
        <w:spacing w:before="0" w:after="160" w:line="480"/>
        <w:ind w:right="0" w:left="0" w:firstLine="709"/>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resultant effect of this disruptive mobility business model is a gradual displacement of traditional car hire services. However, traditional car hire services may respond to this shift venturing into the revolutionary ride-sharing business model. Uber is an example of a ride-sharing company. Noteworthy, ride-sharing services rely on automated systems and are some do not own assets. As such, the market will become more volatile and will be affected mainly by internal competition </w:t>
      </w:r>
      <w:r>
        <w:rPr>
          <w:rFonts w:ascii="Times New Roman" w:hAnsi="Times New Roman" w:cs="Times New Roman" w:eastAsia="Times New Roman"/>
          <w:color w:val="000000"/>
          <w:spacing w:val="0"/>
          <w:position w:val="0"/>
          <w:sz w:val="24"/>
          <w:shd w:fill="FFFFFF" w:val="clear"/>
        </w:rPr>
        <w:t xml:space="preserve">(Scarlat et al., 2015)</w:t>
      </w:r>
      <w:r>
        <w:rPr>
          <w:rFonts w:ascii="Times New Roman" w:hAnsi="Times New Roman" w:cs="Times New Roman" w:eastAsia="Times New Roman"/>
          <w:color w:val="auto"/>
          <w:spacing w:val="0"/>
          <w:position w:val="0"/>
          <w:sz w:val="24"/>
          <w:shd w:fill="auto" w:val="clear"/>
        </w:rPr>
        <w:t xml:space="preserve">. Relevant government policies such as taxation will also determine the success of such business ventures in different countries.  </w:t>
      </w:r>
    </w:p>
    <w:p>
      <w:pPr>
        <w:spacing w:before="0" w:after="160" w:line="480"/>
        <w:ind w:right="0" w:left="0" w:firstLine="709"/>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160" w:line="480"/>
        <w:ind w:right="0" w:left="0" w:firstLine="709"/>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Automobile electrification is a disruptive technology that has sparked off a revolution in the automobile industry. The rapid growth of this sector is due to favourable government policies and their environmental friendliness. The growth of this sector has led to the emergence of new business models in the automobile industry. However, some business models have been forced to be innovative or else exit the industry. Generally, the electric car industry remains a lucrative sector for investors since there are several investment options along the value chain.</w:t>
      </w:r>
    </w:p>
    <w:p>
      <w:pPr>
        <w:spacing w:before="0" w:after="160" w:line="480"/>
        <w:ind w:right="0" w:left="0" w:firstLine="709"/>
        <w:jc w:val="left"/>
        <w:rPr>
          <w:rFonts w:ascii="Times New Roman" w:hAnsi="Times New Roman" w:cs="Times New Roman" w:eastAsia="Times New Roman"/>
          <w:b/>
          <w:color w:val="auto"/>
          <w:spacing w:val="0"/>
          <w:position w:val="0"/>
          <w:sz w:val="24"/>
          <w:shd w:fill="auto" w:val="clear"/>
        </w:rPr>
      </w:pPr>
    </w:p>
    <w:p>
      <w:pPr>
        <w:spacing w:before="0" w:after="160" w:line="480"/>
        <w:ind w:right="0" w:left="0" w:firstLine="708"/>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708"/>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708"/>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708"/>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708"/>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 list</w:t>
      </w:r>
    </w:p>
    <w:p>
      <w:pPr>
        <w:spacing w:before="0" w:after="24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Electric vehicles in Europe: gearing up for a new phase? (2014). [online] McKinsey Foundation. Available at: </w:t>
      </w:r>
      <w:hyperlink xmlns:r="http://schemas.openxmlformats.org/officeDocument/2006/relationships" r:id="docRId0">
        <w:r>
          <w:rPr>
            <w:rFonts w:ascii="Times New Roman" w:hAnsi="Times New Roman" w:cs="Times New Roman" w:eastAsia="Times New Roman"/>
            <w:color w:val="000000"/>
            <w:spacing w:val="0"/>
            <w:position w:val="0"/>
            <w:sz w:val="24"/>
            <w:u w:val="single"/>
            <w:shd w:fill="auto" w:val="clear"/>
          </w:rPr>
          <w:t xml:space="preserve">https://www.mckinsey.com/~/media/McKinsey/Locations/Europe%20and%20Middle%20East/Netherlands/Our%20Insights/Electric%20vehicles%20in%20Europe%20Gearing%20up%20for%20a%20new%20phase/Electric%20vehicles%20in%20Europe%20Gearing%20up%20for%20a%20new%20phase.ashx</w:t>
        </w:r>
      </w:hyperlink>
      <w:r>
        <w:rPr>
          <w:rFonts w:ascii="Times New Roman" w:hAnsi="Times New Roman" w:cs="Times New Roman" w:eastAsia="Times New Roman"/>
          <w:color w:val="000000"/>
          <w:spacing w:val="0"/>
          <w:position w:val="0"/>
          <w:sz w:val="24"/>
          <w:shd w:fill="auto" w:val="clear"/>
        </w:rPr>
        <w:t xml:space="preserve"> [Accessed 7 May 2020].</w:t>
      </w:r>
    </w:p>
    <w:p>
      <w:pPr>
        <w:spacing w:before="0" w:after="24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European Commission. (2016). </w:t>
      </w:r>
      <w:r>
        <w:rPr>
          <w:rFonts w:ascii="Times New Roman" w:hAnsi="Times New Roman" w:cs="Times New Roman" w:eastAsia="Times New Roman"/>
          <w:i/>
          <w:color w:val="000000"/>
          <w:spacing w:val="0"/>
          <w:position w:val="0"/>
          <w:sz w:val="24"/>
          <w:shd w:fill="auto" w:val="clear"/>
        </w:rPr>
        <w:t xml:space="preserve">Reducing CO2 emissions from passenger cars</w:t>
      </w:r>
      <w:r>
        <w:rPr>
          <w:rFonts w:ascii="Times New Roman" w:hAnsi="Times New Roman" w:cs="Times New Roman" w:eastAsia="Times New Roman"/>
          <w:color w:val="000000"/>
          <w:spacing w:val="0"/>
          <w:position w:val="0"/>
          <w:sz w:val="24"/>
          <w:shd w:fill="auto" w:val="clear"/>
        </w:rPr>
        <w:t xml:space="preserve">. [online] Available at: </w:t>
      </w:r>
      <w:hyperlink xmlns:r="http://schemas.openxmlformats.org/officeDocument/2006/relationships" r:id="docRId1">
        <w:r>
          <w:rPr>
            <w:rFonts w:ascii="Times New Roman" w:hAnsi="Times New Roman" w:cs="Times New Roman" w:eastAsia="Times New Roman"/>
            <w:color w:val="000000"/>
            <w:spacing w:val="0"/>
            <w:position w:val="0"/>
            <w:sz w:val="24"/>
            <w:u w:val="single"/>
            <w:shd w:fill="auto" w:val="clear"/>
          </w:rPr>
          <w:t xml:space="preserve">https://ec.europa.eu/clima/policies/transport/vehicles/cars_en</w:t>
        </w:r>
      </w:hyperlink>
      <w:r>
        <w:rPr>
          <w:rFonts w:ascii="Times New Roman" w:hAnsi="Times New Roman" w:cs="Times New Roman" w:eastAsia="Times New Roman"/>
          <w:color w:val="000000"/>
          <w:spacing w:val="0"/>
          <w:position w:val="0"/>
          <w:sz w:val="24"/>
          <w:shd w:fill="auto" w:val="clear"/>
        </w:rPr>
        <w:t xml:space="preserve">.</w:t>
      </w:r>
    </w:p>
    <w:p>
      <w:pPr>
        <w:spacing w:before="0" w:after="24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Masiero, G., Ogasavara, M.H., Jussani, A.C. and Risso, M.L. (2017). The global value chain of electric vehicles: A review of the Japanese, South Korean and Brazilian cases. </w:t>
      </w:r>
      <w:r>
        <w:rPr>
          <w:rFonts w:ascii="Times New Roman" w:hAnsi="Times New Roman" w:cs="Times New Roman" w:eastAsia="Times New Roman"/>
          <w:i/>
          <w:color w:val="000000"/>
          <w:spacing w:val="0"/>
          <w:position w:val="0"/>
          <w:sz w:val="24"/>
          <w:shd w:fill="auto" w:val="clear"/>
        </w:rPr>
        <w:t xml:space="preserve">Renewable &amp; Sustainable Energy Reviews</w:t>
      </w:r>
      <w:r>
        <w:rPr>
          <w:rFonts w:ascii="Times New Roman" w:hAnsi="Times New Roman" w:cs="Times New Roman" w:eastAsia="Times New Roman"/>
          <w:color w:val="000000"/>
          <w:spacing w:val="0"/>
          <w:position w:val="0"/>
          <w:sz w:val="24"/>
          <w:shd w:fill="auto" w:val="clear"/>
        </w:rPr>
        <w:t xml:space="preserve">, [online] 80, pp.290</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296. Available at: </w:t>
      </w:r>
      <w:hyperlink xmlns:r="http://schemas.openxmlformats.org/officeDocument/2006/relationships" r:id="docRId2">
        <w:r>
          <w:rPr>
            <w:rFonts w:ascii="Times New Roman" w:hAnsi="Times New Roman" w:cs="Times New Roman" w:eastAsia="Times New Roman"/>
            <w:color w:val="000000"/>
            <w:spacing w:val="0"/>
            <w:position w:val="0"/>
            <w:sz w:val="24"/>
            <w:u w:val="single"/>
            <w:shd w:fill="auto" w:val="clear"/>
          </w:rPr>
          <w:t xml:space="preserve">http://web.b.ebscohost.com/ehost/detail/detail?vid=3&amp;sid=e1e2155c-1650-4306-ad89-59bb3ce11ac0%40pdc-v-sessmgr03&amp;bdata=JnNpdGU9ZWhvc3QtbGl2ZQ%3d%3d#AN=125178094&amp;db=8gh</w:t>
        </w:r>
      </w:hyperlink>
      <w:r>
        <w:rPr>
          <w:rFonts w:ascii="Times New Roman" w:hAnsi="Times New Roman" w:cs="Times New Roman" w:eastAsia="Times New Roman"/>
          <w:color w:val="000000"/>
          <w:spacing w:val="0"/>
          <w:position w:val="0"/>
          <w:sz w:val="24"/>
          <w:shd w:fill="auto" w:val="clear"/>
        </w:rPr>
        <w:t xml:space="preserve"> [Accessed 6 May 2020].</w:t>
      </w:r>
    </w:p>
    <w:p>
      <w:pPr>
        <w:spacing w:before="0" w:after="24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PricewaterhouseCoopers (2019). Merge ahead: Electric vehicles and the impact on the automotive supply chain. [online] PwC. Available at: </w:t>
      </w:r>
      <w:hyperlink xmlns:r="http://schemas.openxmlformats.org/officeDocument/2006/relationships" r:id="docRId3">
        <w:r>
          <w:rPr>
            <w:rFonts w:ascii="Times New Roman" w:hAnsi="Times New Roman" w:cs="Times New Roman" w:eastAsia="Times New Roman"/>
            <w:color w:val="000000"/>
            <w:spacing w:val="0"/>
            <w:position w:val="0"/>
            <w:sz w:val="24"/>
            <w:u w:val="single"/>
            <w:shd w:fill="auto" w:val="clear"/>
          </w:rPr>
          <w:t xml:space="preserve">https://www.pwc.com/us/en/industries/industrial-products/library/electric-vehicles-supply-chain.html</w:t>
        </w:r>
      </w:hyperlink>
      <w:r>
        <w:rPr>
          <w:rFonts w:ascii="Times New Roman" w:hAnsi="Times New Roman" w:cs="Times New Roman" w:eastAsia="Times New Roman"/>
          <w:color w:val="000000"/>
          <w:spacing w:val="0"/>
          <w:position w:val="0"/>
          <w:sz w:val="24"/>
          <w:shd w:fill="auto" w:val="clear"/>
        </w:rPr>
        <w:t xml:space="preserve">.</w:t>
      </w:r>
    </w:p>
    <w:p>
      <w:pPr>
        <w:spacing w:before="0" w:after="240" w:line="480"/>
        <w:ind w:right="0" w:left="720" w:hanging="720"/>
        <w:jc w:val="left"/>
        <w:rPr>
          <w:rFonts w:ascii="Times New Roman" w:hAnsi="Times New Roman" w:cs="Times New Roman" w:eastAsia="Times New Roman"/>
          <w:color w:val="000000"/>
          <w:spacing w:val="0"/>
          <w:position w:val="0"/>
          <w:sz w:val="24"/>
          <w:shd w:fill="auto" w:val="clear"/>
        </w:rPr>
      </w:pPr>
    </w:p>
    <w:p>
      <w:pPr>
        <w:spacing w:before="0" w:after="240" w:line="480"/>
        <w:ind w:right="0" w:left="720" w:hanging="720"/>
        <w:jc w:val="left"/>
        <w:rPr>
          <w:rFonts w:ascii="Times New Roman" w:hAnsi="Times New Roman" w:cs="Times New Roman" w:eastAsia="Times New Roman"/>
          <w:color w:val="000000"/>
          <w:spacing w:val="0"/>
          <w:position w:val="0"/>
          <w:sz w:val="24"/>
          <w:shd w:fill="auto" w:val="clear"/>
        </w:rPr>
      </w:pPr>
    </w:p>
    <w:p>
      <w:pPr>
        <w:spacing w:before="0" w:after="24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Macholz, D. (2020). Preparing for an Electric Vehicle Future: Service, Training, Tooling and Diagnostic Considerations for Ev Repair and Service for the Independent Repair Market. </w:t>
      </w:r>
      <w:r>
        <w:rPr>
          <w:rFonts w:ascii="Times New Roman" w:hAnsi="Times New Roman" w:cs="Times New Roman" w:eastAsia="Times New Roman"/>
          <w:i/>
          <w:color w:val="000000"/>
          <w:spacing w:val="0"/>
          <w:position w:val="0"/>
          <w:sz w:val="24"/>
          <w:shd w:fill="auto" w:val="clear"/>
        </w:rPr>
        <w:t xml:space="preserve">Motor Age</w:t>
      </w:r>
      <w:r>
        <w:rPr>
          <w:rFonts w:ascii="Times New Roman" w:hAnsi="Times New Roman" w:cs="Times New Roman" w:eastAsia="Times New Roman"/>
          <w:color w:val="000000"/>
          <w:spacing w:val="0"/>
          <w:position w:val="0"/>
          <w:sz w:val="24"/>
          <w:shd w:fill="auto" w:val="clear"/>
        </w:rPr>
        <w:t xml:space="preserve">, [online] 139(1), p.34. Available at: </w:t>
      </w:r>
      <w:hyperlink xmlns:r="http://schemas.openxmlformats.org/officeDocument/2006/relationships" r:id="docRId4">
        <w:r>
          <w:rPr>
            <w:rFonts w:ascii="Times New Roman" w:hAnsi="Times New Roman" w:cs="Times New Roman" w:eastAsia="Times New Roman"/>
            <w:color w:val="000000"/>
            <w:spacing w:val="0"/>
            <w:position w:val="0"/>
            <w:sz w:val="24"/>
            <w:u w:val="single"/>
            <w:shd w:fill="auto" w:val="clear"/>
          </w:rPr>
          <w:t xml:space="preserve">http://web.b.ebscohost.com/ehost/pdfviewer/pdfviewer?vid=10&amp;sid=e1e2155c-1650-4306-ad89-59bb3ce11ac0%40pdc-v-sessmgr03</w:t>
        </w:r>
      </w:hyperlink>
      <w:r>
        <w:rPr>
          <w:rFonts w:ascii="Times New Roman" w:hAnsi="Times New Roman" w:cs="Times New Roman" w:eastAsia="Times New Roman"/>
          <w:color w:val="000000"/>
          <w:spacing w:val="0"/>
          <w:position w:val="0"/>
          <w:sz w:val="24"/>
          <w:shd w:fill="auto" w:val="clear"/>
        </w:rPr>
        <w:t xml:space="preserve"> [Accessed 6 May 2020].</w:t>
      </w:r>
    </w:p>
    <w:p>
      <w:pPr>
        <w:spacing w:before="0" w:after="240" w:line="360"/>
        <w:ind w:right="0" w:left="709" w:hanging="709"/>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Scarlat, N., Dallemand, J.-F., Monforti-Ferrario, F., Banja, M. and Motola, V. (2015). Renewable energy policy framework and bioenergy contribution in the European Union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An overview from National Renewable Energy Action Plans and Progress Reports. </w:t>
      </w:r>
      <w:r>
        <w:rPr>
          <w:rFonts w:ascii="Times New Roman" w:hAnsi="Times New Roman" w:cs="Times New Roman" w:eastAsia="Times New Roman"/>
          <w:i/>
          <w:color w:val="000000"/>
          <w:spacing w:val="0"/>
          <w:position w:val="0"/>
          <w:sz w:val="24"/>
          <w:shd w:fill="auto" w:val="clear"/>
        </w:rPr>
        <w:t xml:space="preserve">Renewable and Sustainable Energy Reviews</w:t>
      </w:r>
      <w:r>
        <w:rPr>
          <w:rFonts w:ascii="Times New Roman" w:hAnsi="Times New Roman" w:cs="Times New Roman" w:eastAsia="Times New Roman"/>
          <w:color w:val="000000"/>
          <w:spacing w:val="0"/>
          <w:position w:val="0"/>
          <w:sz w:val="24"/>
          <w:shd w:fill="auto" w:val="clear"/>
        </w:rPr>
        <w:t xml:space="preserve">, 51, pp.969</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985.</w:t>
      </w:r>
    </w:p>
    <w:p>
      <w:pPr>
        <w:spacing w:before="100" w:after="100" w:line="240"/>
        <w:ind w:right="0" w:left="709" w:hanging="709"/>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p>
    <w:p>
      <w:pPr>
        <w:spacing w:before="0" w:after="240" w:line="480"/>
        <w:ind w:right="0" w:left="720" w:hanging="720"/>
        <w:jc w:val="left"/>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ec.europa.eu/clima/policies/transport/vehicles/cars_en" Id="docRId1" Type="http://schemas.openxmlformats.org/officeDocument/2006/relationships/hyperlink" /><Relationship TargetMode="External" Target="https://www.pwc.com/us/en/industries/industrial-products/library/electric-vehicles-supply-chain.html" Id="docRId3" Type="http://schemas.openxmlformats.org/officeDocument/2006/relationships/hyperlink" /><Relationship Target="numbering.xml" Id="docRId5" Type="http://schemas.openxmlformats.org/officeDocument/2006/relationships/numbering" /><Relationship TargetMode="External" Target="https://www.mckinsey.com/~/media/McKinsey/Locations/Europe%20and%20Middle%20East/Netherlands/Our%20Insights/Electric%20vehicles%20in%20Europe%20Gearing%20up%20for%20a%20new%20phase/Electric%20vehicles%20in%20Europe%20Gearing%20up%20for%20a%20new%20phase.ashx" Id="docRId0" Type="http://schemas.openxmlformats.org/officeDocument/2006/relationships/hyperlink" /><Relationship TargetMode="External" Target="http://web.b.ebscohost.com/ehost/detail/detail?vid=3&amp;sid=e1e2155c-1650-4306-ad89-59bb3ce11ac0%40pdc-v-sessmgr03&amp;bdata=JnNpdGU9ZWhvc3QtbGl2ZQ%3d%3d#AN=125178094&amp;db=8gh" Id="docRId2" Type="http://schemas.openxmlformats.org/officeDocument/2006/relationships/hyperlink" /><Relationship TargetMode="External" Target="http://web.b.ebscohost.com/ehost/pdfviewer/pdfviewer?vid=10&amp;sid=e1e2155c-1650-4306-ad89-59bb3ce11ac0%40pdc-v-sessmgr03" Id="docRId4" Type="http://schemas.openxmlformats.org/officeDocument/2006/relationships/hyperlink" /><Relationship Target="styles.xml" Id="docRId6" Type="http://schemas.openxmlformats.org/officeDocument/2006/relationships/styles" /></Relationships>
</file>