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r>
        <w:rPr>
          <w:b/>
          <w:bCs/>
          <w:noProof/>
          <w:sz w:val="32"/>
          <w:szCs w:val="28"/>
        </w:rPr>
        <w:drawing>
          <wp:inline distL="0" distT="0" distB="0" distR="0">
            <wp:extent cx="3382645" cy="1851420"/>
            <wp:effectExtent l="0" t="0" r="0" b="0"/>
            <wp:docPr id="1026" name="Picture 2" descr="Image result for uwtsd hwb"/>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3382645" cy="1851420"/>
                    </a:xfrm>
                    <a:prstGeom prst="rect"/>
                  </pic:spPr>
                </pic:pic>
              </a:graphicData>
            </a:graphic>
          </wp:inline>
        </w:drawing>
      </w:r>
    </w:p>
    <w:p>
      <w:pPr>
        <w:pStyle w:val="style0"/>
        <w:rPr/>
      </w:pPr>
    </w:p>
    <w:p>
      <w:pPr>
        <w:pStyle w:val="style0"/>
        <w:rPr/>
      </w:pPr>
    </w:p>
    <w:p>
      <w:pPr>
        <w:pStyle w:val="style0"/>
        <w:rPr/>
      </w:pPr>
    </w:p>
    <w:p>
      <w:pPr>
        <w:pStyle w:val="style0"/>
        <w:rPr/>
      </w:pPr>
    </w:p>
    <w:p>
      <w:pPr>
        <w:pStyle w:val="style0"/>
        <w:jc w:val="left"/>
        <w:rPr/>
      </w:pPr>
    </w:p>
    <w:p>
      <w:pPr>
        <w:pStyle w:val="style0"/>
        <w:jc w:val="left"/>
        <w:rPr>
          <w:b/>
          <w:sz w:val="32"/>
          <w:szCs w:val="32"/>
        </w:rPr>
      </w:pPr>
      <w:r>
        <w:rPr>
          <w:b/>
          <w:sz w:val="32"/>
          <w:szCs w:val="32"/>
        </w:rPr>
        <w:t>Module: Practice-Based Research</w:t>
      </w:r>
    </w:p>
    <w:p>
      <w:pPr>
        <w:pStyle w:val="style0"/>
        <w:jc w:val="left"/>
        <w:rPr>
          <w:b/>
          <w:sz w:val="32"/>
          <w:szCs w:val="32"/>
        </w:rPr>
      </w:pPr>
      <w:r>
        <w:rPr>
          <w:b/>
          <w:sz w:val="32"/>
          <w:szCs w:val="32"/>
        </w:rPr>
        <w:t>Module Code</w:t>
      </w:r>
      <w:r>
        <w:rPr>
          <w:b/>
          <w:sz w:val="32"/>
          <w:szCs w:val="32"/>
        </w:rPr>
        <w:t>:</w:t>
      </w:r>
      <w:r>
        <w:rPr>
          <w:sz w:val="32"/>
          <w:szCs w:val="32"/>
        </w:rPr>
        <w:t xml:space="preserve"> </w:t>
      </w:r>
      <w:r>
        <w:rPr>
          <w:b/>
          <w:sz w:val="32"/>
          <w:szCs w:val="32"/>
        </w:rPr>
        <w:t xml:space="preserve">LCHS7001 </w:t>
      </w:r>
    </w:p>
    <w:p>
      <w:pPr>
        <w:pStyle w:val="style0"/>
        <w:jc w:val="left"/>
        <w:rPr>
          <w:b/>
          <w:sz w:val="32"/>
          <w:szCs w:val="32"/>
          <w:lang w:val="nl-NL"/>
        </w:rPr>
      </w:pPr>
      <w:r>
        <w:rPr>
          <w:b/>
          <w:sz w:val="32"/>
          <w:szCs w:val="32"/>
          <w:lang w:val="nl-NL"/>
        </w:rPr>
        <w:t>Student name:</w:t>
      </w:r>
      <w:r>
        <w:rPr>
          <w:b/>
          <w:sz w:val="32"/>
          <w:szCs w:val="32"/>
          <w:lang w:val="nl-NL"/>
        </w:rPr>
        <w:t xml:space="preserve"> Pratibha Ahir</w:t>
      </w:r>
    </w:p>
    <w:p>
      <w:pPr>
        <w:pStyle w:val="style0"/>
        <w:jc w:val="left"/>
        <w:rPr>
          <w:b/>
          <w:sz w:val="32"/>
          <w:szCs w:val="32"/>
          <w:lang w:val="nl-NL"/>
        </w:rPr>
      </w:pPr>
      <w:r>
        <w:rPr>
          <w:b/>
          <w:sz w:val="32"/>
          <w:szCs w:val="32"/>
          <w:lang w:val="nl-NL"/>
        </w:rPr>
        <w:t>Student ID:</w:t>
      </w:r>
      <w:r>
        <w:rPr>
          <w:b/>
          <w:sz w:val="32"/>
          <w:szCs w:val="32"/>
          <w:lang w:val="nl-NL"/>
        </w:rPr>
        <w:t>2240994</w:t>
      </w:r>
    </w:p>
    <w:p>
      <w:pPr>
        <w:pStyle w:val="style0"/>
        <w:jc w:val="left"/>
        <w:rPr>
          <w:b/>
          <w:bCs/>
          <w:sz w:val="32"/>
          <w:szCs w:val="32"/>
        </w:rPr>
      </w:pPr>
      <w:r>
        <w:rPr>
          <w:b/>
          <w:bCs/>
          <w:sz w:val="32"/>
          <w:szCs w:val="32"/>
        </w:rPr>
        <w:t>Lecturer Name: Dr</w:t>
      </w:r>
      <w:r>
        <w:rPr>
          <w:b/>
          <w:bCs/>
          <w:sz w:val="32"/>
          <w:szCs w:val="32"/>
        </w:rPr>
        <w:t xml:space="preserve"> </w:t>
      </w:r>
      <w:r>
        <w:rPr>
          <w:b/>
          <w:bCs/>
          <w:sz w:val="32"/>
          <w:szCs w:val="32"/>
        </w:rPr>
        <w:t>Aishat Bakare</w:t>
      </w:r>
    </w:p>
    <w:p>
      <w:pPr>
        <w:pStyle w:val="style0"/>
        <w:jc w:val="center"/>
        <w:rPr>
          <w:b/>
          <w:u w:val="single"/>
          <w:lang w:val="nl-NL"/>
        </w:rPr>
      </w:pPr>
    </w:p>
    <w:p>
      <w:pPr>
        <w:pStyle w:val="style0"/>
        <w:jc w:val="center"/>
        <w:rPr>
          <w:b/>
          <w:u w:val="single"/>
          <w:lang w:val="nl-NL"/>
        </w:rPr>
      </w:pPr>
    </w:p>
    <w:p>
      <w:pPr>
        <w:pStyle w:val="style0"/>
        <w:jc w:val="center"/>
        <w:rPr>
          <w:b/>
          <w:u w:val="single"/>
        </w:rPr>
      </w:pPr>
      <w:r>
        <w:rPr>
          <w:b/>
          <w:u w:val="single"/>
        </w:rPr>
        <w:t xml:space="preserve">Title: Exploring the factors that influence eating </w:t>
      </w:r>
      <w:r>
        <w:rPr>
          <w:b/>
          <w:u w:val="single"/>
        </w:rPr>
        <w:t>behavior</w:t>
      </w:r>
      <w:r>
        <w:rPr>
          <w:b/>
          <w:u w:val="single"/>
        </w:rPr>
        <w:t xml:space="preserve"> among postgraduate students in a public university: a focus group discussion.</w:t>
      </w:r>
    </w:p>
    <w:p>
      <w:pPr>
        <w:pStyle w:val="style0"/>
        <w:spacing w:lineRule="auto" w:line="276"/>
        <w:jc w:val="left"/>
        <w:rPr>
          <w:b/>
          <w:u w:val="single"/>
        </w:rPr>
      </w:pPr>
      <w:r>
        <w:rPr>
          <w:b/>
          <w:u w:val="single"/>
        </w:rPr>
        <w:br w:type="page"/>
      </w:r>
    </w:p>
    <w:p>
      <w:pPr>
        <w:pStyle w:val="style266"/>
        <w:rPr/>
      </w:pPr>
      <w:r>
        <w:t>Table of Contents</w:t>
      </w:r>
    </w:p>
    <w:p>
      <w:pPr>
        <w:pStyle w:val="style19"/>
        <w:tabs>
          <w:tab w:val="right" w:leader="dot" w:pos="9350"/>
        </w:tabs>
        <w:rPr>
          <w:rFonts w:ascii="Calibri" w:eastAsia="宋体" w:hAnsi="Calibri"/>
          <w:noProof/>
        </w:rPr>
      </w:pPr>
      <w:r>
        <w:rPr/>
        <w:fldChar w:fldCharType="begin"/>
      </w:r>
      <w:r>
        <w:instrText xml:space="preserve"> TOC \o "1-3" \h \z \u </w:instrText>
      </w:r>
      <w:r>
        <w:rPr/>
        <w:fldChar w:fldCharType="separate"/>
      </w:r>
      <w:r>
        <w:rPr/>
        <w:fldChar w:fldCharType="begin"/>
      </w:r>
      <w:r>
        <w:instrText xml:space="preserve"> HYPERLINK \l "_Toc151723382" </w:instrText>
      </w:r>
      <w:r>
        <w:rPr/>
        <w:fldChar w:fldCharType="separate"/>
      </w:r>
      <w:r>
        <w:rPr>
          <w:rStyle w:val="style85"/>
          <w:noProof/>
        </w:rPr>
        <w:t>Introduction/Literature Based Background to the Study</w:t>
      </w:r>
      <w:r>
        <w:rPr>
          <w:noProof/>
          <w:webHidden/>
        </w:rPr>
        <w:tab/>
      </w:r>
      <w:r>
        <w:rPr>
          <w:noProof/>
          <w:webHidden/>
        </w:rPr>
        <w:fldChar w:fldCharType="begin"/>
      </w:r>
      <w:r>
        <w:rPr>
          <w:noProof/>
          <w:webHidden/>
        </w:rPr>
        <w:instrText xml:space="preserve"> PAGEREF _Toc151723382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"_Toc151723383" </w:instrText>
      </w:r>
      <w:r>
        <w:rPr/>
        <w:fldChar w:fldCharType="separate"/>
      </w:r>
      <w:r>
        <w:rPr>
          <w:rStyle w:val="style85"/>
          <w:noProof/>
        </w:rPr>
        <w:t>Rationale &amp; Research Question/Aims/Hypothesis</w:t>
      </w:r>
      <w:r>
        <w:rPr>
          <w:noProof/>
          <w:webHidden/>
        </w:rPr>
        <w:tab/>
      </w:r>
      <w:r>
        <w:rPr>
          <w:noProof/>
          <w:webHidden/>
        </w:rPr>
        <w:fldChar w:fldCharType="begin"/>
      </w:r>
      <w:r>
        <w:rPr>
          <w:noProof/>
          <w:webHidden/>
        </w:rPr>
        <w:instrText xml:space="preserve"> PAGEREF _Toc151723383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"_Toc151723384" </w:instrText>
      </w:r>
      <w:r>
        <w:rPr/>
        <w:fldChar w:fldCharType="separate"/>
      </w:r>
      <w:r>
        <w:rPr>
          <w:rStyle w:val="style85"/>
          <w:noProof/>
        </w:rPr>
        <w:t>Research Methodology (Research Methods)</w:t>
      </w:r>
      <w:r>
        <w:rPr>
          <w:noProof/>
          <w:webHidden/>
        </w:rPr>
        <w:tab/>
      </w:r>
      <w:r>
        <w:rPr>
          <w:noProof/>
          <w:webHidden/>
        </w:rPr>
        <w:fldChar w:fldCharType="begin"/>
      </w:r>
      <w:r>
        <w:rPr>
          <w:noProof/>
          <w:webHidden/>
        </w:rPr>
        <w:instrText xml:space="preserve"> PAGEREF _Toc151723384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"_Toc151723385" </w:instrText>
      </w:r>
      <w:r>
        <w:rPr/>
        <w:fldChar w:fldCharType="separate"/>
      </w:r>
      <w:r>
        <w:rPr>
          <w:rStyle w:val="style85"/>
          <w:noProof/>
        </w:rPr>
        <w:t>Materials/Data Collection Method(s)/Procedure</w:t>
      </w:r>
      <w:r>
        <w:rPr>
          <w:noProof/>
          <w:webHidden/>
        </w:rPr>
        <w:tab/>
      </w:r>
      <w:r>
        <w:rPr>
          <w:noProof/>
          <w:webHidden/>
        </w:rPr>
        <w:fldChar w:fldCharType="begin"/>
      </w:r>
      <w:r>
        <w:rPr>
          <w:noProof/>
          <w:webHidden/>
        </w:rPr>
        <w:instrText xml:space="preserve"> PAGEREF _Toc151723385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"_Toc151723386" </w:instrText>
      </w:r>
      <w:r>
        <w:rPr/>
        <w:fldChar w:fldCharType="separate"/>
      </w:r>
      <w:r>
        <w:rPr>
          <w:rStyle w:val="style85"/>
          <w:noProof/>
        </w:rPr>
        <w:t>Data Analysis Technique</w:t>
      </w:r>
      <w:r>
        <w:rPr>
          <w:noProof/>
          <w:webHidden/>
        </w:rPr>
        <w:tab/>
      </w:r>
      <w:r>
        <w:rPr>
          <w:noProof/>
          <w:webHidden/>
        </w:rPr>
        <w:fldChar w:fldCharType="begin"/>
      </w:r>
      <w:r>
        <w:rPr>
          <w:noProof/>
          <w:webHidden/>
        </w:rPr>
        <w:instrText xml:space="preserve"> PAGEREF _Toc151723386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"_Toc151723387" </w:instrText>
      </w:r>
      <w:r>
        <w:rPr/>
        <w:fldChar w:fldCharType="separate"/>
      </w:r>
      <w:r>
        <w:rPr>
          <w:rStyle w:val="style85"/>
          <w:noProof/>
        </w:rPr>
        <w:t>Ethical Considerations</w:t>
      </w:r>
      <w:r>
        <w:rPr>
          <w:noProof/>
          <w:webHidden/>
        </w:rPr>
        <w:tab/>
      </w:r>
      <w:r>
        <w:rPr>
          <w:noProof/>
          <w:webHidden/>
        </w:rPr>
        <w:fldChar w:fldCharType="begin"/>
      </w:r>
      <w:r>
        <w:rPr>
          <w:noProof/>
          <w:webHidden/>
        </w:rPr>
        <w:instrText xml:space="preserve"> PAGEREF _Toc151723387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"_Toc151723388" </w:instrText>
      </w:r>
      <w:r>
        <w:rPr/>
        <w:fldChar w:fldCharType="separate"/>
      </w:r>
      <w:r>
        <w:rPr>
          <w:rStyle w:val="style85"/>
          <w:noProof/>
        </w:rPr>
        <w:t>Results</w:t>
      </w:r>
      <w:r>
        <w:rPr>
          <w:noProof/>
          <w:webHidden/>
        </w:rPr>
        <w:tab/>
      </w:r>
      <w:r>
        <w:rPr>
          <w:noProof/>
          <w:webHidden/>
        </w:rPr>
        <w:fldChar w:fldCharType="begin"/>
      </w:r>
      <w:r>
        <w:rPr>
          <w:noProof/>
          <w:webHidden/>
        </w:rPr>
        <w:instrText xml:space="preserve"> PAGEREF _Toc151723388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"_Toc151723389" </w:instrText>
      </w:r>
      <w:r>
        <w:rPr/>
        <w:fldChar w:fldCharType="separate"/>
      </w:r>
      <w:r>
        <w:rPr>
          <w:rStyle w:val="style85"/>
          <w:noProof/>
        </w:rPr>
        <w:t>Discussion</w:t>
      </w:r>
      <w:r>
        <w:rPr>
          <w:noProof/>
          <w:webHidden/>
        </w:rPr>
        <w:tab/>
      </w:r>
      <w:r>
        <w:rPr>
          <w:noProof/>
          <w:webHidden/>
        </w:rPr>
        <w:fldChar w:fldCharType="begin"/>
      </w:r>
      <w:r>
        <w:rPr>
          <w:noProof/>
          <w:webHidden/>
        </w:rPr>
        <w:instrText xml:space="preserve"> PAGEREF _Toc151723389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"_Toc151723390"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_Toc151723390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"_Toc151723391" </w:instrText>
      </w:r>
      <w:r>
        <w:rPr/>
        <w:fldChar w:fldCharType="separate"/>
      </w:r>
      <w:r>
        <w:rPr>
          <w:rStyle w:val="style85"/>
          <w:noProof/>
        </w:rPr>
        <w:t>Reference list</w:t>
      </w:r>
      <w:r>
        <w:rPr>
          <w:noProof/>
          <w:webHidden/>
        </w:rPr>
        <w:tab/>
      </w:r>
      <w:r>
        <w:rPr>
          <w:noProof/>
          <w:webHidden/>
        </w:rPr>
        <w:fldChar w:fldCharType="begin"/>
      </w:r>
      <w:r>
        <w:rPr>
          <w:noProof/>
          <w:webHidden/>
        </w:rPr>
        <w:instrText xml:space="preserve"> PAGEREF _Toc151723391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"_Toc151723392" </w:instrText>
      </w:r>
      <w:r>
        <w:rPr/>
        <w:fldChar w:fldCharType="separate"/>
      </w:r>
      <w:r>
        <w:rPr>
          <w:rStyle w:val="style85"/>
          <w:noProof/>
        </w:rPr>
        <w:t>Appendix</w:t>
      </w:r>
      <w:r>
        <w:rPr>
          <w:noProof/>
          <w:webHidden/>
        </w:rPr>
        <w:tab/>
      </w:r>
      <w:r>
        <w:rPr>
          <w:noProof/>
          <w:webHidden/>
        </w:rPr>
        <w:fldChar w:fldCharType="begin"/>
      </w:r>
      <w:r>
        <w:rPr>
          <w:noProof/>
          <w:webHidden/>
        </w:rPr>
        <w:instrText xml:space="preserve"> PAGEREF _Toc151723392 \h </w:instrText>
      </w:r>
      <w:r>
        <w:rPr>
          <w:noProof/>
          <w:webHidden/>
        </w:rPr>
        <w:fldChar w:fldCharType="separate"/>
      </w:r>
      <w:r>
        <w:rPr>
          <w:noProof/>
          <w:webHidden/>
        </w:rPr>
        <w:t>18</w:t>
      </w:r>
      <w:r>
        <w:rPr>
          <w:noProof/>
          <w:webHidden/>
        </w:rPr>
        <w:fldChar w:fldCharType="end"/>
      </w:r>
      <w:r>
        <w:rPr/>
        <w:fldChar w:fldCharType="end"/>
      </w:r>
    </w:p>
    <w:p>
      <w:pPr>
        <w:pStyle w:val="style0"/>
        <w:rPr/>
      </w:pPr>
      <w:r>
        <w:rPr>
          <w:b/>
          <w:bCs/>
          <w:noProof/>
        </w:rPr>
        <w:fldChar w:fldCharType="end"/>
      </w:r>
    </w:p>
    <w:p>
      <w:pPr>
        <w:pStyle w:val="style0"/>
        <w:spacing w:lineRule="auto" w:line="276"/>
        <w:jc w:val="left"/>
        <w:rPr>
          <w:rFonts w:cs="宋体" w:eastAsia="宋体"/>
          <w:b/>
          <w:bCs/>
          <w:color w:val="365f91"/>
          <w:sz w:val="28"/>
          <w:szCs w:val="28"/>
        </w:rPr>
      </w:pPr>
      <w:r>
        <w:br w:type="page"/>
      </w:r>
    </w:p>
    <w:bookmarkStart w:id="0" w:name="_Toc151723382"/>
    <w:p>
      <w:pPr>
        <w:pStyle w:val="style1"/>
        <w:rPr/>
      </w:pPr>
      <w:r>
        <w:t>Introduction/Literature Based Background to the Study</w:t>
      </w:r>
      <w:bookmarkEnd w:id="0"/>
    </w:p>
    <w:p>
      <w:pPr>
        <w:pStyle w:val="style0"/>
        <w:rPr/>
      </w:pPr>
      <w:r>
        <w:t>Environmental, psychological, social, and cultural variables are all involved in the complex creation of an individual's eating habits</w:t>
      </w:r>
      <w:r>
        <w:t xml:space="preserve"> (Ngwenya, 2021)</w:t>
      </w:r>
      <w:r>
        <w:t>. The evaluation of these variables becomes much more pertinent when it is applied to postgraduate students who are enrolled in public universities. This group may experience unique demands and obstacles that significantly influence their eating habits. They are at a crossroads in their academic and personal life. Therefore, improving graduate students' health and getting a complete picture of their daily activities need an understanding of the factors that affect their eating habits.</w:t>
      </w:r>
    </w:p>
    <w:p>
      <w:pPr>
        <w:pStyle w:val="style0"/>
        <w:rPr/>
      </w:pPr>
      <w:r>
        <w:t xml:space="preserve">Several studies on the intricate characteristics of eating habits have yielded insightful information on the interdependence of their various constituent parts. While cultural norms and </w:t>
      </w:r>
      <w:r>
        <w:t>practises</w:t>
      </w:r>
      <w:r>
        <w:t xml:space="preserve"> might affect nutritional preferences and choices, social interactions can have an effect on eating habits and food choices</w:t>
      </w:r>
      <w:r>
        <w:t xml:space="preserve"> (Li, Braakhuis and Roy, 2022)</w:t>
      </w:r>
      <w:r>
        <w:t>. An individual's connection with food is significantly impacted by stress and mental health. Environmental influences on eating patterns might also include things like the availability of nutritious food options and community dining areas.</w:t>
      </w:r>
    </w:p>
    <w:p>
      <w:pPr>
        <w:pStyle w:val="style0"/>
        <w:rPr/>
      </w:pPr>
      <w:r>
        <w:t xml:space="preserve">Owing to the </w:t>
      </w:r>
      <w:r>
        <w:t>rarity</w:t>
      </w:r>
      <w:r>
        <w:t xml:space="preserve"> of research on this population, a more thorough analysis of postgraduate students is necessary. Making the move from undergraduate to graduate school presents a distinct mix of challenges and opportunities that might change eating habits in ways not previously identified by research.</w:t>
      </w:r>
    </w:p>
    <w:p>
      <w:pPr>
        <w:pStyle w:val="style0"/>
        <w:rPr/>
      </w:pPr>
      <w:r>
        <w:t xml:space="preserve">Therefore, the purpose of this study is to contribute to the existing body of information by examining the factors influencing the eating patterns of graduate students enrolled in public universities. By merging data from earlier research and concentrating on the particular experiences of this group, the aim of this </w:t>
      </w:r>
      <w:r>
        <w:t>research</w:t>
      </w:r>
      <w:r>
        <w:t xml:space="preserve"> is to provide insight into the many factors that influence the eating habits of graduate students. Gaining this knowledge is essential to creating therapies and support networks that enhance graduate students' pleasure and well-being</w:t>
      </w:r>
      <w:r>
        <w:t xml:space="preserve"> (Villarino et al., 2022)</w:t>
      </w:r>
      <w:r>
        <w:t xml:space="preserve">. </w:t>
      </w:r>
      <w:r>
        <w:t>The</w:t>
      </w:r>
      <w:r>
        <w:t xml:space="preserve"> primary objective is to get a deeper </w:t>
      </w:r>
      <w:r>
        <w:t>grasp</w:t>
      </w:r>
      <w:r>
        <w:t xml:space="preserve"> of the intricate interactions between factors that </w:t>
      </w:r>
      <w:r>
        <w:t>impact</w:t>
      </w:r>
      <w:r>
        <w:t xml:space="preserve"> this cohort's eating habits. The research question, motivation, methods, conclusions, and consequences of this study will be the main topics of the sections that follow.</w:t>
      </w:r>
    </w:p>
    <w:p>
      <w:pPr>
        <w:pStyle w:val="style0"/>
        <w:rPr/>
      </w:pPr>
    </w:p>
    <w:bookmarkStart w:id="1" w:name="_Toc151723383"/>
    <w:p>
      <w:pPr>
        <w:pStyle w:val="style1"/>
        <w:rPr/>
      </w:pPr>
      <w:r>
        <w:t>Rationale &amp; Research Question/Aims/Hypothesis</w:t>
      </w:r>
      <w:bookmarkEnd w:id="1"/>
    </w:p>
    <w:p>
      <w:pPr>
        <w:pStyle w:val="style0"/>
        <w:rPr>
          <w:b/>
        </w:rPr>
      </w:pPr>
      <w:r>
        <w:rPr>
          <w:b/>
        </w:rPr>
        <w:t>Rationale:</w:t>
      </w:r>
    </w:p>
    <w:p>
      <w:pPr>
        <w:pStyle w:val="style0"/>
        <w:rPr/>
      </w:pPr>
      <w:r>
        <w:t>Students face a dramatic shift from undergraduate to graduate school, which is marked by increased academic expectations, the imposition of adult responsibilities, and emotional turmoil. During this phase of transition, students may notice changes in their eating habits and other areas of their lifestyle</w:t>
      </w:r>
      <w:r>
        <w:t xml:space="preserve"> (Natasha, 2019)</w:t>
      </w:r>
      <w:r>
        <w:t xml:space="preserve">. Given the importance of this </w:t>
      </w:r>
      <w:r>
        <w:t>change over</w:t>
      </w:r>
      <w:r>
        <w:t xml:space="preserve"> time, it is critical to investigate the variables impacting graduate students' eating habits. The </w:t>
      </w:r>
      <w:r>
        <w:t>main</w:t>
      </w:r>
      <w:r>
        <w:t xml:space="preserve"> goal of this research is to get </w:t>
      </w:r>
      <w:r>
        <w:t>a</w:t>
      </w:r>
      <w:r>
        <w:t xml:space="preserve"> </w:t>
      </w:r>
      <w:r>
        <w:t>improved</w:t>
      </w:r>
      <w:r>
        <w:t xml:space="preserve"> understanding of these characteristics in order to give more meaningful assistance in the creation of </w:t>
      </w:r>
      <w:r>
        <w:t>customized</w:t>
      </w:r>
      <w:r>
        <w:t xml:space="preserve"> therapies that aid graduate students in developing healthier, more lasting eating habits.</w:t>
      </w:r>
    </w:p>
    <w:p>
      <w:pPr>
        <w:pStyle w:val="style0"/>
        <w:rPr>
          <w:b/>
        </w:rPr>
      </w:pPr>
      <w:r>
        <w:rPr>
          <w:b/>
        </w:rPr>
        <w:t>Research Question:</w:t>
      </w:r>
    </w:p>
    <w:p>
      <w:pPr>
        <w:pStyle w:val="style0"/>
        <w:rPr>
          <w:rFonts w:cs="Arial"/>
        </w:rPr>
      </w:pPr>
      <w:r>
        <w:rPr>
          <w:rFonts w:cs="Arial"/>
        </w:rPr>
        <w:t>“What are the factors that influence the eating behaviour?”</w:t>
      </w:r>
    </w:p>
    <w:p>
      <w:pPr>
        <w:pStyle w:val="style0"/>
        <w:rPr>
          <w:b/>
        </w:rPr>
      </w:pPr>
      <w:r>
        <w:rPr>
          <w:b/>
        </w:rPr>
        <w:t>Aims/Hypothesis:</w:t>
      </w:r>
    </w:p>
    <w:p>
      <w:pPr>
        <w:pStyle w:val="style0"/>
        <w:rPr/>
      </w:pPr>
      <w:r>
        <w:t>The study's main goal is to fully understand the specific setting of graduate school from the perspective of the fundamental elements that determine eating behaviour. This study used a qualitative methodology in an effort to shed light on how a complex web of social, environmental, and psychological elements influences the diets of graduate students.</w:t>
      </w:r>
    </w:p>
    <w:p>
      <w:pPr>
        <w:pStyle w:val="style0"/>
        <w:rPr>
          <w:b/>
        </w:rPr>
      </w:pPr>
      <w:r>
        <w:rPr>
          <w:b/>
        </w:rPr>
        <w:t>Objectives</w:t>
      </w:r>
      <w:r>
        <w:rPr>
          <w:b/>
        </w:rPr>
        <w:t>:</w:t>
      </w:r>
    </w:p>
    <w:p>
      <w:pPr>
        <w:pStyle w:val="style179"/>
        <w:numPr>
          <w:ilvl w:val="0"/>
          <w:numId w:val="1"/>
        </w:numPr>
        <w:spacing w:lineRule="auto" w:line="360"/>
        <w:rPr>
          <w:sz w:val="22"/>
        </w:rPr>
      </w:pPr>
      <w:r>
        <w:rPr>
          <w:sz w:val="22"/>
        </w:rPr>
        <w:t>What is the impact of academic and environmental factors on the eating behavior of postgraduate students in a public university?</w:t>
      </w:r>
    </w:p>
    <w:p>
      <w:pPr>
        <w:pStyle w:val="style179"/>
        <w:numPr>
          <w:ilvl w:val="0"/>
          <w:numId w:val="1"/>
        </w:numPr>
        <w:spacing w:lineRule="auto" w:line="360"/>
        <w:rPr>
          <w:sz w:val="22"/>
        </w:rPr>
      </w:pPr>
      <w:r>
        <w:rPr>
          <w:sz w:val="22"/>
        </w:rPr>
        <w:t>What challenges do postgraduate students in a public university face in maintaining healthy eating habits?</w:t>
      </w:r>
    </w:p>
    <w:p>
      <w:pPr>
        <w:pStyle w:val="style179"/>
        <w:numPr>
          <w:ilvl w:val="0"/>
          <w:numId w:val="1"/>
        </w:numPr>
        <w:spacing w:lineRule="auto" w:line="360"/>
        <w:rPr>
          <w:sz w:val="22"/>
        </w:rPr>
      </w:pPr>
      <w:r>
        <w:rPr>
          <w:sz w:val="22"/>
        </w:rPr>
        <w:t>What strategies and recommendations can be proposed to promote healthy eating habits among postgraduate students in a public university?</w:t>
      </w:r>
    </w:p>
    <w:bookmarkStart w:id="2" w:name="_Toc151723384"/>
    <w:p>
      <w:pPr>
        <w:pStyle w:val="style1"/>
        <w:rPr/>
      </w:pPr>
      <w:r>
        <w:t>Research Methodology (Research Methods)</w:t>
      </w:r>
      <w:bookmarkEnd w:id="2"/>
    </w:p>
    <w:p>
      <w:pPr>
        <w:pStyle w:val="style0"/>
        <w:rPr>
          <w:b/>
        </w:rPr>
      </w:pPr>
      <w:r>
        <w:rPr>
          <w:b/>
        </w:rPr>
        <w:t>Research Approach</w:t>
      </w:r>
      <w:r>
        <w:rPr>
          <w:b/>
        </w:rPr>
        <w:t>:</w:t>
      </w:r>
    </w:p>
    <w:p>
      <w:pPr>
        <w:pStyle w:val="style0"/>
        <w:rPr/>
      </w:pPr>
      <w:r>
        <w:t xml:space="preserve">This </w:t>
      </w:r>
      <w:r>
        <w:t>research</w:t>
      </w:r>
      <w:r>
        <w:t xml:space="preserve"> uses a qualitative research approach, with data mostly gathered </w:t>
      </w:r>
      <w:r>
        <w:t>using</w:t>
      </w:r>
      <w:r>
        <w:t xml:space="preserve"> focus group talks</w:t>
      </w:r>
      <w:r>
        <w:t xml:space="preserve"> (Sim and Waterfield, 2019)</w:t>
      </w:r>
      <w:r>
        <w:t xml:space="preserve">. To get a more nuanced picture of the variables affecting </w:t>
      </w:r>
      <w:r>
        <w:t xml:space="preserve">eating behaviour among graduate students, qualitative research is preferred because of its capacity to dive deeply into the actual experiences and views of people. The dynamic and engaging nature of focus group </w:t>
      </w:r>
      <w:r>
        <w:t>discussions</w:t>
      </w:r>
      <w:r>
        <w:t xml:space="preserve"> makes it possible to explore diverse perspectives across a group of people.</w:t>
      </w:r>
    </w:p>
    <w:p>
      <w:pPr>
        <w:pStyle w:val="style0"/>
        <w:rPr/>
      </w:pPr>
      <w:r>
        <w:t>This study used a qualitative technique based on theme analysis to investigate the variables impacting the eating habits of graduate students at a public institution. The approach commences with an exhaustive examination of the existing body of literature, utilizing credible resources such as Google Scholar, in order to establish a strong groundwork. Thematic analysis, which is recognized for detecting patterns in large datasets, was selected for its efficacy in analyzing tales from reputable internet sources. Interviews and online diaries will be used to examine postgraduate students' eating habits.</w:t>
      </w:r>
    </w:p>
    <w:p>
      <w:pPr>
        <w:pStyle w:val="style0"/>
        <w:rPr/>
      </w:pPr>
      <w:r>
        <w:t>The qualitative method allows for an in-depth investigation of the reasons, cultural impacts, and environmental variables that impact food choices, going beyond superficial observations. The study notes that qualitative research has its benefits, but it also has its limits, such as the fact that it relies on subjective researcher judgment and might be biased</w:t>
      </w:r>
      <w:r>
        <w:t xml:space="preserve"> (Zawacki-Richter et al., 2020)</w:t>
      </w:r>
      <w:r>
        <w:t xml:space="preserve">. The qualitative approach to studying postgraduate students' eating habits is strong and informative. Despite these limitations, it aims to unearth complex insights </w:t>
      </w:r>
      <w:r>
        <w:t>using</w:t>
      </w:r>
      <w:r>
        <w:t xml:space="preserve"> the systematic and comprehensive use of theme analysis</w:t>
      </w:r>
      <w:r>
        <w:t>.</w:t>
      </w:r>
    </w:p>
    <w:bookmarkStart w:id="3" w:name="_Toc151723385"/>
    <w:p>
      <w:pPr>
        <w:pStyle w:val="style1"/>
        <w:rPr/>
      </w:pPr>
      <w:r>
        <w:t>Materials/Data Collection Method(s)/Procedure</w:t>
      </w:r>
      <w:bookmarkEnd w:id="3"/>
    </w:p>
    <w:p>
      <w:pPr>
        <w:pStyle w:val="style0"/>
        <w:rPr>
          <w:b/>
        </w:rPr>
      </w:pPr>
      <w:r>
        <w:rPr>
          <w:b/>
        </w:rPr>
        <w:t>Secondary Data Collection Method</w:t>
      </w:r>
    </w:p>
    <w:p>
      <w:pPr>
        <w:pStyle w:val="style0"/>
        <w:rPr/>
      </w:pPr>
      <w:r>
        <w:t>This study will examine the variables impacting eating habits among public university graduate students by relying on secondary data-gathering methods. This method entails searching preexisting databases for pertinent information, such as academic journals, online publications, and papers</w:t>
      </w:r>
      <w:r>
        <w:t xml:space="preserve"> (Morgan, 2022)</w:t>
      </w:r>
      <w:r>
        <w:t>. The purpose of this study is to investigate the many aspects that influence graduate students' eating habits.</w:t>
      </w:r>
    </w:p>
    <w:p>
      <w:pPr>
        <w:pStyle w:val="style0"/>
        <w:rPr/>
      </w:pPr>
      <w:r>
        <w:t>The data collection procedure will begin by consulting trustworthy websites, using a methodology similar to that outlined in the sample. Google Scholar, an esteemed academic resource, will play an essential role in locating pertinent literature on the subject. Postgraduate students' eating habits may now be better understood because of this database, which gives access to a wealth of worldwide knowledge.</w:t>
      </w:r>
    </w:p>
    <w:p>
      <w:pPr>
        <w:pStyle w:val="style0"/>
        <w:rPr/>
      </w:pPr>
      <w:r>
        <w:t>Google Scholar and other academic databases and online journals from esteemed publishers will be used in the investigation. These sources will be chosen according to their reputation, applicability to the research topic, and intellectual rigor</w:t>
      </w:r>
      <w:r>
        <w:t xml:space="preserve"> (García-</w:t>
      </w:r>
      <w:r>
        <w:t>Peñalvo</w:t>
      </w:r>
      <w:r>
        <w:t>, 2022)</w:t>
      </w:r>
      <w:r>
        <w:t>. The information gathered will be trustworthy and of great quality, having been based on studies and articles that have been peer-reviewed.</w:t>
      </w:r>
    </w:p>
    <w:p>
      <w:pPr>
        <w:pStyle w:val="style0"/>
        <w:rPr/>
      </w:pPr>
      <w:r>
        <w:t>A systematic assessment of the current literature will be guided by particular research-related terms, such as "postgraduate students eating behavior," "academic pressures and eating habits," and "socio-cultural factors influencing diet." The research seeks to understand postgraduate students' dietary habits and academic, economic, and socio-cultural obstacles.</w:t>
      </w:r>
    </w:p>
    <w:p>
      <w:pPr>
        <w:pStyle w:val="style0"/>
        <w:rPr/>
      </w:pPr>
      <w:r>
        <w:t>Overcoming geographical limits and providing a complete picture beyond a given place is one strength of the secondary data-collecting strategy. The research is able to examine the varied origins and cultural circumstances that influence the eating behavior of postgraduate students from all over the world since it uses internet platforms to obtain this global viewpoint</w:t>
      </w:r>
      <w:r>
        <w:t xml:space="preserve"> (Sheldon et al., 2021)</w:t>
      </w:r>
      <w:r>
        <w:t>. A diversified and large dataset is created when data is made accessible to a wide variety of academic institutions internationally using this inclusive strategy. This study guarantees a comprehensive and diversified examination of the determinants influencing eating habits among postgraduate students at a public institution by using secondary data obtained from a variety of reputable internet sites, including academic databases, online journals, publications, Google Scholar, and others.</w:t>
      </w:r>
    </w:p>
    <w:bookmarkStart w:id="4" w:name="_Toc151723386"/>
    <w:p>
      <w:pPr>
        <w:pStyle w:val="style1"/>
        <w:rPr/>
      </w:pPr>
      <w:r>
        <w:t>Data Analysis Technique</w:t>
      </w:r>
      <w:bookmarkEnd w:id="4"/>
    </w:p>
    <w:p>
      <w:pPr>
        <w:pStyle w:val="style0"/>
        <w:rPr/>
      </w:pPr>
      <w:r>
        <w:t>"Exploring the Factors that Influence Eating Behaviour Among Postgraduate Students in a Public University" is the name of the research, and it will use thematic analysis, a qualitative approach that is great for finding themes and patterns in qualitative data, to analyze the data</w:t>
      </w:r>
      <w:r>
        <w:t xml:space="preserve"> (</w:t>
      </w:r>
      <w:r>
        <w:t>Sundler</w:t>
      </w:r>
      <w:r>
        <w:t xml:space="preserve"> et al., 2019)</w:t>
      </w:r>
      <w:r>
        <w:t>. Thematic analysis is suitable for revealing subtle insights from in-depth interviews and free-form surveys since the study focuses on complex eating behavior aspects.</w:t>
      </w:r>
    </w:p>
    <w:p>
      <w:pPr>
        <w:pStyle w:val="style0"/>
        <w:rPr>
          <w:b/>
        </w:rPr>
      </w:pPr>
      <w:r>
        <w:rPr>
          <w:b/>
        </w:rPr>
        <w:t>Graphical Visualization Techniques:</w:t>
      </w:r>
    </w:p>
    <w:p>
      <w:pPr>
        <w:pStyle w:val="style0"/>
        <w:rPr/>
      </w:pPr>
      <w:r>
        <w:t>Several methods of graphical representation will be used to improve the presentation and understanding of results:</w:t>
      </w:r>
    </w:p>
    <w:p>
      <w:pPr>
        <w:pStyle w:val="style0"/>
        <w:rPr/>
      </w:pPr>
      <w:r>
        <w:rPr>
          <w:b/>
        </w:rPr>
        <w:t>Bar Charts:</w:t>
      </w:r>
      <w:r>
        <w:t xml:space="preserve"> Bar charts will show food patterns, coping methods, and cultural influences. By examining trends and patterns within each area, this graphical technique simplifies comparisons between categories.</w:t>
      </w:r>
    </w:p>
    <w:p>
      <w:pPr>
        <w:pStyle w:val="style0"/>
        <w:rPr/>
      </w:pPr>
      <w:r>
        <w:rPr>
          <w:b/>
        </w:rPr>
        <w:t>Histograms:</w:t>
      </w:r>
      <w:r>
        <w:t xml:space="preserve"> Histograms will show weekly food consumption frequency</w:t>
      </w:r>
      <w:r>
        <w:t xml:space="preserve"> (Baek et al., 2021)</w:t>
      </w:r>
      <w:r>
        <w:t>. This visualization approach helps uncover dietary trends and outliers by revealing data distribution.</w:t>
      </w:r>
    </w:p>
    <w:p>
      <w:pPr>
        <w:pStyle w:val="style0"/>
        <w:rPr/>
      </w:pPr>
      <w:r>
        <w:rPr>
          <w:b/>
        </w:rPr>
        <w:t>Pie Charts:</w:t>
      </w:r>
      <w:r>
        <w:t xml:space="preserve"> Pie charts will show dietary variety reactions. The percentages and proportions of varied reactions may be easily understood with this chart, explaining eating behavior variances.</w:t>
      </w:r>
    </w:p>
    <w:p>
      <w:pPr>
        <w:pStyle w:val="style0"/>
        <w:rPr/>
      </w:pPr>
      <w:r>
        <w:rPr>
          <w:b/>
        </w:rPr>
        <w:t>Scatter Plots:</w:t>
      </w:r>
      <w:r>
        <w:t xml:space="preserve"> Scatter plots will examine correlations like food intake and academic stress. This graphic method helps identify patterns and linkages, revealing possible relationships between postgraduate students' eating habits and other issues.</w:t>
      </w:r>
    </w:p>
    <w:bookmarkStart w:id="5" w:name="_Toc151723387"/>
    <w:p>
      <w:pPr>
        <w:pStyle w:val="style1"/>
        <w:rPr/>
      </w:pPr>
      <w:r>
        <w:t>Ethical Considerations</w:t>
      </w:r>
      <w:bookmarkEnd w:id="5"/>
    </w:p>
    <w:p>
      <w:pPr>
        <w:pStyle w:val="style0"/>
        <w:rPr>
          <w:b/>
        </w:rPr>
      </w:pPr>
      <w:r>
        <w:rPr>
          <w:b/>
        </w:rPr>
        <w:t>Ethical Approval:</w:t>
      </w:r>
    </w:p>
    <w:p>
      <w:pPr>
        <w:pStyle w:val="style0"/>
        <w:rPr/>
      </w:pPr>
      <w:r>
        <w:t xml:space="preserve">Before </w:t>
      </w:r>
      <w:r>
        <w:t>beginning</w:t>
      </w:r>
      <w:r>
        <w:t xml:space="preserve"> the study, approval was obtained from the university's ethical committee (Bell &amp; Wynn, 2020). All aspects of the study's protocol, techniques, and procedures were reviewed to </w:t>
      </w:r>
      <w:r>
        <w:t>guarantee</w:t>
      </w:r>
      <w:r>
        <w:t xml:space="preserve"> the safety and well-being of the participants</w:t>
      </w:r>
      <w:r>
        <w:t>.</w:t>
      </w:r>
    </w:p>
    <w:p>
      <w:pPr>
        <w:pStyle w:val="style0"/>
        <w:rPr>
          <w:b/>
        </w:rPr>
      </w:pPr>
      <w:r>
        <w:rPr>
          <w:b/>
        </w:rPr>
        <w:t>Informed Consent:</w:t>
      </w:r>
    </w:p>
    <w:p>
      <w:pPr>
        <w:pStyle w:val="style0"/>
        <w:rPr/>
      </w:pPr>
      <w:r>
        <w:t xml:space="preserve">Participants were given extensive </w:t>
      </w:r>
      <w:r>
        <w:t>info</w:t>
      </w:r>
      <w:r>
        <w:t xml:space="preserve"> about the study's aims and methods to ensure that they could provide their informed consent</w:t>
      </w:r>
      <w:r>
        <w:t xml:space="preserve"> (Xu et al., 2020)</w:t>
      </w:r>
      <w:r>
        <w:t>. They were assured privacy of their replies and made aware of their right to engage willingly.</w:t>
      </w:r>
    </w:p>
    <w:p>
      <w:pPr>
        <w:pStyle w:val="style0"/>
        <w:rPr>
          <w:b/>
        </w:rPr>
      </w:pPr>
      <w:r>
        <w:rPr>
          <w:b/>
        </w:rPr>
        <w:t>Confidentiality:</w:t>
      </w:r>
    </w:p>
    <w:p>
      <w:pPr>
        <w:pStyle w:val="style0"/>
        <w:rPr/>
      </w:pPr>
      <w:r>
        <w:t>To preserve the privacy of participants, all acquired data, including audio recordings, transcripts, and observational notes, were handled with the strictest confidentially</w:t>
      </w:r>
      <w:r>
        <w:t xml:space="preserve"> (Kang and Hwang, 2021)</w:t>
      </w:r>
      <w:r>
        <w:t>. Personal information was encrypted and kept in a location distinct from the study data, and participants were all given a unique identification. Participants' identities would not be revealed in any published or presented results since only the study team had access to the identifying data.</w:t>
      </w:r>
    </w:p>
    <w:p>
      <w:pPr>
        <w:pStyle w:val="style0"/>
        <w:rPr>
          <w:b/>
        </w:rPr>
      </w:pPr>
      <w:r>
        <w:rPr>
          <w:b/>
        </w:rPr>
        <w:t>Voluntary Participation:</w:t>
      </w:r>
    </w:p>
    <w:p>
      <w:pPr>
        <w:pStyle w:val="style0"/>
        <w:rPr/>
      </w:pPr>
      <w:r>
        <w:t>All participants were aware that they were under no obligation to continue with the study and might opt out at any moment</w:t>
      </w:r>
      <w:r>
        <w:t xml:space="preserve"> (Davison</w:t>
      </w:r>
      <w:r>
        <w:t xml:space="preserve"> et al.</w:t>
      </w:r>
      <w:r>
        <w:t>, 2021)</w:t>
      </w:r>
      <w:r>
        <w:t>. This voluntariness was underlined several times during the trial, including throughout the process of gaining informed consent and again at the conclusion.</w:t>
      </w:r>
    </w:p>
    <w:p>
      <w:pPr>
        <w:pStyle w:val="style0"/>
        <w:rPr>
          <w:b/>
        </w:rPr>
      </w:pPr>
      <w:r>
        <w:rPr>
          <w:b/>
        </w:rPr>
        <w:t>Briefing on Study Purpose and Risks:</w:t>
      </w:r>
    </w:p>
    <w:p>
      <w:pPr>
        <w:pStyle w:val="style0"/>
        <w:rPr/>
      </w:pPr>
      <w:r>
        <w:t>Prior to participating in the focus groups, participants were provided with a comprehensive explanation outlining the objective of the study</w:t>
      </w:r>
      <w:r>
        <w:t xml:space="preserve"> (Tomaszewski et al., 2020)</w:t>
      </w:r>
      <w:r>
        <w:t xml:space="preserve">. This explanation specifically highlighted the investigation into the </w:t>
      </w:r>
      <w:r>
        <w:t>reasons</w:t>
      </w:r>
      <w:r>
        <w:t xml:space="preserve"> that impact the dietary patterns of graduate students. Furthermore, potential risks associated with divulging personal habits and experiences were acknowledged, and participants were strongly encouraged to disclose any concerns or unease they may have felt.</w:t>
      </w:r>
    </w:p>
    <w:p>
      <w:pPr>
        <w:pStyle w:val="style0"/>
        <w:rPr>
          <w:b/>
        </w:rPr>
      </w:pPr>
      <w:r>
        <w:rPr>
          <w:b/>
        </w:rPr>
        <w:t>Right to Withdraw:</w:t>
      </w:r>
    </w:p>
    <w:p>
      <w:pPr>
        <w:pStyle w:val="style0"/>
        <w:rPr/>
      </w:pPr>
      <w:r>
        <w:t xml:space="preserve">The subjects were duly apprised of their prerogative to withdraw from the research at any point without incurring any adverse </w:t>
      </w:r>
      <w:r>
        <w:t>consequences</w:t>
      </w:r>
      <w:r>
        <w:t>. This reaffirmation underscored the ongoing nature of their voluntary participation, as it took place prior to, during, and subsequent to the focus group discussions.</w:t>
      </w:r>
    </w:p>
    <w:p>
      <w:pPr>
        <w:pStyle w:val="style0"/>
        <w:rPr>
          <w:b/>
        </w:rPr>
      </w:pPr>
      <w:r>
        <w:rPr>
          <w:b/>
        </w:rPr>
        <w:t>Debriefing:</w:t>
      </w:r>
    </w:p>
    <w:p>
      <w:pPr>
        <w:pStyle w:val="style0"/>
        <w:rPr/>
      </w:pPr>
      <w:r>
        <w:t>After finishing up with the research, participants were given the option to participate in a debriefing session where they could share their thoughts and feelings about the experience.</w:t>
      </w:r>
    </w:p>
    <w:p>
      <w:pPr>
        <w:pStyle w:val="style0"/>
        <w:rPr/>
      </w:pPr>
      <w:r>
        <w:t>The study's adherence to these ethical issues ensured the safety and independence of the participants, maintained the validity of the research, and upheld the standards of behaviour expected of academic researchers.</w:t>
      </w:r>
    </w:p>
    <w:bookmarkStart w:id="6" w:name="_Toc151723388"/>
    <w:p>
      <w:pPr>
        <w:pStyle w:val="style1"/>
        <w:rPr/>
      </w:pPr>
      <w:r>
        <w:t>Results</w:t>
      </w:r>
      <w:bookmarkEnd w:id="6"/>
    </w:p>
    <w:p>
      <w:pPr>
        <w:pStyle w:val="style0"/>
        <w:rPr/>
      </w:pPr>
      <w:r>
        <w:t xml:space="preserve">A thorough examination of the complex realm of dietary patterns among graduate students was achieved through the application of thematic analysis to focus group discussions. A number of significant themes surfaced, providing a thorough understanding of the factors that profoundly influence the dietary choices and </w:t>
      </w:r>
      <w:r>
        <w:t>behaviors</w:t>
      </w:r>
      <w:r>
        <w:t xml:space="preserve"> of individuals.</w:t>
      </w:r>
    </w:p>
    <w:p>
      <w:pPr>
        <w:pStyle w:val="style0"/>
        <w:keepNext/>
        <w:jc w:val="center"/>
        <w:rPr/>
      </w:pPr>
      <w:r>
        <w:rPr>
          <w:noProof/>
        </w:rPr>
        <w:drawing>
          <wp:inline distL="0" distT="0" distB="0" distR="0">
            <wp:extent cx="3264839" cy="2359384"/>
            <wp:effectExtent l="19050" t="19050" r="11761" b="21866"/>
            <wp:docPr id="1027" name="Picture 1" descr="IJERPH | Free Full-Text | Determinants of Physical Activity and Dietary  Habits among Adults in Ghana: A Cross-Sectional Study"/>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16543" t="2434" r="14930" b="1268"/>
                    <a:stretch/>
                  </pic:blipFill>
                  <pic:spPr>
                    <a:xfrm rot="0">
                      <a:off x="0" y="0"/>
                      <a:ext cx="3264839" cy="2359384"/>
                    </a:xfrm>
                    <a:prstGeom prst="rect"/>
                    <a:ln cmpd="sng" cap="flat" w="12700">
                      <a:solidFill>
                        <a:srgbClr val="000000"/>
                      </a:solidFill>
                      <a:prstDash val="solid"/>
                      <a:miter/>
                      <a:headEnd len="med" w="med" type="none"/>
                      <a:tailEnd len="med" w="med" type="none"/>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1</w:t>
      </w:r>
      <w:r>
        <w:rPr/>
        <w:fldChar w:fldCharType="end"/>
      </w:r>
      <w:r>
        <w:t>: Dietary habits of Students</w:t>
      </w:r>
    </w:p>
    <w:p>
      <w:pPr>
        <w:pStyle w:val="style0"/>
        <w:jc w:val="center"/>
        <w:rPr/>
      </w:pPr>
      <w:r>
        <w:t>Image Source: (Agyemang et al., 2022)</w:t>
      </w:r>
    </w:p>
    <w:p>
      <w:pPr>
        <w:pStyle w:val="style0"/>
        <w:rPr/>
      </w:pPr>
      <w:r>
        <w:t>The above</w:t>
      </w:r>
      <w:r>
        <w:t xml:space="preserve"> graph shows the relationship between the amount of exercise and the types of food that graduate students at a public institution eat. Among those who participated, 46% did not engage in regular physical activity and had unhealthy eating habits, whereas 10% did. Furthermore, 35% engage in physical activity but do not eat healthily, while 9% do not exercise but do eat healthily.</w:t>
      </w:r>
    </w:p>
    <w:p>
      <w:pPr>
        <w:pStyle w:val="style0"/>
        <w:rPr/>
      </w:pPr>
      <w:r>
        <w:rPr>
          <w:b/>
        </w:rPr>
        <w:t>Social Influences</w:t>
      </w:r>
      <w:r>
        <w:t>:</w:t>
      </w:r>
    </w:p>
    <w:p>
      <w:pPr>
        <w:pStyle w:val="style0"/>
        <w:rPr/>
      </w:pPr>
      <w:r>
        <w:t xml:space="preserve">One major topic was the outsized impact of friends, family, and online communities on one's life. Participants noted how communal dining </w:t>
      </w:r>
      <w:r>
        <w:t>practices</w:t>
      </w:r>
      <w:r>
        <w:t xml:space="preserve">, shared meals, and social expectations within their academic and personal circles played a significant part in moulding their eating </w:t>
      </w:r>
      <w:r>
        <w:t>behavior</w:t>
      </w:r>
      <w:r>
        <w:t xml:space="preserve"> (Noyongoyo, 2023)</w:t>
      </w:r>
      <w:r>
        <w:t>. Individuals' food preferences and eating habits were shown to be affected by both positive and negative social interactions.</w:t>
      </w:r>
    </w:p>
    <w:p>
      <w:pPr>
        <w:pStyle w:val="style0"/>
        <w:rPr/>
      </w:pPr>
      <w:r>
        <w:rPr>
          <w:b/>
        </w:rPr>
        <w:t>Environmental Factors</w:t>
      </w:r>
      <w:r>
        <w:t>:</w:t>
      </w:r>
    </w:p>
    <w:p>
      <w:pPr>
        <w:pStyle w:val="style0"/>
        <w:rPr/>
      </w:pPr>
      <w:r>
        <w:t xml:space="preserve">It was discovered that individuals' dietary </w:t>
      </w:r>
      <w:r>
        <w:t>behaviors</w:t>
      </w:r>
      <w:r>
        <w:t xml:space="preserve"> were significantly influenced by the tangible environment, both on and off campus. </w:t>
      </w:r>
      <w:r>
        <w:t>Several variables impacted the participants' meal choices, including access to healthy alternatives, closeness to restaurants, and shared eating spaces (Keat, 2023). Students' eating habits were also shown to be significantly impacted by the accessibility of food and the predominant food culture at the school</w:t>
      </w:r>
      <w:r>
        <w:t>.</w:t>
      </w:r>
    </w:p>
    <w:p>
      <w:pPr>
        <w:pStyle w:val="style0"/>
        <w:rPr>
          <w:b/>
        </w:rPr>
      </w:pPr>
      <w:r>
        <w:rPr>
          <w:b/>
        </w:rPr>
        <w:t>Individual Perceptions:</w:t>
      </w:r>
      <w:r>
        <w:rPr>
          <w:b/>
        </w:rPr>
        <w:t xml:space="preserve"> </w:t>
      </w:r>
    </w:p>
    <w:p>
      <w:pPr>
        <w:pStyle w:val="style0"/>
        <w:rPr/>
      </w:pPr>
      <w:r>
        <w:t>The study highlighted the various manners in which graduate students' varied worldviews shape their dietary habits</w:t>
      </w:r>
      <w:r>
        <w:t>. Significant effects were seen in the areas of cultural background, stress management, body image, and personal attitudes towards health</w:t>
      </w:r>
      <w:r>
        <w:t xml:space="preserve"> (Alakaam and Willyard, 2020)</w:t>
      </w:r>
      <w:r>
        <w:t xml:space="preserve">. The participants spoke about how their varied worldviews and ethnic backgrounds had affected their dietary choices. Eating habits are </w:t>
      </w:r>
      <w:r>
        <w:t>affected</w:t>
      </w:r>
      <w:r>
        <w:t xml:space="preserve"> by </w:t>
      </w:r>
      <w:r>
        <w:t>several</w:t>
      </w:r>
      <w:r>
        <w:t xml:space="preserve"> factors, such as psychological health, self-perception, and genetic predispositions.</w:t>
      </w:r>
    </w:p>
    <w:p>
      <w:pPr>
        <w:pStyle w:val="style0"/>
        <w:rPr/>
      </w:pPr>
      <w:r>
        <w:t>The complexity of eating habits among graduate students enrolled in research institutes was brought to light by these issues. This group's eating habits are complicated, and a full understanding of them requires examining how social dynamics, environmental factors, and personal opinions interact.</w:t>
      </w:r>
    </w:p>
    <w:p>
      <w:pPr>
        <w:pStyle w:val="style0"/>
        <w:rPr/>
      </w:pPr>
      <w:r>
        <w:t xml:space="preserve">Moreover, the distinctions and similarities among these problems </w:t>
      </w:r>
      <w:r>
        <w:t>emphasised</w:t>
      </w:r>
      <w:r>
        <w:t xml:space="preserve"> the distinct perspectives and backgrounds of PhD applicants. A careful analysis of these themes prepares the reader for an in-depth discussion of the consequences of the findings and the creation of </w:t>
      </w:r>
      <w:r>
        <w:t>customized</w:t>
      </w:r>
      <w:r>
        <w:t xml:space="preserve"> interventions meant to motivate graduate students to take up healthy eating </w:t>
      </w:r>
      <w:r>
        <w:t>practices</w:t>
      </w:r>
      <w:r>
        <w:t>.</w:t>
      </w:r>
    </w:p>
    <w:bookmarkStart w:id="7" w:name="_Toc151723389"/>
    <w:p>
      <w:pPr>
        <w:pStyle w:val="style1"/>
        <w:rPr/>
      </w:pPr>
      <w:r>
        <w:t>Discussion</w:t>
      </w:r>
      <w:bookmarkEnd w:id="7"/>
    </w:p>
    <w:p>
      <w:pPr>
        <w:pStyle w:val="style0"/>
        <w:rPr>
          <w:b/>
          <w:u w:val="single"/>
        </w:rPr>
      </w:pPr>
      <w:r>
        <w:rPr>
          <w:b/>
          <w:u w:val="single"/>
        </w:rPr>
        <w:t>Interpretation of Results in the Context of Existing Literature:</w:t>
      </w:r>
    </w:p>
    <w:p>
      <w:pPr>
        <w:pStyle w:val="style0"/>
        <w:rPr/>
      </w:pPr>
      <w:r>
        <w:t xml:space="preserve">The identified themes in this study align with and contribute to the existing body of literature on eating behavior, particularly among university students. The prominence of social influences is consistent with </w:t>
      </w:r>
      <w:r>
        <w:t>earlier</w:t>
      </w:r>
      <w:r>
        <w:t xml:space="preserve"> research emphasizing the impact of peer relationships on dietary choices </w:t>
      </w:r>
      <w:r>
        <w:t>(Higgs and Thomas, 2020)</w:t>
      </w:r>
      <w:r>
        <w:t xml:space="preserve">. The recognition of environmental factors echoes findings that highlight the significance of access and convenience in shaping eating habits on college campuses </w:t>
      </w:r>
      <w:r>
        <w:t>(</w:t>
      </w:r>
      <w:r>
        <w:t>Sogari</w:t>
      </w:r>
      <w:r>
        <w:t xml:space="preserve"> et al., 2018)</w:t>
      </w:r>
      <w:r>
        <w:t xml:space="preserve">. The exploration of individual perceptions aligns with studies emphasizing the role of personal attitudes and beliefs in dietary decision-making </w:t>
      </w:r>
      <w:r>
        <w:t>(Chen and Antonelli, 2020).</w:t>
      </w:r>
    </w:p>
    <w:p>
      <w:pPr>
        <w:pStyle w:val="style0"/>
        <w:rPr/>
      </w:pPr>
      <w:r>
        <w:t>The uniqueness of this study lies in its focus on postgraduate students, a demographic for which limited research exists. The transition to postgraduate studies introduces distinct challenges, and the identified themes provide valuable insights into the contextualized influences on their eating behavior.</w:t>
      </w:r>
    </w:p>
    <w:p>
      <w:pPr>
        <w:pStyle w:val="style0"/>
        <w:rPr>
          <w:b/>
          <w:u w:val="single"/>
        </w:rPr>
      </w:pPr>
      <w:r>
        <w:rPr>
          <w:b/>
          <w:u w:val="single"/>
        </w:rPr>
        <w:t>Implications of Findings:</w:t>
      </w:r>
    </w:p>
    <w:p>
      <w:pPr>
        <w:pStyle w:val="style0"/>
        <w:rPr>
          <w:b/>
        </w:rPr>
      </w:pPr>
      <w:r>
        <w:rPr>
          <w:b/>
        </w:rPr>
        <w:t>Targeted Interventions:</w:t>
      </w:r>
    </w:p>
    <w:p>
      <w:pPr>
        <w:pStyle w:val="style0"/>
        <w:rPr/>
      </w:pPr>
      <w:r>
        <w:t>The recognition of social influences suggests that interventions promoting healthier eating habits should consider the social context of postgraduate students. Peer support programs and community initiatives could be effective in fostering positive dietary behaviors</w:t>
      </w:r>
      <w:r>
        <w:t xml:space="preserve"> (Sheppard-Samuel, 2021)</w:t>
      </w:r>
      <w:r>
        <w:t>.</w:t>
      </w:r>
    </w:p>
    <w:p>
      <w:pPr>
        <w:pStyle w:val="style0"/>
        <w:rPr>
          <w:b/>
        </w:rPr>
      </w:pPr>
      <w:r>
        <w:rPr>
          <w:b/>
        </w:rPr>
        <w:t>Environmental Modifications:</w:t>
      </w:r>
    </w:p>
    <w:p>
      <w:pPr>
        <w:pStyle w:val="style0"/>
        <w:rPr/>
      </w:pPr>
      <w:r>
        <w:t>Considering the impact of environmental factors, university administrations could strategize improvements in campus food options, ensuring accessibility to nutritious meals. Furthermore, creating conducive communal spaces for dining might enhance the positive aspects of social influences on eating behavior.</w:t>
      </w:r>
    </w:p>
    <w:p>
      <w:pPr>
        <w:pStyle w:val="style0"/>
        <w:rPr/>
      </w:pPr>
      <w:r>
        <w:rPr>
          <w:b/>
        </w:rPr>
        <w:t>Individualized Support</w:t>
      </w:r>
      <w:r>
        <w:t>:</w:t>
      </w:r>
    </w:p>
    <w:p>
      <w:pPr>
        <w:pStyle w:val="style0"/>
        <w:rPr/>
      </w:pPr>
      <w:r>
        <w:t>Acknowledging the influence of individual perceptions, support services focusing on stress management, body image, and cultural sensitivity could be implemented</w:t>
      </w:r>
      <w:r>
        <w:t xml:space="preserve"> (Quinn, 2022)</w:t>
      </w:r>
      <w:r>
        <w:t>. Tailored interventions that consider the diverse psychological aspects influencing dietary choices may yield more positive outcomes.</w:t>
      </w:r>
    </w:p>
    <w:p>
      <w:pPr>
        <w:pStyle w:val="style0"/>
        <w:rPr>
          <w:b/>
          <w:u w:val="single"/>
        </w:rPr>
      </w:pPr>
      <w:r>
        <w:rPr>
          <w:b/>
          <w:u w:val="single"/>
        </w:rPr>
        <w:t>Limitations:</w:t>
      </w:r>
    </w:p>
    <w:p>
      <w:pPr>
        <w:pStyle w:val="style0"/>
        <w:rPr/>
      </w:pPr>
      <w:r>
        <w:rPr>
          <w:b/>
        </w:rPr>
        <w:t>Generalizability</w:t>
      </w:r>
      <w:r>
        <w:t>:</w:t>
      </w:r>
    </w:p>
    <w:p>
      <w:pPr>
        <w:pStyle w:val="style0"/>
        <w:rPr/>
      </w:pPr>
      <w:r>
        <w:t>The findings are specific to the studied university's context and may not be universally applicable. Future research should encompass a broader range of public universities to enhance the generalizability of the results.</w:t>
      </w:r>
    </w:p>
    <w:p>
      <w:pPr>
        <w:pStyle w:val="style0"/>
        <w:rPr/>
      </w:pPr>
      <w:r>
        <w:rPr>
          <w:b/>
        </w:rPr>
        <w:t>Self-Reporting Bias</w:t>
      </w:r>
      <w:r>
        <w:t>:</w:t>
      </w:r>
    </w:p>
    <w:p>
      <w:pPr>
        <w:pStyle w:val="style0"/>
        <w:rPr/>
      </w:pPr>
      <w:r>
        <w:t>The reliance on self-reported data may introduce bias due to social desirability or recall inaccuracies</w:t>
      </w:r>
      <w:r>
        <w:t xml:space="preserve"> (Bergen and </w:t>
      </w:r>
      <w:r>
        <w:t>Labonté</w:t>
      </w:r>
      <w:r>
        <w:t>, 2020)</w:t>
      </w:r>
      <w:r>
        <w:t>. Combining qualitative findings with quantitative measures could strengthen the robustness of future studies.</w:t>
      </w:r>
    </w:p>
    <w:p>
      <w:pPr>
        <w:pStyle w:val="style0"/>
        <w:rPr/>
      </w:pPr>
      <w:r>
        <w:rPr>
          <w:b/>
          <w:u w:val="single"/>
        </w:rPr>
        <w:t>Avenues for Future Research</w:t>
      </w:r>
      <w:r>
        <w:t>:</w:t>
      </w:r>
    </w:p>
    <w:p>
      <w:pPr>
        <w:pStyle w:val="style0"/>
        <w:rPr>
          <w:b/>
        </w:rPr>
      </w:pPr>
      <w:r>
        <w:rPr>
          <w:b/>
        </w:rPr>
        <w:t>Longitudinal Studies:</w:t>
      </w:r>
    </w:p>
    <w:p>
      <w:pPr>
        <w:pStyle w:val="style0"/>
        <w:rPr/>
      </w:pPr>
      <w:r>
        <w:t>Conducting longitudinal studies could provide insights into how eating behaviors evolve throughout the postgraduate journey, identifying critical periods for intervention.</w:t>
      </w:r>
    </w:p>
    <w:p>
      <w:pPr>
        <w:pStyle w:val="style0"/>
        <w:rPr/>
      </w:pPr>
      <w:r>
        <w:rPr>
          <w:b/>
        </w:rPr>
        <w:t>Comparative Analyses</w:t>
      </w:r>
      <w:r>
        <w:t>:</w:t>
      </w:r>
    </w:p>
    <w:p>
      <w:pPr>
        <w:pStyle w:val="style0"/>
        <w:rPr/>
      </w:pPr>
      <w:r>
        <w:t>Comparative analyses between undergraduate and postgraduate populations could reveal nuanced differences, offering a more comprehensive understanding of the factors influencing eating behavior at different academic levels.</w:t>
      </w:r>
    </w:p>
    <w:p>
      <w:pPr>
        <w:pStyle w:val="style0"/>
        <w:rPr>
          <w:b/>
        </w:rPr>
      </w:pPr>
      <w:r>
        <w:rPr>
          <w:b/>
        </w:rPr>
        <w:t>Exploration of Specific Cultural Influences:</w:t>
      </w:r>
    </w:p>
    <w:p>
      <w:pPr>
        <w:pStyle w:val="style0"/>
        <w:rPr/>
      </w:pPr>
      <w:r>
        <w:t>Further research could delve deeper into the specific cultural influences on eating behavior among postgraduate students, recognizing the diversity within this demographic</w:t>
      </w:r>
      <w:r>
        <w:t xml:space="preserve"> (Kato et al., 2019)</w:t>
      </w:r>
      <w:r>
        <w:t>.</w:t>
      </w:r>
    </w:p>
    <w:p>
      <w:pPr>
        <w:pStyle w:val="style0"/>
        <w:rPr/>
      </w:pPr>
      <w:r>
        <w:t xml:space="preserve">While </w:t>
      </w:r>
      <w:r>
        <w:t>the study contributes valuable insights into the eating behavior of postgraduate students, acknowledging its limitations and proposing avenues for future research enhances the study's impact and guides the development of more targeted and effective interventions in promoting healthier lifestyles within this academic cohort.</w:t>
      </w:r>
    </w:p>
    <w:bookmarkStart w:id="8" w:name="_Toc151723390"/>
    <w:p>
      <w:pPr>
        <w:pStyle w:val="style1"/>
        <w:rPr/>
      </w:pPr>
      <w:r>
        <w:t>Conclusion</w:t>
      </w:r>
      <w:bookmarkEnd w:id="8"/>
    </w:p>
    <w:p>
      <w:pPr>
        <w:pStyle w:val="style0"/>
        <w:rPr/>
      </w:pPr>
      <w:r>
        <w:t xml:space="preserve">In conclusion, </w:t>
      </w:r>
      <w:r>
        <w:t xml:space="preserve">the </w:t>
      </w:r>
      <w:r>
        <w:t>study</w:t>
      </w:r>
      <w:r>
        <w:t xml:space="preserve"> </w:t>
      </w:r>
      <w:r>
        <w:t xml:space="preserve">brings to </w:t>
      </w:r>
      <w:r>
        <w:t>focus</w:t>
      </w:r>
      <w:r>
        <w:t xml:space="preserve"> the</w:t>
      </w:r>
      <w:r>
        <w:t xml:space="preserve"> complex network of variables that impact the eating habits of graduate students enrolled in public institutions. The consideration of well-established concepts such as societal influences, environmental variables, and individual viewpoints leads to a thorough knowledge of the processes that determine this demographic's food habits.</w:t>
      </w:r>
    </w:p>
    <w:p>
      <w:pPr>
        <w:pStyle w:val="style0"/>
        <w:rPr/>
      </w:pPr>
      <w:r>
        <w:t xml:space="preserve">Social variables are highlighted, </w:t>
      </w:r>
      <w:r>
        <w:t>emphasising</w:t>
      </w:r>
      <w:r>
        <w:t xml:space="preserve"> the need of interventions that take into account the impact of peer interactions and community dynamics on postgraduate students. In order to encourage healthy eating habits, it may be necessary to establish focused activities that build a welcoming environment. The findings </w:t>
      </w:r>
      <w:r>
        <w:t>emphasise</w:t>
      </w:r>
      <w:r>
        <w:t xml:space="preserve"> environmental determinants in this context, demonstrating the necessity of developing campus environments that promote access to healthful food alternatives and offer venues for community meals. These changes may enhance the diets of postgraduate students.</w:t>
      </w:r>
    </w:p>
    <w:p>
      <w:pPr>
        <w:pStyle w:val="style0"/>
        <w:rPr/>
      </w:pPr>
      <w:r>
        <w:t xml:space="preserve">An examination of people's beliefs may reveal insights into the wide range of psychological factors that impact their eating habits. </w:t>
      </w:r>
      <w:r>
        <w:t>Therefore</w:t>
      </w:r>
      <w:r>
        <w:t xml:space="preserve">, it is vital to provide students with </w:t>
      </w:r>
      <w:r>
        <w:t>individualised</w:t>
      </w:r>
      <w:r>
        <w:t xml:space="preserve"> help in dealing with issues such as stress, self-harm, and cultural understanding.</w:t>
      </w:r>
    </w:p>
    <w:p>
      <w:pPr>
        <w:pStyle w:val="style0"/>
        <w:rPr/>
      </w:pPr>
      <w:r>
        <w:t xml:space="preserve">The ramifications of these discoveries go beyond academic debate and into concrete policy changes. Implementing targeted activities that incorporate social, environmental, and personal factors may help graduate students achieve better health outcomes. Understanding these characteristics will allow healthcare practitioners and academics to cooperate on the creation of initiatives that more effectively meet the requirements of this group. However, it is critical to </w:t>
      </w:r>
      <w:r>
        <w:t>recognize</w:t>
      </w:r>
      <w:r>
        <w:t xml:space="preserve"> the study's shortcomings, which include its limited application to other situations and dependence on self-reported data from participants. More study is needed to expand on these results by encompassing a variety of academic contexts and applying a mix of qualitative and quantitative approaches.</w:t>
      </w:r>
    </w:p>
    <w:p>
      <w:pPr>
        <w:pStyle w:val="style0"/>
        <w:rPr/>
      </w:pPr>
    </w:p>
    <w:p>
      <w:pPr>
        <w:pStyle w:val="style0"/>
        <w:spacing w:lineRule="auto" w:line="276"/>
        <w:jc w:val="left"/>
        <w:rPr/>
      </w:pPr>
      <w:r>
        <w:br w:type="page"/>
      </w:r>
    </w:p>
    <w:bookmarkStart w:id="9" w:name="_Toc151723391"/>
    <w:p>
      <w:pPr>
        <w:pStyle w:val="style1"/>
        <w:spacing w:before="0" w:after="240"/>
        <w:rPr>
          <w:rFonts w:ascii="Times New Roman" w:hAnsi="Times New Roman"/>
          <w:sz w:val="36"/>
          <w:szCs w:val="36"/>
        </w:rPr>
      </w:pPr>
      <w:r>
        <w:rPr>
          <w:sz w:val="36"/>
          <w:szCs w:val="36"/>
        </w:rPr>
        <w:t>Reference list</w:t>
      </w:r>
      <w:bookmarkEnd w:id="9"/>
    </w:p>
    <w:p>
      <w:pPr>
        <w:pStyle w:val="style94"/>
        <w:spacing w:before="0" w:beforeAutospacing="false" w:after="240" w:afterAutospacing="false" w:lineRule="auto" w:line="360"/>
        <w:rPr/>
      </w:pPr>
      <w:r>
        <w:t xml:space="preserve">Agyemang, K., </w:t>
      </w:r>
      <w:r>
        <w:t>Banstola</w:t>
      </w:r>
      <w:r>
        <w:t xml:space="preserve">, A., Pokhrel, S. and Anokye, N. (2022). Determinants of Physical Activity and Dietary Habits among Adults in Ghana: A Cross-Sectional Study. </w:t>
      </w:r>
      <w:r>
        <w:rPr>
          <w:i/>
          <w:iCs/>
        </w:rPr>
        <w:t>International Journal of Environmental Research and Public Health</w:t>
      </w:r>
      <w:r>
        <w:t>, [online] 19(8), p.4671. Available at: https://www.mdpi.com/1660-4601/19/8/4671.</w:t>
      </w:r>
    </w:p>
    <w:p>
      <w:pPr>
        <w:pStyle w:val="style94"/>
        <w:spacing w:before="0" w:beforeAutospacing="false" w:after="240" w:afterAutospacing="false" w:lineRule="auto" w:line="360"/>
        <w:rPr/>
      </w:pPr>
      <w:r>
        <w:t xml:space="preserve">Alakaam, A. and Willyard, A. (2020). Eating habits and dietary acculturation effects among international college students in the United States. </w:t>
      </w:r>
      <w:r>
        <w:rPr>
          <w:i/>
          <w:iCs/>
        </w:rPr>
        <w:t>AIMS Public Health</w:t>
      </w:r>
      <w:r>
        <w:t>, [online] 7(2), pp.228–240. Available at: https://www.ncbi.nlm.nih.gov/pmc/articles/PMC7327396/.</w:t>
      </w:r>
    </w:p>
    <w:p>
      <w:pPr>
        <w:pStyle w:val="style94"/>
        <w:spacing w:before="0" w:beforeAutospacing="false" w:after="240" w:afterAutospacing="false" w:lineRule="auto" w:line="360"/>
        <w:rPr/>
      </w:pPr>
      <w:r>
        <w:t xml:space="preserve">Baek, J., Poul, S.S., </w:t>
      </w:r>
      <w:r>
        <w:t>Basavarajappa</w:t>
      </w:r>
      <w:r>
        <w:t xml:space="preserve">, L., Reddy, S., Tai, H., Hoyt, K. and Parker, K.J. (2021). Clusters of Ultrasound Scattering Parameters for the Classification of </w:t>
      </w:r>
      <w:r>
        <w:t>Steatotic</w:t>
      </w:r>
      <w:r>
        <w:t xml:space="preserve"> and Normal Livers. </w:t>
      </w:r>
      <w:r>
        <w:rPr>
          <w:i/>
          <w:iCs/>
        </w:rPr>
        <w:t>Ultrasound in Medicine &amp; Biology</w:t>
      </w:r>
      <w:r>
        <w:t>, [online] 47(10), pp.3014–3027. Available at: https://www.sciencedirect.com/science/article/pii/S0301562921002866.</w:t>
      </w:r>
    </w:p>
    <w:p>
      <w:pPr>
        <w:pStyle w:val="style94"/>
        <w:spacing w:before="0" w:beforeAutospacing="false" w:after="240" w:afterAutospacing="false" w:lineRule="auto" w:line="360"/>
        <w:rPr/>
      </w:pPr>
      <w:r>
        <w:t xml:space="preserve">Bell, K. and Wynn, L. (2020). Research ethics committees, ethnographers and imaginations of risk. </w:t>
      </w:r>
      <w:r>
        <w:rPr>
          <w:i/>
          <w:iCs/>
        </w:rPr>
        <w:t>Ethnography</w:t>
      </w:r>
      <w:r>
        <w:t>, [online] p.146613812098386. Available at: https://journals.sagepub.com/doi/pdf/10.1177/1466138120983862.</w:t>
      </w:r>
    </w:p>
    <w:p>
      <w:pPr>
        <w:pStyle w:val="style94"/>
        <w:spacing w:before="0" w:beforeAutospacing="false" w:after="240" w:afterAutospacing="false" w:lineRule="auto" w:line="360"/>
        <w:rPr/>
      </w:pPr>
      <w:r>
        <w:t xml:space="preserve">Bergen, N. and </w:t>
      </w:r>
      <w:r>
        <w:t>Labonté</w:t>
      </w:r>
      <w:r>
        <w:t xml:space="preserve">, R. (2020). ‘Everything Is perfect, and We Have No problems’: Detecting and Limiting Social Desirability Bias in Qualitative Research. </w:t>
      </w:r>
      <w:r>
        <w:rPr>
          <w:i/>
          <w:iCs/>
        </w:rPr>
        <w:t>Qualitative Health Research</w:t>
      </w:r>
      <w:r>
        <w:t>, [online] 30(5), pp.783–792. Available at: https://idl-bnc-idrc.dspacedirect.org/bitstream/handle/10625/59924/1049732319889354.pdf?sequence=2.</w:t>
      </w:r>
    </w:p>
    <w:p>
      <w:pPr>
        <w:pStyle w:val="style94"/>
        <w:spacing w:before="0" w:beforeAutospacing="false" w:after="240" w:afterAutospacing="false" w:lineRule="auto" w:line="360"/>
        <w:rPr/>
      </w:pPr>
      <w:r>
        <w:t xml:space="preserve">Chen, P.-J. and Antonelli, M. (2020). Conceptual Models of Food Choice: Influential Factors Related to Foods, Individual Differences, and Society. </w:t>
      </w:r>
      <w:r>
        <w:rPr>
          <w:i/>
          <w:iCs/>
        </w:rPr>
        <w:t>Foods</w:t>
      </w:r>
      <w:r>
        <w:t>, [online] 9(12). Available at: https://www.mdpi.com/2304-8158/9/12/1898/pdf.</w:t>
      </w:r>
    </w:p>
    <w:p>
      <w:pPr>
        <w:pStyle w:val="style94"/>
        <w:spacing w:before="0" w:beforeAutospacing="false" w:after="240" w:afterAutospacing="false" w:lineRule="auto" w:line="360"/>
        <w:rPr>
          <w:lang w:val="fr-FR"/>
        </w:rPr>
      </w:pPr>
      <w:r>
        <w:t xml:space="preserve">Davison, R.M., Martinsons, M.G. and Wong, L.H.M. (2021). The ethics of action research participation. </w:t>
      </w:r>
      <w:r>
        <w:rPr>
          <w:i/>
          <w:iCs/>
          <w:lang w:val="fr-FR"/>
        </w:rPr>
        <w:t xml:space="preserve">Information </w:t>
      </w:r>
      <w:r>
        <w:rPr>
          <w:i/>
          <w:iCs/>
          <w:lang w:val="fr-FR"/>
        </w:rPr>
        <w:t>Systems</w:t>
      </w:r>
      <w:r>
        <w:rPr>
          <w:i/>
          <w:iCs/>
          <w:lang w:val="fr-FR"/>
        </w:rPr>
        <w:t xml:space="preserve"> Journal</w:t>
      </w:r>
      <w:r>
        <w:rPr>
          <w:lang w:val="fr-FR"/>
        </w:rPr>
        <w:t xml:space="preserve">, [online] 32(3). </w:t>
      </w:r>
      <w:r>
        <w:rPr>
          <w:lang w:val="fr-FR"/>
        </w:rPr>
        <w:t>Available</w:t>
      </w:r>
      <w:r>
        <w:rPr>
          <w:lang w:val="fr-FR"/>
        </w:rPr>
        <w:t xml:space="preserve"> </w:t>
      </w:r>
      <w:r>
        <w:rPr>
          <w:lang w:val="fr-FR"/>
        </w:rPr>
        <w:t>at:</w:t>
      </w:r>
      <w:r>
        <w:rPr>
          <w:lang w:val="fr-FR"/>
        </w:rPr>
        <w:t xml:space="preserve"> https://scholars.cityu.edu.hk/files/170116182/82269675.pdf.</w:t>
      </w:r>
    </w:p>
    <w:p>
      <w:pPr>
        <w:pStyle w:val="style94"/>
        <w:spacing w:before="0" w:beforeAutospacing="false" w:after="240" w:afterAutospacing="false" w:lineRule="auto" w:line="360"/>
        <w:rPr/>
      </w:pPr>
      <w:r>
        <w:rPr>
          <w:lang w:val="fr-FR"/>
        </w:rPr>
        <w:t>García-</w:t>
      </w:r>
      <w:r>
        <w:rPr>
          <w:lang w:val="fr-FR"/>
        </w:rPr>
        <w:t>Peñalvo</w:t>
      </w:r>
      <w:r>
        <w:rPr>
          <w:lang w:val="fr-FR"/>
        </w:rPr>
        <w:t xml:space="preserve">, F.J. (2022). </w:t>
      </w:r>
      <w:r>
        <w:rPr>
          <w:lang w:val="fr-FR"/>
        </w:rPr>
        <w:t>Desarrollo</w:t>
      </w:r>
      <w:r>
        <w:rPr>
          <w:lang w:val="fr-FR"/>
        </w:rPr>
        <w:t xml:space="preserve"> de </w:t>
      </w:r>
      <w:r>
        <w:rPr>
          <w:lang w:val="fr-FR"/>
        </w:rPr>
        <w:t>estados</w:t>
      </w:r>
      <w:r>
        <w:rPr>
          <w:lang w:val="fr-FR"/>
        </w:rPr>
        <w:t xml:space="preserve"> de la </w:t>
      </w:r>
      <w:r>
        <w:rPr>
          <w:lang w:val="fr-FR"/>
        </w:rPr>
        <w:t>cuestión</w:t>
      </w:r>
      <w:r>
        <w:rPr>
          <w:lang w:val="fr-FR"/>
        </w:rPr>
        <w:t xml:space="preserve"> </w:t>
      </w:r>
      <w:r>
        <w:rPr>
          <w:lang w:val="fr-FR"/>
        </w:rPr>
        <w:t>robustos</w:t>
      </w:r>
      <w:r>
        <w:rPr>
          <w:lang w:val="fr-FR"/>
        </w:rPr>
        <w:t>:</w:t>
      </w:r>
      <w:r>
        <w:rPr>
          <w:lang w:val="fr-FR"/>
        </w:rPr>
        <w:t xml:space="preserve"> </w:t>
      </w:r>
      <w:r>
        <w:rPr>
          <w:lang w:val="fr-FR"/>
        </w:rPr>
        <w:t>Revisiones</w:t>
      </w:r>
      <w:r>
        <w:rPr>
          <w:lang w:val="fr-FR"/>
        </w:rPr>
        <w:t xml:space="preserve"> </w:t>
      </w:r>
      <w:r>
        <w:rPr>
          <w:lang w:val="fr-FR"/>
        </w:rPr>
        <w:t>Sistemáticas</w:t>
      </w:r>
      <w:r>
        <w:rPr>
          <w:lang w:val="fr-FR"/>
        </w:rPr>
        <w:t xml:space="preserve"> de </w:t>
      </w:r>
      <w:r>
        <w:rPr>
          <w:lang w:val="fr-FR"/>
        </w:rPr>
        <w:t>Literatura</w:t>
      </w:r>
      <w:r>
        <w:rPr>
          <w:lang w:val="fr-FR"/>
        </w:rPr>
        <w:t xml:space="preserve">. </w:t>
      </w:r>
      <w:r>
        <w:rPr>
          <w:i/>
          <w:iCs/>
        </w:rPr>
        <w:t>Education in the Knowledge Society (EKS)</w:t>
      </w:r>
      <w:r>
        <w:t>, [online] 23, p.e28600. Available at: https://repositorio.grial.eu/bitstream/grial/2849/1/08-en.pdf.</w:t>
      </w:r>
    </w:p>
    <w:p>
      <w:pPr>
        <w:pStyle w:val="style94"/>
        <w:spacing w:before="0" w:beforeAutospacing="false" w:after="240" w:afterAutospacing="false" w:lineRule="auto" w:line="360"/>
        <w:rPr/>
      </w:pPr>
      <w:r>
        <w:t xml:space="preserve">Higgs, S. and Thomas, J. (2020). Social Influences on Eating. </w:t>
      </w:r>
      <w:r>
        <w:rPr>
          <w:i/>
          <w:iCs/>
        </w:rPr>
        <w:t xml:space="preserve">Current Opinion in </w:t>
      </w:r>
      <w:r>
        <w:rPr>
          <w:i/>
          <w:iCs/>
        </w:rPr>
        <w:t>Behavioral</w:t>
      </w:r>
      <w:r>
        <w:rPr>
          <w:i/>
          <w:iCs/>
        </w:rPr>
        <w:t xml:space="preserve"> Sciences</w:t>
      </w:r>
      <w:r>
        <w:t>, [online] 9(9), pp.1–6. Available at: https://www.sciencedirect.com/science/article/pii/S235215461500131X.</w:t>
      </w:r>
    </w:p>
    <w:p>
      <w:pPr>
        <w:pStyle w:val="style94"/>
        <w:spacing w:before="0" w:beforeAutospacing="false" w:after="240" w:afterAutospacing="false" w:lineRule="auto" w:line="360"/>
        <w:rPr/>
      </w:pPr>
      <w:r>
        <w:t xml:space="preserve">Kang, E. and Hwang, H.-J. (2021). Ethical Conducts in Qualitative Research </w:t>
      </w:r>
      <w:r>
        <w:t>Methodology :Participant</w:t>
      </w:r>
      <w:r>
        <w:t xml:space="preserve"> Observation and Interview Process. </w:t>
      </w:r>
      <w:r>
        <w:rPr>
          <w:i/>
          <w:iCs/>
        </w:rPr>
        <w:t>Journal of Research and Publication Ethics</w:t>
      </w:r>
      <w:r>
        <w:t>, [online] 2(2), pp.5–10. Available at: https://koreascience.kr/article/JAKO202130550806959.pdf.</w:t>
      </w:r>
    </w:p>
    <w:p>
      <w:pPr>
        <w:pStyle w:val="style94"/>
        <w:spacing w:before="0" w:beforeAutospacing="false" w:after="240" w:afterAutospacing="false" w:lineRule="auto" w:line="360"/>
        <w:rPr/>
      </w:pPr>
      <w:r>
        <w:rPr>
          <w:lang w:val="de-DE"/>
        </w:rPr>
        <w:t xml:space="preserve">Kato, Y., Greimel, E., Hu, C., Müller-Gartner, Salchinger, Freidl, Saito and Roth (2019). </w:t>
      </w:r>
      <w:r>
        <w:t xml:space="preserve">The Relationship between Sense of Coherence, Stress, Body Image Satisfaction and Eating </w:t>
      </w:r>
      <w:r>
        <w:t>Behavior</w:t>
      </w:r>
      <w:r>
        <w:t xml:space="preserve"> in Japanese and Austrian Students. </w:t>
      </w:r>
      <w:r>
        <w:rPr>
          <w:i/>
          <w:iCs/>
        </w:rPr>
        <w:t>Psych</w:t>
      </w:r>
      <w:r>
        <w:t>, [online] 1(1), pp.504–515. Available at: https://www.mdpi.com/2624-8611/1/1/39/pdf.</w:t>
      </w:r>
    </w:p>
    <w:p>
      <w:pPr>
        <w:pStyle w:val="style94"/>
        <w:spacing w:before="0" w:beforeAutospacing="false" w:after="240" w:afterAutospacing="false" w:lineRule="auto" w:line="360"/>
        <w:rPr/>
      </w:pPr>
      <w:r>
        <w:t xml:space="preserve">Keat, J. (2023). </w:t>
      </w:r>
      <w:r>
        <w:rPr>
          <w:i/>
          <w:iCs/>
        </w:rPr>
        <w:t>Mapping the Food Environment and Collecting Student Experiences to Support Food Security and Healthy Eating Among University Students</w:t>
      </w:r>
      <w:r>
        <w:t>. [online] figshare.mq.edu.au. Available at: https://figshare.mq.edu.au/articles/thesis/Mapping_the_Food_Environment_and_Collecting_Student_Experiences_to_Support_Food_Security_and_Healthy_Eating_Among_University_Students/24123381/1/files/42320211.pdf.</w:t>
      </w:r>
    </w:p>
    <w:p>
      <w:pPr>
        <w:pStyle w:val="style94"/>
        <w:spacing w:before="0" w:beforeAutospacing="false" w:after="240" w:afterAutospacing="false" w:lineRule="auto" w:line="360"/>
        <w:rPr/>
      </w:pPr>
      <w:r>
        <w:t xml:space="preserve">Li, X., Braakhuis, A. and Roy, R. (2022). </w:t>
      </w:r>
      <w:r>
        <w:rPr>
          <w:i/>
          <w:iCs/>
        </w:rPr>
        <w:t xml:space="preserve">How does the university food environment impact student dietary </w:t>
      </w:r>
      <w:r>
        <w:rPr>
          <w:i/>
          <w:iCs/>
        </w:rPr>
        <w:t>behaviors</w:t>
      </w:r>
      <w:r>
        <w:rPr>
          <w:i/>
          <w:iCs/>
        </w:rPr>
        <w:t>? a systematic review</w:t>
      </w:r>
      <w:r>
        <w:t>. [online] Available at: https://www.frontiersin.org/articles/10.3389/fnut.2022.840818/full.</w:t>
      </w:r>
    </w:p>
    <w:p>
      <w:pPr>
        <w:pStyle w:val="style94"/>
        <w:spacing w:before="0" w:beforeAutospacing="false" w:after="240" w:afterAutospacing="false" w:lineRule="auto" w:line="360"/>
        <w:rPr/>
      </w:pPr>
      <w:r>
        <w:t xml:space="preserve">Morgan, H. (2022). Conducting a qualitative document analysis. </w:t>
      </w:r>
      <w:r>
        <w:rPr>
          <w:i/>
          <w:iCs/>
        </w:rPr>
        <w:t>The Qualitative Report</w:t>
      </w:r>
      <w:r>
        <w:t>, [online] 27(1), pp.64–77. Available at: https://nsuworks.nova.edu/tqr/vol27/iss1/4/.</w:t>
      </w:r>
    </w:p>
    <w:p>
      <w:pPr>
        <w:pStyle w:val="style94"/>
        <w:spacing w:before="0" w:beforeAutospacing="false" w:after="240" w:afterAutospacing="false" w:lineRule="auto" w:line="360"/>
        <w:rPr/>
      </w:pPr>
      <w:r>
        <w:t xml:space="preserve">Natasha, N. (2019). </w:t>
      </w:r>
      <w:r>
        <w:rPr>
          <w:i/>
          <w:iCs/>
        </w:rPr>
        <w:t>Student Voices: The Influence of the University Campus Environment on Physical Activity and Healthy Eating Habits</w:t>
      </w:r>
      <w:r>
        <w:t xml:space="preserve">. [online] openrepository.aut.ac.nz. Available at: </w:t>
      </w:r>
      <w:r>
        <w:t>https://openrepository.aut.ac.nz/bitstream/handle/10292/12734/NehalN.pdf?isAllowed=y&amp;sequence=3.</w:t>
      </w:r>
    </w:p>
    <w:p>
      <w:pPr>
        <w:pStyle w:val="style94"/>
        <w:spacing w:before="0" w:beforeAutospacing="false" w:after="240" w:afterAutospacing="false" w:lineRule="auto" w:line="360"/>
        <w:rPr/>
      </w:pPr>
      <w:r>
        <w:t xml:space="preserve">Ngwenya, B.B. (2021). Factors influencing healthy eating habits of students at Universities in Eswatini. </w:t>
      </w:r>
      <w:r>
        <w:rPr>
          <w:i/>
          <w:iCs/>
        </w:rPr>
        <w:t>uir.unisa.ac.za</w:t>
      </w:r>
      <w:r>
        <w:t>. [online] Available at: https://uir.unisa.ac.za/bitstream/handle/10500/27991/dissertation_ngwenya_bb.pdf?sequence=1&amp;isAllowed=y.</w:t>
      </w:r>
    </w:p>
    <w:p>
      <w:pPr>
        <w:pStyle w:val="style94"/>
        <w:spacing w:before="0" w:beforeAutospacing="false" w:after="240" w:afterAutospacing="false" w:lineRule="auto" w:line="360"/>
        <w:rPr/>
      </w:pPr>
      <w:r>
        <w:t xml:space="preserve">Noyongoyo, B. (2023). Living without my foods: African Students Eating Habits Compared to All in the United States of America. </w:t>
      </w:r>
      <w:r>
        <w:rPr>
          <w:i/>
          <w:iCs/>
        </w:rPr>
        <w:t>Higher Education Politics &amp; Economics</w:t>
      </w:r>
      <w:r>
        <w:t>, [online] 9(2). Available at: https://ojed.org/index.php/hepe/article/download/4927/2608.</w:t>
      </w:r>
    </w:p>
    <w:p>
      <w:pPr>
        <w:pStyle w:val="style94"/>
        <w:spacing w:before="0" w:beforeAutospacing="false" w:after="240" w:afterAutospacing="false" w:lineRule="auto" w:line="360"/>
        <w:rPr/>
      </w:pPr>
      <w:r>
        <w:t xml:space="preserve">Quinn, C. (2022). </w:t>
      </w:r>
      <w:r>
        <w:rPr>
          <w:i/>
          <w:iCs/>
        </w:rPr>
        <w:t>Investigating Body Image, Eating Attitudes, and Social Media Usage in College Students in Ireland</w:t>
      </w:r>
      <w:r>
        <w:t>. [online] norma.ncirl.ie. Available at: https://norma.ncirl.ie/5678/1/carlaquinn.pdf.</w:t>
      </w:r>
    </w:p>
    <w:p>
      <w:pPr>
        <w:pStyle w:val="style94"/>
        <w:spacing w:before="0" w:beforeAutospacing="false" w:after="240" w:afterAutospacing="false" w:lineRule="auto" w:line="360"/>
        <w:rPr/>
      </w:pPr>
      <w:r>
        <w:t xml:space="preserve">Sheldon, E., Simmonds-Buckley, M., Bone, C., Mascarenhas, T., Chan, N., </w:t>
      </w:r>
      <w:r>
        <w:t>Wincott</w:t>
      </w:r>
      <w:r>
        <w:t xml:space="preserve">, M., Gleeson, H., Sow, K., Hind, D. and </w:t>
      </w:r>
      <w:r>
        <w:t>Barkham</w:t>
      </w:r>
      <w:r>
        <w:t xml:space="preserve">, M. (2021). Prevalence and risk factors for mental health problems in university undergraduate students: A systematic review with meta-analysis. </w:t>
      </w:r>
      <w:r>
        <w:rPr>
          <w:i/>
          <w:iCs/>
        </w:rPr>
        <w:t>Journal of Affective Disorders</w:t>
      </w:r>
      <w:r>
        <w:t>, [online] 287(1), pp.282–292. Available at: https://www.sciencedirect.com/science/article/pii/S0165032721002809.</w:t>
      </w:r>
    </w:p>
    <w:p>
      <w:pPr>
        <w:pStyle w:val="style94"/>
        <w:spacing w:before="0" w:beforeAutospacing="false" w:after="240" w:afterAutospacing="false" w:lineRule="auto" w:line="360"/>
        <w:rPr/>
      </w:pPr>
      <w:r>
        <w:t xml:space="preserve">Sheppard-Samuel, R. (2021). </w:t>
      </w:r>
      <w:r>
        <w:rPr>
          <w:i/>
          <w:iCs/>
        </w:rPr>
        <w:t>Faith-Based Approach to Healthy Eating in African American Communities - ProQuest</w:t>
      </w:r>
      <w:r>
        <w:t>. [online] www.proquest.com. Available at: https://search.proquest.com/openview/ce0e2f0c41534a1919ecc0b5283856e8/1?pq-origsite=gscholar&amp;cbl=18750&amp;diss=y.</w:t>
      </w:r>
    </w:p>
    <w:p>
      <w:pPr>
        <w:pStyle w:val="style94"/>
        <w:spacing w:before="0" w:beforeAutospacing="false" w:after="240" w:afterAutospacing="false" w:lineRule="auto" w:line="360"/>
        <w:rPr/>
      </w:pPr>
      <w:r>
        <w:t>Sogari</w:t>
      </w:r>
      <w:r>
        <w:t xml:space="preserve">, G., Velez-Argumedo, C., Gómez, M. and Mora, C. (2018). College Students and Eating Habits: A Study Using </w:t>
      </w:r>
      <w:r>
        <w:t>An</w:t>
      </w:r>
      <w:r>
        <w:t xml:space="preserve"> Ecological Model for Healthy </w:t>
      </w:r>
      <w:r>
        <w:t>Behavior</w:t>
      </w:r>
      <w:r>
        <w:t xml:space="preserve">. </w:t>
      </w:r>
      <w:r>
        <w:rPr>
          <w:i/>
          <w:iCs/>
        </w:rPr>
        <w:t>Nutrients</w:t>
      </w:r>
      <w:r>
        <w:t>, [online] 10(12), pp.1–16. Available at: https://www.mdpi.com/2072-6643/10/12/1823/pdf.</w:t>
      </w:r>
    </w:p>
    <w:p>
      <w:pPr>
        <w:pStyle w:val="style94"/>
        <w:spacing w:before="0" w:beforeAutospacing="false" w:after="240" w:afterAutospacing="false" w:lineRule="auto" w:line="360"/>
        <w:rPr/>
      </w:pPr>
      <w:r>
        <w:t>Sundler</w:t>
      </w:r>
      <w:r>
        <w:t xml:space="preserve">, A.J., Lindberg, E., Nilsson, C. and </w:t>
      </w:r>
      <w:r>
        <w:t>Palmér</w:t>
      </w:r>
      <w:r>
        <w:t xml:space="preserve">, L. (2019). Qualitative thematic analysis based on descriptive phenomenology. </w:t>
      </w:r>
      <w:r>
        <w:rPr>
          <w:i/>
          <w:iCs/>
        </w:rPr>
        <w:t>Nursing Open</w:t>
      </w:r>
      <w:r>
        <w:t>, [online] 6(3), pp.733–739. Available at: https://www.ncbi.nlm.nih.gov/pmc/articles/PMC6650661/.</w:t>
      </w:r>
    </w:p>
    <w:p>
      <w:pPr>
        <w:pStyle w:val="style94"/>
        <w:spacing w:before="0" w:beforeAutospacing="false" w:after="240" w:afterAutospacing="false" w:lineRule="auto" w:line="360"/>
        <w:rPr/>
      </w:pPr>
      <w:r>
        <w:t xml:space="preserve">Tomaszewski, L.E., </w:t>
      </w:r>
      <w:r>
        <w:t>Zarestky</w:t>
      </w:r>
      <w:r>
        <w:t xml:space="preserve">, J. and Gonzalez, E. (2020). Planning Qualitative Research: Design and Decision Making for New Researchers. </w:t>
      </w:r>
      <w:r>
        <w:rPr>
          <w:i/>
          <w:iCs/>
        </w:rPr>
        <w:t>International Journal of Qualitative Methods</w:t>
      </w:r>
      <w:r>
        <w:t>, [online] 19(1), pp.1–7. Available at: https://journals.sagepub.com/doi/full/10.1177/1609406920967174.</w:t>
      </w:r>
    </w:p>
    <w:p>
      <w:pPr>
        <w:pStyle w:val="style94"/>
        <w:spacing w:before="0" w:beforeAutospacing="false" w:after="240" w:afterAutospacing="false" w:lineRule="auto" w:line="360"/>
        <w:rPr/>
      </w:pPr>
      <w:r>
        <w:t xml:space="preserve">Villarino, R.T.H., Villarino, M.L.F., Temblor, M.C.L., Bernard, P. and </w:t>
      </w:r>
      <w:r>
        <w:t>Plaisent</w:t>
      </w:r>
      <w:r>
        <w:t xml:space="preserve">, M. (2022). Developing a Health and Well-Being Program for College Students: An Online Intervention. </w:t>
      </w:r>
      <w:r>
        <w:rPr>
          <w:i/>
          <w:iCs/>
        </w:rPr>
        <w:t>World Journal on Educational Technology: Current Issues</w:t>
      </w:r>
      <w:r>
        <w:t>, [online] 14(1), pp.64–78. Available at: https://files.eric.ed.gov/fulltext/EJ1334253.pdf.</w:t>
      </w:r>
    </w:p>
    <w:p>
      <w:pPr>
        <w:pStyle w:val="style94"/>
        <w:spacing w:before="0" w:beforeAutospacing="false" w:after="240" w:afterAutospacing="false" w:lineRule="auto" w:line="360"/>
        <w:rPr/>
      </w:pPr>
      <w:r>
        <w:t xml:space="preserve">Xu, A., </w:t>
      </w:r>
      <w:r>
        <w:t>Baysari</w:t>
      </w:r>
      <w:r>
        <w:t xml:space="preserve">, M.T., Stocker, S.L., Leow, L.J., Day, R.O. and Carland, J.E. (2020). Researchers’ views on, and experiences with, the requirement to obtain informed consent in research involving human participants: a qualitative study. </w:t>
      </w:r>
      <w:r>
        <w:rPr>
          <w:i/>
          <w:iCs/>
        </w:rPr>
        <w:t>BMC Medical Ethics</w:t>
      </w:r>
      <w:r>
        <w:t>, [online] 21(1). Available at: https://bmcmedethics.biomedcentral.com/articles/10.1186/s12910-020-00538-7.</w:t>
      </w:r>
    </w:p>
    <w:p>
      <w:pPr>
        <w:pStyle w:val="style94"/>
        <w:spacing w:before="0" w:beforeAutospacing="false" w:after="240" w:afterAutospacing="false" w:lineRule="auto" w:line="360"/>
        <w:rPr/>
      </w:pPr>
      <w:r>
        <w:t xml:space="preserve">Zawacki-Richter, O., </w:t>
      </w:r>
      <w:r>
        <w:t>Kerres</w:t>
      </w:r>
      <w:r>
        <w:t xml:space="preserve">, M., </w:t>
      </w:r>
      <w:r>
        <w:t>Bedenlier</w:t>
      </w:r>
      <w:r>
        <w:t xml:space="preserve">, S., Bond, M. and Katja (2020). </w:t>
      </w:r>
      <w:r>
        <w:rPr>
          <w:i/>
          <w:iCs/>
        </w:rPr>
        <w:t>Systematic Reviews in Educational Research Methodology, Perspectives and Application</w:t>
      </w:r>
      <w:r>
        <w:t>. [online] Available at: https://library.oapen.org/bitstream/handle/20.500.12657/23142/1007012.pdf?sequen#page=42.</w:t>
      </w:r>
    </w:p>
    <w:p>
      <w:pPr>
        <w:pStyle w:val="style0"/>
        <w:rPr/>
      </w:pPr>
    </w:p>
    <w:p>
      <w:pPr>
        <w:pStyle w:val="style0"/>
        <w:spacing w:lineRule="auto" w:line="276"/>
        <w:jc w:val="left"/>
        <w:rPr>
          <w:rFonts w:ascii="Cambria" w:cs="宋体" w:eastAsia="宋体" w:hAnsi="Cambria"/>
          <w:b/>
          <w:bCs/>
          <w:color w:val="365f91"/>
          <w:sz w:val="28"/>
          <w:szCs w:val="28"/>
        </w:rPr>
      </w:pPr>
      <w:r>
        <w:br w:type="page"/>
      </w:r>
    </w:p>
    <w:bookmarkStart w:id="10" w:name="_Toc151723392"/>
    <w:p>
      <w:pPr>
        <w:pStyle w:val="style1"/>
        <w:rPr/>
      </w:pPr>
      <w:r>
        <w:t>Appendix</w:t>
      </w:r>
      <w:bookmarkEnd w:id="10"/>
    </w:p>
    <w:p>
      <w:pPr>
        <w:pStyle w:val="style0"/>
        <w:rPr>
          <w:b/>
          <w:u w:val="single"/>
        </w:rPr>
      </w:pPr>
      <w:r>
        <w:rPr>
          <w:b/>
          <w:u w:val="single"/>
        </w:rPr>
        <w:t>Question</w:t>
      </w:r>
      <w:r>
        <w:rPr>
          <w:b/>
          <w:u w:val="single"/>
        </w:rPr>
        <w:t>naire</w:t>
      </w:r>
    </w:p>
    <w:p>
      <w:pPr>
        <w:pStyle w:val="style0"/>
        <w:numPr>
          <w:ilvl w:val="0"/>
          <w:numId w:val="4"/>
        </w:numPr>
        <w:rPr/>
      </w:pPr>
      <w:r>
        <w:rPr>
          <w:b/>
          <w:bCs/>
        </w:rPr>
        <w:t>Gender:</w:t>
      </w:r>
    </w:p>
    <w:p>
      <w:pPr>
        <w:pStyle w:val="style0"/>
        <w:numPr>
          <w:ilvl w:val="1"/>
          <w:numId w:val="4"/>
        </w:numPr>
        <w:rPr/>
      </w:pPr>
      <w:r>
        <w:t>Male</w:t>
      </w:r>
    </w:p>
    <w:p>
      <w:pPr>
        <w:pStyle w:val="style0"/>
        <w:numPr>
          <w:ilvl w:val="1"/>
          <w:numId w:val="4"/>
        </w:numPr>
        <w:rPr/>
      </w:pPr>
      <w:r>
        <w:t>Female</w:t>
      </w:r>
    </w:p>
    <w:p>
      <w:pPr>
        <w:pStyle w:val="style0"/>
        <w:numPr>
          <w:ilvl w:val="1"/>
          <w:numId w:val="4"/>
        </w:numPr>
        <w:rPr/>
      </w:pPr>
      <w:r>
        <w:t>Non-Binary</w:t>
      </w:r>
    </w:p>
    <w:p>
      <w:pPr>
        <w:pStyle w:val="style0"/>
        <w:numPr>
          <w:ilvl w:val="1"/>
          <w:numId w:val="4"/>
        </w:numPr>
        <w:rPr/>
      </w:pPr>
      <w:r>
        <w:t>Prefer not to say</w:t>
      </w:r>
    </w:p>
    <w:p>
      <w:pPr>
        <w:pStyle w:val="style0"/>
        <w:numPr>
          <w:ilvl w:val="0"/>
          <w:numId w:val="4"/>
        </w:numPr>
        <w:rPr/>
      </w:pPr>
      <w:r>
        <w:rPr>
          <w:b/>
          <w:bCs/>
        </w:rPr>
        <w:t>Age:</w:t>
      </w:r>
    </w:p>
    <w:p>
      <w:pPr>
        <w:pStyle w:val="style0"/>
        <w:numPr>
          <w:ilvl w:val="1"/>
          <w:numId w:val="4"/>
        </w:numPr>
        <w:rPr/>
      </w:pPr>
      <w:r>
        <w:t>Under 25</w:t>
      </w:r>
    </w:p>
    <w:p>
      <w:pPr>
        <w:pStyle w:val="style0"/>
        <w:numPr>
          <w:ilvl w:val="1"/>
          <w:numId w:val="4"/>
        </w:numPr>
        <w:rPr/>
      </w:pPr>
      <w:r>
        <w:t>25-30</w:t>
      </w:r>
    </w:p>
    <w:p>
      <w:pPr>
        <w:pStyle w:val="style0"/>
        <w:numPr>
          <w:ilvl w:val="1"/>
          <w:numId w:val="4"/>
        </w:numPr>
        <w:rPr/>
      </w:pPr>
      <w:r>
        <w:t>31-35</w:t>
      </w:r>
    </w:p>
    <w:p>
      <w:pPr>
        <w:pStyle w:val="style0"/>
        <w:numPr>
          <w:ilvl w:val="1"/>
          <w:numId w:val="4"/>
        </w:numPr>
        <w:rPr/>
      </w:pPr>
      <w:r>
        <w:t>36-40</w:t>
      </w:r>
    </w:p>
    <w:p>
      <w:pPr>
        <w:pStyle w:val="style0"/>
        <w:numPr>
          <w:ilvl w:val="1"/>
          <w:numId w:val="4"/>
        </w:numPr>
        <w:rPr/>
      </w:pPr>
      <w:r>
        <w:t>Over 40</w:t>
      </w:r>
    </w:p>
    <w:p>
      <w:pPr>
        <w:pStyle w:val="style0"/>
        <w:numPr>
          <w:ilvl w:val="0"/>
          <w:numId w:val="4"/>
        </w:numPr>
        <w:rPr/>
      </w:pPr>
      <w:r>
        <w:rPr>
          <w:b/>
          <w:bCs/>
        </w:rPr>
        <w:t>Academic Discipline:</w:t>
      </w:r>
    </w:p>
    <w:p>
      <w:pPr>
        <w:pStyle w:val="style0"/>
        <w:numPr>
          <w:ilvl w:val="0"/>
          <w:numId w:val="4"/>
        </w:numPr>
        <w:rPr/>
      </w:pPr>
      <w:r>
        <w:rPr>
          <w:b/>
          <w:bCs/>
        </w:rPr>
        <w:t>Current Postgraduate Status:</w:t>
      </w:r>
    </w:p>
    <w:p>
      <w:pPr>
        <w:pStyle w:val="style0"/>
        <w:numPr>
          <w:ilvl w:val="1"/>
          <w:numId w:val="4"/>
        </w:numPr>
        <w:rPr/>
      </w:pPr>
      <w:r>
        <w:t>Master's Student</w:t>
      </w:r>
    </w:p>
    <w:p>
      <w:pPr>
        <w:pStyle w:val="style0"/>
        <w:numPr>
          <w:ilvl w:val="1"/>
          <w:numId w:val="4"/>
        </w:numPr>
        <w:rPr/>
      </w:pPr>
      <w:r>
        <w:t>PhD Student</w:t>
      </w:r>
    </w:p>
    <w:p>
      <w:pPr>
        <w:pStyle w:val="style0"/>
        <w:numPr>
          <w:ilvl w:val="1"/>
          <w:numId w:val="4"/>
        </w:numPr>
        <w:rPr/>
      </w:pPr>
      <w:r>
        <w:t>Professional/Doctoral Candidate</w:t>
      </w:r>
    </w:p>
    <w:p>
      <w:pPr>
        <w:pStyle w:val="style0"/>
        <w:numPr>
          <w:ilvl w:val="0"/>
          <w:numId w:val="4"/>
        </w:numPr>
        <w:rPr/>
      </w:pPr>
      <w:r>
        <w:rPr>
          <w:b/>
          <w:bCs/>
        </w:rPr>
        <w:t>On average, how many meals do you eat per day?</w:t>
      </w:r>
    </w:p>
    <w:p>
      <w:pPr>
        <w:pStyle w:val="style0"/>
        <w:numPr>
          <w:ilvl w:val="1"/>
          <w:numId w:val="4"/>
        </w:numPr>
        <w:rPr/>
      </w:pPr>
      <w:r>
        <w:t>Less than 2</w:t>
      </w:r>
    </w:p>
    <w:p>
      <w:pPr>
        <w:pStyle w:val="style0"/>
        <w:numPr>
          <w:ilvl w:val="1"/>
          <w:numId w:val="4"/>
        </w:numPr>
        <w:rPr/>
      </w:pPr>
      <w:r>
        <w:t>2-3</w:t>
      </w:r>
    </w:p>
    <w:p>
      <w:pPr>
        <w:pStyle w:val="style0"/>
        <w:numPr>
          <w:ilvl w:val="1"/>
          <w:numId w:val="4"/>
        </w:numPr>
        <w:rPr/>
      </w:pPr>
      <w:r>
        <w:t>4-5</w:t>
      </w:r>
    </w:p>
    <w:p>
      <w:pPr>
        <w:pStyle w:val="style0"/>
        <w:numPr>
          <w:ilvl w:val="1"/>
          <w:numId w:val="4"/>
        </w:numPr>
        <w:rPr/>
      </w:pPr>
      <w:r>
        <w:t>More than 5</w:t>
      </w:r>
    </w:p>
    <w:p>
      <w:pPr>
        <w:pStyle w:val="style0"/>
        <w:numPr>
          <w:ilvl w:val="0"/>
          <w:numId w:val="4"/>
        </w:numPr>
        <w:rPr/>
      </w:pPr>
      <w:r>
        <w:rPr>
          <w:b/>
          <w:bCs/>
        </w:rPr>
        <w:t>Do you have a preferred place or time for meals?</w:t>
      </w:r>
    </w:p>
    <w:p>
      <w:pPr>
        <w:pStyle w:val="style0"/>
        <w:numPr>
          <w:ilvl w:val="1"/>
          <w:numId w:val="4"/>
        </w:numPr>
        <w:rPr/>
      </w:pPr>
      <w:r>
        <w:t>At home</w:t>
      </w:r>
    </w:p>
    <w:p>
      <w:pPr>
        <w:pStyle w:val="style0"/>
        <w:numPr>
          <w:ilvl w:val="1"/>
          <w:numId w:val="4"/>
        </w:numPr>
        <w:rPr/>
      </w:pPr>
      <w:r>
        <w:t>On campus</w:t>
      </w:r>
    </w:p>
    <w:p>
      <w:pPr>
        <w:pStyle w:val="style0"/>
        <w:numPr>
          <w:ilvl w:val="1"/>
          <w:numId w:val="4"/>
        </w:numPr>
        <w:rPr/>
      </w:pPr>
      <w:r>
        <w:t>During specific hours</w:t>
      </w:r>
    </w:p>
    <w:p>
      <w:pPr>
        <w:pStyle w:val="style0"/>
        <w:numPr>
          <w:ilvl w:val="1"/>
          <w:numId w:val="4"/>
        </w:numPr>
        <w:rPr/>
      </w:pPr>
      <w:r>
        <w:t>No specific preference</w:t>
      </w:r>
    </w:p>
    <w:p>
      <w:pPr>
        <w:pStyle w:val="style0"/>
        <w:numPr>
          <w:ilvl w:val="0"/>
          <w:numId w:val="4"/>
        </w:numPr>
        <w:rPr/>
      </w:pPr>
      <w:r>
        <w:rPr>
          <w:b/>
          <w:bCs/>
        </w:rPr>
        <w:t>How do your peers or colleagues influence your food choices?</w:t>
      </w:r>
    </w:p>
    <w:p>
      <w:pPr>
        <w:pStyle w:val="style0"/>
        <w:numPr>
          <w:ilvl w:val="1"/>
          <w:numId w:val="4"/>
        </w:numPr>
        <w:rPr/>
      </w:pPr>
      <w:r>
        <w:t>Positively</w:t>
      </w:r>
    </w:p>
    <w:p>
      <w:pPr>
        <w:pStyle w:val="style0"/>
        <w:numPr>
          <w:ilvl w:val="1"/>
          <w:numId w:val="4"/>
        </w:numPr>
        <w:rPr/>
      </w:pPr>
      <w:r>
        <w:t>Negatively</w:t>
      </w:r>
    </w:p>
    <w:p>
      <w:pPr>
        <w:pStyle w:val="style0"/>
        <w:numPr>
          <w:ilvl w:val="1"/>
          <w:numId w:val="4"/>
        </w:numPr>
        <w:rPr/>
      </w:pPr>
      <w:r>
        <w:t>No influence</w:t>
      </w:r>
    </w:p>
    <w:p>
      <w:pPr>
        <w:pStyle w:val="style0"/>
        <w:numPr>
          <w:ilvl w:val="0"/>
          <w:numId w:val="4"/>
        </w:numPr>
        <w:rPr/>
      </w:pPr>
      <w:r>
        <w:rPr>
          <w:b/>
          <w:bCs/>
        </w:rPr>
        <w:t>Are there communal eating practices within your academic or personal circles?</w:t>
      </w:r>
    </w:p>
    <w:p>
      <w:pPr>
        <w:pStyle w:val="style0"/>
        <w:numPr>
          <w:ilvl w:val="1"/>
          <w:numId w:val="4"/>
        </w:numPr>
        <w:rPr/>
      </w:pPr>
      <w:r>
        <w:t>Yes, regularly</w:t>
      </w:r>
    </w:p>
    <w:p>
      <w:pPr>
        <w:pStyle w:val="style0"/>
        <w:numPr>
          <w:ilvl w:val="1"/>
          <w:numId w:val="4"/>
        </w:numPr>
        <w:rPr/>
      </w:pPr>
      <w:r>
        <w:t>Occasionally</w:t>
      </w:r>
    </w:p>
    <w:p>
      <w:pPr>
        <w:pStyle w:val="style0"/>
        <w:numPr>
          <w:ilvl w:val="1"/>
          <w:numId w:val="4"/>
        </w:numPr>
        <w:rPr/>
      </w:pPr>
      <w:r>
        <w:t>No</w:t>
      </w:r>
    </w:p>
    <w:p>
      <w:pPr>
        <w:pStyle w:val="style0"/>
        <w:numPr>
          <w:ilvl w:val="0"/>
          <w:numId w:val="4"/>
        </w:numPr>
        <w:rPr/>
      </w:pPr>
      <w:r>
        <w:rPr>
          <w:b/>
          <w:bCs/>
        </w:rPr>
        <w:t>What role does the university environment play in your food choices?</w:t>
      </w:r>
    </w:p>
    <w:p>
      <w:pPr>
        <w:pStyle w:val="style0"/>
        <w:numPr>
          <w:ilvl w:val="1"/>
          <w:numId w:val="4"/>
        </w:numPr>
        <w:rPr/>
      </w:pPr>
      <w:r>
        <w:t>Convenient access to food</w:t>
      </w:r>
    </w:p>
    <w:p>
      <w:pPr>
        <w:pStyle w:val="style0"/>
        <w:numPr>
          <w:ilvl w:val="1"/>
          <w:numId w:val="4"/>
        </w:numPr>
        <w:rPr/>
      </w:pPr>
      <w:r>
        <w:t>Variety of food options</w:t>
      </w:r>
    </w:p>
    <w:p>
      <w:pPr>
        <w:pStyle w:val="style0"/>
        <w:numPr>
          <w:ilvl w:val="1"/>
          <w:numId w:val="4"/>
        </w:numPr>
        <w:rPr/>
      </w:pPr>
      <w:r>
        <w:t>Limited healthy food options</w:t>
      </w:r>
    </w:p>
    <w:p>
      <w:pPr>
        <w:pStyle w:val="style0"/>
        <w:numPr>
          <w:ilvl w:val="0"/>
          <w:numId w:val="4"/>
        </w:numPr>
        <w:rPr/>
      </w:pPr>
      <w:r>
        <w:rPr>
          <w:b/>
          <w:bCs/>
        </w:rPr>
        <w:t>Are there specific challenges or advantages related to the availability of food on campus?</w:t>
      </w:r>
    </w:p>
    <w:p>
      <w:pPr>
        <w:pStyle w:val="style0"/>
        <w:numPr>
          <w:ilvl w:val="0"/>
          <w:numId w:val="4"/>
        </w:numPr>
        <w:rPr/>
      </w:pPr>
      <w:r>
        <w:rPr>
          <w:b/>
          <w:bCs/>
        </w:rPr>
        <w:t>How do stress and mental well-being impact your eating behavior?</w:t>
      </w:r>
    </w:p>
    <w:p>
      <w:pPr>
        <w:pStyle w:val="style0"/>
        <w:numPr>
          <w:ilvl w:val="1"/>
          <w:numId w:val="4"/>
        </w:numPr>
        <w:rPr/>
      </w:pPr>
      <w:r>
        <w:t>Positive impact</w:t>
      </w:r>
    </w:p>
    <w:p>
      <w:pPr>
        <w:pStyle w:val="style0"/>
        <w:numPr>
          <w:ilvl w:val="1"/>
          <w:numId w:val="4"/>
        </w:numPr>
        <w:rPr/>
      </w:pPr>
      <w:r>
        <w:t>Negative impact</w:t>
      </w:r>
    </w:p>
    <w:p>
      <w:pPr>
        <w:pStyle w:val="style0"/>
        <w:numPr>
          <w:ilvl w:val="1"/>
          <w:numId w:val="4"/>
        </w:numPr>
        <w:rPr/>
      </w:pPr>
      <w:r>
        <w:t>No impact</w:t>
      </w:r>
    </w:p>
    <w:p>
      <w:pPr>
        <w:pStyle w:val="style0"/>
        <w:numPr>
          <w:ilvl w:val="0"/>
          <w:numId w:val="4"/>
        </w:numPr>
        <w:rPr/>
      </w:pPr>
      <w:r>
        <w:rPr>
          <w:b/>
          <w:bCs/>
        </w:rPr>
        <w:t>Are there personal beliefs or cultural influences that affect your dietary choices?</w:t>
      </w:r>
    </w:p>
    <w:p>
      <w:pPr>
        <w:pStyle w:val="style0"/>
        <w:numPr>
          <w:ilvl w:val="1"/>
          <w:numId w:val="4"/>
        </w:numPr>
        <w:rPr/>
      </w:pPr>
      <w:r>
        <w:t>Yes, significantly</w:t>
      </w:r>
    </w:p>
    <w:p>
      <w:pPr>
        <w:pStyle w:val="style0"/>
        <w:numPr>
          <w:ilvl w:val="1"/>
          <w:numId w:val="4"/>
        </w:numPr>
        <w:rPr/>
      </w:pPr>
      <w:r>
        <w:t>To some extent</w:t>
      </w:r>
    </w:p>
    <w:p>
      <w:pPr>
        <w:pStyle w:val="style0"/>
        <w:numPr>
          <w:ilvl w:val="1"/>
          <w:numId w:val="4"/>
        </w:numPr>
        <w:rPr/>
      </w:pPr>
      <w:r>
        <w:t>No influence</w:t>
      </w:r>
    </w:p>
    <w:p>
      <w:pPr>
        <w:pStyle w:val="style0"/>
        <w:numPr>
          <w:ilvl w:val="0"/>
          <w:numId w:val="4"/>
        </w:numPr>
        <w:rPr/>
      </w:pPr>
      <w:r>
        <w:rPr>
          <w:b/>
          <w:bCs/>
        </w:rPr>
        <w:t>How would you describe the food culture within the university?</w:t>
      </w:r>
    </w:p>
    <w:p>
      <w:pPr>
        <w:pStyle w:val="style0"/>
        <w:numPr>
          <w:ilvl w:val="1"/>
          <w:numId w:val="4"/>
        </w:numPr>
        <w:rPr/>
      </w:pPr>
      <w:r>
        <w:t>Diverse and inclusive</w:t>
      </w:r>
    </w:p>
    <w:p>
      <w:pPr>
        <w:pStyle w:val="style0"/>
        <w:numPr>
          <w:ilvl w:val="1"/>
          <w:numId w:val="4"/>
        </w:numPr>
        <w:rPr/>
      </w:pPr>
      <w:r>
        <w:t>Limited variety</w:t>
      </w:r>
    </w:p>
    <w:p>
      <w:pPr>
        <w:pStyle w:val="style0"/>
        <w:numPr>
          <w:ilvl w:val="1"/>
          <w:numId w:val="4"/>
        </w:numPr>
        <w:rPr/>
      </w:pPr>
      <w:r>
        <w:t xml:space="preserve">Other </w:t>
      </w:r>
    </w:p>
    <w:p>
      <w:pPr>
        <w:pStyle w:val="style0"/>
        <w:numPr>
          <w:ilvl w:val="0"/>
          <w:numId w:val="4"/>
        </w:numPr>
        <w:rPr/>
      </w:pPr>
      <w:r>
        <w:rPr>
          <w:b/>
          <w:bCs/>
        </w:rPr>
        <w:t>Are there specific foods or cuisines that are popular among postgraduate students?</w:t>
      </w:r>
    </w:p>
    <w:p>
      <w:pPr>
        <w:pStyle w:val="style0"/>
        <w:numPr>
          <w:ilvl w:val="0"/>
          <w:numId w:val="0"/>
        </w:numPr>
        <w:rPr/>
      </w:pPr>
    </w:p>
    <w:p>
      <w:pPr>
        <w:pStyle w:val="style0"/>
        <w:numPr>
          <w:ilvl w:val="0"/>
          <w:numId w:val="4"/>
        </w:numPr>
        <w:rPr/>
      </w:pPr>
      <w:r>
        <w:rPr>
          <w:b/>
          <w:bCs/>
        </w:rPr>
        <w:t>Would you be interested in participating in follow-up discussions or interventions related to eating behavior on campus?</w:t>
      </w:r>
    </w:p>
    <w:p>
      <w:pPr>
        <w:pStyle w:val="style0"/>
        <w:numPr>
          <w:ilvl w:val="1"/>
          <w:numId w:val="4"/>
        </w:numPr>
        <w:rPr/>
      </w:pPr>
      <w:r>
        <w:t>Yes</w:t>
      </w:r>
    </w:p>
    <w:p>
      <w:pPr>
        <w:pStyle w:val="style0"/>
        <w:numPr>
          <w:ilvl w:val="1"/>
          <w:numId w:val="4"/>
        </w:numPr>
        <w:rPr/>
      </w:pPr>
      <w:r>
        <w:t>No</w:t>
      </w:r>
    </w:p>
    <w:p>
      <w:pPr>
        <w:pStyle w:val="style0"/>
        <w:numPr>
          <w:ilvl w:val="1"/>
          <w:numId w:val="4"/>
        </w:numPr>
        <w:rPr/>
      </w:pPr>
      <w:r>
        <w:t>Maybe</w:t>
      </w:r>
    </w:p>
    <w:p>
      <w:pPr>
        <w:pStyle w:val="style0"/>
        <w:rPr/>
      </w:pPr>
      <w:r>
        <w:t>This questionnaire provides a mix of closed-ended and open-ended questions, allowing for both quantitative analysis and qualitative insights into the factors influencing eating behavior among postgraduate students.</w:t>
      </w:r>
    </w:p>
    <w:p>
      <w:pPr>
        <w:pStyle w:val="style0"/>
        <w:rPr>
          <w:vanish/>
        </w:rPr>
      </w:pPr>
      <w:r>
        <w:rPr>
          <w:vanish/>
        </w:rPr>
        <w:t>Top of Form</w:t>
      </w:r>
    </w:p>
    <w:p>
      <w:pPr>
        <w:pStyle w:val="style0"/>
        <w:rPr/>
      </w:pPr>
    </w:p>
    <w:p>
      <w:pPr>
        <w:pStyle w:val="style0"/>
        <w:rPr/>
      </w:pPr>
    </w:p>
    <w:sectPr>
      <w:footerReference w:type="default" r:id="rId4"/>
      <w:pgSz w:w="12240" w:h="15840" w:orient="portrait"/>
      <w:pgMar w:top="1440" w:right="1440" w:bottom="1440" w:left="1440" w:header="720" w:footer="720" w:gutter="0"/>
      <w:pgBorders w:zOrder="front" w:display="allPage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86A7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F0406E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0000002"/>
    <w:multiLevelType w:val="multilevel"/>
    <w:tmpl w:val="DD94289E"/>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hybridMultilevel"/>
    <w:tmpl w:val="F954A6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cs="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cs="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cs="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0000004"/>
    <w:multiLevelType w:val="multilevel"/>
    <w:tmpl w:val="78AE370C"/>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pacing w:lineRule="auto" w:line="360"/>
      <w:jc w:val="both"/>
    </w:pPr>
    <w:rPr>
      <w:rFonts w:ascii="Arial" w:hAnsi="Arial"/>
    </w:rPr>
  </w:style>
  <w:style w:type="paragraph" w:styleId="style1">
    <w:name w:val="heading 1"/>
    <w:basedOn w:val="style0"/>
    <w:next w:val="style0"/>
    <w:link w:val="style4100"/>
    <w:qFormat/>
    <w:uiPriority w:val="9"/>
    <w:pPr>
      <w:keepNext/>
      <w:keepLines/>
      <w:spacing w:before="480" w:after="0"/>
      <w:outlineLvl w:val="0"/>
    </w:pPr>
    <w:rPr>
      <w:rFonts w:cs="宋体" w:eastAsia="宋体"/>
      <w:b/>
      <w:bCs/>
      <w:color w:val="365f91"/>
      <w:sz w:val="28"/>
      <w:szCs w:val="28"/>
    </w:rPr>
  </w:style>
  <w:style w:type="paragraph" w:styleId="style2">
    <w:name w:val="heading 2"/>
    <w:basedOn w:val="style0"/>
    <w:next w:val="style0"/>
    <w:link w:val="style4101"/>
    <w:qFormat/>
    <w:uiPriority w:val="9"/>
    <w:pPr>
      <w:keepNext/>
      <w:keepLines/>
      <w:spacing w:before="40" w:after="0"/>
      <w:outlineLvl w:val="1"/>
    </w:pPr>
    <w:rPr>
      <w:rFonts w:cs="宋体" w:eastAsia="宋体"/>
      <w:color w:val="365f91"/>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3f814442-e2dc-48de-8b10-2181ce808f03"/>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8cd92d65-c06d-4880-a604-96baba276c31"/>
    <w:basedOn w:val="style65"/>
    <w:next w:val="style4098"/>
    <w:link w:val="style32"/>
    <w:uiPriority w:val="99"/>
  </w:style>
  <w:style w:type="paragraph" w:styleId="style179">
    <w:name w:val="List Paragraph"/>
    <w:basedOn w:val="style0"/>
    <w:next w:val="style179"/>
    <w:link w:val="style4099"/>
    <w:qFormat/>
    <w:uiPriority w:val="34"/>
    <w:pPr>
      <w:spacing w:after="0" w:lineRule="auto" w:line="240"/>
      <w:ind w:left="720"/>
      <w:jc w:val="left"/>
      <w:contextualSpacing/>
    </w:pPr>
    <w:rPr>
      <w:rFonts w:cs="Times New Roman" w:eastAsia="Times New Roman"/>
      <w:sz w:val="20"/>
      <w:szCs w:val="20"/>
      <w:lang w:val="en-GB" w:eastAsia="en-GB"/>
    </w:rPr>
  </w:style>
  <w:style w:type="character" w:customStyle="1" w:styleId="style4099">
    <w:name w:val="List Paragraph Char"/>
    <w:next w:val="style4099"/>
    <w:link w:val="style179"/>
    <w:uiPriority w:val="34"/>
    <w:rPr>
      <w:rFonts w:ascii="Times New Roman" w:cs="Times New Roman" w:eastAsia="Times New Roman" w:hAnsi="Times New Roman"/>
      <w:sz w:val="20"/>
      <w:szCs w:val="20"/>
      <w:lang w:val="en-GB" w:eastAsia="en-GB"/>
    </w:rPr>
  </w:style>
  <w:style w:type="character" w:customStyle="1" w:styleId="style4100">
    <w:name w:val="Heading 1 Char_37317d55-3c1e-40b1-8176-86263ecec466"/>
    <w:basedOn w:val="style65"/>
    <w:next w:val="style4100"/>
    <w:link w:val="style1"/>
    <w:uiPriority w:val="9"/>
    <w:rPr>
      <w:rFonts w:ascii="Arial" w:cs="宋体" w:eastAsia="宋体" w:hAnsi="Arial"/>
      <w:b/>
      <w:bCs/>
      <w:color w:val="365f91"/>
      <w:sz w:val="28"/>
      <w:szCs w:val="28"/>
    </w:rPr>
  </w:style>
  <w:style w:type="character" w:customStyle="1" w:styleId="style4101">
    <w:name w:val="Heading 2 Char_16dfd861-6514-4d6c-82fa-bc759ca8c684"/>
    <w:basedOn w:val="style65"/>
    <w:next w:val="style4101"/>
    <w:link w:val="style2"/>
    <w:uiPriority w:val="9"/>
    <w:rPr>
      <w:rFonts w:ascii="Arial" w:cs="宋体" w:eastAsia="宋体" w:hAnsi="Arial"/>
      <w:color w:val="365f91"/>
      <w:sz w:val="26"/>
      <w:szCs w:val="26"/>
    </w:rPr>
  </w:style>
  <w:style w:type="paragraph" w:styleId="style94">
    <w:name w:val="Normal (Web)"/>
    <w:basedOn w:val="style0"/>
    <w:next w:val="style94"/>
    <w:uiPriority w:val="99"/>
    <w:pPr>
      <w:spacing w:before="100" w:beforeAutospacing="true" w:after="100" w:afterAutospacing="true" w:lineRule="auto" w:line="240"/>
      <w:jc w:val="left"/>
    </w:pPr>
    <w:rPr>
      <w:rFonts w:ascii="Times New Roman" w:cs="Times New Roman" w:eastAsia="Times New Roman" w:hAnsi="Times New Roman"/>
      <w:sz w:val="24"/>
      <w:szCs w:val="24"/>
      <w:lang w:val="en-IN" w:bidi="gu-IN" w:eastAsia="en-IN"/>
    </w:rPr>
  </w:style>
  <w:style w:type="paragraph" w:styleId="style266">
    <w:name w:val="TOC Heading"/>
    <w:basedOn w:val="style1"/>
    <w:next w:val="style0"/>
    <w:qFormat/>
    <w:uiPriority w:val="39"/>
    <w:pPr>
      <w:spacing w:before="240" w:lineRule="auto" w:line="259"/>
      <w:jc w:val="left"/>
      <w:outlineLvl w:val="9"/>
    </w:pPr>
    <w:rPr>
      <w:rFonts w:ascii="Cambria" w:hAnsi="Cambria"/>
      <w:b w:val="false"/>
      <w:bCs w:val="false"/>
      <w:sz w:val="32"/>
      <w:szCs w:val="32"/>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102"/>
    <w:uiPriority w:val="99"/>
    <w:pPr>
      <w:spacing w:after="0" w:lineRule="auto" w:line="240"/>
    </w:pPr>
    <w:rPr>
      <w:rFonts w:ascii="Tahoma" w:cs="Tahoma" w:hAnsi="Tahoma"/>
      <w:sz w:val="16"/>
      <w:szCs w:val="16"/>
    </w:rPr>
  </w:style>
  <w:style w:type="character" w:customStyle="1" w:styleId="style4102">
    <w:name w:val="Balloon Text Char"/>
    <w:basedOn w:val="style65"/>
    <w:next w:val="style4102"/>
    <w:link w:val="style153"/>
    <w:uiPriority w:val="99"/>
    <w:rPr>
      <w:rFonts w:ascii="Tahoma" w:cs="Tahoma" w:hAnsi="Tahoma"/>
      <w:sz w:val="16"/>
      <w:szCs w:val="16"/>
    </w:rPr>
  </w:style>
  <w:style w:type="paragraph" w:styleId="style34">
    <w:name w:val="caption"/>
    <w:basedOn w:val="style0"/>
    <w:next w:val="style0"/>
    <w:qFormat/>
    <w:uiPriority w:val="35"/>
    <w:pPr>
      <w:spacing w:lineRule="auto" w:line="240"/>
    </w:pPr>
    <w:rPr>
      <w:b/>
      <w:bCs/>
      <w:color w:val="4f81bd"/>
      <w:sz w:val="18"/>
      <w:szCs w:val="1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85B38-7236-4A56-93F0-41650C02F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Words>4030</Words>
  <Pages>20</Pages>
  <Characters>26556</Characters>
  <Application>WPS Office</Application>
  <DocSecurity>0</DocSecurity>
  <Paragraphs>221</Paragraphs>
  <ScaleCrop>false</ScaleCrop>
  <LinksUpToDate>false</LinksUpToDate>
  <CharactersWithSpaces>30378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2023-11-24T10:51:00Z</dcterms:created>
  <dc:creator>pratibha</dc:creator>
  <lastModifiedBy>Pixel 3</lastModifiedBy>
  <dcterms:modified xsi:type="dcterms:W3CDTF">2023-11-24T13:20:18Z</dcterms:modified>
  <revision>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9b80a2e328224ea394eec67a7a5d652d</vt:lpwstr>
  </property>
</Properties>
</file>