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A2140" w14:textId="140F92F3" w:rsidR="002367F9" w:rsidRPr="002367F9" w:rsidRDefault="002367F9" w:rsidP="00BF3C78">
      <w:pPr>
        <w:rPr>
          <w:rFonts w:ascii="Arial" w:hAnsi="Arial" w:cs="Arial"/>
          <w:b/>
          <w:bCs/>
        </w:rPr>
      </w:pPr>
    </w:p>
    <w:p w14:paraId="379F4CE5" w14:textId="1E7A8AE4" w:rsidR="002367F9" w:rsidRDefault="002367F9" w:rsidP="002367F9">
      <w:pPr>
        <w:jc w:val="center"/>
        <w:rPr>
          <w:rFonts w:ascii="Arial" w:hAnsi="Arial" w:cs="Arial"/>
          <w:b/>
          <w:bCs/>
        </w:rPr>
      </w:pPr>
      <w:r w:rsidRPr="002367F9">
        <w:rPr>
          <w:rFonts w:ascii="Arial" w:hAnsi="Arial" w:cs="Arial"/>
          <w:b/>
          <w:bCs/>
        </w:rPr>
        <w:t>The Social Model of Disability: Development, Critiques and Application to Person-Centred Health and Social Care</w:t>
      </w:r>
    </w:p>
    <w:p w14:paraId="4C735EC6" w14:textId="1D37189A" w:rsidR="002367F9" w:rsidRPr="008455AD" w:rsidRDefault="002367F9" w:rsidP="002367F9">
      <w:pPr>
        <w:jc w:val="center"/>
        <w:rPr>
          <w:rFonts w:ascii="Arial" w:hAnsi="Arial" w:cs="Arial"/>
          <w:sz w:val="22"/>
          <w:szCs w:val="22"/>
        </w:rPr>
      </w:pPr>
      <w:r w:rsidRPr="008455AD">
        <w:rPr>
          <w:rFonts w:ascii="Arial" w:hAnsi="Arial" w:cs="Arial"/>
          <w:sz w:val="22"/>
          <w:szCs w:val="22"/>
        </w:rPr>
        <w:t>Student Number: Ana Silva</w:t>
      </w:r>
    </w:p>
    <w:p w14:paraId="4C6F1A98" w14:textId="24720D61" w:rsidR="002367F9" w:rsidRDefault="002367F9" w:rsidP="002367F9">
      <w:pPr>
        <w:jc w:val="center"/>
        <w:rPr>
          <w:rFonts w:ascii="Arial" w:hAnsi="Arial" w:cs="Arial"/>
          <w:sz w:val="22"/>
          <w:szCs w:val="22"/>
        </w:rPr>
      </w:pPr>
      <w:r w:rsidRPr="008455AD">
        <w:rPr>
          <w:rFonts w:ascii="Arial" w:hAnsi="Arial" w:cs="Arial"/>
          <w:sz w:val="22"/>
          <w:szCs w:val="22"/>
        </w:rPr>
        <w:t>Student Number: 2439686</w:t>
      </w:r>
    </w:p>
    <w:p w14:paraId="07EE478C" w14:textId="2EC3AA09" w:rsidR="002367F9" w:rsidRPr="008455AD" w:rsidRDefault="002367F9" w:rsidP="002367F9">
      <w:pPr>
        <w:jc w:val="center"/>
        <w:rPr>
          <w:rFonts w:ascii="Arial" w:hAnsi="Arial" w:cs="Arial"/>
          <w:sz w:val="22"/>
          <w:szCs w:val="22"/>
        </w:rPr>
      </w:pPr>
      <w:r w:rsidRPr="008455AD">
        <w:rPr>
          <w:rFonts w:ascii="Arial" w:hAnsi="Arial" w:cs="Arial"/>
          <w:sz w:val="22"/>
          <w:szCs w:val="22"/>
        </w:rPr>
        <w:t xml:space="preserve">Programme: BSc (Hons) Health and Social Care </w:t>
      </w:r>
    </w:p>
    <w:p w14:paraId="0CD705E2" w14:textId="4CC82E07" w:rsidR="002367F9" w:rsidRPr="008455AD" w:rsidRDefault="002367F9" w:rsidP="002367F9">
      <w:pPr>
        <w:jc w:val="center"/>
        <w:rPr>
          <w:rFonts w:ascii="Arial" w:hAnsi="Arial" w:cs="Arial"/>
          <w:sz w:val="22"/>
          <w:szCs w:val="22"/>
        </w:rPr>
      </w:pPr>
      <w:r w:rsidRPr="008455AD">
        <w:rPr>
          <w:rFonts w:ascii="Arial" w:hAnsi="Arial" w:cs="Arial"/>
          <w:sz w:val="22"/>
          <w:szCs w:val="22"/>
        </w:rPr>
        <w:t>Module</w:t>
      </w:r>
      <w:r w:rsidR="003906DD" w:rsidRPr="008455AD">
        <w:rPr>
          <w:rFonts w:ascii="Arial" w:hAnsi="Arial" w:cs="Arial"/>
          <w:sz w:val="22"/>
          <w:szCs w:val="22"/>
        </w:rPr>
        <w:t xml:space="preserve">: Principles of Health and Social Care Practice </w:t>
      </w:r>
    </w:p>
    <w:p w14:paraId="67484C6C" w14:textId="0C111F35" w:rsidR="003906DD" w:rsidRPr="008455AD" w:rsidRDefault="003906DD" w:rsidP="002367F9">
      <w:pPr>
        <w:jc w:val="center"/>
        <w:rPr>
          <w:rFonts w:ascii="Arial" w:hAnsi="Arial" w:cs="Arial"/>
          <w:sz w:val="22"/>
          <w:szCs w:val="22"/>
        </w:rPr>
      </w:pPr>
      <w:r w:rsidRPr="008455AD">
        <w:rPr>
          <w:rFonts w:ascii="Arial" w:hAnsi="Arial" w:cs="Arial"/>
          <w:sz w:val="22"/>
          <w:szCs w:val="22"/>
        </w:rPr>
        <w:t>Module Cod</w:t>
      </w:r>
      <w:r w:rsidR="008455AD" w:rsidRPr="008455AD">
        <w:rPr>
          <w:rFonts w:ascii="Arial" w:hAnsi="Arial" w:cs="Arial"/>
          <w:sz w:val="22"/>
          <w:szCs w:val="22"/>
        </w:rPr>
        <w:t>e</w:t>
      </w:r>
      <w:r w:rsidRPr="008455AD">
        <w:rPr>
          <w:rFonts w:ascii="Arial" w:hAnsi="Arial" w:cs="Arial"/>
          <w:sz w:val="22"/>
          <w:szCs w:val="22"/>
        </w:rPr>
        <w:t>: BMHP5016</w:t>
      </w:r>
    </w:p>
    <w:p w14:paraId="10175B1A" w14:textId="01144E93" w:rsidR="003906DD" w:rsidRDefault="003906DD" w:rsidP="002367F9">
      <w:pPr>
        <w:jc w:val="center"/>
        <w:rPr>
          <w:rFonts w:ascii="Arial" w:hAnsi="Arial" w:cs="Arial"/>
          <w:sz w:val="22"/>
          <w:szCs w:val="22"/>
        </w:rPr>
      </w:pPr>
      <w:r w:rsidRPr="008455AD">
        <w:rPr>
          <w:rFonts w:ascii="Arial" w:hAnsi="Arial" w:cs="Arial"/>
          <w:sz w:val="22"/>
          <w:szCs w:val="22"/>
        </w:rPr>
        <w:t>Lecturer: Dr Itse Ola</w:t>
      </w:r>
      <w:r w:rsidR="008455AD" w:rsidRPr="008455AD">
        <w:rPr>
          <w:rFonts w:ascii="Arial" w:hAnsi="Arial" w:cs="Arial"/>
          <w:sz w:val="22"/>
          <w:szCs w:val="22"/>
        </w:rPr>
        <w:t>oye</w:t>
      </w:r>
    </w:p>
    <w:p w14:paraId="4768B076" w14:textId="09C97AFD" w:rsidR="008455AD" w:rsidRDefault="008455AD" w:rsidP="002367F9">
      <w:pPr>
        <w:jc w:val="center"/>
        <w:rPr>
          <w:rFonts w:ascii="Arial" w:hAnsi="Arial" w:cs="Arial"/>
          <w:sz w:val="22"/>
          <w:szCs w:val="22"/>
        </w:rPr>
      </w:pPr>
      <w:r>
        <w:rPr>
          <w:rFonts w:ascii="Arial" w:hAnsi="Arial" w:cs="Arial"/>
          <w:sz w:val="22"/>
          <w:szCs w:val="22"/>
        </w:rPr>
        <w:t>Assignment: Component 2- Written Assignment (Essay)</w:t>
      </w:r>
    </w:p>
    <w:p w14:paraId="467102DF" w14:textId="7A1B6D41" w:rsidR="008455AD" w:rsidRDefault="008455AD" w:rsidP="002367F9">
      <w:pPr>
        <w:jc w:val="center"/>
        <w:rPr>
          <w:rFonts w:ascii="Arial" w:hAnsi="Arial" w:cs="Arial"/>
          <w:sz w:val="22"/>
          <w:szCs w:val="22"/>
        </w:rPr>
      </w:pPr>
      <w:r>
        <w:rPr>
          <w:rFonts w:ascii="Arial" w:hAnsi="Arial" w:cs="Arial"/>
          <w:sz w:val="22"/>
          <w:szCs w:val="22"/>
        </w:rPr>
        <w:t xml:space="preserve">Submission Date: 7 August 2026 </w:t>
      </w:r>
    </w:p>
    <w:p w14:paraId="44EBA84C" w14:textId="75271265" w:rsidR="008455AD" w:rsidRDefault="008455AD" w:rsidP="002367F9">
      <w:pPr>
        <w:jc w:val="center"/>
        <w:rPr>
          <w:rFonts w:ascii="Arial" w:hAnsi="Arial" w:cs="Arial"/>
          <w:sz w:val="22"/>
          <w:szCs w:val="22"/>
        </w:rPr>
      </w:pPr>
      <w:r>
        <w:rPr>
          <w:rFonts w:ascii="Arial" w:hAnsi="Arial" w:cs="Arial"/>
          <w:sz w:val="22"/>
          <w:szCs w:val="22"/>
        </w:rPr>
        <w:t>Word Count:</w:t>
      </w:r>
      <w:r w:rsidR="00BB1F74">
        <w:rPr>
          <w:rFonts w:ascii="Arial" w:hAnsi="Arial" w:cs="Arial"/>
          <w:sz w:val="22"/>
          <w:szCs w:val="22"/>
        </w:rPr>
        <w:t xml:space="preserve"> </w:t>
      </w:r>
      <w:r w:rsidR="008C26AF">
        <w:rPr>
          <w:rFonts w:ascii="Arial" w:hAnsi="Arial" w:cs="Arial"/>
          <w:sz w:val="22"/>
          <w:szCs w:val="22"/>
        </w:rPr>
        <w:t>2127 (excluding the title page, table of contents and reference list)</w:t>
      </w:r>
    </w:p>
    <w:p w14:paraId="57EB6EA2" w14:textId="77777777" w:rsidR="008455AD" w:rsidRDefault="008455AD" w:rsidP="002367F9">
      <w:pPr>
        <w:jc w:val="center"/>
        <w:rPr>
          <w:rFonts w:ascii="Arial" w:hAnsi="Arial" w:cs="Arial"/>
          <w:sz w:val="22"/>
          <w:szCs w:val="22"/>
        </w:rPr>
      </w:pPr>
    </w:p>
    <w:p w14:paraId="65CF2652" w14:textId="77777777" w:rsidR="008455AD" w:rsidRDefault="008455AD" w:rsidP="002367F9">
      <w:pPr>
        <w:jc w:val="center"/>
        <w:rPr>
          <w:rFonts w:ascii="Arial" w:hAnsi="Arial" w:cs="Arial"/>
          <w:sz w:val="22"/>
          <w:szCs w:val="22"/>
        </w:rPr>
      </w:pPr>
    </w:p>
    <w:p w14:paraId="6CDFBD76" w14:textId="77777777" w:rsidR="008455AD" w:rsidRDefault="008455AD" w:rsidP="002367F9">
      <w:pPr>
        <w:jc w:val="center"/>
        <w:rPr>
          <w:rFonts w:ascii="Arial" w:hAnsi="Arial" w:cs="Arial"/>
          <w:sz w:val="22"/>
          <w:szCs w:val="22"/>
        </w:rPr>
      </w:pPr>
    </w:p>
    <w:p w14:paraId="2D0AE2D4" w14:textId="77777777" w:rsidR="008455AD" w:rsidRDefault="008455AD" w:rsidP="002367F9">
      <w:pPr>
        <w:jc w:val="center"/>
        <w:rPr>
          <w:rFonts w:ascii="Arial" w:hAnsi="Arial" w:cs="Arial"/>
          <w:sz w:val="22"/>
          <w:szCs w:val="22"/>
        </w:rPr>
      </w:pPr>
    </w:p>
    <w:p w14:paraId="1988116C" w14:textId="77777777" w:rsidR="008455AD" w:rsidRDefault="008455AD" w:rsidP="002367F9">
      <w:pPr>
        <w:jc w:val="center"/>
        <w:rPr>
          <w:rFonts w:ascii="Arial" w:hAnsi="Arial" w:cs="Arial"/>
          <w:sz w:val="22"/>
          <w:szCs w:val="22"/>
        </w:rPr>
      </w:pPr>
    </w:p>
    <w:p w14:paraId="6D91AAEA" w14:textId="77777777" w:rsidR="008455AD" w:rsidRDefault="008455AD" w:rsidP="002367F9">
      <w:pPr>
        <w:jc w:val="center"/>
        <w:rPr>
          <w:rFonts w:ascii="Arial" w:hAnsi="Arial" w:cs="Arial"/>
          <w:sz w:val="22"/>
          <w:szCs w:val="22"/>
        </w:rPr>
      </w:pPr>
    </w:p>
    <w:p w14:paraId="067E69F5" w14:textId="77777777" w:rsidR="008455AD" w:rsidRDefault="008455AD" w:rsidP="002367F9">
      <w:pPr>
        <w:jc w:val="center"/>
        <w:rPr>
          <w:rFonts w:ascii="Arial" w:hAnsi="Arial" w:cs="Arial"/>
          <w:sz w:val="22"/>
          <w:szCs w:val="22"/>
        </w:rPr>
      </w:pPr>
    </w:p>
    <w:p w14:paraId="13FEE598" w14:textId="77777777" w:rsidR="008455AD" w:rsidRDefault="008455AD" w:rsidP="002367F9">
      <w:pPr>
        <w:jc w:val="center"/>
        <w:rPr>
          <w:rFonts w:ascii="Arial" w:hAnsi="Arial" w:cs="Arial"/>
          <w:sz w:val="22"/>
          <w:szCs w:val="22"/>
        </w:rPr>
      </w:pPr>
    </w:p>
    <w:p w14:paraId="791FF469" w14:textId="77777777" w:rsidR="008455AD" w:rsidRDefault="008455AD" w:rsidP="002367F9">
      <w:pPr>
        <w:jc w:val="center"/>
        <w:rPr>
          <w:rFonts w:ascii="Arial" w:hAnsi="Arial" w:cs="Arial"/>
          <w:sz w:val="22"/>
          <w:szCs w:val="22"/>
        </w:rPr>
      </w:pPr>
    </w:p>
    <w:p w14:paraId="733D4437" w14:textId="77777777" w:rsidR="008455AD" w:rsidRDefault="008455AD" w:rsidP="002367F9">
      <w:pPr>
        <w:jc w:val="center"/>
        <w:rPr>
          <w:rFonts w:ascii="Arial" w:hAnsi="Arial" w:cs="Arial"/>
          <w:sz w:val="22"/>
          <w:szCs w:val="22"/>
        </w:rPr>
      </w:pPr>
    </w:p>
    <w:p w14:paraId="095C7D46" w14:textId="77777777" w:rsidR="008455AD" w:rsidRDefault="008455AD" w:rsidP="002367F9">
      <w:pPr>
        <w:jc w:val="center"/>
        <w:rPr>
          <w:rFonts w:ascii="Arial" w:hAnsi="Arial" w:cs="Arial"/>
          <w:sz w:val="22"/>
          <w:szCs w:val="22"/>
        </w:rPr>
      </w:pPr>
    </w:p>
    <w:p w14:paraId="48444F38" w14:textId="77777777" w:rsidR="008455AD" w:rsidRDefault="008455AD" w:rsidP="002367F9">
      <w:pPr>
        <w:jc w:val="center"/>
        <w:rPr>
          <w:rFonts w:ascii="Arial" w:hAnsi="Arial" w:cs="Arial"/>
          <w:sz w:val="22"/>
          <w:szCs w:val="22"/>
        </w:rPr>
      </w:pPr>
    </w:p>
    <w:p w14:paraId="39052671" w14:textId="77777777" w:rsidR="008455AD" w:rsidRDefault="008455AD" w:rsidP="002367F9">
      <w:pPr>
        <w:jc w:val="center"/>
        <w:rPr>
          <w:rFonts w:ascii="Arial" w:hAnsi="Arial" w:cs="Arial"/>
          <w:sz w:val="22"/>
          <w:szCs w:val="22"/>
        </w:rPr>
      </w:pPr>
    </w:p>
    <w:p w14:paraId="4ADB10BE" w14:textId="77777777" w:rsidR="008455AD" w:rsidRDefault="008455AD" w:rsidP="002367F9">
      <w:pPr>
        <w:jc w:val="center"/>
        <w:rPr>
          <w:rFonts w:ascii="Arial" w:hAnsi="Arial" w:cs="Arial"/>
          <w:sz w:val="22"/>
          <w:szCs w:val="22"/>
        </w:rPr>
      </w:pPr>
    </w:p>
    <w:p w14:paraId="0ED86B2E" w14:textId="77777777" w:rsidR="008455AD" w:rsidRDefault="008455AD" w:rsidP="002367F9">
      <w:pPr>
        <w:jc w:val="center"/>
        <w:rPr>
          <w:rFonts w:ascii="Arial" w:hAnsi="Arial" w:cs="Arial"/>
          <w:sz w:val="22"/>
          <w:szCs w:val="22"/>
        </w:rPr>
      </w:pPr>
    </w:p>
    <w:p w14:paraId="6A3E003B" w14:textId="34E58DCE" w:rsidR="008455AD" w:rsidRDefault="008455AD" w:rsidP="008455AD">
      <w:pPr>
        <w:rPr>
          <w:rFonts w:ascii="Arial" w:hAnsi="Arial" w:cs="Arial"/>
          <w:sz w:val="22"/>
          <w:szCs w:val="22"/>
        </w:rPr>
      </w:pPr>
    </w:p>
    <w:p w14:paraId="27A839D2" w14:textId="5519AA5C" w:rsidR="008455AD" w:rsidRPr="008455AD" w:rsidRDefault="008455AD" w:rsidP="008455AD">
      <w:pPr>
        <w:jc w:val="center"/>
        <w:rPr>
          <w:rFonts w:ascii="Arial" w:hAnsi="Arial" w:cs="Arial"/>
          <w:b/>
          <w:bCs/>
        </w:rPr>
      </w:pPr>
      <w:r w:rsidRPr="008455AD">
        <w:rPr>
          <w:rFonts w:ascii="Arial" w:hAnsi="Arial" w:cs="Arial"/>
          <w:b/>
          <w:bCs/>
        </w:rPr>
        <w:lastRenderedPageBreak/>
        <w:t>Table of Contents</w:t>
      </w:r>
    </w:p>
    <w:p w14:paraId="0280383E" w14:textId="355370BE" w:rsidR="008455AD" w:rsidRDefault="008455AD" w:rsidP="008455AD">
      <w:pPr>
        <w:pStyle w:val="ListParagraph"/>
        <w:numPr>
          <w:ilvl w:val="0"/>
          <w:numId w:val="1"/>
        </w:numPr>
        <w:jc w:val="center"/>
        <w:rPr>
          <w:rFonts w:ascii="Arial" w:hAnsi="Arial" w:cs="Arial"/>
          <w:sz w:val="22"/>
          <w:szCs w:val="22"/>
        </w:rPr>
      </w:pPr>
      <w:r>
        <w:rPr>
          <w:rFonts w:ascii="Arial" w:hAnsi="Arial" w:cs="Arial"/>
          <w:sz w:val="22"/>
          <w:szCs w:val="22"/>
        </w:rPr>
        <w:t>Introduction ……...………………………………………………………</w:t>
      </w:r>
      <w:r w:rsidR="00314470">
        <w:rPr>
          <w:rFonts w:ascii="Arial" w:hAnsi="Arial" w:cs="Arial"/>
          <w:sz w:val="22"/>
          <w:szCs w:val="22"/>
        </w:rPr>
        <w:t>3</w:t>
      </w:r>
    </w:p>
    <w:p w14:paraId="296CD437" w14:textId="5D190A0E" w:rsidR="008455AD" w:rsidRDefault="008455AD" w:rsidP="008455AD">
      <w:pPr>
        <w:pStyle w:val="ListParagraph"/>
        <w:numPr>
          <w:ilvl w:val="0"/>
          <w:numId w:val="1"/>
        </w:numPr>
        <w:jc w:val="center"/>
        <w:rPr>
          <w:rFonts w:ascii="Arial" w:hAnsi="Arial" w:cs="Arial"/>
          <w:sz w:val="22"/>
          <w:szCs w:val="22"/>
        </w:rPr>
      </w:pPr>
      <w:r>
        <w:rPr>
          <w:rFonts w:ascii="Arial" w:hAnsi="Arial" w:cs="Arial"/>
          <w:sz w:val="22"/>
          <w:szCs w:val="22"/>
        </w:rPr>
        <w:t>Emergence And development of the Social Model of Disability ……</w:t>
      </w:r>
      <w:r w:rsidR="00314470">
        <w:rPr>
          <w:rFonts w:ascii="Arial" w:hAnsi="Arial" w:cs="Arial"/>
          <w:sz w:val="22"/>
          <w:szCs w:val="22"/>
        </w:rPr>
        <w:t>3</w:t>
      </w:r>
    </w:p>
    <w:p w14:paraId="578751BB" w14:textId="090DCB23" w:rsidR="008455AD" w:rsidRDefault="008455AD" w:rsidP="008455AD">
      <w:pPr>
        <w:pStyle w:val="ListParagraph"/>
        <w:numPr>
          <w:ilvl w:val="0"/>
          <w:numId w:val="1"/>
        </w:numPr>
        <w:jc w:val="center"/>
        <w:rPr>
          <w:rFonts w:ascii="Arial" w:hAnsi="Arial" w:cs="Arial"/>
          <w:sz w:val="22"/>
          <w:szCs w:val="22"/>
        </w:rPr>
      </w:pPr>
      <w:r>
        <w:rPr>
          <w:rFonts w:ascii="Arial" w:hAnsi="Arial" w:cs="Arial"/>
          <w:sz w:val="22"/>
          <w:szCs w:val="22"/>
        </w:rPr>
        <w:t>Critical Perspectives and Responses …………………………………</w:t>
      </w:r>
      <w:r w:rsidR="00E476B2">
        <w:rPr>
          <w:rFonts w:ascii="Arial" w:hAnsi="Arial" w:cs="Arial"/>
          <w:sz w:val="22"/>
          <w:szCs w:val="22"/>
        </w:rPr>
        <w:t>4</w:t>
      </w:r>
    </w:p>
    <w:p w14:paraId="6512D523" w14:textId="5897A939" w:rsidR="008455AD" w:rsidRDefault="008455AD" w:rsidP="008455AD">
      <w:pPr>
        <w:pStyle w:val="ListParagraph"/>
        <w:numPr>
          <w:ilvl w:val="0"/>
          <w:numId w:val="1"/>
        </w:numPr>
        <w:jc w:val="center"/>
        <w:rPr>
          <w:rFonts w:ascii="Arial" w:hAnsi="Arial" w:cs="Arial"/>
          <w:sz w:val="22"/>
          <w:szCs w:val="22"/>
        </w:rPr>
      </w:pPr>
      <w:r>
        <w:rPr>
          <w:rFonts w:ascii="Arial" w:hAnsi="Arial" w:cs="Arial"/>
          <w:sz w:val="22"/>
          <w:szCs w:val="22"/>
        </w:rPr>
        <w:t>Application to Health and Social Care Policy………………………….</w:t>
      </w:r>
      <w:r w:rsidR="00E476B2">
        <w:rPr>
          <w:rFonts w:ascii="Arial" w:hAnsi="Arial" w:cs="Arial"/>
          <w:sz w:val="22"/>
          <w:szCs w:val="22"/>
        </w:rPr>
        <w:t>5</w:t>
      </w:r>
    </w:p>
    <w:p w14:paraId="3586E321" w14:textId="3FD96C07" w:rsidR="008455AD" w:rsidRPr="00E476B2" w:rsidRDefault="00E476B2" w:rsidP="00E476B2">
      <w:pPr>
        <w:ind w:left="360"/>
        <w:rPr>
          <w:rFonts w:ascii="Arial" w:hAnsi="Arial" w:cs="Arial"/>
          <w:sz w:val="22"/>
          <w:szCs w:val="22"/>
        </w:rPr>
      </w:pPr>
      <w:r>
        <w:rPr>
          <w:rFonts w:ascii="Arial" w:hAnsi="Arial" w:cs="Arial"/>
          <w:sz w:val="22"/>
          <w:szCs w:val="22"/>
        </w:rPr>
        <w:t xml:space="preserve">              5.</w:t>
      </w:r>
      <w:r w:rsidRPr="00E476B2">
        <w:rPr>
          <w:rFonts w:ascii="Arial" w:hAnsi="Arial" w:cs="Arial"/>
          <w:sz w:val="22"/>
          <w:szCs w:val="22"/>
        </w:rPr>
        <w:t xml:space="preserve">  </w:t>
      </w:r>
      <w:r w:rsidR="008455AD" w:rsidRPr="00E476B2">
        <w:rPr>
          <w:rFonts w:ascii="Arial" w:hAnsi="Arial" w:cs="Arial"/>
          <w:sz w:val="22"/>
          <w:szCs w:val="22"/>
        </w:rPr>
        <w:t>Application to Health and Social Care Practice ………………………</w:t>
      </w:r>
      <w:r>
        <w:rPr>
          <w:rFonts w:ascii="Arial" w:hAnsi="Arial" w:cs="Arial"/>
          <w:sz w:val="22"/>
          <w:szCs w:val="22"/>
        </w:rPr>
        <w:t>6</w:t>
      </w:r>
    </w:p>
    <w:p w14:paraId="2D287108" w14:textId="38CC6623" w:rsidR="008455AD" w:rsidRDefault="00E476B2" w:rsidP="00E476B2">
      <w:pPr>
        <w:pStyle w:val="ListParagraph"/>
        <w:rPr>
          <w:rFonts w:ascii="Arial" w:hAnsi="Arial" w:cs="Arial"/>
          <w:sz w:val="22"/>
          <w:szCs w:val="22"/>
        </w:rPr>
      </w:pPr>
      <w:r>
        <w:rPr>
          <w:rFonts w:ascii="Arial" w:hAnsi="Arial" w:cs="Arial"/>
          <w:sz w:val="22"/>
          <w:szCs w:val="22"/>
        </w:rPr>
        <w:t xml:space="preserve">        6.   </w:t>
      </w:r>
      <w:r w:rsidR="008455AD">
        <w:rPr>
          <w:rFonts w:ascii="Arial" w:hAnsi="Arial" w:cs="Arial"/>
          <w:sz w:val="22"/>
          <w:szCs w:val="22"/>
        </w:rPr>
        <w:t>Recommendations……………………………………</w:t>
      </w:r>
      <w:r>
        <w:rPr>
          <w:rFonts w:ascii="Arial" w:hAnsi="Arial" w:cs="Arial"/>
          <w:sz w:val="22"/>
          <w:szCs w:val="22"/>
        </w:rPr>
        <w:t xml:space="preserve">………………….7 </w:t>
      </w:r>
    </w:p>
    <w:p w14:paraId="5FF0635E" w14:textId="7E7123B5" w:rsidR="008455AD" w:rsidRDefault="008455AD" w:rsidP="00E476B2">
      <w:pPr>
        <w:pStyle w:val="ListParagraph"/>
        <w:numPr>
          <w:ilvl w:val="0"/>
          <w:numId w:val="4"/>
        </w:numPr>
        <w:rPr>
          <w:rFonts w:ascii="Arial" w:hAnsi="Arial" w:cs="Arial"/>
          <w:sz w:val="22"/>
          <w:szCs w:val="22"/>
        </w:rPr>
      </w:pPr>
      <w:r w:rsidRPr="00E476B2">
        <w:rPr>
          <w:rFonts w:ascii="Arial" w:hAnsi="Arial" w:cs="Arial"/>
          <w:sz w:val="22"/>
          <w:szCs w:val="22"/>
        </w:rPr>
        <w:t>Conclusions ………………………………………………………………</w:t>
      </w:r>
      <w:r w:rsidR="00E476B2">
        <w:rPr>
          <w:rFonts w:ascii="Arial" w:hAnsi="Arial" w:cs="Arial"/>
          <w:sz w:val="22"/>
          <w:szCs w:val="22"/>
        </w:rPr>
        <w:t>8</w:t>
      </w:r>
    </w:p>
    <w:p w14:paraId="56A2F6FE" w14:textId="25951CF8" w:rsidR="00E476B2" w:rsidRPr="00E476B2" w:rsidRDefault="00E476B2" w:rsidP="00E476B2">
      <w:pPr>
        <w:pStyle w:val="ListParagraph"/>
        <w:numPr>
          <w:ilvl w:val="0"/>
          <w:numId w:val="4"/>
        </w:numPr>
        <w:rPr>
          <w:rFonts w:ascii="Arial" w:hAnsi="Arial" w:cs="Arial"/>
          <w:sz w:val="22"/>
          <w:szCs w:val="22"/>
        </w:rPr>
      </w:pPr>
      <w:r>
        <w:rPr>
          <w:rFonts w:ascii="Arial" w:hAnsi="Arial" w:cs="Arial"/>
          <w:sz w:val="22"/>
          <w:szCs w:val="22"/>
        </w:rPr>
        <w:t xml:space="preserve">References ……………………………………………………………….9 </w:t>
      </w:r>
    </w:p>
    <w:p w14:paraId="4F2A6A9A" w14:textId="77777777" w:rsidR="008455AD" w:rsidRDefault="008455AD" w:rsidP="008455AD">
      <w:pPr>
        <w:jc w:val="center"/>
        <w:rPr>
          <w:rFonts w:ascii="Arial" w:hAnsi="Arial" w:cs="Arial"/>
          <w:sz w:val="22"/>
          <w:szCs w:val="22"/>
        </w:rPr>
      </w:pPr>
    </w:p>
    <w:p w14:paraId="49CEDF14" w14:textId="77777777" w:rsidR="008455AD" w:rsidRDefault="008455AD" w:rsidP="008455AD">
      <w:pPr>
        <w:jc w:val="center"/>
        <w:rPr>
          <w:rFonts w:ascii="Arial" w:hAnsi="Arial" w:cs="Arial"/>
          <w:sz w:val="22"/>
          <w:szCs w:val="22"/>
        </w:rPr>
      </w:pPr>
    </w:p>
    <w:p w14:paraId="570DA104" w14:textId="77777777" w:rsidR="008455AD" w:rsidRDefault="008455AD" w:rsidP="008455AD">
      <w:pPr>
        <w:jc w:val="center"/>
        <w:rPr>
          <w:rFonts w:ascii="Arial" w:hAnsi="Arial" w:cs="Arial"/>
          <w:sz w:val="22"/>
          <w:szCs w:val="22"/>
        </w:rPr>
      </w:pPr>
    </w:p>
    <w:p w14:paraId="79B69B39" w14:textId="77777777" w:rsidR="008455AD" w:rsidRDefault="008455AD" w:rsidP="008455AD">
      <w:pPr>
        <w:jc w:val="center"/>
        <w:rPr>
          <w:rFonts w:ascii="Arial" w:hAnsi="Arial" w:cs="Arial"/>
          <w:sz w:val="22"/>
          <w:szCs w:val="22"/>
        </w:rPr>
      </w:pPr>
    </w:p>
    <w:p w14:paraId="2681FD1B" w14:textId="77777777" w:rsidR="008455AD" w:rsidRDefault="008455AD" w:rsidP="008455AD">
      <w:pPr>
        <w:jc w:val="center"/>
        <w:rPr>
          <w:rFonts w:ascii="Arial" w:hAnsi="Arial" w:cs="Arial"/>
          <w:sz w:val="22"/>
          <w:szCs w:val="22"/>
        </w:rPr>
      </w:pPr>
    </w:p>
    <w:p w14:paraId="6622EA60" w14:textId="77777777" w:rsidR="008455AD" w:rsidRDefault="008455AD" w:rsidP="008455AD">
      <w:pPr>
        <w:jc w:val="center"/>
        <w:rPr>
          <w:rFonts w:ascii="Arial" w:hAnsi="Arial" w:cs="Arial"/>
          <w:sz w:val="22"/>
          <w:szCs w:val="22"/>
        </w:rPr>
      </w:pPr>
    </w:p>
    <w:p w14:paraId="105C9EE9" w14:textId="77777777" w:rsidR="008455AD" w:rsidRDefault="008455AD" w:rsidP="008455AD">
      <w:pPr>
        <w:jc w:val="center"/>
        <w:rPr>
          <w:rFonts w:ascii="Arial" w:hAnsi="Arial" w:cs="Arial"/>
          <w:sz w:val="22"/>
          <w:szCs w:val="22"/>
        </w:rPr>
      </w:pPr>
    </w:p>
    <w:p w14:paraId="287AA793" w14:textId="77777777" w:rsidR="008455AD" w:rsidRDefault="008455AD" w:rsidP="008455AD">
      <w:pPr>
        <w:jc w:val="center"/>
        <w:rPr>
          <w:rFonts w:ascii="Arial" w:hAnsi="Arial" w:cs="Arial"/>
          <w:sz w:val="22"/>
          <w:szCs w:val="22"/>
        </w:rPr>
      </w:pPr>
    </w:p>
    <w:p w14:paraId="0E1FAD7B" w14:textId="77777777" w:rsidR="008455AD" w:rsidRDefault="008455AD" w:rsidP="008455AD">
      <w:pPr>
        <w:jc w:val="center"/>
        <w:rPr>
          <w:rFonts w:ascii="Arial" w:hAnsi="Arial" w:cs="Arial"/>
          <w:sz w:val="22"/>
          <w:szCs w:val="22"/>
        </w:rPr>
      </w:pPr>
    </w:p>
    <w:p w14:paraId="22705546" w14:textId="77777777" w:rsidR="008455AD" w:rsidRDefault="008455AD" w:rsidP="008455AD">
      <w:pPr>
        <w:jc w:val="center"/>
        <w:rPr>
          <w:rFonts w:ascii="Arial" w:hAnsi="Arial" w:cs="Arial"/>
          <w:sz w:val="22"/>
          <w:szCs w:val="22"/>
        </w:rPr>
      </w:pPr>
    </w:p>
    <w:p w14:paraId="4A4AA4F3" w14:textId="77777777" w:rsidR="008455AD" w:rsidRDefault="008455AD" w:rsidP="008455AD">
      <w:pPr>
        <w:jc w:val="center"/>
        <w:rPr>
          <w:rFonts w:ascii="Arial" w:hAnsi="Arial" w:cs="Arial"/>
          <w:sz w:val="22"/>
          <w:szCs w:val="22"/>
        </w:rPr>
      </w:pPr>
    </w:p>
    <w:p w14:paraId="181F842D" w14:textId="77777777" w:rsidR="008455AD" w:rsidRDefault="008455AD" w:rsidP="008455AD">
      <w:pPr>
        <w:jc w:val="center"/>
        <w:rPr>
          <w:rFonts w:ascii="Arial" w:hAnsi="Arial" w:cs="Arial"/>
          <w:sz w:val="22"/>
          <w:szCs w:val="22"/>
        </w:rPr>
      </w:pPr>
    </w:p>
    <w:p w14:paraId="07238B15" w14:textId="77777777" w:rsidR="008455AD" w:rsidRDefault="008455AD" w:rsidP="008455AD">
      <w:pPr>
        <w:jc w:val="center"/>
        <w:rPr>
          <w:rFonts w:ascii="Arial" w:hAnsi="Arial" w:cs="Arial"/>
          <w:sz w:val="22"/>
          <w:szCs w:val="22"/>
        </w:rPr>
      </w:pPr>
    </w:p>
    <w:p w14:paraId="5A80F399" w14:textId="77777777" w:rsidR="008455AD" w:rsidRDefault="008455AD" w:rsidP="008455AD">
      <w:pPr>
        <w:jc w:val="center"/>
        <w:rPr>
          <w:rFonts w:ascii="Arial" w:hAnsi="Arial" w:cs="Arial"/>
          <w:sz w:val="22"/>
          <w:szCs w:val="22"/>
        </w:rPr>
      </w:pPr>
    </w:p>
    <w:p w14:paraId="55662140" w14:textId="77777777" w:rsidR="008455AD" w:rsidRDefault="008455AD" w:rsidP="008455AD">
      <w:pPr>
        <w:jc w:val="center"/>
        <w:rPr>
          <w:rFonts w:ascii="Arial" w:hAnsi="Arial" w:cs="Arial"/>
          <w:sz w:val="22"/>
          <w:szCs w:val="22"/>
        </w:rPr>
      </w:pPr>
    </w:p>
    <w:p w14:paraId="5CE2D37D" w14:textId="77777777" w:rsidR="008455AD" w:rsidRDefault="008455AD" w:rsidP="008455AD">
      <w:pPr>
        <w:jc w:val="center"/>
        <w:rPr>
          <w:rFonts w:ascii="Arial" w:hAnsi="Arial" w:cs="Arial"/>
          <w:sz w:val="22"/>
          <w:szCs w:val="22"/>
        </w:rPr>
      </w:pPr>
    </w:p>
    <w:p w14:paraId="7669B679" w14:textId="77777777" w:rsidR="008455AD" w:rsidRDefault="008455AD" w:rsidP="008455AD">
      <w:pPr>
        <w:jc w:val="center"/>
        <w:rPr>
          <w:rFonts w:ascii="Arial" w:hAnsi="Arial" w:cs="Arial"/>
          <w:sz w:val="22"/>
          <w:szCs w:val="22"/>
        </w:rPr>
      </w:pPr>
    </w:p>
    <w:p w14:paraId="5EA4A67E" w14:textId="77777777" w:rsidR="008455AD" w:rsidRDefault="008455AD" w:rsidP="008455AD">
      <w:pPr>
        <w:jc w:val="center"/>
        <w:rPr>
          <w:rFonts w:ascii="Arial" w:hAnsi="Arial" w:cs="Arial"/>
          <w:sz w:val="22"/>
          <w:szCs w:val="22"/>
        </w:rPr>
      </w:pPr>
    </w:p>
    <w:p w14:paraId="62C60344" w14:textId="77777777" w:rsidR="008455AD" w:rsidRDefault="008455AD" w:rsidP="008455AD">
      <w:pPr>
        <w:jc w:val="center"/>
        <w:rPr>
          <w:rFonts w:ascii="Arial" w:hAnsi="Arial" w:cs="Arial"/>
          <w:sz w:val="22"/>
          <w:szCs w:val="22"/>
        </w:rPr>
      </w:pPr>
    </w:p>
    <w:p w14:paraId="5C2C7AD1" w14:textId="77777777" w:rsidR="008455AD" w:rsidRDefault="008455AD" w:rsidP="008455AD">
      <w:pPr>
        <w:jc w:val="center"/>
        <w:rPr>
          <w:rFonts w:ascii="Arial" w:hAnsi="Arial" w:cs="Arial"/>
          <w:sz w:val="22"/>
          <w:szCs w:val="22"/>
        </w:rPr>
      </w:pPr>
    </w:p>
    <w:p w14:paraId="2650A180" w14:textId="77777777" w:rsidR="008455AD" w:rsidRDefault="008455AD" w:rsidP="008455AD">
      <w:pPr>
        <w:jc w:val="center"/>
        <w:rPr>
          <w:rFonts w:ascii="Arial" w:hAnsi="Arial" w:cs="Arial"/>
          <w:sz w:val="22"/>
          <w:szCs w:val="22"/>
        </w:rPr>
      </w:pPr>
    </w:p>
    <w:p w14:paraId="6EBF92D0" w14:textId="41A0B5B7" w:rsidR="008455AD" w:rsidRDefault="008455AD" w:rsidP="008455AD">
      <w:pPr>
        <w:jc w:val="center"/>
        <w:rPr>
          <w:rFonts w:ascii="Arial" w:hAnsi="Arial" w:cs="Arial"/>
          <w:b/>
          <w:bCs/>
        </w:rPr>
      </w:pPr>
      <w:r w:rsidRPr="008455AD">
        <w:rPr>
          <w:rFonts w:ascii="Arial" w:hAnsi="Arial" w:cs="Arial"/>
          <w:b/>
          <w:bCs/>
        </w:rPr>
        <w:t xml:space="preserve">The Social Model of Disability: Development, Critiques and Application to Person-centred Health and Social Care </w:t>
      </w:r>
    </w:p>
    <w:p w14:paraId="0A6010C3" w14:textId="77777777" w:rsidR="008455AD" w:rsidRDefault="008455AD" w:rsidP="008455AD">
      <w:pPr>
        <w:rPr>
          <w:rFonts w:ascii="Arial" w:hAnsi="Arial" w:cs="Arial"/>
          <w:b/>
          <w:bCs/>
          <w:i/>
          <w:iCs/>
        </w:rPr>
      </w:pPr>
      <w:r w:rsidRPr="008455AD">
        <w:rPr>
          <w:rFonts w:ascii="Arial" w:hAnsi="Arial" w:cs="Arial"/>
          <w:b/>
          <w:bCs/>
          <w:i/>
          <w:iCs/>
        </w:rPr>
        <w:t xml:space="preserve">Introduction </w:t>
      </w:r>
    </w:p>
    <w:p w14:paraId="559E2B17" w14:textId="77777777" w:rsidR="0040335B" w:rsidRDefault="008455AD" w:rsidP="008455AD">
      <w:pPr>
        <w:rPr>
          <w:rFonts w:ascii="Arial" w:hAnsi="Arial" w:cs="Arial"/>
          <w:sz w:val="22"/>
          <w:szCs w:val="22"/>
        </w:rPr>
      </w:pPr>
      <w:r w:rsidRPr="008455AD">
        <w:rPr>
          <w:rFonts w:ascii="Arial" w:hAnsi="Arial" w:cs="Arial"/>
          <w:sz w:val="22"/>
          <w:szCs w:val="22"/>
        </w:rPr>
        <w:t xml:space="preserve">Understanding of disability influence </w:t>
      </w:r>
      <w:r>
        <w:rPr>
          <w:rFonts w:ascii="Arial" w:hAnsi="Arial" w:cs="Arial"/>
          <w:sz w:val="22"/>
          <w:szCs w:val="22"/>
        </w:rPr>
        <w:t>how health and social care services assess needs, distribute resources and involve individuals in decisions. The traditional medical model locates disability within and individual’s physical or mental impairment and priorities diagnosis, treatment and rehabilitation. By contrast, the social model argues that people are disable mainly by environmental, organisational and attitudinal barriers</w:t>
      </w:r>
      <w:r w:rsidR="00CF1F80">
        <w:rPr>
          <w:rFonts w:ascii="Arial" w:hAnsi="Arial" w:cs="Arial"/>
          <w:sz w:val="22"/>
          <w:szCs w:val="22"/>
        </w:rPr>
        <w:t xml:space="preserve"> (Oliver, 1990)</w:t>
      </w:r>
      <w:r>
        <w:rPr>
          <w:rFonts w:ascii="Arial" w:hAnsi="Arial" w:cs="Arial"/>
          <w:sz w:val="22"/>
          <w:szCs w:val="22"/>
        </w:rPr>
        <w:t>. This distinction supports person-centred care because it redirects attention from correcting the individual towards removing restrictions, protecting rights and enabling participation. Person-centred practice similarly recognises people as experts in their own live and respect their identities, preferences and aspirations (McCormack and McCance, 20</w:t>
      </w:r>
      <w:r w:rsidR="007B50ED">
        <w:rPr>
          <w:rFonts w:ascii="Arial" w:hAnsi="Arial" w:cs="Arial"/>
          <w:sz w:val="22"/>
          <w:szCs w:val="22"/>
        </w:rPr>
        <w:t>17</w:t>
      </w:r>
      <w:r>
        <w:rPr>
          <w:rFonts w:ascii="Arial" w:hAnsi="Arial" w:cs="Arial"/>
          <w:sz w:val="22"/>
          <w:szCs w:val="22"/>
        </w:rPr>
        <w:t>).</w:t>
      </w:r>
    </w:p>
    <w:p w14:paraId="7998600E" w14:textId="66C10D0A" w:rsidR="008455AD" w:rsidRPr="008455AD" w:rsidRDefault="008455AD" w:rsidP="008455AD">
      <w:pPr>
        <w:rPr>
          <w:rFonts w:ascii="Arial" w:hAnsi="Arial" w:cs="Arial"/>
          <w:b/>
          <w:bCs/>
          <w:i/>
          <w:iCs/>
        </w:rPr>
      </w:pPr>
      <w:r>
        <w:rPr>
          <w:rFonts w:ascii="Arial" w:hAnsi="Arial" w:cs="Arial"/>
          <w:sz w:val="22"/>
          <w:szCs w:val="22"/>
        </w:rPr>
        <w:t xml:space="preserve"> However, the social model has been criticized for separating impairment too sharply from disability and underestimating pain, illness and differences between disabled people</w:t>
      </w:r>
      <w:r w:rsidR="00CF1F80">
        <w:rPr>
          <w:rFonts w:ascii="Arial" w:hAnsi="Arial" w:cs="Arial"/>
          <w:sz w:val="22"/>
          <w:szCs w:val="22"/>
        </w:rPr>
        <w:t xml:space="preserve"> (Shakespeare, 2014)</w:t>
      </w:r>
      <w:r>
        <w:rPr>
          <w:rFonts w:ascii="Arial" w:hAnsi="Arial" w:cs="Arial"/>
          <w:sz w:val="22"/>
          <w:szCs w:val="22"/>
        </w:rPr>
        <w:t>. This essay critically evaluates the models emerge, development, criticisms and responses before examining its application to health and social care policy and practice. It argues that the model remains essential for challenging inequality but should be applied flexibly alongside recognition of impairment,</w:t>
      </w:r>
      <w:r w:rsidR="00094122">
        <w:rPr>
          <w:rFonts w:ascii="Arial" w:hAnsi="Arial" w:cs="Arial"/>
          <w:sz w:val="22"/>
          <w:szCs w:val="22"/>
        </w:rPr>
        <w:t xml:space="preserve"> </w:t>
      </w:r>
      <w:r>
        <w:rPr>
          <w:rFonts w:ascii="Arial" w:hAnsi="Arial" w:cs="Arial"/>
          <w:sz w:val="22"/>
          <w:szCs w:val="22"/>
        </w:rPr>
        <w:t>intersectionality and individual experience.</w:t>
      </w:r>
    </w:p>
    <w:p w14:paraId="6B8FED1C" w14:textId="77777777" w:rsidR="008455AD" w:rsidRDefault="008455AD" w:rsidP="008455AD">
      <w:pPr>
        <w:rPr>
          <w:rFonts w:ascii="Arial" w:hAnsi="Arial" w:cs="Arial"/>
          <w:b/>
          <w:bCs/>
        </w:rPr>
      </w:pPr>
      <w:r w:rsidRPr="008455AD">
        <w:rPr>
          <w:rFonts w:ascii="Arial" w:hAnsi="Arial" w:cs="Arial"/>
          <w:b/>
          <w:bCs/>
        </w:rPr>
        <w:t>Emergence and Development of the Social Model of Disability</w:t>
      </w:r>
    </w:p>
    <w:p w14:paraId="68D83C49" w14:textId="188102C2" w:rsidR="00020738" w:rsidRPr="00020738" w:rsidRDefault="008455AD" w:rsidP="008455AD">
      <w:pPr>
        <w:rPr>
          <w:rFonts w:ascii="Arial" w:hAnsi="Arial" w:cs="Arial"/>
          <w:sz w:val="22"/>
          <w:szCs w:val="22"/>
        </w:rPr>
      </w:pPr>
      <w:r w:rsidRPr="00020738">
        <w:rPr>
          <w:rFonts w:ascii="Arial" w:hAnsi="Arial" w:cs="Arial"/>
          <w:sz w:val="22"/>
          <w:szCs w:val="22"/>
        </w:rPr>
        <w:t>The social model emerged from the British Disabled Movement during the 1970s</w:t>
      </w:r>
      <w:r w:rsidR="00CF1F80">
        <w:rPr>
          <w:rFonts w:ascii="Arial" w:hAnsi="Arial" w:cs="Arial"/>
          <w:sz w:val="22"/>
          <w:szCs w:val="22"/>
        </w:rPr>
        <w:t xml:space="preserve"> (UPIAS, 1976; Oliver, 1990)</w:t>
      </w:r>
      <w:r w:rsidRPr="00020738">
        <w:rPr>
          <w:rFonts w:ascii="Arial" w:hAnsi="Arial" w:cs="Arial"/>
          <w:sz w:val="22"/>
          <w:szCs w:val="22"/>
        </w:rPr>
        <w:t>. Disabled people were frequently presented as dependent recipients of medical treatment, institutional care or charity and were excluded from education, employment, housing and community li</w:t>
      </w:r>
      <w:r w:rsidR="00020738">
        <w:rPr>
          <w:rFonts w:ascii="Arial" w:hAnsi="Arial" w:cs="Arial"/>
          <w:sz w:val="22"/>
          <w:szCs w:val="22"/>
        </w:rPr>
        <w:t>fe.</w:t>
      </w:r>
      <w:r w:rsidR="00020738" w:rsidRPr="00020738">
        <w:rPr>
          <w:rFonts w:ascii="Arial" w:hAnsi="Arial" w:cs="Arial"/>
          <w:sz w:val="22"/>
          <w:szCs w:val="22"/>
        </w:rPr>
        <w:t xml:space="preserve"> </w:t>
      </w:r>
      <w:r w:rsidRPr="00020738">
        <w:rPr>
          <w:rFonts w:ascii="Arial" w:hAnsi="Arial" w:cs="Arial"/>
          <w:sz w:val="22"/>
          <w:szCs w:val="22"/>
        </w:rPr>
        <w:t>The union of the Physical impaired Against Segregation challenged this individualised understanding by distinguishing between impairment and disability. It described impairment as physical characteristic or limitation, while disability was de disadvantage imposed when society unnecessarily isolated and excluded people with impairments (UPIAS, 1976). This distinction was politically significant because exclusion was no longer understood as unavoidable consequence of a person’s body.</w:t>
      </w:r>
    </w:p>
    <w:p w14:paraId="0811F8DD" w14:textId="4A8DA352" w:rsidR="008455AD" w:rsidRDefault="008455AD" w:rsidP="008455AD">
      <w:pPr>
        <w:rPr>
          <w:rFonts w:ascii="Arial" w:hAnsi="Arial" w:cs="Arial"/>
          <w:sz w:val="22"/>
          <w:szCs w:val="22"/>
        </w:rPr>
      </w:pPr>
      <w:r w:rsidRPr="008455AD">
        <w:rPr>
          <w:rFonts w:ascii="Arial" w:hAnsi="Arial" w:cs="Arial"/>
          <w:sz w:val="22"/>
          <w:szCs w:val="22"/>
        </w:rPr>
        <w:t xml:space="preserve">Oliver (1990) subsequently developed the expression “social model of disability” and contrasted it with the individual model. Under the medical or individual model, professional may define the person’s </w:t>
      </w:r>
      <w:r>
        <w:rPr>
          <w:rFonts w:ascii="Arial" w:hAnsi="Arial" w:cs="Arial"/>
          <w:sz w:val="22"/>
          <w:szCs w:val="22"/>
        </w:rPr>
        <w:t xml:space="preserve">problem and direct interventions towards treatment, rehabilitation or normalisation. The social model instead examines inaccessible buildings, inflexible services, </w:t>
      </w:r>
      <w:r>
        <w:rPr>
          <w:rFonts w:ascii="Arial" w:hAnsi="Arial" w:cs="Arial"/>
          <w:sz w:val="22"/>
          <w:szCs w:val="22"/>
        </w:rPr>
        <w:lastRenderedPageBreak/>
        <w:t>discriminatory employment practices and negatives attitudes. For example, a wheelchair user has a mobility impairment, but disability is produced when a healthcare facility has steps, narrows entrances or unsuitable examination equipment. This analysis reframes disability as matter of equality, citizen and social organisation rather than solely as a clinical problem.</w:t>
      </w:r>
    </w:p>
    <w:p w14:paraId="4161F4BC" w14:textId="6C968891" w:rsidR="008455AD" w:rsidRDefault="008455AD" w:rsidP="008455AD">
      <w:pPr>
        <w:rPr>
          <w:rFonts w:ascii="Arial" w:hAnsi="Arial" w:cs="Arial"/>
          <w:sz w:val="22"/>
          <w:szCs w:val="22"/>
        </w:rPr>
      </w:pPr>
      <w:r>
        <w:rPr>
          <w:rFonts w:ascii="Arial" w:hAnsi="Arial" w:cs="Arial"/>
          <w:sz w:val="22"/>
          <w:szCs w:val="22"/>
        </w:rPr>
        <w:t>The model enable</w:t>
      </w:r>
      <w:r w:rsidR="00CF1F80">
        <w:rPr>
          <w:rFonts w:ascii="Arial" w:hAnsi="Arial" w:cs="Arial"/>
          <w:sz w:val="22"/>
          <w:szCs w:val="22"/>
        </w:rPr>
        <w:t>d</w:t>
      </w:r>
      <w:r>
        <w:rPr>
          <w:rFonts w:ascii="Arial" w:hAnsi="Arial" w:cs="Arial"/>
          <w:sz w:val="22"/>
          <w:szCs w:val="22"/>
        </w:rPr>
        <w:t xml:space="preserve"> disable</w:t>
      </w:r>
      <w:r w:rsidR="00CF1F80">
        <w:rPr>
          <w:rFonts w:ascii="Arial" w:hAnsi="Arial" w:cs="Arial"/>
          <w:sz w:val="22"/>
          <w:szCs w:val="22"/>
        </w:rPr>
        <w:t>d</w:t>
      </w:r>
      <w:r>
        <w:rPr>
          <w:rFonts w:ascii="Arial" w:hAnsi="Arial" w:cs="Arial"/>
          <w:sz w:val="22"/>
          <w:szCs w:val="22"/>
        </w:rPr>
        <w:t xml:space="preserve"> people to develop a collective political identity and challenge professional power. Barnes (2012) argues that disability must be considered within wider economic and political structures that determine who can participate in society. The model therefore demands more than sympathetic professional behaviour; it requires organisations to redistribute power and redesign services. It also influenced the principle “Nothing about us without us”, which means that disable people should participate meaningfully in decisions affecting their lives</w:t>
      </w:r>
      <w:r w:rsidR="00CF1F80">
        <w:rPr>
          <w:rFonts w:ascii="Arial" w:hAnsi="Arial" w:cs="Arial"/>
          <w:sz w:val="22"/>
          <w:szCs w:val="22"/>
        </w:rPr>
        <w:t xml:space="preserve"> (Barnes, 2012).</w:t>
      </w:r>
    </w:p>
    <w:p w14:paraId="2F35777E" w14:textId="6EF72BA5" w:rsidR="008455AD" w:rsidRDefault="008455AD" w:rsidP="008455AD">
      <w:pPr>
        <w:rPr>
          <w:rFonts w:ascii="Arial" w:hAnsi="Arial" w:cs="Arial"/>
          <w:sz w:val="22"/>
          <w:szCs w:val="22"/>
        </w:rPr>
      </w:pPr>
      <w:r>
        <w:rPr>
          <w:rFonts w:ascii="Arial" w:hAnsi="Arial" w:cs="Arial"/>
          <w:sz w:val="22"/>
          <w:szCs w:val="22"/>
        </w:rPr>
        <w:t>This development closely relates to person-centred care both approaches challenge the assumption that professionals automatically know what is best.</w:t>
      </w:r>
      <w:r w:rsidR="006B6233">
        <w:rPr>
          <w:rFonts w:ascii="Arial" w:hAnsi="Arial" w:cs="Arial"/>
          <w:sz w:val="22"/>
          <w:szCs w:val="22"/>
        </w:rPr>
        <w:t xml:space="preserve"> This approach also reflects Rogers’ p</w:t>
      </w:r>
      <w:r>
        <w:rPr>
          <w:rFonts w:ascii="Arial" w:hAnsi="Arial" w:cs="Arial"/>
          <w:sz w:val="22"/>
          <w:szCs w:val="22"/>
        </w:rPr>
        <w:t xml:space="preserve">erson-centred </w:t>
      </w:r>
      <w:r w:rsidR="006B6233">
        <w:rPr>
          <w:rFonts w:ascii="Arial" w:hAnsi="Arial" w:cs="Arial"/>
          <w:sz w:val="22"/>
          <w:szCs w:val="22"/>
        </w:rPr>
        <w:t xml:space="preserve">principles of empathy, congruence and unconditional positive regard, which support respectful relationships and recognise individuals as active participants in decisions affecting their lives (Roger, 1951). Person-centred </w:t>
      </w:r>
      <w:r>
        <w:rPr>
          <w:rFonts w:ascii="Arial" w:hAnsi="Arial" w:cs="Arial"/>
          <w:sz w:val="22"/>
          <w:szCs w:val="22"/>
        </w:rPr>
        <w:t>practice considers an individual’s values, strengths, relationships and goals and goal’s instead of reducing the person to diagnosis (McCormack and McCance, 20</w:t>
      </w:r>
      <w:r w:rsidR="007B50ED">
        <w:rPr>
          <w:rFonts w:ascii="Arial" w:hAnsi="Arial" w:cs="Arial"/>
          <w:sz w:val="22"/>
          <w:szCs w:val="22"/>
        </w:rPr>
        <w:t>17</w:t>
      </w:r>
      <w:r>
        <w:rPr>
          <w:rFonts w:ascii="Arial" w:hAnsi="Arial" w:cs="Arial"/>
          <w:sz w:val="22"/>
          <w:szCs w:val="22"/>
        </w:rPr>
        <w:t>). Nevertheless, personalisation and the social model are not identical. A service may offer individual choices while remaining physically inaccessible or intuitionally discriminatory. Genuinely person-centred care must be therefore responded to individual preferences while challenging the structural barriers restricting those choices.</w:t>
      </w:r>
    </w:p>
    <w:p w14:paraId="3B2CFE5C" w14:textId="77777777" w:rsidR="008455AD" w:rsidRDefault="008455AD" w:rsidP="008455AD">
      <w:pPr>
        <w:rPr>
          <w:rFonts w:ascii="Arial" w:hAnsi="Arial" w:cs="Arial"/>
          <w:b/>
          <w:bCs/>
        </w:rPr>
      </w:pPr>
      <w:r w:rsidRPr="008455AD">
        <w:rPr>
          <w:rFonts w:ascii="Arial" w:hAnsi="Arial" w:cs="Arial"/>
          <w:b/>
          <w:bCs/>
        </w:rPr>
        <w:t>Critical Perspectives and Responses</w:t>
      </w:r>
      <w:r>
        <w:rPr>
          <w:rFonts w:ascii="Arial" w:hAnsi="Arial" w:cs="Arial"/>
          <w:b/>
          <w:bCs/>
        </w:rPr>
        <w:t xml:space="preserve"> </w:t>
      </w:r>
    </w:p>
    <w:p w14:paraId="2DEB03CB" w14:textId="5E5648A9" w:rsidR="00020738" w:rsidRDefault="008455AD" w:rsidP="008455AD">
      <w:pPr>
        <w:rPr>
          <w:rFonts w:ascii="Arial" w:hAnsi="Arial" w:cs="Arial"/>
          <w:b/>
          <w:bCs/>
        </w:rPr>
      </w:pPr>
      <w:r w:rsidRPr="008455AD">
        <w:rPr>
          <w:rFonts w:ascii="Arial" w:hAnsi="Arial" w:cs="Arial"/>
          <w:sz w:val="22"/>
          <w:szCs w:val="22"/>
        </w:rPr>
        <w:t xml:space="preserve">The model’s </w:t>
      </w:r>
      <w:r>
        <w:rPr>
          <w:rFonts w:ascii="Arial" w:hAnsi="Arial" w:cs="Arial"/>
          <w:sz w:val="22"/>
          <w:szCs w:val="22"/>
        </w:rPr>
        <w:t xml:space="preserve">principal strength is its identification of preventable inequality. It questions why society is organised around an assumed non-disabled norm and places responsibility on governments, organisations and service providers to promote inclusion. This can challenge stigma and belief that disabled people are naturally dependent. The model also provides a foundation for reasonable adjustments, independent living, accessibility and co-production. These principles support autonomy and prevent assessment from concentrating only on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individual’s perceived deficiencies</w:t>
      </w:r>
      <w:r w:rsidR="00CF1F80">
        <w:rPr>
          <w:rFonts w:ascii="Arial" w:hAnsi="Arial" w:cs="Arial"/>
          <w:sz w:val="22"/>
          <w:szCs w:val="22"/>
        </w:rPr>
        <w:t xml:space="preserve"> (Shakespeare, 2014).</w:t>
      </w:r>
      <w:r w:rsidR="00020738">
        <w:rPr>
          <w:rFonts w:ascii="Arial" w:hAnsi="Arial" w:cs="Arial"/>
          <w:b/>
          <w:bCs/>
        </w:rPr>
        <w:t xml:space="preserve">       </w:t>
      </w:r>
    </w:p>
    <w:p w14:paraId="0EE293C8" w14:textId="0A4575A1" w:rsidR="008455AD" w:rsidRPr="00020738" w:rsidRDefault="003263B4" w:rsidP="008455AD">
      <w:pPr>
        <w:rPr>
          <w:rFonts w:ascii="Arial" w:hAnsi="Arial" w:cs="Arial"/>
          <w:b/>
          <w:bCs/>
        </w:rPr>
      </w:pPr>
      <w:r>
        <w:rPr>
          <w:rFonts w:ascii="Arial" w:hAnsi="Arial" w:cs="Arial"/>
          <w:sz w:val="22"/>
          <w:szCs w:val="22"/>
        </w:rPr>
        <w:t xml:space="preserve"> </w:t>
      </w:r>
      <w:r w:rsidR="008455AD">
        <w:rPr>
          <w:rFonts w:ascii="Arial" w:hAnsi="Arial" w:cs="Arial"/>
          <w:sz w:val="22"/>
          <w:szCs w:val="22"/>
        </w:rPr>
        <w:t xml:space="preserve">However, the separation between impairment and disability has been criticised. Shakespeare (2014) argues that disability is created through a complex interaction between bodies, environments and social relationships. Removing environmental barriers can increase participation, but it cannot necessarily eliminate pain, fatigue or progressive illness. For example, an accessible workplace may benefit a person experiencing chronic pain, but the </w:t>
      </w:r>
      <w:r w:rsidR="008455AD">
        <w:rPr>
          <w:rFonts w:ascii="Arial" w:hAnsi="Arial" w:cs="Arial"/>
          <w:sz w:val="22"/>
          <w:szCs w:val="22"/>
        </w:rPr>
        <w:lastRenderedPageBreak/>
        <w:t>pain may continue to affect sleep, concentration and mobility. A model focused entirely on external barriers could therefore overlook significant aspects of lived experience.</w:t>
      </w:r>
    </w:p>
    <w:p w14:paraId="5555285A" w14:textId="41876C32" w:rsidR="008455AD" w:rsidRDefault="008455AD" w:rsidP="008455AD">
      <w:pPr>
        <w:rPr>
          <w:rFonts w:ascii="Arial" w:hAnsi="Arial" w:cs="Arial"/>
          <w:sz w:val="22"/>
          <w:szCs w:val="22"/>
        </w:rPr>
      </w:pPr>
      <w:r>
        <w:rPr>
          <w:rFonts w:ascii="Arial" w:hAnsi="Arial" w:cs="Arial"/>
          <w:sz w:val="22"/>
          <w:szCs w:val="22"/>
        </w:rPr>
        <w:t>Disabled feminist writers developed an important response to this limitation. Morris (1991) argued that disabled people should be able to discuss pain and difficult bodily experiences without weakening the political struggle against oppression. Crow (1996) similarly proposed a renewed social model that recognises impairment while retaining its focus on social exclusion. Acknowledging treatment, rehabilitation or pain management does not require a return to medical dominance. The critical issue is whether interventions reflect the individual’s informed wishes or are presented as requirements for becoming socially acceptable.</w:t>
      </w:r>
    </w:p>
    <w:p w14:paraId="620B3EAA" w14:textId="0DA621C3" w:rsidR="008455AD" w:rsidRDefault="008455AD" w:rsidP="008455AD">
      <w:pPr>
        <w:rPr>
          <w:rFonts w:ascii="Arial" w:hAnsi="Arial" w:cs="Arial"/>
          <w:sz w:val="22"/>
          <w:szCs w:val="22"/>
        </w:rPr>
      </w:pPr>
      <w:r>
        <w:rPr>
          <w:rFonts w:ascii="Arial" w:hAnsi="Arial" w:cs="Arial"/>
          <w:sz w:val="22"/>
          <w:szCs w:val="22"/>
        </w:rPr>
        <w:t xml:space="preserve">The original model has also been criticised for treating disabled people as a homogeneous group. Experiences of disability are affected by gender, ethnicity, age, poverty and sexuality. Thomas (1999) developed a social-relational approach that considers both structural restrictions and the effects of discriminatory relationships. Two people with similar impairments may have very different opportunities if one has secure housing adequate income and supportive relationships, while the other experiences poverty and racism. Person-centred practice must therefore address intersecting inequalities rather than assume that removing on physical barrier will create equality. </w:t>
      </w:r>
    </w:p>
    <w:p w14:paraId="6D59DB44" w14:textId="047F276E" w:rsidR="008455AD" w:rsidRDefault="008455AD" w:rsidP="008455AD">
      <w:pPr>
        <w:rPr>
          <w:rFonts w:ascii="Arial" w:hAnsi="Arial" w:cs="Arial"/>
          <w:sz w:val="22"/>
          <w:szCs w:val="22"/>
        </w:rPr>
      </w:pPr>
      <w:r>
        <w:rPr>
          <w:rFonts w:ascii="Arial" w:hAnsi="Arial" w:cs="Arial"/>
          <w:sz w:val="22"/>
          <w:szCs w:val="22"/>
        </w:rPr>
        <w:t>The world Health Organization’s International Classification of Functioning, Disability and Health presents disability as an interaction between health conditions and contextual factors (World Health Organization, 2001). This may appear more balanced that a strict interpretation of the social model because it recognises bodily and environmental influences. However, placing disability within a professional classification system could return authority to professionals. The strongest response is not to abandon the social model but to preserve its emphasis on rights and power while recognising impairment, diversity and subjectivity experience.</w:t>
      </w:r>
    </w:p>
    <w:p w14:paraId="431F6538" w14:textId="77777777" w:rsidR="0040335B" w:rsidRDefault="008455AD" w:rsidP="008455AD">
      <w:pPr>
        <w:rPr>
          <w:rFonts w:ascii="Arial" w:hAnsi="Arial" w:cs="Arial"/>
          <w:b/>
          <w:bCs/>
        </w:rPr>
      </w:pPr>
      <w:r w:rsidRPr="008455AD">
        <w:rPr>
          <w:rFonts w:ascii="Arial" w:hAnsi="Arial" w:cs="Arial"/>
          <w:b/>
          <w:bCs/>
        </w:rPr>
        <w:t xml:space="preserve">Application to Health and Social Care Policy </w:t>
      </w:r>
    </w:p>
    <w:p w14:paraId="171562BE" w14:textId="4D48ECEB" w:rsidR="008455AD" w:rsidRPr="0040335B" w:rsidRDefault="008455AD" w:rsidP="008455AD">
      <w:pPr>
        <w:rPr>
          <w:rFonts w:ascii="Arial" w:hAnsi="Arial" w:cs="Arial"/>
          <w:b/>
          <w:bCs/>
        </w:rPr>
      </w:pPr>
      <w:r>
        <w:rPr>
          <w:rFonts w:ascii="Arial" w:hAnsi="Arial" w:cs="Arial"/>
          <w:sz w:val="22"/>
          <w:szCs w:val="22"/>
        </w:rPr>
        <w:t xml:space="preserve">The social model has influenced international and UK policy. The Nations Convention on Rights of Persons with Disabilities recognises that disability results from interaction between impairments and attitudinal and environmental barriers (United Nations, (2006). Its principles include dignity, autonomy, accessibility, equality and participation. It consequently shifts policy away from presenting disable people as passive recipients of welfare and towards recognising them as citizens and right-holders. </w:t>
      </w:r>
    </w:p>
    <w:p w14:paraId="1F712310" w14:textId="77777777" w:rsidR="0040335B" w:rsidRDefault="008455AD">
      <w:pPr>
        <w:rPr>
          <w:rFonts w:ascii="Arial" w:hAnsi="Arial" w:cs="Arial"/>
          <w:sz w:val="22"/>
          <w:szCs w:val="22"/>
        </w:rPr>
      </w:pPr>
      <w:r>
        <w:rPr>
          <w:rFonts w:ascii="Arial" w:hAnsi="Arial" w:cs="Arial"/>
          <w:sz w:val="22"/>
          <w:szCs w:val="22"/>
        </w:rPr>
        <w:t xml:space="preserve">In Great Britain, the Equality Act 2010 protects disable people from discrimination and requires reasonable adjustments in employment, education and service provision. Health and social care adjustment may include accessible information, sign-language interpretation, longer </w:t>
      </w:r>
      <w:r>
        <w:rPr>
          <w:rFonts w:ascii="Arial" w:hAnsi="Arial" w:cs="Arial"/>
          <w:sz w:val="22"/>
          <w:szCs w:val="22"/>
        </w:rPr>
        <w:lastRenderedPageBreak/>
        <w:t>appointments and alterations to buildings. These duties reflect the social model because services must change rather than require individuals to overcome inaccessible systems. Nevertheless, the Act retains an impairment-based definition requiring a substantial and long-term adverse effect on normal daily activities (Great Britain, 2010). This creates tension between social-model principles and the requirement to prove individual limitation before receiving legal protection.</w:t>
      </w:r>
      <w:r w:rsidR="00020738">
        <w:rPr>
          <w:rFonts w:ascii="Arial" w:hAnsi="Arial" w:cs="Arial"/>
          <w:sz w:val="22"/>
          <w:szCs w:val="22"/>
        </w:rPr>
        <w:t xml:space="preserve"> </w:t>
      </w:r>
      <w:r>
        <w:rPr>
          <w:rFonts w:ascii="Arial" w:hAnsi="Arial" w:cs="Arial"/>
          <w:sz w:val="22"/>
          <w:szCs w:val="22"/>
        </w:rPr>
        <w:t>The Care Act 2014 also reflects the social-model principles through its emphasis on wellbeing, participation, prevention and control over everyday life (Great Britain, 2014). Assessments should consider desired outcomes instead of simply placing individuals into standard services. Statutory guidance requires consideration of the person’s views, wishes, feelings with independent living (</w:t>
      </w:r>
      <w:r w:rsidR="004C146F">
        <w:rPr>
          <w:rFonts w:ascii="Arial" w:hAnsi="Arial" w:cs="Arial"/>
          <w:sz w:val="22"/>
          <w:szCs w:val="22"/>
        </w:rPr>
        <w:t>Great Britain, 2014)</w:t>
      </w:r>
      <w:r>
        <w:rPr>
          <w:rFonts w:ascii="Arial" w:hAnsi="Arial" w:cs="Arial"/>
          <w:sz w:val="22"/>
          <w:szCs w:val="22"/>
        </w:rPr>
        <w:t>. However, restrictive eligibility thresholds and financial pressures may prevent these principles from being achieved consistently.</w:t>
      </w:r>
      <w:r w:rsidR="00020738">
        <w:rPr>
          <w:rFonts w:ascii="Arial" w:hAnsi="Arial" w:cs="Arial"/>
          <w:sz w:val="22"/>
          <w:szCs w:val="22"/>
        </w:rPr>
        <w:t xml:space="preserve"> </w:t>
      </w:r>
      <w:r>
        <w:rPr>
          <w:rFonts w:ascii="Arial" w:hAnsi="Arial" w:cs="Arial"/>
          <w:sz w:val="22"/>
          <w:szCs w:val="22"/>
        </w:rPr>
        <w:t xml:space="preserve">The Health and Care Act 2022 encourages integration between healthcare, social care and other organisations (Great Britain, 2022). </w:t>
      </w:r>
    </w:p>
    <w:p w14:paraId="40F91379" w14:textId="51A0C34C" w:rsidR="008455AD" w:rsidRDefault="008455AD">
      <w:pPr>
        <w:rPr>
          <w:rFonts w:ascii="Arial" w:hAnsi="Arial" w:cs="Arial"/>
          <w:sz w:val="22"/>
          <w:szCs w:val="22"/>
        </w:rPr>
      </w:pPr>
      <w:r>
        <w:rPr>
          <w:rFonts w:ascii="Arial" w:hAnsi="Arial" w:cs="Arial"/>
          <w:sz w:val="22"/>
          <w:szCs w:val="22"/>
        </w:rPr>
        <w:t xml:space="preserve">Partnership working my reduce fragmentation for disabled people who would otherwise have to repeat their need to numerous services (NHS England, (2019) similarly promotes personalised care and greater involvement in decisions. However, integration may remain organisational rather than genuinely person-centred if disabled people are absent from service design, decision-making and </w:t>
      </w:r>
      <w:r w:rsidR="00020738">
        <w:rPr>
          <w:rFonts w:ascii="Arial" w:hAnsi="Arial" w:cs="Arial"/>
          <w:sz w:val="22"/>
          <w:szCs w:val="22"/>
        </w:rPr>
        <w:t>evaluation. An</w:t>
      </w:r>
      <w:r>
        <w:rPr>
          <w:rFonts w:ascii="Arial" w:hAnsi="Arial" w:cs="Arial"/>
          <w:sz w:val="22"/>
          <w:szCs w:val="22"/>
        </w:rPr>
        <w:t xml:space="preserve"> implementation gap consequently exists between legal right and everyday experiences. Inaccessible buildings, staff shortages, complex assessment systems and insufficient resources can undermine legislation. (Berghs et al. 2019) argue that the social model should be connected to enforceable human rights and adequate material resources. Without funding and accountability, policy language concerning independence could place greater responsibility on individuals while leaving structural inequalities unchanged. </w:t>
      </w:r>
    </w:p>
    <w:p w14:paraId="0EF61C8B" w14:textId="06AE68B9" w:rsidR="008455AD" w:rsidRDefault="008455AD">
      <w:pPr>
        <w:rPr>
          <w:rFonts w:ascii="Arial" w:hAnsi="Arial" w:cs="Arial"/>
          <w:b/>
          <w:bCs/>
        </w:rPr>
      </w:pPr>
      <w:r w:rsidRPr="008455AD">
        <w:rPr>
          <w:rFonts w:ascii="Arial" w:hAnsi="Arial" w:cs="Arial"/>
          <w:b/>
          <w:bCs/>
        </w:rPr>
        <w:t xml:space="preserve">Application to Health and Social Care Practice </w:t>
      </w:r>
    </w:p>
    <w:p w14:paraId="2CB7290C" w14:textId="20E0CFD5" w:rsidR="00B516BD" w:rsidRDefault="009D26EF">
      <w:pPr>
        <w:rPr>
          <w:rFonts w:ascii="Arial" w:hAnsi="Arial" w:cs="Arial"/>
          <w:sz w:val="22"/>
          <w:szCs w:val="22"/>
        </w:rPr>
      </w:pPr>
      <w:r w:rsidRPr="002B328A">
        <w:rPr>
          <w:rFonts w:ascii="Arial" w:hAnsi="Arial" w:cs="Arial"/>
          <w:sz w:val="22"/>
          <w:szCs w:val="22"/>
        </w:rPr>
        <w:t>In practice, the social model requires professionals to identify barriers collaboratively rather than describe the disabled person as the problem. Assessments should begin with what matters to the individual, their strengths and their desired outcomes. If someone repeatedly misses appointment, practitioners should investigate inaccessible transport, unsuitable appointments times, communication difficulties or anxiety resulting from previous discrimination. The care plan can then address these barriers instead of labelling the individual as “non-compliant”</w:t>
      </w:r>
      <w:r w:rsidR="0081118D">
        <w:rPr>
          <w:rFonts w:ascii="Arial" w:hAnsi="Arial" w:cs="Arial"/>
          <w:sz w:val="22"/>
          <w:szCs w:val="22"/>
        </w:rPr>
        <w:t xml:space="preserve"> (NICE, 2018)</w:t>
      </w:r>
      <w:r w:rsidRPr="002B328A">
        <w:rPr>
          <w:rFonts w:ascii="Arial" w:hAnsi="Arial" w:cs="Arial"/>
          <w:sz w:val="22"/>
          <w:szCs w:val="22"/>
        </w:rPr>
        <w:t xml:space="preserve">. Information should be available in appropriate formats, including Easy Read, Large print, </w:t>
      </w:r>
      <w:r w:rsidR="002B328A" w:rsidRPr="002B328A">
        <w:rPr>
          <w:rFonts w:ascii="Arial" w:hAnsi="Arial" w:cs="Arial"/>
          <w:sz w:val="22"/>
          <w:szCs w:val="22"/>
        </w:rPr>
        <w:t>Braille</w:t>
      </w:r>
      <w:r w:rsidRPr="002B328A">
        <w:rPr>
          <w:rFonts w:ascii="Arial" w:hAnsi="Arial" w:cs="Arial"/>
          <w:sz w:val="22"/>
          <w:szCs w:val="22"/>
        </w:rPr>
        <w:t xml:space="preserve">, audio </w:t>
      </w:r>
      <w:r w:rsidR="002B328A" w:rsidRPr="002B328A">
        <w:rPr>
          <w:rFonts w:ascii="Arial" w:hAnsi="Arial" w:cs="Arial"/>
          <w:sz w:val="22"/>
          <w:szCs w:val="22"/>
        </w:rPr>
        <w:t>and</w:t>
      </w:r>
      <w:r w:rsidRPr="002B328A">
        <w:rPr>
          <w:rFonts w:ascii="Arial" w:hAnsi="Arial" w:cs="Arial"/>
          <w:sz w:val="22"/>
          <w:szCs w:val="22"/>
        </w:rPr>
        <w:t xml:space="preserve"> </w:t>
      </w:r>
      <w:r w:rsidR="002B328A" w:rsidRPr="002B328A">
        <w:rPr>
          <w:rFonts w:ascii="Arial" w:hAnsi="Arial" w:cs="Arial"/>
          <w:sz w:val="22"/>
          <w:szCs w:val="22"/>
        </w:rPr>
        <w:t>British</w:t>
      </w:r>
      <w:r w:rsidRPr="002B328A">
        <w:rPr>
          <w:rFonts w:ascii="Arial" w:hAnsi="Arial" w:cs="Arial"/>
          <w:sz w:val="22"/>
          <w:szCs w:val="22"/>
        </w:rPr>
        <w:t xml:space="preserve"> Sign Language</w:t>
      </w:r>
      <w:r w:rsidR="00BB1F74">
        <w:rPr>
          <w:rFonts w:ascii="Arial" w:hAnsi="Arial" w:cs="Arial"/>
          <w:sz w:val="22"/>
          <w:szCs w:val="22"/>
        </w:rPr>
        <w:t xml:space="preserve"> (NICE, 2018)</w:t>
      </w:r>
      <w:r w:rsidRPr="002B328A">
        <w:rPr>
          <w:rFonts w:ascii="Arial" w:hAnsi="Arial" w:cs="Arial"/>
          <w:sz w:val="22"/>
          <w:szCs w:val="22"/>
        </w:rPr>
        <w:t xml:space="preserve">. Practitioners should communicate directly with </w:t>
      </w:r>
      <w:r w:rsidR="002B328A" w:rsidRPr="002B328A">
        <w:rPr>
          <w:rFonts w:ascii="Arial" w:hAnsi="Arial" w:cs="Arial"/>
          <w:sz w:val="22"/>
          <w:szCs w:val="22"/>
        </w:rPr>
        <w:t>disabled</w:t>
      </w:r>
      <w:r w:rsidRPr="002B328A">
        <w:rPr>
          <w:rFonts w:ascii="Arial" w:hAnsi="Arial" w:cs="Arial"/>
          <w:sz w:val="22"/>
          <w:szCs w:val="22"/>
        </w:rPr>
        <w:t xml:space="preserve"> people </w:t>
      </w:r>
      <w:r w:rsidR="002B328A">
        <w:rPr>
          <w:rFonts w:ascii="Arial" w:hAnsi="Arial" w:cs="Arial"/>
          <w:sz w:val="22"/>
          <w:szCs w:val="22"/>
        </w:rPr>
        <w:t xml:space="preserve">rather than automatically addressing their relatives or carers. They must also avoid assumptions concerning intelligence, mental capacity, relationship of quality of life. The Mental Capacity Act 2005 </w:t>
      </w:r>
      <w:r w:rsidR="002B328A">
        <w:rPr>
          <w:rFonts w:ascii="Arial" w:hAnsi="Arial" w:cs="Arial"/>
          <w:sz w:val="22"/>
          <w:szCs w:val="22"/>
        </w:rPr>
        <w:lastRenderedPageBreak/>
        <w:t xml:space="preserve">estabileshes that adults must be presumed to have capacity unless evidence demonstrates otherwise (Great Britain, 2005). Accessible communication therefore supports autonomy, informed choice and lawful decision-making. Co-production offers a stronger application of the social model than consultation alone. Consultation may ask disable people to respond after decisions have largely been made, whereas co-production involves sharing power from the beginning. Disabled people can contribute to staff recruitment, </w:t>
      </w:r>
      <w:r w:rsidR="00B516BD">
        <w:rPr>
          <w:rFonts w:ascii="Arial" w:hAnsi="Arial" w:cs="Arial"/>
          <w:sz w:val="22"/>
          <w:szCs w:val="22"/>
        </w:rPr>
        <w:t>service design, accessibility audits and service evaluation. NICE</w:t>
      </w:r>
      <w:r w:rsidR="0081118D">
        <w:rPr>
          <w:rFonts w:ascii="Arial" w:hAnsi="Arial" w:cs="Arial"/>
          <w:sz w:val="22"/>
          <w:szCs w:val="22"/>
        </w:rPr>
        <w:t xml:space="preserve"> (</w:t>
      </w:r>
      <w:r w:rsidR="00B516BD">
        <w:rPr>
          <w:rFonts w:ascii="Arial" w:hAnsi="Arial" w:cs="Arial"/>
          <w:sz w:val="22"/>
          <w:szCs w:val="22"/>
        </w:rPr>
        <w:t>2018) similarly emphasis shared decision-making and communication adapted to individuals needs. However, participation should be adequately supported, accessible and paid where appropriate than relying on unpaid contributions from a small and potentially unrepresentative group.</w:t>
      </w:r>
    </w:p>
    <w:p w14:paraId="1871EB6F" w14:textId="4ED19FB0" w:rsidR="00B516BD" w:rsidRDefault="00B516BD">
      <w:pPr>
        <w:rPr>
          <w:rFonts w:ascii="Arial" w:hAnsi="Arial" w:cs="Arial"/>
          <w:sz w:val="22"/>
          <w:szCs w:val="22"/>
        </w:rPr>
      </w:pPr>
      <w:r>
        <w:rPr>
          <w:rFonts w:ascii="Arial" w:hAnsi="Arial" w:cs="Arial"/>
          <w:sz w:val="22"/>
          <w:szCs w:val="22"/>
        </w:rPr>
        <w:t>Multidisciplinary working is necessary because disabling barriers cross organisational boundaries. Nurses, social workers, occupational therapists, doctors, housing departments and voluntary organisations may need to cooperate. Occupational therapists can support environmental adaptations, while social workers address housing or community participation and healthcare professionals respond to impairment-related needs. The social model does not reject healthcare: it challenges medical intervention being imposed as the only solution to social exclusion</w:t>
      </w:r>
      <w:r w:rsidR="0081118D">
        <w:rPr>
          <w:rFonts w:ascii="Arial" w:hAnsi="Arial" w:cs="Arial"/>
          <w:sz w:val="22"/>
          <w:szCs w:val="22"/>
        </w:rPr>
        <w:t xml:space="preserve"> (Oliver, 1990; Shakespeare, 2014). </w:t>
      </w:r>
    </w:p>
    <w:p w14:paraId="36A008FC" w14:textId="19B5AEE9" w:rsidR="00274851" w:rsidRDefault="00B516BD">
      <w:pPr>
        <w:rPr>
          <w:rFonts w:ascii="Arial" w:hAnsi="Arial" w:cs="Arial"/>
          <w:sz w:val="22"/>
          <w:szCs w:val="22"/>
        </w:rPr>
      </w:pPr>
      <w:r>
        <w:rPr>
          <w:rFonts w:ascii="Arial" w:hAnsi="Arial" w:cs="Arial"/>
          <w:sz w:val="22"/>
          <w:szCs w:val="22"/>
        </w:rPr>
        <w:t xml:space="preserve">Nevertheless, pressures within practice can obstruct this </w:t>
      </w:r>
      <w:r w:rsidR="00400176">
        <w:rPr>
          <w:rFonts w:ascii="Arial" w:hAnsi="Arial" w:cs="Arial"/>
          <w:sz w:val="22"/>
          <w:szCs w:val="22"/>
        </w:rPr>
        <w:t>approach. Short assessments may promote checklist-based decision-making, while eligibility thresholds prioritise immediate danger over prevention and participation. Professional paternalism may continue when restrictive decisions are described as being in someone’s “best interest” without adequate involvement. Digital services may increase convenience for some users while excluding people without accessible technology, digital skills or suitable support. Individual professional commitment must therefore be reinforced by effective leadership, sufficient resources and organisational accountability</w:t>
      </w:r>
      <w:r w:rsidR="0081118D">
        <w:rPr>
          <w:rFonts w:ascii="Arial" w:hAnsi="Arial" w:cs="Arial"/>
          <w:sz w:val="22"/>
          <w:szCs w:val="22"/>
        </w:rPr>
        <w:t xml:space="preserve"> (Berghs et al., 2019).</w:t>
      </w:r>
    </w:p>
    <w:p w14:paraId="6EB65BEB" w14:textId="072A77A8" w:rsidR="005D796E" w:rsidRPr="00274851" w:rsidRDefault="005D796E">
      <w:pPr>
        <w:rPr>
          <w:rFonts w:ascii="Arial" w:hAnsi="Arial" w:cs="Arial"/>
          <w:sz w:val="22"/>
          <w:szCs w:val="22"/>
        </w:rPr>
      </w:pPr>
      <w:r w:rsidRPr="005D796E">
        <w:rPr>
          <w:rFonts w:ascii="Arial" w:hAnsi="Arial" w:cs="Arial"/>
          <w:b/>
          <w:bCs/>
        </w:rPr>
        <w:t xml:space="preserve"> Recommendations </w:t>
      </w:r>
    </w:p>
    <w:p w14:paraId="305DEE66" w14:textId="75650D22" w:rsidR="000079F1" w:rsidRPr="00062752" w:rsidRDefault="00CF7158" w:rsidP="00BD4E3B">
      <w:pPr>
        <w:rPr>
          <w:rFonts w:ascii="Arial" w:hAnsi="Arial" w:cs="Arial"/>
          <w:sz w:val="22"/>
          <w:szCs w:val="22"/>
        </w:rPr>
      </w:pPr>
      <w:r w:rsidRPr="00062752">
        <w:rPr>
          <w:rFonts w:ascii="Arial" w:hAnsi="Arial" w:cs="Arial"/>
          <w:sz w:val="22"/>
          <w:szCs w:val="22"/>
        </w:rPr>
        <w:t>Health and social care organisation</w:t>
      </w:r>
      <w:r w:rsidR="000079F1" w:rsidRPr="00062752">
        <w:rPr>
          <w:rFonts w:ascii="Arial" w:hAnsi="Arial" w:cs="Arial"/>
          <w:sz w:val="22"/>
          <w:szCs w:val="22"/>
        </w:rPr>
        <w:t xml:space="preserve">s should incorporate accessibility from the beginning of service design rather than repeatedly requiring individuals to request adjustments. This should include building, appointment systems, digital platforms and communication. Accessibility audits must involve </w:t>
      </w:r>
      <w:r w:rsidR="00062752">
        <w:rPr>
          <w:rFonts w:ascii="Arial" w:hAnsi="Arial" w:cs="Arial"/>
          <w:sz w:val="22"/>
          <w:szCs w:val="22"/>
        </w:rPr>
        <w:t>p</w:t>
      </w:r>
      <w:r w:rsidR="000079F1" w:rsidRPr="00062752">
        <w:rPr>
          <w:rFonts w:ascii="Arial" w:hAnsi="Arial" w:cs="Arial"/>
          <w:sz w:val="22"/>
          <w:szCs w:val="22"/>
        </w:rPr>
        <w:t>eople with different impairments because one standardised solution cannot meet everyone’s needs</w:t>
      </w:r>
      <w:r w:rsidR="0081118D">
        <w:rPr>
          <w:rFonts w:ascii="Arial" w:hAnsi="Arial" w:cs="Arial"/>
          <w:sz w:val="22"/>
          <w:szCs w:val="22"/>
        </w:rPr>
        <w:t xml:space="preserve"> </w:t>
      </w:r>
      <w:r w:rsidR="00B92973">
        <w:rPr>
          <w:rFonts w:ascii="Arial" w:hAnsi="Arial" w:cs="Arial"/>
          <w:sz w:val="22"/>
          <w:szCs w:val="22"/>
        </w:rPr>
        <w:t>(Great Britain, 2010; Nice, 2018)</w:t>
      </w:r>
      <w:r w:rsidR="000079F1" w:rsidRPr="00062752">
        <w:rPr>
          <w:rFonts w:ascii="Arial" w:hAnsi="Arial" w:cs="Arial"/>
          <w:sz w:val="22"/>
          <w:szCs w:val="22"/>
        </w:rPr>
        <w:t>.</w:t>
      </w:r>
    </w:p>
    <w:p w14:paraId="19F9D79C" w14:textId="6E0ED9E4" w:rsidR="000079F1" w:rsidRDefault="00062752" w:rsidP="00BD4E3B">
      <w:pPr>
        <w:rPr>
          <w:rFonts w:ascii="Arial" w:hAnsi="Arial" w:cs="Arial"/>
          <w:sz w:val="22"/>
          <w:szCs w:val="22"/>
        </w:rPr>
      </w:pPr>
      <w:r w:rsidRPr="00062752">
        <w:rPr>
          <w:rFonts w:ascii="Arial" w:hAnsi="Arial" w:cs="Arial"/>
          <w:sz w:val="22"/>
          <w:szCs w:val="22"/>
        </w:rPr>
        <w:t>Meaningful</w:t>
      </w:r>
      <w:r w:rsidR="000079F1" w:rsidRPr="00062752">
        <w:rPr>
          <w:rFonts w:ascii="Arial" w:hAnsi="Arial" w:cs="Arial"/>
          <w:sz w:val="22"/>
          <w:szCs w:val="22"/>
        </w:rPr>
        <w:t xml:space="preserve"> co-production should also be strengthened. Disabled people </w:t>
      </w:r>
      <w:r w:rsidRPr="00062752">
        <w:rPr>
          <w:rFonts w:ascii="Arial" w:hAnsi="Arial" w:cs="Arial"/>
          <w:sz w:val="22"/>
          <w:szCs w:val="22"/>
        </w:rPr>
        <w:t xml:space="preserve">should participate in commissioning, recruitment, policy development and evaluation, with payment and practical assistance provided for their </w:t>
      </w:r>
      <w:r w:rsidR="00B92973" w:rsidRPr="00062752">
        <w:rPr>
          <w:rFonts w:ascii="Arial" w:hAnsi="Arial" w:cs="Arial"/>
          <w:sz w:val="22"/>
          <w:szCs w:val="22"/>
        </w:rPr>
        <w:t>contribution</w:t>
      </w:r>
      <w:r w:rsidR="00B92973">
        <w:rPr>
          <w:rFonts w:ascii="Arial" w:hAnsi="Arial" w:cs="Arial"/>
          <w:sz w:val="22"/>
          <w:szCs w:val="22"/>
        </w:rPr>
        <w:t xml:space="preserve"> (NICE,2018). Staff</w:t>
      </w:r>
      <w:r>
        <w:rPr>
          <w:rFonts w:ascii="Arial" w:hAnsi="Arial" w:cs="Arial"/>
          <w:sz w:val="22"/>
          <w:szCs w:val="22"/>
        </w:rPr>
        <w:t xml:space="preserve"> education developed with disabled people should address the social model, human rights, intersectionality, acc</w:t>
      </w:r>
      <w:r w:rsidR="00814A3C">
        <w:rPr>
          <w:rFonts w:ascii="Arial" w:hAnsi="Arial" w:cs="Arial"/>
          <w:sz w:val="22"/>
          <w:szCs w:val="22"/>
        </w:rPr>
        <w:t xml:space="preserve">essible </w:t>
      </w:r>
      <w:r w:rsidR="00814A3C">
        <w:rPr>
          <w:rFonts w:ascii="Arial" w:hAnsi="Arial" w:cs="Arial"/>
          <w:sz w:val="22"/>
          <w:szCs w:val="22"/>
        </w:rPr>
        <w:lastRenderedPageBreak/>
        <w:t>communication and unconscious bias. However, training alone is insufficient; managers must evaluate whether education changes professional behaviour and improves outcomes for people using services</w:t>
      </w:r>
      <w:r w:rsidR="00B92973">
        <w:rPr>
          <w:rFonts w:ascii="Arial" w:hAnsi="Arial" w:cs="Arial"/>
          <w:sz w:val="22"/>
          <w:szCs w:val="22"/>
        </w:rPr>
        <w:t xml:space="preserve"> (Berghs et al., 2019).</w:t>
      </w:r>
    </w:p>
    <w:p w14:paraId="470F202C" w14:textId="4462053A" w:rsidR="00814A3C" w:rsidRDefault="00814A3C">
      <w:pPr>
        <w:rPr>
          <w:rFonts w:ascii="Arial" w:hAnsi="Arial" w:cs="Arial"/>
          <w:sz w:val="22"/>
          <w:szCs w:val="22"/>
        </w:rPr>
      </w:pPr>
      <w:r>
        <w:rPr>
          <w:rFonts w:ascii="Arial" w:hAnsi="Arial" w:cs="Arial"/>
          <w:sz w:val="22"/>
          <w:szCs w:val="22"/>
        </w:rPr>
        <w:t>Assessments should record environmental and attitudinal barriers alongside impairment-related needs. Integrated care plans should identify which organisation is responsible for removing each barrier and establishes review dates. Commission</w:t>
      </w:r>
      <w:r w:rsidR="00094122">
        <w:rPr>
          <w:rFonts w:ascii="Arial" w:hAnsi="Arial" w:cs="Arial"/>
          <w:sz w:val="22"/>
          <w:szCs w:val="22"/>
        </w:rPr>
        <w:t>er</w:t>
      </w:r>
      <w:r>
        <w:rPr>
          <w:rFonts w:ascii="Arial" w:hAnsi="Arial" w:cs="Arial"/>
          <w:sz w:val="22"/>
          <w:szCs w:val="22"/>
        </w:rPr>
        <w:t xml:space="preserve">s </w:t>
      </w:r>
      <w:r w:rsidR="00FC51AE">
        <w:rPr>
          <w:rFonts w:ascii="Arial" w:hAnsi="Arial" w:cs="Arial"/>
          <w:sz w:val="22"/>
          <w:szCs w:val="22"/>
        </w:rPr>
        <w:t>should measure outcomes such as autonomy, accessibility and participation instead of concentrating mainly on the number or speed of completed interventions</w:t>
      </w:r>
      <w:r w:rsidR="00B92973">
        <w:rPr>
          <w:rFonts w:ascii="Arial" w:hAnsi="Arial" w:cs="Arial"/>
          <w:sz w:val="22"/>
          <w:szCs w:val="22"/>
        </w:rPr>
        <w:t xml:space="preserve"> (Great Britain, 2014; </w:t>
      </w:r>
      <w:r w:rsidR="00094122">
        <w:rPr>
          <w:rFonts w:ascii="Arial" w:hAnsi="Arial" w:cs="Arial"/>
          <w:sz w:val="22"/>
          <w:szCs w:val="22"/>
        </w:rPr>
        <w:t>NICE</w:t>
      </w:r>
      <w:r w:rsidR="00B92973">
        <w:rPr>
          <w:rFonts w:ascii="Arial" w:hAnsi="Arial" w:cs="Arial"/>
          <w:sz w:val="22"/>
          <w:szCs w:val="22"/>
        </w:rPr>
        <w:t>, 2018).</w:t>
      </w:r>
    </w:p>
    <w:p w14:paraId="7A6851CD" w14:textId="2241B1A6" w:rsidR="006B6233" w:rsidRDefault="00FC51AE">
      <w:pPr>
        <w:rPr>
          <w:rFonts w:ascii="Arial" w:hAnsi="Arial" w:cs="Arial"/>
          <w:sz w:val="22"/>
          <w:szCs w:val="22"/>
        </w:rPr>
      </w:pPr>
      <w:r>
        <w:rPr>
          <w:rFonts w:ascii="Arial" w:hAnsi="Arial" w:cs="Arial"/>
          <w:sz w:val="22"/>
          <w:szCs w:val="22"/>
        </w:rPr>
        <w:t>Finally, the social model should apply flexibly. Structural discrimination must be challenged while recognis</w:t>
      </w:r>
      <w:r w:rsidR="00094122">
        <w:rPr>
          <w:rFonts w:ascii="Arial" w:hAnsi="Arial" w:cs="Arial"/>
          <w:sz w:val="22"/>
          <w:szCs w:val="22"/>
        </w:rPr>
        <w:t>ing</w:t>
      </w:r>
      <w:r>
        <w:rPr>
          <w:rFonts w:ascii="Arial" w:hAnsi="Arial" w:cs="Arial"/>
          <w:sz w:val="22"/>
          <w:szCs w:val="22"/>
        </w:rPr>
        <w:t xml:space="preserve"> that individuals may also want rehabilitation, treatment or pain </w:t>
      </w:r>
      <w:r w:rsidR="00B92973">
        <w:rPr>
          <w:rFonts w:ascii="Arial" w:hAnsi="Arial" w:cs="Arial"/>
          <w:sz w:val="22"/>
          <w:szCs w:val="22"/>
        </w:rPr>
        <w:t>managemen</w:t>
      </w:r>
      <w:r>
        <w:rPr>
          <w:rFonts w:ascii="Arial" w:hAnsi="Arial" w:cs="Arial"/>
          <w:sz w:val="22"/>
          <w:szCs w:val="22"/>
        </w:rPr>
        <w:t>t</w:t>
      </w:r>
      <w:r w:rsidR="00B92973">
        <w:rPr>
          <w:rFonts w:ascii="Arial" w:hAnsi="Arial" w:cs="Arial"/>
          <w:sz w:val="22"/>
          <w:szCs w:val="22"/>
        </w:rPr>
        <w:t xml:space="preserve"> (Shakespeare, 2014; Crow, 1996)</w:t>
      </w:r>
      <w:r>
        <w:rPr>
          <w:rFonts w:ascii="Arial" w:hAnsi="Arial" w:cs="Arial"/>
          <w:sz w:val="22"/>
          <w:szCs w:val="22"/>
        </w:rPr>
        <w:t>. Combining rights-based action with respect for bodily experience avoids both medical domination and the neglect of genuine healthcare needs. These recommendations nevertheless require sustained funding, leadership and accountability; without them, co-p</w:t>
      </w:r>
      <w:r w:rsidR="00274851">
        <w:rPr>
          <w:rFonts w:ascii="Arial" w:hAnsi="Arial" w:cs="Arial"/>
          <w:sz w:val="22"/>
          <w:szCs w:val="22"/>
        </w:rPr>
        <w:t>rodu</w:t>
      </w:r>
      <w:r>
        <w:rPr>
          <w:rFonts w:ascii="Arial" w:hAnsi="Arial" w:cs="Arial"/>
          <w:sz w:val="22"/>
          <w:szCs w:val="22"/>
        </w:rPr>
        <w:t>ction</w:t>
      </w:r>
      <w:r w:rsidR="00274851">
        <w:rPr>
          <w:rFonts w:ascii="Arial" w:hAnsi="Arial" w:cs="Arial"/>
          <w:sz w:val="22"/>
          <w:szCs w:val="22"/>
        </w:rPr>
        <w:t>, accessibility and participation risk becoming symbolic commitments rather than meaningful changes</w:t>
      </w:r>
      <w:r w:rsidR="00B92973">
        <w:rPr>
          <w:rFonts w:ascii="Arial" w:hAnsi="Arial" w:cs="Arial"/>
          <w:sz w:val="22"/>
          <w:szCs w:val="22"/>
        </w:rPr>
        <w:t xml:space="preserve"> (Berghs et al</w:t>
      </w:r>
      <w:r w:rsidR="00274851">
        <w:rPr>
          <w:rFonts w:ascii="Arial" w:hAnsi="Arial" w:cs="Arial"/>
          <w:sz w:val="22"/>
          <w:szCs w:val="22"/>
        </w:rPr>
        <w:t>.</w:t>
      </w:r>
      <w:r w:rsidR="00B92973">
        <w:rPr>
          <w:rFonts w:ascii="Arial" w:hAnsi="Arial" w:cs="Arial"/>
          <w:sz w:val="22"/>
          <w:szCs w:val="22"/>
        </w:rPr>
        <w:t xml:space="preserve">, 2019). </w:t>
      </w:r>
    </w:p>
    <w:p w14:paraId="74A3574E" w14:textId="564EA5BF" w:rsidR="00274851" w:rsidRDefault="00274851">
      <w:pPr>
        <w:rPr>
          <w:rFonts w:ascii="Arial" w:hAnsi="Arial" w:cs="Arial"/>
          <w:b/>
          <w:bCs/>
        </w:rPr>
      </w:pPr>
      <w:r w:rsidRPr="00274851">
        <w:rPr>
          <w:rFonts w:ascii="Arial" w:hAnsi="Arial" w:cs="Arial"/>
          <w:b/>
          <w:bCs/>
        </w:rPr>
        <w:t xml:space="preserve">Conclusion </w:t>
      </w:r>
    </w:p>
    <w:p w14:paraId="0DC0432D" w14:textId="2612308C" w:rsidR="00434283" w:rsidRPr="006B6233" w:rsidRDefault="00274851">
      <w:pPr>
        <w:rPr>
          <w:rFonts w:ascii="Arial" w:hAnsi="Arial" w:cs="Arial"/>
          <w:sz w:val="22"/>
          <w:szCs w:val="22"/>
        </w:rPr>
      </w:pPr>
      <w:r w:rsidRPr="006B6233">
        <w:rPr>
          <w:rFonts w:ascii="Arial" w:hAnsi="Arial" w:cs="Arial"/>
          <w:sz w:val="22"/>
          <w:szCs w:val="22"/>
        </w:rPr>
        <w:t xml:space="preserve">The social model transformed understandings of disability by relocating the principal problem from the individual to barriers created by society. It challenged medical dominance and promoted equality, accessibility, independent living and participation. Its influence is visible in international human-rights standards, UK legislation and person-centred health and social care practice. </w:t>
      </w:r>
      <w:r w:rsidR="00434283" w:rsidRPr="006B6233">
        <w:rPr>
          <w:rFonts w:ascii="Arial" w:hAnsi="Arial" w:cs="Arial"/>
          <w:sz w:val="22"/>
          <w:szCs w:val="22"/>
        </w:rPr>
        <w:t xml:space="preserve">Nevertheless, a strict separation between impairment and disability may understand pain, illness and diversity, while insufficient attention to intersectionality can conceal inequalities among disabled people. These criticisms should refine rather than replace the model. Health and social care should retain its focus on power, exclusion and structural barriers while respecting individual </w:t>
      </w:r>
      <w:r w:rsidR="007B50ED">
        <w:rPr>
          <w:rFonts w:ascii="Arial" w:hAnsi="Arial" w:cs="Arial"/>
          <w:sz w:val="22"/>
          <w:szCs w:val="22"/>
        </w:rPr>
        <w:t xml:space="preserve">experiences and choices. When supported by adequate resources, accountability and meaningful participation, the social model remains and essential foundation for equitable </w:t>
      </w:r>
      <w:r w:rsidR="00B92973">
        <w:rPr>
          <w:rFonts w:ascii="Arial" w:hAnsi="Arial" w:cs="Arial"/>
          <w:sz w:val="22"/>
          <w:szCs w:val="22"/>
        </w:rPr>
        <w:t>a</w:t>
      </w:r>
      <w:r w:rsidR="007B50ED">
        <w:rPr>
          <w:rFonts w:ascii="Arial" w:hAnsi="Arial" w:cs="Arial"/>
          <w:sz w:val="22"/>
          <w:szCs w:val="22"/>
        </w:rPr>
        <w:t xml:space="preserve"> genuinely person-centred.</w:t>
      </w:r>
    </w:p>
    <w:p w14:paraId="34C0BD6C" w14:textId="77777777" w:rsidR="00274851" w:rsidRPr="006B6233" w:rsidRDefault="00274851">
      <w:pPr>
        <w:rPr>
          <w:rFonts w:ascii="Arial" w:hAnsi="Arial" w:cs="Arial"/>
          <w:sz w:val="22"/>
          <w:szCs w:val="22"/>
        </w:rPr>
      </w:pPr>
    </w:p>
    <w:p w14:paraId="1A2F2116" w14:textId="1A7A24EF" w:rsidR="00814A3C" w:rsidRDefault="00814A3C">
      <w:pPr>
        <w:rPr>
          <w:rFonts w:ascii="Arial" w:hAnsi="Arial" w:cs="Arial"/>
          <w:sz w:val="22"/>
          <w:szCs w:val="22"/>
        </w:rPr>
      </w:pPr>
      <w:r w:rsidRPr="006B6233">
        <w:rPr>
          <w:rFonts w:ascii="Arial" w:hAnsi="Arial" w:cs="Arial"/>
          <w:sz w:val="22"/>
          <w:szCs w:val="22"/>
        </w:rPr>
        <w:t xml:space="preserve">   </w:t>
      </w:r>
    </w:p>
    <w:p w14:paraId="21A982BF" w14:textId="77777777" w:rsidR="007B50ED" w:rsidRDefault="007B50ED">
      <w:pPr>
        <w:rPr>
          <w:rFonts w:ascii="Arial" w:hAnsi="Arial" w:cs="Arial"/>
          <w:sz w:val="22"/>
          <w:szCs w:val="22"/>
        </w:rPr>
      </w:pPr>
    </w:p>
    <w:p w14:paraId="2D81BF8B" w14:textId="77777777" w:rsidR="007B50ED" w:rsidRDefault="007B50ED">
      <w:pPr>
        <w:rPr>
          <w:rFonts w:ascii="Arial" w:hAnsi="Arial" w:cs="Arial"/>
          <w:sz w:val="22"/>
          <w:szCs w:val="22"/>
        </w:rPr>
      </w:pPr>
    </w:p>
    <w:p w14:paraId="5F5428A2" w14:textId="77777777" w:rsidR="00E476B2" w:rsidRDefault="00E476B2">
      <w:pPr>
        <w:rPr>
          <w:rFonts w:ascii="Arial" w:hAnsi="Arial" w:cs="Arial"/>
          <w:sz w:val="22"/>
          <w:szCs w:val="22"/>
        </w:rPr>
      </w:pPr>
    </w:p>
    <w:p w14:paraId="6D4B5112" w14:textId="77777777" w:rsidR="008C26AF" w:rsidRDefault="008C26AF">
      <w:pPr>
        <w:rPr>
          <w:rFonts w:ascii="Arial" w:hAnsi="Arial" w:cs="Arial"/>
          <w:sz w:val="22"/>
          <w:szCs w:val="22"/>
        </w:rPr>
      </w:pPr>
    </w:p>
    <w:p w14:paraId="7FA7CCDE" w14:textId="0F16957D" w:rsidR="007B50ED" w:rsidRDefault="007B50ED">
      <w:pPr>
        <w:rPr>
          <w:rFonts w:ascii="Arial" w:hAnsi="Arial" w:cs="Arial"/>
          <w:b/>
          <w:bCs/>
        </w:rPr>
      </w:pPr>
      <w:r w:rsidRPr="007B50ED">
        <w:rPr>
          <w:rFonts w:ascii="Arial" w:hAnsi="Arial" w:cs="Arial"/>
          <w:b/>
          <w:bCs/>
        </w:rPr>
        <w:lastRenderedPageBreak/>
        <w:t>Reference</w:t>
      </w:r>
      <w:r w:rsidR="00E476B2">
        <w:rPr>
          <w:rFonts w:ascii="Arial" w:hAnsi="Arial" w:cs="Arial"/>
          <w:b/>
          <w:bCs/>
        </w:rPr>
        <w:t xml:space="preserve">s </w:t>
      </w:r>
    </w:p>
    <w:p w14:paraId="1A7A98E2" w14:textId="41529BB6" w:rsidR="007B50ED" w:rsidRDefault="007B50ED">
      <w:pPr>
        <w:rPr>
          <w:rFonts w:ascii="Arial" w:hAnsi="Arial" w:cs="Arial"/>
          <w:sz w:val="22"/>
          <w:szCs w:val="22"/>
        </w:rPr>
      </w:pPr>
      <w:r w:rsidRPr="007B50ED">
        <w:rPr>
          <w:rFonts w:ascii="Arial" w:hAnsi="Arial" w:cs="Arial"/>
          <w:sz w:val="22"/>
          <w:szCs w:val="22"/>
        </w:rPr>
        <w:t>Barnes, C. (2012</w:t>
      </w:r>
      <w:r w:rsidRPr="005A2AB2">
        <w:rPr>
          <w:rFonts w:ascii="Arial" w:hAnsi="Arial" w:cs="Arial"/>
          <w:sz w:val="22"/>
          <w:szCs w:val="22"/>
        </w:rPr>
        <w:t>)</w:t>
      </w:r>
      <w:r w:rsidRPr="005A2AB2">
        <w:rPr>
          <w:rFonts w:ascii="Arial" w:hAnsi="Arial" w:cs="Arial"/>
        </w:rPr>
        <w:t xml:space="preserve"> </w:t>
      </w:r>
      <w:r w:rsidRPr="005A2AB2">
        <w:rPr>
          <w:rFonts w:ascii="Arial" w:hAnsi="Arial" w:cs="Arial"/>
          <w:b/>
          <w:bCs/>
          <w:i/>
          <w:iCs/>
        </w:rPr>
        <w:t>‘</w:t>
      </w:r>
      <w:r w:rsidRPr="005A2AB2">
        <w:rPr>
          <w:rFonts w:ascii="Arial" w:hAnsi="Arial" w:cs="Arial"/>
          <w:i/>
          <w:iCs/>
          <w:sz w:val="22"/>
          <w:szCs w:val="22"/>
        </w:rPr>
        <w:t>Understanding the social model of disability: Past, present and future’</w:t>
      </w:r>
      <w:r w:rsidRPr="005A2AB2">
        <w:rPr>
          <w:rFonts w:ascii="Arial" w:hAnsi="Arial" w:cs="Arial"/>
          <w:b/>
          <w:bCs/>
          <w:i/>
          <w:iCs/>
        </w:rPr>
        <w:t>,</w:t>
      </w:r>
      <w:r>
        <w:rPr>
          <w:rFonts w:ascii="Arial" w:hAnsi="Arial" w:cs="Arial"/>
          <w:b/>
          <w:bCs/>
        </w:rPr>
        <w:t xml:space="preserve"> </w:t>
      </w:r>
      <w:r w:rsidRPr="005A2AB2">
        <w:rPr>
          <w:rFonts w:ascii="Arial" w:hAnsi="Arial" w:cs="Arial"/>
        </w:rPr>
        <w:t>in</w:t>
      </w:r>
      <w:r>
        <w:rPr>
          <w:rFonts w:ascii="Arial" w:hAnsi="Arial" w:cs="Arial"/>
          <w:b/>
          <w:bCs/>
        </w:rPr>
        <w:t xml:space="preserve"> </w:t>
      </w:r>
      <w:r w:rsidRPr="007B50ED">
        <w:rPr>
          <w:rFonts w:ascii="Arial" w:hAnsi="Arial" w:cs="Arial"/>
          <w:sz w:val="22"/>
          <w:szCs w:val="22"/>
        </w:rPr>
        <w:t>Watson, N.,</w:t>
      </w:r>
      <w:r w:rsidR="005A2AB2">
        <w:rPr>
          <w:rFonts w:ascii="Arial" w:hAnsi="Arial" w:cs="Arial"/>
          <w:sz w:val="22"/>
          <w:szCs w:val="22"/>
        </w:rPr>
        <w:t xml:space="preserve"> Roulston, A. and Thomas, C. (eds</w:t>
      </w:r>
      <w:r w:rsidR="005A2AB2" w:rsidRPr="007C1488">
        <w:rPr>
          <w:rFonts w:ascii="Arial" w:hAnsi="Arial" w:cs="Arial"/>
          <w:i/>
          <w:iCs/>
          <w:sz w:val="22"/>
          <w:szCs w:val="22"/>
        </w:rPr>
        <w:t>.) Routledge Handbook of Disability Studies.</w:t>
      </w:r>
      <w:r w:rsidR="005A2AB2">
        <w:rPr>
          <w:rFonts w:ascii="Arial" w:hAnsi="Arial" w:cs="Arial"/>
          <w:sz w:val="22"/>
          <w:szCs w:val="22"/>
        </w:rPr>
        <w:t xml:space="preserve"> London: Routledge, pp. 12-29.</w:t>
      </w:r>
      <w:r w:rsidR="00E26244">
        <w:rPr>
          <w:rFonts w:ascii="Arial" w:hAnsi="Arial" w:cs="Arial"/>
          <w:sz w:val="22"/>
          <w:szCs w:val="22"/>
        </w:rPr>
        <w:t xml:space="preserve"> </w:t>
      </w:r>
    </w:p>
    <w:p w14:paraId="4E50F4A8" w14:textId="1B780F62" w:rsidR="005A2AB2" w:rsidRDefault="005A2AB2">
      <w:pPr>
        <w:rPr>
          <w:rFonts w:ascii="Arial" w:hAnsi="Arial" w:cs="Arial"/>
          <w:sz w:val="22"/>
          <w:szCs w:val="22"/>
        </w:rPr>
      </w:pPr>
      <w:r>
        <w:rPr>
          <w:rFonts w:ascii="Arial" w:hAnsi="Arial" w:cs="Arial"/>
          <w:sz w:val="22"/>
          <w:szCs w:val="22"/>
        </w:rPr>
        <w:t xml:space="preserve">Berghs, M., Atkin, K., Hatton, C. and Thomas, C (2019) </w:t>
      </w:r>
      <w:r w:rsidRPr="005A2AB2">
        <w:rPr>
          <w:rFonts w:ascii="Arial" w:hAnsi="Arial" w:cs="Arial"/>
          <w:i/>
          <w:iCs/>
          <w:sz w:val="22"/>
          <w:szCs w:val="22"/>
        </w:rPr>
        <w:t>‘Do disabled people need a stronger social model: A social model of human rights?’</w:t>
      </w:r>
      <w:r>
        <w:rPr>
          <w:rFonts w:ascii="Arial" w:hAnsi="Arial" w:cs="Arial"/>
          <w:sz w:val="22"/>
          <w:szCs w:val="22"/>
        </w:rPr>
        <w:t xml:space="preserve">, Disability &amp; Society, 34(7-8), pp.1034-1039. Available at: </w:t>
      </w:r>
      <w:hyperlink r:id="rId10" w:history="1">
        <w:r w:rsidR="00E26244" w:rsidRPr="004A16CE">
          <w:rPr>
            <w:rStyle w:val="Hyperlink"/>
            <w:rFonts w:ascii="Arial" w:hAnsi="Arial" w:cs="Arial"/>
            <w:sz w:val="22"/>
            <w:szCs w:val="22"/>
          </w:rPr>
          <w:t>https://doi.org/10.1080/09687599.2</w:t>
        </w:r>
        <w:r w:rsidR="00E26244" w:rsidRPr="004A16CE">
          <w:rPr>
            <w:rStyle w:val="Hyperlink"/>
            <w:rFonts w:ascii="Arial" w:hAnsi="Arial" w:cs="Arial"/>
            <w:sz w:val="22"/>
            <w:szCs w:val="22"/>
          </w:rPr>
          <w:t>0</w:t>
        </w:r>
        <w:r w:rsidR="00E26244" w:rsidRPr="004A16CE">
          <w:rPr>
            <w:rStyle w:val="Hyperlink"/>
            <w:rFonts w:ascii="Arial" w:hAnsi="Arial" w:cs="Arial"/>
            <w:sz w:val="22"/>
            <w:szCs w:val="22"/>
          </w:rPr>
          <w:t>1</w:t>
        </w:r>
        <w:r w:rsidR="00E26244" w:rsidRPr="004A16CE">
          <w:rPr>
            <w:rStyle w:val="Hyperlink"/>
            <w:rFonts w:ascii="Arial" w:hAnsi="Arial" w:cs="Arial"/>
            <w:sz w:val="22"/>
            <w:szCs w:val="22"/>
          </w:rPr>
          <w:t>9.1619239</w:t>
        </w:r>
      </w:hyperlink>
      <w:r w:rsidR="00E26244">
        <w:rPr>
          <w:rFonts w:ascii="Arial" w:hAnsi="Arial" w:cs="Arial"/>
          <w:sz w:val="22"/>
          <w:szCs w:val="22"/>
        </w:rPr>
        <w:t xml:space="preserve"> (Accessed: 6 August 2026)</w:t>
      </w:r>
      <w:r w:rsidR="00E26BA5">
        <w:rPr>
          <w:rFonts w:ascii="Arial" w:hAnsi="Arial" w:cs="Arial"/>
          <w:sz w:val="22"/>
          <w:szCs w:val="22"/>
        </w:rPr>
        <w:t>.</w:t>
      </w:r>
    </w:p>
    <w:p w14:paraId="0B7D74E6" w14:textId="5728D25A" w:rsidR="00E26244" w:rsidRDefault="0010639D">
      <w:pPr>
        <w:rPr>
          <w:rFonts w:ascii="Arial" w:hAnsi="Arial" w:cs="Arial"/>
          <w:sz w:val="22"/>
          <w:szCs w:val="22"/>
        </w:rPr>
      </w:pPr>
      <w:r>
        <w:rPr>
          <w:rFonts w:ascii="Arial" w:hAnsi="Arial" w:cs="Arial"/>
          <w:sz w:val="22"/>
          <w:szCs w:val="22"/>
        </w:rPr>
        <w:t>Crow, L. (1996) ‘</w:t>
      </w:r>
      <w:r w:rsidRPr="007C1488">
        <w:rPr>
          <w:rFonts w:ascii="Arial" w:hAnsi="Arial" w:cs="Arial"/>
          <w:i/>
          <w:iCs/>
          <w:sz w:val="22"/>
          <w:szCs w:val="22"/>
        </w:rPr>
        <w:t>Including all of our lives: Renewing the social model od disability’</w:t>
      </w:r>
      <w:r>
        <w:rPr>
          <w:rFonts w:ascii="Arial" w:hAnsi="Arial" w:cs="Arial"/>
          <w:sz w:val="22"/>
          <w:szCs w:val="22"/>
        </w:rPr>
        <w:t xml:space="preserve">, in Barbes, C. ana Mercer. (eds.) </w:t>
      </w:r>
      <w:r w:rsidRPr="007C1488">
        <w:rPr>
          <w:rFonts w:ascii="Arial" w:hAnsi="Arial" w:cs="Arial"/>
          <w:i/>
          <w:iCs/>
          <w:sz w:val="22"/>
          <w:szCs w:val="22"/>
        </w:rPr>
        <w:t>Exploring the Dividing: Illness and Disability</w:t>
      </w:r>
      <w:r>
        <w:rPr>
          <w:rFonts w:ascii="Arial" w:hAnsi="Arial" w:cs="Arial"/>
          <w:sz w:val="22"/>
          <w:szCs w:val="22"/>
        </w:rPr>
        <w:t>. Leed: Disability Press, pp. 55-72.</w:t>
      </w:r>
    </w:p>
    <w:p w14:paraId="0D34EE91" w14:textId="28F5FE78" w:rsidR="00E26BA5" w:rsidRDefault="004C146F">
      <w:pPr>
        <w:rPr>
          <w:rFonts w:ascii="Arial" w:hAnsi="Arial" w:cs="Arial"/>
          <w:sz w:val="22"/>
          <w:szCs w:val="22"/>
        </w:rPr>
      </w:pPr>
      <w:r>
        <w:rPr>
          <w:rFonts w:ascii="Arial" w:hAnsi="Arial" w:cs="Arial"/>
          <w:sz w:val="22"/>
          <w:szCs w:val="22"/>
        </w:rPr>
        <w:t>Grea</w:t>
      </w:r>
      <w:r w:rsidR="00BF3C78">
        <w:rPr>
          <w:rFonts w:ascii="Arial" w:hAnsi="Arial" w:cs="Arial"/>
          <w:sz w:val="22"/>
          <w:szCs w:val="22"/>
        </w:rPr>
        <w:t>t Britain (2005</w:t>
      </w:r>
      <w:r w:rsidR="00BF3C78" w:rsidRPr="007C1488">
        <w:rPr>
          <w:rFonts w:ascii="Arial" w:hAnsi="Arial" w:cs="Arial"/>
          <w:i/>
          <w:iCs/>
          <w:sz w:val="22"/>
          <w:szCs w:val="22"/>
        </w:rPr>
        <w:t xml:space="preserve">) </w:t>
      </w:r>
      <w:r w:rsidR="00BF3C78" w:rsidRPr="0040335B">
        <w:rPr>
          <w:rFonts w:ascii="Arial" w:hAnsi="Arial" w:cs="Arial"/>
          <w:i/>
          <w:iCs/>
          <w:sz w:val="22"/>
          <w:szCs w:val="22"/>
        </w:rPr>
        <w:t>Mental Capacity Act 2005.</w:t>
      </w:r>
      <w:r w:rsidR="00BF3C78">
        <w:rPr>
          <w:rFonts w:ascii="Arial" w:hAnsi="Arial" w:cs="Arial"/>
          <w:sz w:val="22"/>
          <w:szCs w:val="22"/>
        </w:rPr>
        <w:t xml:space="preserve"> London: The Stationery guidance. Available at: </w:t>
      </w:r>
      <w:hyperlink r:id="rId11" w:history="1">
        <w:r w:rsidR="00BF3C78" w:rsidRPr="004A16CE">
          <w:rPr>
            <w:rStyle w:val="Hyperlink"/>
            <w:rFonts w:ascii="Arial" w:hAnsi="Arial" w:cs="Arial"/>
            <w:sz w:val="22"/>
            <w:szCs w:val="22"/>
          </w:rPr>
          <w:t>https://www.gov.uk/g</w:t>
        </w:r>
        <w:r w:rsidR="00BF3C78" w:rsidRPr="004A16CE">
          <w:rPr>
            <w:rStyle w:val="Hyperlink"/>
            <w:rFonts w:ascii="Arial" w:hAnsi="Arial" w:cs="Arial"/>
            <w:sz w:val="22"/>
            <w:szCs w:val="22"/>
          </w:rPr>
          <w:t>o</w:t>
        </w:r>
        <w:r w:rsidR="00BF3C78" w:rsidRPr="004A16CE">
          <w:rPr>
            <w:rStyle w:val="Hyperlink"/>
            <w:rFonts w:ascii="Arial" w:hAnsi="Arial" w:cs="Arial"/>
            <w:sz w:val="22"/>
            <w:szCs w:val="22"/>
          </w:rPr>
          <w:t>vernment/publications/care-act-statutory-guidance</w:t>
        </w:r>
      </w:hyperlink>
      <w:r w:rsidR="00BF3C78">
        <w:rPr>
          <w:rFonts w:ascii="Arial" w:hAnsi="Arial" w:cs="Arial"/>
          <w:sz w:val="22"/>
          <w:szCs w:val="22"/>
        </w:rPr>
        <w:t xml:space="preserve"> </w:t>
      </w:r>
      <w:r w:rsidR="002F33A0">
        <w:rPr>
          <w:rFonts w:ascii="Arial" w:hAnsi="Arial" w:cs="Arial"/>
          <w:sz w:val="22"/>
          <w:szCs w:val="22"/>
        </w:rPr>
        <w:t xml:space="preserve">(Accessed: 6 August 2026). </w:t>
      </w:r>
    </w:p>
    <w:p w14:paraId="67FEC534" w14:textId="61EFC31B" w:rsidR="002F33A0" w:rsidRDefault="00E476B2">
      <w:pPr>
        <w:rPr>
          <w:rFonts w:ascii="Arial" w:hAnsi="Arial" w:cs="Arial"/>
          <w:sz w:val="22"/>
          <w:szCs w:val="22"/>
        </w:rPr>
      </w:pPr>
      <w:r>
        <w:rPr>
          <w:rFonts w:ascii="Arial" w:hAnsi="Arial" w:cs="Arial"/>
          <w:sz w:val="22"/>
          <w:szCs w:val="22"/>
        </w:rPr>
        <w:t>Great Britain (20</w:t>
      </w:r>
      <w:r w:rsidR="002F33A0">
        <w:rPr>
          <w:rFonts w:ascii="Arial" w:hAnsi="Arial" w:cs="Arial"/>
          <w:sz w:val="22"/>
          <w:szCs w:val="22"/>
        </w:rPr>
        <w:t xml:space="preserve">10). </w:t>
      </w:r>
      <w:r w:rsidR="002F33A0" w:rsidRPr="0040335B">
        <w:rPr>
          <w:rFonts w:ascii="Arial" w:hAnsi="Arial" w:cs="Arial"/>
          <w:i/>
          <w:iCs/>
          <w:sz w:val="22"/>
          <w:szCs w:val="22"/>
        </w:rPr>
        <w:t>London: The Stationery Office</w:t>
      </w:r>
      <w:r w:rsidR="002F33A0">
        <w:rPr>
          <w:rFonts w:ascii="Arial" w:hAnsi="Arial" w:cs="Arial"/>
          <w:sz w:val="22"/>
          <w:szCs w:val="22"/>
        </w:rPr>
        <w:t xml:space="preserve">. Available at: </w:t>
      </w:r>
      <w:hyperlink r:id="rId12" w:history="1">
        <w:r w:rsidR="002F33A0" w:rsidRPr="003A6A9B">
          <w:rPr>
            <w:rStyle w:val="Hyperlink"/>
            <w:rFonts w:ascii="Arial" w:hAnsi="Arial" w:cs="Arial"/>
            <w:sz w:val="22"/>
            <w:szCs w:val="22"/>
          </w:rPr>
          <w:t>https://www.legislation.gov.uk/ukpga/20</w:t>
        </w:r>
        <w:r w:rsidR="002F33A0" w:rsidRPr="003A6A9B">
          <w:rPr>
            <w:rStyle w:val="Hyperlink"/>
            <w:rFonts w:ascii="Arial" w:hAnsi="Arial" w:cs="Arial"/>
            <w:sz w:val="22"/>
            <w:szCs w:val="22"/>
          </w:rPr>
          <w:t>1</w:t>
        </w:r>
        <w:r w:rsidR="002F33A0" w:rsidRPr="003A6A9B">
          <w:rPr>
            <w:rStyle w:val="Hyperlink"/>
            <w:rFonts w:ascii="Arial" w:hAnsi="Arial" w:cs="Arial"/>
            <w:sz w:val="22"/>
            <w:szCs w:val="22"/>
          </w:rPr>
          <w:t>4/23/contents</w:t>
        </w:r>
      </w:hyperlink>
      <w:r w:rsidR="002F33A0">
        <w:rPr>
          <w:rFonts w:ascii="Arial" w:hAnsi="Arial" w:cs="Arial"/>
          <w:sz w:val="22"/>
          <w:szCs w:val="22"/>
        </w:rPr>
        <w:t xml:space="preserve"> (Accessed: 6 August 2026). </w:t>
      </w:r>
    </w:p>
    <w:p w14:paraId="57755E5D" w14:textId="6D72B89A" w:rsidR="002F33A0" w:rsidRDefault="002F33A0">
      <w:pPr>
        <w:rPr>
          <w:rFonts w:ascii="Arial" w:hAnsi="Arial" w:cs="Arial"/>
          <w:sz w:val="22"/>
          <w:szCs w:val="22"/>
        </w:rPr>
      </w:pPr>
      <w:r>
        <w:rPr>
          <w:rFonts w:ascii="Arial" w:hAnsi="Arial" w:cs="Arial"/>
          <w:sz w:val="22"/>
          <w:szCs w:val="22"/>
        </w:rPr>
        <w:t xml:space="preserve">Great Britain (2022) Health and Care Act 2022. London: The Stationery Office. Available at: </w:t>
      </w:r>
      <w:hyperlink r:id="rId13" w:history="1">
        <w:r w:rsidR="007C1488" w:rsidRPr="003A6A9B">
          <w:rPr>
            <w:rStyle w:val="Hyperlink"/>
            <w:rFonts w:ascii="Arial" w:hAnsi="Arial" w:cs="Arial"/>
            <w:sz w:val="22"/>
            <w:szCs w:val="22"/>
          </w:rPr>
          <w:t>https://www.legislation.gov.uk/ukp</w:t>
        </w:r>
        <w:r w:rsidR="007C1488" w:rsidRPr="003A6A9B">
          <w:rPr>
            <w:rStyle w:val="Hyperlink"/>
            <w:rFonts w:ascii="Arial" w:hAnsi="Arial" w:cs="Arial"/>
            <w:sz w:val="22"/>
            <w:szCs w:val="22"/>
          </w:rPr>
          <w:t>g</w:t>
        </w:r>
        <w:r w:rsidR="007C1488" w:rsidRPr="003A6A9B">
          <w:rPr>
            <w:rStyle w:val="Hyperlink"/>
            <w:rFonts w:ascii="Arial" w:hAnsi="Arial" w:cs="Arial"/>
            <w:sz w:val="22"/>
            <w:szCs w:val="22"/>
          </w:rPr>
          <w:t>a/2022/31/contents</w:t>
        </w:r>
      </w:hyperlink>
      <w:r>
        <w:rPr>
          <w:rFonts w:ascii="Arial" w:hAnsi="Arial" w:cs="Arial"/>
          <w:sz w:val="22"/>
          <w:szCs w:val="22"/>
        </w:rPr>
        <w:t xml:space="preserve"> (Accessed: 6 August 2026).  </w:t>
      </w:r>
    </w:p>
    <w:p w14:paraId="3BF60D34" w14:textId="2D796E5E" w:rsidR="007C1488" w:rsidRDefault="007C1488">
      <w:pPr>
        <w:rPr>
          <w:rFonts w:ascii="Arial" w:hAnsi="Arial" w:cs="Arial"/>
          <w:sz w:val="22"/>
          <w:szCs w:val="22"/>
        </w:rPr>
      </w:pPr>
      <w:r>
        <w:rPr>
          <w:rFonts w:ascii="Arial" w:hAnsi="Arial" w:cs="Arial"/>
          <w:sz w:val="22"/>
          <w:szCs w:val="22"/>
        </w:rPr>
        <w:t>McCormack, B.  and McCane, T. (2017</w:t>
      </w:r>
      <w:r w:rsidRPr="007C1488">
        <w:rPr>
          <w:rFonts w:ascii="Arial" w:hAnsi="Arial" w:cs="Arial"/>
          <w:i/>
          <w:iCs/>
          <w:sz w:val="22"/>
          <w:szCs w:val="22"/>
        </w:rPr>
        <w:t>) Person-centred Practised in Nursing and Health Care</w:t>
      </w:r>
      <w:r>
        <w:rPr>
          <w:rFonts w:ascii="Arial" w:hAnsi="Arial" w:cs="Arial"/>
          <w:sz w:val="22"/>
          <w:szCs w:val="22"/>
        </w:rPr>
        <w:t>: Theory and Practice. 2</w:t>
      </w:r>
      <w:r w:rsidRPr="007C1488">
        <w:rPr>
          <w:rFonts w:ascii="Arial" w:hAnsi="Arial" w:cs="Arial"/>
          <w:sz w:val="22"/>
          <w:szCs w:val="22"/>
          <w:vertAlign w:val="superscript"/>
        </w:rPr>
        <w:t>nd</w:t>
      </w:r>
      <w:r>
        <w:rPr>
          <w:rFonts w:ascii="Arial" w:hAnsi="Arial" w:cs="Arial"/>
          <w:sz w:val="22"/>
          <w:szCs w:val="22"/>
        </w:rPr>
        <w:t xml:space="preserve"> edn. Chichester: wiley-blackwell.</w:t>
      </w:r>
    </w:p>
    <w:p w14:paraId="6AAEC69A" w14:textId="1AE97A38" w:rsidR="0040335B" w:rsidRDefault="007C1488">
      <w:pPr>
        <w:rPr>
          <w:rFonts w:ascii="Arial" w:hAnsi="Arial" w:cs="Arial"/>
          <w:sz w:val="22"/>
          <w:szCs w:val="22"/>
        </w:rPr>
      </w:pPr>
      <w:r>
        <w:rPr>
          <w:rFonts w:ascii="Arial" w:hAnsi="Arial" w:cs="Arial"/>
          <w:sz w:val="22"/>
          <w:szCs w:val="22"/>
        </w:rPr>
        <w:t xml:space="preserve">Morris, J. (1991) </w:t>
      </w:r>
      <w:r w:rsidRPr="0040335B">
        <w:rPr>
          <w:rFonts w:ascii="Arial" w:hAnsi="Arial" w:cs="Arial"/>
          <w:i/>
          <w:iCs/>
          <w:sz w:val="22"/>
          <w:szCs w:val="22"/>
        </w:rPr>
        <w:t>Pride Against Prejudice: Transforming Attitudes to disability</w:t>
      </w:r>
      <w:r w:rsidR="0040335B">
        <w:rPr>
          <w:rFonts w:ascii="Arial" w:hAnsi="Arial" w:cs="Arial"/>
          <w:sz w:val="22"/>
          <w:szCs w:val="22"/>
        </w:rPr>
        <w:t>. London: The Women’s Press.</w:t>
      </w:r>
    </w:p>
    <w:p w14:paraId="2368D9DF" w14:textId="54E9C0BE" w:rsidR="0040335B" w:rsidRDefault="0040335B">
      <w:pPr>
        <w:rPr>
          <w:rFonts w:ascii="Arial" w:hAnsi="Arial" w:cs="Arial"/>
          <w:sz w:val="22"/>
          <w:szCs w:val="22"/>
        </w:rPr>
      </w:pPr>
      <w:r>
        <w:rPr>
          <w:rFonts w:ascii="Arial" w:hAnsi="Arial" w:cs="Arial"/>
          <w:sz w:val="22"/>
          <w:szCs w:val="22"/>
        </w:rPr>
        <w:t>National Institute for Health and Care Excellence (NICE) (2018</w:t>
      </w:r>
      <w:r w:rsidRPr="0040335B">
        <w:rPr>
          <w:rFonts w:ascii="Arial" w:hAnsi="Arial" w:cs="Arial"/>
          <w:i/>
          <w:iCs/>
          <w:sz w:val="22"/>
          <w:szCs w:val="22"/>
        </w:rPr>
        <w:t xml:space="preserve">) </w:t>
      </w:r>
      <w:r w:rsidRPr="001359AB">
        <w:rPr>
          <w:rFonts w:ascii="Arial" w:hAnsi="Arial" w:cs="Arial"/>
          <w:i/>
          <w:iCs/>
          <w:sz w:val="22"/>
          <w:szCs w:val="22"/>
        </w:rPr>
        <w:t>Decision-making and Mental Capacity. NICE guideline NG108.</w:t>
      </w:r>
      <w:r>
        <w:rPr>
          <w:rFonts w:ascii="Arial" w:hAnsi="Arial" w:cs="Arial"/>
          <w:sz w:val="22"/>
          <w:szCs w:val="22"/>
        </w:rPr>
        <w:t xml:space="preserve"> Available at: </w:t>
      </w:r>
      <w:hyperlink r:id="rId14" w:history="1">
        <w:r w:rsidRPr="003A6A9B">
          <w:rPr>
            <w:rStyle w:val="Hyperlink"/>
            <w:rFonts w:ascii="Arial" w:hAnsi="Arial" w:cs="Arial"/>
            <w:sz w:val="22"/>
            <w:szCs w:val="22"/>
          </w:rPr>
          <w:t>https://www.nice.org.uk/g</w:t>
        </w:r>
        <w:r w:rsidRPr="003A6A9B">
          <w:rPr>
            <w:rStyle w:val="Hyperlink"/>
            <w:rFonts w:ascii="Arial" w:hAnsi="Arial" w:cs="Arial"/>
            <w:sz w:val="22"/>
            <w:szCs w:val="22"/>
          </w:rPr>
          <w:t>u</w:t>
        </w:r>
        <w:r w:rsidRPr="003A6A9B">
          <w:rPr>
            <w:rStyle w:val="Hyperlink"/>
            <w:rFonts w:ascii="Arial" w:hAnsi="Arial" w:cs="Arial"/>
            <w:sz w:val="22"/>
            <w:szCs w:val="22"/>
          </w:rPr>
          <w:t>idance/ng108</w:t>
        </w:r>
      </w:hyperlink>
      <w:r>
        <w:rPr>
          <w:rFonts w:ascii="Arial" w:hAnsi="Arial" w:cs="Arial"/>
          <w:sz w:val="22"/>
          <w:szCs w:val="22"/>
        </w:rPr>
        <w:t xml:space="preserve"> (Accessed: 6 August 2026).</w:t>
      </w:r>
    </w:p>
    <w:p w14:paraId="19795BE6" w14:textId="6FA28CF3" w:rsidR="0040335B" w:rsidRDefault="0040335B">
      <w:pPr>
        <w:rPr>
          <w:rFonts w:ascii="Arial" w:hAnsi="Arial" w:cs="Arial"/>
          <w:sz w:val="22"/>
          <w:szCs w:val="22"/>
        </w:rPr>
      </w:pPr>
      <w:r>
        <w:rPr>
          <w:rFonts w:ascii="Arial" w:hAnsi="Arial" w:cs="Arial"/>
          <w:sz w:val="22"/>
          <w:szCs w:val="22"/>
        </w:rPr>
        <w:t xml:space="preserve">NHS England (2019) </w:t>
      </w:r>
      <w:r w:rsidRPr="001359AB">
        <w:rPr>
          <w:rFonts w:ascii="Arial" w:hAnsi="Arial" w:cs="Arial"/>
          <w:i/>
          <w:iCs/>
          <w:sz w:val="22"/>
          <w:szCs w:val="22"/>
        </w:rPr>
        <w:t xml:space="preserve">Universal Personalised Care: Implementing the Comprehensive Model. </w:t>
      </w:r>
      <w:r>
        <w:rPr>
          <w:rFonts w:ascii="Arial" w:hAnsi="Arial" w:cs="Arial"/>
          <w:sz w:val="22"/>
          <w:szCs w:val="22"/>
        </w:rPr>
        <w:t>Available</w:t>
      </w:r>
      <w:r w:rsidR="006B3D12">
        <w:rPr>
          <w:rFonts w:ascii="Arial" w:hAnsi="Arial" w:cs="Arial"/>
          <w:sz w:val="22"/>
          <w:szCs w:val="22"/>
        </w:rPr>
        <w:t xml:space="preserve"> </w:t>
      </w:r>
      <w:r>
        <w:rPr>
          <w:rFonts w:ascii="Arial" w:hAnsi="Arial" w:cs="Arial"/>
          <w:sz w:val="22"/>
          <w:szCs w:val="22"/>
        </w:rPr>
        <w:t>at:</w:t>
      </w:r>
      <w:r w:rsidR="006B3D12">
        <w:rPr>
          <w:rFonts w:ascii="Arial" w:hAnsi="Arial" w:cs="Arial"/>
          <w:sz w:val="22"/>
          <w:szCs w:val="22"/>
        </w:rPr>
        <w:t xml:space="preserve"> </w:t>
      </w:r>
      <w:hyperlink r:id="rId15" w:history="1">
        <w:r w:rsidR="001359AB" w:rsidRPr="003A6A9B">
          <w:rPr>
            <w:rStyle w:val="Hyperlink"/>
            <w:rFonts w:ascii="Arial" w:hAnsi="Arial" w:cs="Arial"/>
            <w:sz w:val="22"/>
            <w:szCs w:val="22"/>
          </w:rPr>
          <w:t>www.en</w:t>
        </w:r>
        <w:r w:rsidR="001359AB" w:rsidRPr="003A6A9B">
          <w:rPr>
            <w:rStyle w:val="Hyperlink"/>
            <w:rFonts w:ascii="Arial" w:hAnsi="Arial" w:cs="Arial"/>
            <w:sz w:val="22"/>
            <w:szCs w:val="22"/>
          </w:rPr>
          <w:t>g</w:t>
        </w:r>
        <w:r w:rsidR="001359AB" w:rsidRPr="003A6A9B">
          <w:rPr>
            <w:rStyle w:val="Hyperlink"/>
            <w:rFonts w:ascii="Arial" w:hAnsi="Arial" w:cs="Arial"/>
            <w:sz w:val="22"/>
            <w:szCs w:val="22"/>
          </w:rPr>
          <w:t>l</w:t>
        </w:r>
        <w:r w:rsidR="001359AB" w:rsidRPr="003A6A9B">
          <w:rPr>
            <w:rStyle w:val="Hyperlink"/>
            <w:rFonts w:ascii="Arial" w:hAnsi="Arial" w:cs="Arial"/>
            <w:sz w:val="22"/>
            <w:szCs w:val="22"/>
          </w:rPr>
          <w:t>and.nhs.uk/wp-content/uploads/2019/01/universal-personalised-care.pdf</w:t>
        </w:r>
      </w:hyperlink>
    </w:p>
    <w:p w14:paraId="3DC120B5" w14:textId="076DBD9B" w:rsidR="001359AB" w:rsidRDefault="001359AB">
      <w:pPr>
        <w:rPr>
          <w:rFonts w:ascii="Arial" w:hAnsi="Arial" w:cs="Arial"/>
          <w:i/>
          <w:iCs/>
          <w:sz w:val="22"/>
          <w:szCs w:val="22"/>
        </w:rPr>
      </w:pPr>
      <w:r>
        <w:rPr>
          <w:rFonts w:ascii="Arial" w:hAnsi="Arial" w:cs="Arial"/>
          <w:sz w:val="22"/>
          <w:szCs w:val="22"/>
        </w:rPr>
        <w:t xml:space="preserve">Oliver, M. (1990) </w:t>
      </w:r>
      <w:r w:rsidRPr="001359AB">
        <w:rPr>
          <w:rFonts w:ascii="Arial" w:hAnsi="Arial" w:cs="Arial"/>
          <w:i/>
          <w:iCs/>
          <w:sz w:val="22"/>
          <w:szCs w:val="22"/>
        </w:rPr>
        <w:t xml:space="preserve">The Politics of Disablement. Basingstoke: </w:t>
      </w:r>
      <w:r w:rsidR="00D72D6E" w:rsidRPr="001359AB">
        <w:rPr>
          <w:rFonts w:ascii="Arial" w:hAnsi="Arial" w:cs="Arial"/>
          <w:i/>
          <w:iCs/>
          <w:sz w:val="22"/>
          <w:szCs w:val="22"/>
        </w:rPr>
        <w:t>Ma</w:t>
      </w:r>
      <w:r w:rsidR="00D72D6E">
        <w:rPr>
          <w:rFonts w:ascii="Arial" w:hAnsi="Arial" w:cs="Arial"/>
          <w:i/>
          <w:iCs/>
          <w:sz w:val="22"/>
          <w:szCs w:val="22"/>
        </w:rPr>
        <w:t>c</w:t>
      </w:r>
      <w:r w:rsidR="00D72D6E" w:rsidRPr="001359AB">
        <w:rPr>
          <w:rFonts w:ascii="Arial" w:hAnsi="Arial" w:cs="Arial"/>
          <w:i/>
          <w:iCs/>
          <w:sz w:val="22"/>
          <w:szCs w:val="22"/>
        </w:rPr>
        <w:t>millan</w:t>
      </w:r>
      <w:r w:rsidRPr="001359AB">
        <w:rPr>
          <w:rFonts w:ascii="Arial" w:hAnsi="Arial" w:cs="Arial"/>
          <w:i/>
          <w:iCs/>
          <w:sz w:val="22"/>
          <w:szCs w:val="22"/>
        </w:rPr>
        <w:t>.</w:t>
      </w:r>
    </w:p>
    <w:p w14:paraId="598226A6" w14:textId="1B4CDF82" w:rsidR="001359AB" w:rsidRPr="00D72D6E" w:rsidRDefault="001359AB">
      <w:pPr>
        <w:rPr>
          <w:rFonts w:ascii="Arial" w:hAnsi="Arial" w:cs="Arial"/>
          <w:i/>
          <w:iCs/>
          <w:sz w:val="22"/>
          <w:szCs w:val="22"/>
        </w:rPr>
      </w:pPr>
      <w:r w:rsidRPr="00D72D6E">
        <w:rPr>
          <w:rFonts w:ascii="Arial" w:hAnsi="Arial" w:cs="Arial"/>
          <w:sz w:val="22"/>
          <w:szCs w:val="22"/>
        </w:rPr>
        <w:t>Rogers, C.R.</w:t>
      </w:r>
      <w:r>
        <w:rPr>
          <w:rFonts w:ascii="Arial" w:hAnsi="Arial" w:cs="Arial"/>
          <w:i/>
          <w:iCs/>
          <w:sz w:val="22"/>
          <w:szCs w:val="22"/>
        </w:rPr>
        <w:t xml:space="preserve"> (1951) </w:t>
      </w:r>
      <w:r w:rsidRPr="00D72D6E">
        <w:rPr>
          <w:rFonts w:ascii="Arial" w:hAnsi="Arial" w:cs="Arial"/>
          <w:i/>
          <w:iCs/>
          <w:sz w:val="22"/>
          <w:szCs w:val="22"/>
        </w:rPr>
        <w:t>Client-Centred Therapy: Its Current Practice, Implications and Theory. Boston, MA: Houghton Mifflin.</w:t>
      </w:r>
    </w:p>
    <w:p w14:paraId="6D12B6B4" w14:textId="0F6168E2" w:rsidR="001359AB" w:rsidRDefault="001359AB">
      <w:pPr>
        <w:rPr>
          <w:rFonts w:ascii="Arial" w:hAnsi="Arial" w:cs="Arial"/>
          <w:sz w:val="22"/>
          <w:szCs w:val="22"/>
        </w:rPr>
      </w:pPr>
      <w:r>
        <w:rPr>
          <w:rFonts w:ascii="Arial" w:hAnsi="Arial" w:cs="Arial"/>
          <w:sz w:val="22"/>
          <w:szCs w:val="22"/>
        </w:rPr>
        <w:t xml:space="preserve"> </w:t>
      </w:r>
      <w:r w:rsidR="00D72D6E">
        <w:rPr>
          <w:rFonts w:ascii="Arial" w:hAnsi="Arial" w:cs="Arial"/>
          <w:sz w:val="22"/>
          <w:szCs w:val="22"/>
        </w:rPr>
        <w:t>Shakespeare, T. (2014) Disability Rights and Wrongs Revisited. 2</w:t>
      </w:r>
      <w:r w:rsidR="00D72D6E" w:rsidRPr="00D72D6E">
        <w:rPr>
          <w:rFonts w:ascii="Arial" w:hAnsi="Arial" w:cs="Arial"/>
          <w:sz w:val="22"/>
          <w:szCs w:val="22"/>
          <w:vertAlign w:val="superscript"/>
        </w:rPr>
        <w:t>nd</w:t>
      </w:r>
      <w:r w:rsidR="00D72D6E">
        <w:rPr>
          <w:rFonts w:ascii="Arial" w:hAnsi="Arial" w:cs="Arial"/>
          <w:sz w:val="22"/>
          <w:szCs w:val="22"/>
        </w:rPr>
        <w:t xml:space="preserve"> edn. London: Routledge.</w:t>
      </w:r>
    </w:p>
    <w:p w14:paraId="158DE8BF" w14:textId="26ADF0C7" w:rsidR="00717012" w:rsidRDefault="00717012">
      <w:pPr>
        <w:rPr>
          <w:rFonts w:ascii="Arial" w:hAnsi="Arial" w:cs="Arial"/>
          <w:sz w:val="22"/>
          <w:szCs w:val="22"/>
        </w:rPr>
      </w:pPr>
      <w:r>
        <w:rPr>
          <w:rFonts w:ascii="Arial" w:hAnsi="Arial" w:cs="Arial"/>
          <w:sz w:val="22"/>
          <w:szCs w:val="22"/>
        </w:rPr>
        <w:lastRenderedPageBreak/>
        <w:t>Thomas, C. (1999) Female Forms: Experiencing and Understanding Disability. Buckingham: Open University Press.</w:t>
      </w:r>
    </w:p>
    <w:p w14:paraId="25E4213D" w14:textId="0CA9FBEF" w:rsidR="00717012" w:rsidRDefault="00717012">
      <w:pPr>
        <w:rPr>
          <w:rFonts w:ascii="Arial" w:hAnsi="Arial" w:cs="Arial"/>
          <w:sz w:val="22"/>
          <w:szCs w:val="22"/>
        </w:rPr>
      </w:pPr>
      <w:r>
        <w:rPr>
          <w:rFonts w:ascii="Arial" w:hAnsi="Arial" w:cs="Arial"/>
          <w:sz w:val="22"/>
          <w:szCs w:val="22"/>
        </w:rPr>
        <w:t xml:space="preserve">Union of the Physically Impaired Against Segregation (UPIAS) (1976) </w:t>
      </w:r>
      <w:r w:rsidRPr="00E848F3">
        <w:rPr>
          <w:rFonts w:ascii="Arial" w:hAnsi="Arial" w:cs="Arial"/>
          <w:i/>
          <w:iCs/>
          <w:sz w:val="22"/>
          <w:szCs w:val="22"/>
        </w:rPr>
        <w:t>Fundamental Principles of Disability. London: UPIAS.</w:t>
      </w:r>
      <w:r>
        <w:rPr>
          <w:rFonts w:ascii="Arial" w:hAnsi="Arial" w:cs="Arial"/>
          <w:sz w:val="22"/>
          <w:szCs w:val="22"/>
        </w:rPr>
        <w:t xml:space="preserve"> </w:t>
      </w:r>
    </w:p>
    <w:p w14:paraId="63ED2474" w14:textId="18361092" w:rsidR="00E848F3" w:rsidRDefault="00E848F3">
      <w:pPr>
        <w:rPr>
          <w:rFonts w:ascii="Arial" w:hAnsi="Arial" w:cs="Arial"/>
          <w:sz w:val="22"/>
          <w:szCs w:val="22"/>
        </w:rPr>
      </w:pPr>
      <w:r>
        <w:rPr>
          <w:rFonts w:ascii="Arial" w:hAnsi="Arial" w:cs="Arial"/>
          <w:sz w:val="22"/>
          <w:szCs w:val="22"/>
        </w:rPr>
        <w:t xml:space="preserve">United Nations (2006) Convention on the rights of persons with Disabilities. New York: United Nations. Available at: </w:t>
      </w:r>
      <w:hyperlink r:id="rId16" w:history="1">
        <w:r w:rsidRPr="003A6A9B">
          <w:rPr>
            <w:rStyle w:val="Hyperlink"/>
            <w:rFonts w:ascii="Arial" w:hAnsi="Arial" w:cs="Arial"/>
            <w:sz w:val="22"/>
            <w:szCs w:val="22"/>
          </w:rPr>
          <w:t>https://social.desa.u</w:t>
        </w:r>
        <w:r w:rsidRPr="003A6A9B">
          <w:rPr>
            <w:rStyle w:val="Hyperlink"/>
            <w:rFonts w:ascii="Arial" w:hAnsi="Arial" w:cs="Arial"/>
            <w:sz w:val="22"/>
            <w:szCs w:val="22"/>
          </w:rPr>
          <w:t>n</w:t>
        </w:r>
        <w:r w:rsidRPr="003A6A9B">
          <w:rPr>
            <w:rStyle w:val="Hyperlink"/>
            <w:rFonts w:ascii="Arial" w:hAnsi="Arial" w:cs="Arial"/>
            <w:sz w:val="22"/>
            <w:szCs w:val="22"/>
          </w:rPr>
          <w:t>.org/issues/disability/crpd/convention-on-the-right-rigths-of-persons-with-disabilities-crpd</w:t>
        </w:r>
      </w:hyperlink>
      <w:r>
        <w:rPr>
          <w:rFonts w:ascii="Arial" w:hAnsi="Arial" w:cs="Arial"/>
          <w:sz w:val="22"/>
          <w:szCs w:val="22"/>
        </w:rPr>
        <w:t xml:space="preserve"> </w:t>
      </w:r>
      <w:r w:rsidR="008857EB">
        <w:rPr>
          <w:rFonts w:ascii="Arial" w:hAnsi="Arial" w:cs="Arial"/>
          <w:sz w:val="22"/>
          <w:szCs w:val="22"/>
        </w:rPr>
        <w:t>(Accessed: 6: August 2026).</w:t>
      </w:r>
    </w:p>
    <w:p w14:paraId="195ECB19" w14:textId="35849A0E" w:rsidR="008857EB" w:rsidRDefault="008857EB">
      <w:pPr>
        <w:rPr>
          <w:rFonts w:ascii="Arial" w:hAnsi="Arial" w:cs="Arial"/>
          <w:sz w:val="22"/>
          <w:szCs w:val="22"/>
        </w:rPr>
      </w:pPr>
      <w:r>
        <w:rPr>
          <w:rFonts w:ascii="Arial" w:hAnsi="Arial" w:cs="Arial"/>
          <w:sz w:val="22"/>
          <w:szCs w:val="22"/>
        </w:rPr>
        <w:t xml:space="preserve">World Health Organization (2001) International Classification of Function, Disability and Health: ICF. Geneva: World Health Organization. Available at: </w:t>
      </w:r>
      <w:hyperlink r:id="rId17" w:history="1">
        <w:r w:rsidRPr="003A6A9B">
          <w:rPr>
            <w:rStyle w:val="Hyperlink"/>
            <w:rFonts w:ascii="Arial" w:hAnsi="Arial" w:cs="Arial"/>
            <w:sz w:val="22"/>
            <w:szCs w:val="22"/>
          </w:rPr>
          <w:t>https://iris.who.int</w:t>
        </w:r>
        <w:r w:rsidRPr="003A6A9B">
          <w:rPr>
            <w:rStyle w:val="Hyperlink"/>
            <w:rFonts w:ascii="Arial" w:hAnsi="Arial" w:cs="Arial"/>
            <w:sz w:val="22"/>
            <w:szCs w:val="22"/>
          </w:rPr>
          <w:t>/</w:t>
        </w:r>
        <w:r w:rsidRPr="003A6A9B">
          <w:rPr>
            <w:rStyle w:val="Hyperlink"/>
            <w:rFonts w:ascii="Arial" w:hAnsi="Arial" w:cs="Arial"/>
            <w:sz w:val="22"/>
            <w:szCs w:val="22"/>
          </w:rPr>
          <w:t>items/ffa4b5b5-378c46a1acdc-7ef20506a3f8</w:t>
        </w:r>
      </w:hyperlink>
      <w:r>
        <w:rPr>
          <w:rFonts w:ascii="Arial" w:hAnsi="Arial" w:cs="Arial"/>
          <w:sz w:val="22"/>
          <w:szCs w:val="22"/>
        </w:rPr>
        <w:t xml:space="preserve"> (Accessed at: 6 August 2026).</w:t>
      </w:r>
    </w:p>
    <w:p w14:paraId="6B6CC425" w14:textId="77777777" w:rsidR="00E848F3" w:rsidRDefault="00E848F3">
      <w:pPr>
        <w:rPr>
          <w:rFonts w:ascii="Arial" w:hAnsi="Arial" w:cs="Arial"/>
          <w:sz w:val="22"/>
          <w:szCs w:val="22"/>
        </w:rPr>
      </w:pPr>
    </w:p>
    <w:p w14:paraId="7A68EDD7" w14:textId="77777777" w:rsidR="00D72D6E" w:rsidRPr="007B50ED" w:rsidRDefault="00D72D6E">
      <w:pPr>
        <w:rPr>
          <w:rFonts w:ascii="Arial" w:hAnsi="Arial" w:cs="Arial"/>
          <w:sz w:val="22"/>
          <w:szCs w:val="22"/>
        </w:rPr>
      </w:pPr>
    </w:p>
    <w:sectPr w:rsidR="00D72D6E" w:rsidRPr="007B50E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8F89" w14:textId="77777777" w:rsidR="00C1797F" w:rsidRDefault="00C1797F" w:rsidP="00B92973">
      <w:pPr>
        <w:spacing w:after="0" w:line="240" w:lineRule="auto"/>
      </w:pPr>
      <w:r>
        <w:separator/>
      </w:r>
    </w:p>
  </w:endnote>
  <w:endnote w:type="continuationSeparator" w:id="0">
    <w:p w14:paraId="218C402D" w14:textId="77777777" w:rsidR="00C1797F" w:rsidRDefault="00C1797F" w:rsidP="00B92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624667"/>
      <w:docPartObj>
        <w:docPartGallery w:val="Page Numbers (Bottom of Page)"/>
        <w:docPartUnique/>
      </w:docPartObj>
    </w:sdtPr>
    <w:sdtContent>
      <w:p w14:paraId="5B9BFE08" w14:textId="32B8B291" w:rsidR="00B92973" w:rsidRDefault="00B92973">
        <w:pPr>
          <w:pStyle w:val="Footer"/>
          <w:jc w:val="right"/>
        </w:pPr>
        <w:r>
          <w:fldChar w:fldCharType="begin"/>
        </w:r>
        <w:r>
          <w:instrText>PAGE   \* MERGEFORMAT</w:instrText>
        </w:r>
        <w:r>
          <w:fldChar w:fldCharType="separate"/>
        </w:r>
        <w:r>
          <w:t>2</w:t>
        </w:r>
        <w:r>
          <w:fldChar w:fldCharType="end"/>
        </w:r>
      </w:p>
    </w:sdtContent>
  </w:sdt>
  <w:p w14:paraId="1DBF94BF" w14:textId="77777777" w:rsidR="00B92973" w:rsidRDefault="00B92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09647" w14:textId="77777777" w:rsidR="00C1797F" w:rsidRDefault="00C1797F" w:rsidP="00B92973">
      <w:pPr>
        <w:spacing w:after="0" w:line="240" w:lineRule="auto"/>
      </w:pPr>
      <w:r>
        <w:separator/>
      </w:r>
    </w:p>
  </w:footnote>
  <w:footnote w:type="continuationSeparator" w:id="0">
    <w:p w14:paraId="78FF36F7" w14:textId="77777777" w:rsidR="00C1797F" w:rsidRDefault="00C1797F" w:rsidP="00B92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AD3BE9"/>
    <w:multiLevelType w:val="hybridMultilevel"/>
    <w:tmpl w:val="3B8E2660"/>
    <w:lvl w:ilvl="0" w:tplc="488EFDB8">
      <w:start w:val="7"/>
      <w:numFmt w:val="decimal"/>
      <w:lvlText w:val="%1"/>
      <w:lvlJc w:val="left"/>
      <w:pPr>
        <w:ind w:left="1580" w:hanging="360"/>
      </w:pPr>
      <w:rPr>
        <w:rFonts w:hint="default"/>
      </w:rPr>
    </w:lvl>
    <w:lvl w:ilvl="1" w:tplc="08090019" w:tentative="1">
      <w:start w:val="1"/>
      <w:numFmt w:val="lowerLetter"/>
      <w:lvlText w:val="%2."/>
      <w:lvlJc w:val="left"/>
      <w:pPr>
        <w:ind w:left="2300" w:hanging="360"/>
      </w:pPr>
    </w:lvl>
    <w:lvl w:ilvl="2" w:tplc="0809001B" w:tentative="1">
      <w:start w:val="1"/>
      <w:numFmt w:val="lowerRoman"/>
      <w:lvlText w:val="%3."/>
      <w:lvlJc w:val="right"/>
      <w:pPr>
        <w:ind w:left="3020" w:hanging="180"/>
      </w:pPr>
    </w:lvl>
    <w:lvl w:ilvl="3" w:tplc="0809000F" w:tentative="1">
      <w:start w:val="1"/>
      <w:numFmt w:val="decimal"/>
      <w:lvlText w:val="%4."/>
      <w:lvlJc w:val="left"/>
      <w:pPr>
        <w:ind w:left="3740" w:hanging="360"/>
      </w:pPr>
    </w:lvl>
    <w:lvl w:ilvl="4" w:tplc="08090019" w:tentative="1">
      <w:start w:val="1"/>
      <w:numFmt w:val="lowerLetter"/>
      <w:lvlText w:val="%5."/>
      <w:lvlJc w:val="left"/>
      <w:pPr>
        <w:ind w:left="4460" w:hanging="360"/>
      </w:pPr>
    </w:lvl>
    <w:lvl w:ilvl="5" w:tplc="0809001B" w:tentative="1">
      <w:start w:val="1"/>
      <w:numFmt w:val="lowerRoman"/>
      <w:lvlText w:val="%6."/>
      <w:lvlJc w:val="right"/>
      <w:pPr>
        <w:ind w:left="5180" w:hanging="180"/>
      </w:pPr>
    </w:lvl>
    <w:lvl w:ilvl="6" w:tplc="0809000F" w:tentative="1">
      <w:start w:val="1"/>
      <w:numFmt w:val="decimal"/>
      <w:lvlText w:val="%7."/>
      <w:lvlJc w:val="left"/>
      <w:pPr>
        <w:ind w:left="5900" w:hanging="360"/>
      </w:pPr>
    </w:lvl>
    <w:lvl w:ilvl="7" w:tplc="08090019" w:tentative="1">
      <w:start w:val="1"/>
      <w:numFmt w:val="lowerLetter"/>
      <w:lvlText w:val="%8."/>
      <w:lvlJc w:val="left"/>
      <w:pPr>
        <w:ind w:left="6620" w:hanging="360"/>
      </w:pPr>
    </w:lvl>
    <w:lvl w:ilvl="8" w:tplc="0809001B" w:tentative="1">
      <w:start w:val="1"/>
      <w:numFmt w:val="lowerRoman"/>
      <w:lvlText w:val="%9."/>
      <w:lvlJc w:val="right"/>
      <w:pPr>
        <w:ind w:left="7340" w:hanging="180"/>
      </w:pPr>
    </w:lvl>
  </w:abstractNum>
  <w:abstractNum w:abstractNumId="1" w15:restartNumberingAfterBreak="0">
    <w:nsid w:val="5BA754A7"/>
    <w:multiLevelType w:val="hybridMultilevel"/>
    <w:tmpl w:val="C6680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A02857"/>
    <w:multiLevelType w:val="hybridMultilevel"/>
    <w:tmpl w:val="86D61F16"/>
    <w:lvl w:ilvl="0" w:tplc="CE88B2D0">
      <w:start w:val="7"/>
      <w:numFmt w:val="decimal"/>
      <w:lvlText w:val="%1."/>
      <w:lvlJc w:val="left"/>
      <w:pPr>
        <w:ind w:left="1580" w:hanging="360"/>
      </w:pPr>
      <w:rPr>
        <w:rFonts w:hint="default"/>
      </w:rPr>
    </w:lvl>
    <w:lvl w:ilvl="1" w:tplc="08090019" w:tentative="1">
      <w:start w:val="1"/>
      <w:numFmt w:val="lowerLetter"/>
      <w:lvlText w:val="%2."/>
      <w:lvlJc w:val="left"/>
      <w:pPr>
        <w:ind w:left="2300" w:hanging="360"/>
      </w:pPr>
    </w:lvl>
    <w:lvl w:ilvl="2" w:tplc="0809001B" w:tentative="1">
      <w:start w:val="1"/>
      <w:numFmt w:val="lowerRoman"/>
      <w:lvlText w:val="%3."/>
      <w:lvlJc w:val="right"/>
      <w:pPr>
        <w:ind w:left="3020" w:hanging="180"/>
      </w:pPr>
    </w:lvl>
    <w:lvl w:ilvl="3" w:tplc="0809000F" w:tentative="1">
      <w:start w:val="1"/>
      <w:numFmt w:val="decimal"/>
      <w:lvlText w:val="%4."/>
      <w:lvlJc w:val="left"/>
      <w:pPr>
        <w:ind w:left="3740" w:hanging="360"/>
      </w:pPr>
    </w:lvl>
    <w:lvl w:ilvl="4" w:tplc="08090019" w:tentative="1">
      <w:start w:val="1"/>
      <w:numFmt w:val="lowerLetter"/>
      <w:lvlText w:val="%5."/>
      <w:lvlJc w:val="left"/>
      <w:pPr>
        <w:ind w:left="4460" w:hanging="360"/>
      </w:pPr>
    </w:lvl>
    <w:lvl w:ilvl="5" w:tplc="0809001B" w:tentative="1">
      <w:start w:val="1"/>
      <w:numFmt w:val="lowerRoman"/>
      <w:lvlText w:val="%6."/>
      <w:lvlJc w:val="right"/>
      <w:pPr>
        <w:ind w:left="5180" w:hanging="180"/>
      </w:pPr>
    </w:lvl>
    <w:lvl w:ilvl="6" w:tplc="0809000F" w:tentative="1">
      <w:start w:val="1"/>
      <w:numFmt w:val="decimal"/>
      <w:lvlText w:val="%7."/>
      <w:lvlJc w:val="left"/>
      <w:pPr>
        <w:ind w:left="5900" w:hanging="360"/>
      </w:pPr>
    </w:lvl>
    <w:lvl w:ilvl="7" w:tplc="08090019" w:tentative="1">
      <w:start w:val="1"/>
      <w:numFmt w:val="lowerLetter"/>
      <w:lvlText w:val="%8."/>
      <w:lvlJc w:val="left"/>
      <w:pPr>
        <w:ind w:left="6620" w:hanging="360"/>
      </w:pPr>
    </w:lvl>
    <w:lvl w:ilvl="8" w:tplc="0809001B" w:tentative="1">
      <w:start w:val="1"/>
      <w:numFmt w:val="lowerRoman"/>
      <w:lvlText w:val="%9."/>
      <w:lvlJc w:val="right"/>
      <w:pPr>
        <w:ind w:left="7340" w:hanging="180"/>
      </w:pPr>
    </w:lvl>
  </w:abstractNum>
  <w:abstractNum w:abstractNumId="3" w15:restartNumberingAfterBreak="0">
    <w:nsid w:val="6F96123E"/>
    <w:multiLevelType w:val="hybridMultilevel"/>
    <w:tmpl w:val="DED4271A"/>
    <w:lvl w:ilvl="0" w:tplc="E2C64810">
      <w:start w:val="7"/>
      <w:numFmt w:val="decimal"/>
      <w:lvlText w:val="%1"/>
      <w:lvlJc w:val="left"/>
      <w:pPr>
        <w:ind w:left="1640" w:hanging="360"/>
      </w:pPr>
      <w:rPr>
        <w:rFonts w:hint="default"/>
      </w:rPr>
    </w:lvl>
    <w:lvl w:ilvl="1" w:tplc="08090019" w:tentative="1">
      <w:start w:val="1"/>
      <w:numFmt w:val="lowerLetter"/>
      <w:lvlText w:val="%2."/>
      <w:lvlJc w:val="left"/>
      <w:pPr>
        <w:ind w:left="2360" w:hanging="360"/>
      </w:pPr>
    </w:lvl>
    <w:lvl w:ilvl="2" w:tplc="0809001B" w:tentative="1">
      <w:start w:val="1"/>
      <w:numFmt w:val="lowerRoman"/>
      <w:lvlText w:val="%3."/>
      <w:lvlJc w:val="right"/>
      <w:pPr>
        <w:ind w:left="3080" w:hanging="180"/>
      </w:pPr>
    </w:lvl>
    <w:lvl w:ilvl="3" w:tplc="0809000F" w:tentative="1">
      <w:start w:val="1"/>
      <w:numFmt w:val="decimal"/>
      <w:lvlText w:val="%4."/>
      <w:lvlJc w:val="left"/>
      <w:pPr>
        <w:ind w:left="3800" w:hanging="360"/>
      </w:pPr>
    </w:lvl>
    <w:lvl w:ilvl="4" w:tplc="08090019" w:tentative="1">
      <w:start w:val="1"/>
      <w:numFmt w:val="lowerLetter"/>
      <w:lvlText w:val="%5."/>
      <w:lvlJc w:val="left"/>
      <w:pPr>
        <w:ind w:left="4520" w:hanging="360"/>
      </w:pPr>
    </w:lvl>
    <w:lvl w:ilvl="5" w:tplc="0809001B" w:tentative="1">
      <w:start w:val="1"/>
      <w:numFmt w:val="lowerRoman"/>
      <w:lvlText w:val="%6."/>
      <w:lvlJc w:val="right"/>
      <w:pPr>
        <w:ind w:left="5240" w:hanging="180"/>
      </w:pPr>
    </w:lvl>
    <w:lvl w:ilvl="6" w:tplc="0809000F" w:tentative="1">
      <w:start w:val="1"/>
      <w:numFmt w:val="decimal"/>
      <w:lvlText w:val="%7."/>
      <w:lvlJc w:val="left"/>
      <w:pPr>
        <w:ind w:left="5960" w:hanging="360"/>
      </w:pPr>
    </w:lvl>
    <w:lvl w:ilvl="7" w:tplc="08090019" w:tentative="1">
      <w:start w:val="1"/>
      <w:numFmt w:val="lowerLetter"/>
      <w:lvlText w:val="%8."/>
      <w:lvlJc w:val="left"/>
      <w:pPr>
        <w:ind w:left="6680" w:hanging="360"/>
      </w:pPr>
    </w:lvl>
    <w:lvl w:ilvl="8" w:tplc="0809001B" w:tentative="1">
      <w:start w:val="1"/>
      <w:numFmt w:val="lowerRoman"/>
      <w:lvlText w:val="%9."/>
      <w:lvlJc w:val="right"/>
      <w:pPr>
        <w:ind w:left="7400" w:hanging="180"/>
      </w:pPr>
    </w:lvl>
  </w:abstractNum>
  <w:num w:numId="1" w16cid:durableId="1583837123">
    <w:abstractNumId w:val="1"/>
  </w:num>
  <w:num w:numId="2" w16cid:durableId="1222985693">
    <w:abstractNumId w:val="0"/>
  </w:num>
  <w:num w:numId="3" w16cid:durableId="1806771798">
    <w:abstractNumId w:val="3"/>
  </w:num>
  <w:num w:numId="4" w16cid:durableId="45837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7F9"/>
    <w:rsid w:val="000079F1"/>
    <w:rsid w:val="00020738"/>
    <w:rsid w:val="00062752"/>
    <w:rsid w:val="00091841"/>
    <w:rsid w:val="00094122"/>
    <w:rsid w:val="0010639D"/>
    <w:rsid w:val="001359AB"/>
    <w:rsid w:val="00156D8A"/>
    <w:rsid w:val="001D0A02"/>
    <w:rsid w:val="002367F9"/>
    <w:rsid w:val="00274851"/>
    <w:rsid w:val="002B328A"/>
    <w:rsid w:val="002F33A0"/>
    <w:rsid w:val="00314470"/>
    <w:rsid w:val="003263B4"/>
    <w:rsid w:val="00370E1C"/>
    <w:rsid w:val="003906DD"/>
    <w:rsid w:val="00400176"/>
    <w:rsid w:val="0040335B"/>
    <w:rsid w:val="00434283"/>
    <w:rsid w:val="004C146F"/>
    <w:rsid w:val="004C40D4"/>
    <w:rsid w:val="005A2AB2"/>
    <w:rsid w:val="005D796E"/>
    <w:rsid w:val="006B3D12"/>
    <w:rsid w:val="006B6233"/>
    <w:rsid w:val="00717012"/>
    <w:rsid w:val="007B50ED"/>
    <w:rsid w:val="007C1488"/>
    <w:rsid w:val="0081118D"/>
    <w:rsid w:val="00814A3C"/>
    <w:rsid w:val="008455AD"/>
    <w:rsid w:val="008857EB"/>
    <w:rsid w:val="008C26AF"/>
    <w:rsid w:val="009D26EF"/>
    <w:rsid w:val="00B516BD"/>
    <w:rsid w:val="00B92973"/>
    <w:rsid w:val="00BB1F74"/>
    <w:rsid w:val="00BD4E3B"/>
    <w:rsid w:val="00BF3C78"/>
    <w:rsid w:val="00C1797F"/>
    <w:rsid w:val="00C33353"/>
    <w:rsid w:val="00CF1F80"/>
    <w:rsid w:val="00CF7158"/>
    <w:rsid w:val="00D72D6E"/>
    <w:rsid w:val="00DA591A"/>
    <w:rsid w:val="00E26244"/>
    <w:rsid w:val="00E26BA5"/>
    <w:rsid w:val="00E476B2"/>
    <w:rsid w:val="00E848F3"/>
    <w:rsid w:val="00EA6D45"/>
    <w:rsid w:val="00EF4717"/>
    <w:rsid w:val="00FC5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53946"/>
  <w15:chartTrackingRefBased/>
  <w15:docId w15:val="{0D3A5B5D-ECC9-4147-8FF9-2048E11E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next w:val="Normal"/>
    <w:link w:val="Heading1Char"/>
    <w:uiPriority w:val="9"/>
    <w:qFormat/>
    <w:rsid w:val="00236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6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7F9"/>
    <w:rPr>
      <w:rFonts w:eastAsiaTheme="majorEastAsia" w:cstheme="majorBidi"/>
      <w:color w:val="272727" w:themeColor="text1" w:themeTint="D8"/>
    </w:rPr>
  </w:style>
  <w:style w:type="paragraph" w:styleId="Title">
    <w:name w:val="Title"/>
    <w:basedOn w:val="Normal"/>
    <w:next w:val="Normal"/>
    <w:link w:val="TitleChar"/>
    <w:uiPriority w:val="10"/>
    <w:qFormat/>
    <w:rsid w:val="00236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7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7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67F9"/>
    <w:rPr>
      <w:i/>
      <w:iCs/>
      <w:color w:val="404040" w:themeColor="text1" w:themeTint="BF"/>
    </w:rPr>
  </w:style>
  <w:style w:type="paragraph" w:styleId="ListParagraph">
    <w:name w:val="List Paragraph"/>
    <w:basedOn w:val="Normal"/>
    <w:uiPriority w:val="34"/>
    <w:qFormat/>
    <w:rsid w:val="002367F9"/>
    <w:pPr>
      <w:ind w:left="720"/>
      <w:contextualSpacing/>
    </w:pPr>
  </w:style>
  <w:style w:type="character" w:styleId="IntenseEmphasis">
    <w:name w:val="Intense Emphasis"/>
    <w:basedOn w:val="DefaultParagraphFont"/>
    <w:uiPriority w:val="21"/>
    <w:qFormat/>
    <w:rsid w:val="002367F9"/>
    <w:rPr>
      <w:i/>
      <w:iCs/>
      <w:color w:val="0F4761" w:themeColor="accent1" w:themeShade="BF"/>
    </w:rPr>
  </w:style>
  <w:style w:type="paragraph" w:styleId="IntenseQuote">
    <w:name w:val="Intense Quote"/>
    <w:basedOn w:val="Normal"/>
    <w:next w:val="Normal"/>
    <w:link w:val="IntenseQuoteChar"/>
    <w:uiPriority w:val="30"/>
    <w:qFormat/>
    <w:rsid w:val="00236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7F9"/>
    <w:rPr>
      <w:i/>
      <w:iCs/>
      <w:color w:val="0F4761" w:themeColor="accent1" w:themeShade="BF"/>
    </w:rPr>
  </w:style>
  <w:style w:type="character" w:styleId="IntenseReference">
    <w:name w:val="Intense Reference"/>
    <w:basedOn w:val="DefaultParagraphFont"/>
    <w:uiPriority w:val="32"/>
    <w:qFormat/>
    <w:rsid w:val="002367F9"/>
    <w:rPr>
      <w:b/>
      <w:bCs/>
      <w:smallCaps/>
      <w:color w:val="0F4761" w:themeColor="accent1" w:themeShade="BF"/>
      <w:spacing w:val="5"/>
    </w:rPr>
  </w:style>
  <w:style w:type="character" w:styleId="Hyperlink">
    <w:name w:val="Hyperlink"/>
    <w:basedOn w:val="DefaultParagraphFont"/>
    <w:uiPriority w:val="99"/>
    <w:unhideWhenUsed/>
    <w:rsid w:val="00E26244"/>
    <w:rPr>
      <w:color w:val="467886" w:themeColor="hyperlink"/>
      <w:u w:val="single"/>
    </w:rPr>
  </w:style>
  <w:style w:type="character" w:styleId="UnresolvedMention">
    <w:name w:val="Unresolved Mention"/>
    <w:basedOn w:val="DefaultParagraphFont"/>
    <w:uiPriority w:val="99"/>
    <w:semiHidden/>
    <w:unhideWhenUsed/>
    <w:rsid w:val="00E26244"/>
    <w:rPr>
      <w:color w:val="605E5C"/>
      <w:shd w:val="clear" w:color="auto" w:fill="E1DFDD"/>
    </w:rPr>
  </w:style>
  <w:style w:type="character" w:styleId="FollowedHyperlink">
    <w:name w:val="FollowedHyperlink"/>
    <w:basedOn w:val="DefaultParagraphFont"/>
    <w:uiPriority w:val="99"/>
    <w:semiHidden/>
    <w:unhideWhenUsed/>
    <w:rsid w:val="00E26244"/>
    <w:rPr>
      <w:color w:val="96607D" w:themeColor="followedHyperlink"/>
      <w:u w:val="single"/>
    </w:rPr>
  </w:style>
  <w:style w:type="character" w:styleId="CommentReference">
    <w:name w:val="annotation reference"/>
    <w:basedOn w:val="DefaultParagraphFont"/>
    <w:uiPriority w:val="99"/>
    <w:semiHidden/>
    <w:unhideWhenUsed/>
    <w:rsid w:val="00BD4E3B"/>
    <w:rPr>
      <w:sz w:val="16"/>
      <w:szCs w:val="16"/>
    </w:rPr>
  </w:style>
  <w:style w:type="paragraph" w:styleId="CommentText">
    <w:name w:val="annotation text"/>
    <w:basedOn w:val="Normal"/>
    <w:link w:val="CommentTextChar"/>
    <w:uiPriority w:val="99"/>
    <w:unhideWhenUsed/>
    <w:rsid w:val="00BD4E3B"/>
    <w:pPr>
      <w:spacing w:line="240" w:lineRule="auto"/>
    </w:pPr>
    <w:rPr>
      <w:sz w:val="20"/>
      <w:szCs w:val="20"/>
    </w:rPr>
  </w:style>
  <w:style w:type="character" w:customStyle="1" w:styleId="CommentTextChar">
    <w:name w:val="Comment Text Char"/>
    <w:basedOn w:val="DefaultParagraphFont"/>
    <w:link w:val="CommentText"/>
    <w:uiPriority w:val="99"/>
    <w:rsid w:val="00BD4E3B"/>
    <w:rPr>
      <w:sz w:val="20"/>
      <w:szCs w:val="20"/>
    </w:rPr>
  </w:style>
  <w:style w:type="paragraph" w:styleId="CommentSubject">
    <w:name w:val="annotation subject"/>
    <w:basedOn w:val="CommentText"/>
    <w:next w:val="CommentText"/>
    <w:link w:val="CommentSubjectChar"/>
    <w:uiPriority w:val="99"/>
    <w:semiHidden/>
    <w:unhideWhenUsed/>
    <w:rsid w:val="00BD4E3B"/>
    <w:rPr>
      <w:b/>
      <w:bCs/>
    </w:rPr>
  </w:style>
  <w:style w:type="character" w:customStyle="1" w:styleId="CommentSubjectChar">
    <w:name w:val="Comment Subject Char"/>
    <w:basedOn w:val="CommentTextChar"/>
    <w:link w:val="CommentSubject"/>
    <w:uiPriority w:val="99"/>
    <w:semiHidden/>
    <w:rsid w:val="00BD4E3B"/>
    <w:rPr>
      <w:b/>
      <w:bCs/>
      <w:sz w:val="20"/>
      <w:szCs w:val="20"/>
    </w:rPr>
  </w:style>
  <w:style w:type="paragraph" w:styleId="Header">
    <w:name w:val="header"/>
    <w:basedOn w:val="Normal"/>
    <w:link w:val="HeaderChar"/>
    <w:uiPriority w:val="99"/>
    <w:unhideWhenUsed/>
    <w:rsid w:val="00B92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973"/>
  </w:style>
  <w:style w:type="paragraph" w:styleId="Footer">
    <w:name w:val="footer"/>
    <w:basedOn w:val="Normal"/>
    <w:link w:val="FooterChar"/>
    <w:uiPriority w:val="99"/>
    <w:unhideWhenUsed/>
    <w:rsid w:val="00B92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22/31/content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23/contents" TargetMode="External"/><Relationship Id="rId17" Type="http://schemas.openxmlformats.org/officeDocument/2006/relationships/hyperlink" Target="https://iris.who.int/items/ffa4b5b5-378c46a1acdc-7ef20506a3f8" TargetMode="External"/><Relationship Id="rId2" Type="http://schemas.openxmlformats.org/officeDocument/2006/relationships/customXml" Target="../customXml/item2.xml"/><Relationship Id="rId16" Type="http://schemas.openxmlformats.org/officeDocument/2006/relationships/hyperlink" Target="https://social.desa.un.org/issues/disability/crpd/convention-on-the-right-rigths-of-persons-with-disabilities-crp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are-act-statutory-guidance" TargetMode="External"/><Relationship Id="rId5" Type="http://schemas.openxmlformats.org/officeDocument/2006/relationships/styles" Target="styles.xml"/><Relationship Id="rId15" Type="http://schemas.openxmlformats.org/officeDocument/2006/relationships/hyperlink" Target="http://www.england.nhs.uk/wp-content/uploads/2019/01/universal-personalised-care.pdf" TargetMode="External"/><Relationship Id="rId10" Type="http://schemas.openxmlformats.org/officeDocument/2006/relationships/hyperlink" Target="https://doi.org/10.1080/09687599.2019.1619239"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ng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8dea7f857dd007decb278201b7a2e286">
  <xsd:schema xmlns:xsd="http://www.w3.org/2001/XMLSchema" xmlns:xs="http://www.w3.org/2001/XMLSchema" xmlns:p="http://schemas.microsoft.com/office/2006/metadata/properties" xmlns:ns3="aff4f36f-8ef1-4cda-9937-423737be097f" targetNamespace="http://schemas.microsoft.com/office/2006/metadata/properties" ma:root="true" ma:fieldsID="399356223cf95c03295364063ebae018"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D664A120-C9A4-4DEF-9C16-43029D904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3681DB-2292-4DEA-9BD3-F01528064C25}">
  <ds:schemaRefs>
    <ds:schemaRef ds:uri="http://schemas.microsoft.com/sharepoint/v3/contenttype/forms"/>
  </ds:schemaRefs>
</ds:datastoreItem>
</file>

<file path=customXml/itemProps3.xml><?xml version="1.0" encoding="utf-8"?>
<ds:datastoreItem xmlns:ds="http://schemas.openxmlformats.org/officeDocument/2006/customXml" ds:itemID="{2CE9DC19-DA37-4807-AA73-A065FFC39154}">
  <ds:schemaRefs>
    <ds:schemaRef ds:uri="http://schemas.microsoft.com/office/2006/metadata/properties"/>
    <ds:schemaRef ds:uri="http://schemas.microsoft.com/office/infopath/2007/PartnerControls"/>
    <ds:schemaRef ds:uri="aff4f36f-8ef1-4cda-9937-423737be097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3190</Words>
  <Characters>18188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Dias Da Silva (2439686)</dc:creator>
  <cp:keywords/>
  <dc:description/>
  <cp:lastModifiedBy>Ana Maria Dias Da Silva (2439686)</cp:lastModifiedBy>
  <cp:revision>2</cp:revision>
  <dcterms:created xsi:type="dcterms:W3CDTF">2026-08-07T08:16:00Z</dcterms:created>
  <dcterms:modified xsi:type="dcterms:W3CDTF">2026-08-07T08:16:00Z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