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FB8157" w14:textId="7375A425" w:rsidR="00F5100D" w:rsidRDefault="00F5100D" w:rsidP="00E24BEF">
      <w:pPr>
        <w:jc w:val="center"/>
      </w:pPr>
    </w:p>
    <w:p w14:paraId="03270DBD" w14:textId="0C46CD87" w:rsidR="00E24BEF" w:rsidRDefault="00E24BEF" w:rsidP="00E24BEF">
      <w:pPr>
        <w:jc w:val="center"/>
      </w:pPr>
    </w:p>
    <w:p w14:paraId="13475A90" w14:textId="3369F85B" w:rsidR="00E24BEF" w:rsidRDefault="00E24BEF" w:rsidP="00E24BEF">
      <w:pPr>
        <w:jc w:val="center"/>
      </w:pPr>
    </w:p>
    <w:p w14:paraId="0369928B" w14:textId="0427814E" w:rsidR="00E24BEF" w:rsidRDefault="00E24BEF" w:rsidP="00E24BEF">
      <w:pPr>
        <w:jc w:val="center"/>
      </w:pPr>
    </w:p>
    <w:p w14:paraId="7A983BE7" w14:textId="3D3EF5B5" w:rsidR="00E24BEF" w:rsidRDefault="00E24BEF" w:rsidP="00E24BEF">
      <w:pPr>
        <w:jc w:val="center"/>
      </w:pPr>
    </w:p>
    <w:p w14:paraId="3364E876" w14:textId="4136CA30" w:rsidR="00E24BEF" w:rsidRDefault="00E24BEF" w:rsidP="00E24BEF">
      <w:pPr>
        <w:jc w:val="center"/>
      </w:pPr>
    </w:p>
    <w:p w14:paraId="6DF76CAD" w14:textId="48110F80" w:rsidR="00E24BEF" w:rsidRDefault="00E24BEF" w:rsidP="00E24BEF">
      <w:pPr>
        <w:jc w:val="center"/>
      </w:pPr>
    </w:p>
    <w:p w14:paraId="518C75A5" w14:textId="148A141C" w:rsidR="00E24BEF" w:rsidRDefault="00E24BEF" w:rsidP="00E24BEF">
      <w:pPr>
        <w:jc w:val="center"/>
      </w:pPr>
    </w:p>
    <w:p w14:paraId="10322F7F" w14:textId="7054CCE3" w:rsidR="00E24BEF" w:rsidRDefault="00E24BEF" w:rsidP="00E24BEF">
      <w:pPr>
        <w:jc w:val="center"/>
      </w:pPr>
    </w:p>
    <w:p w14:paraId="004511B0" w14:textId="74C42BBB" w:rsidR="00E24BEF" w:rsidRDefault="00E24BEF" w:rsidP="00E24BEF">
      <w:pPr>
        <w:jc w:val="center"/>
      </w:pPr>
    </w:p>
    <w:p w14:paraId="7394BCE0" w14:textId="77777777" w:rsidR="00E24BEF" w:rsidRDefault="00E24BEF" w:rsidP="00E24BEF">
      <w:pPr>
        <w:jc w:val="center"/>
      </w:pPr>
    </w:p>
    <w:p w14:paraId="0A9DD607" w14:textId="490A1D4A" w:rsidR="00F5100D" w:rsidRPr="00737D60" w:rsidRDefault="00F5100D" w:rsidP="00E24BEF">
      <w:pPr>
        <w:jc w:val="center"/>
        <w:rPr>
          <w:b/>
          <w:u w:val="single"/>
        </w:rPr>
      </w:pPr>
      <w:r w:rsidRPr="00737D60">
        <w:rPr>
          <w:b/>
          <w:u w:val="single"/>
        </w:rPr>
        <w:t>FINANCIAL ANALYSI</w:t>
      </w:r>
      <w:r w:rsidR="00737D60" w:rsidRPr="00737D60">
        <w:rPr>
          <w:b/>
          <w:u w:val="single"/>
        </w:rPr>
        <w:t>S – G</w:t>
      </w:r>
      <w:r w:rsidRPr="00737D60">
        <w:rPr>
          <w:b/>
          <w:u w:val="single"/>
        </w:rPr>
        <w:t>SK VS. ASTRAZENECA</w:t>
      </w:r>
    </w:p>
    <w:p w14:paraId="642881D7" w14:textId="77777777" w:rsidR="00F5100D" w:rsidRPr="002C1977" w:rsidRDefault="00F5100D" w:rsidP="00E24BEF">
      <w:pPr>
        <w:jc w:val="center"/>
      </w:pPr>
      <w:r w:rsidRPr="002C1977">
        <w:t xml:space="preserve">Marino </w:t>
      </w:r>
      <w:proofErr w:type="spellStart"/>
      <w:r w:rsidRPr="002C1977">
        <w:t>Tatone</w:t>
      </w:r>
      <w:proofErr w:type="spellEnd"/>
      <w:r w:rsidRPr="002C1977">
        <w:t xml:space="preserve"> (1812409), Financial management LCMB7002, Jia Miao.</w:t>
      </w:r>
    </w:p>
    <w:p w14:paraId="0109F0E6" w14:textId="60139BBC" w:rsidR="00737D60" w:rsidRDefault="00737D60" w:rsidP="00E24BEF">
      <w:pPr>
        <w:jc w:val="center"/>
      </w:pPr>
      <w:r w:rsidRPr="00737D60">
        <w:t>University</w:t>
      </w:r>
      <w:r>
        <w:t xml:space="preserve"> of</w:t>
      </w:r>
      <w:r w:rsidRPr="00737D60">
        <w:t xml:space="preserve"> Wales T</w:t>
      </w:r>
      <w:r>
        <w:t>rinity Saint David – London.</w:t>
      </w:r>
    </w:p>
    <w:p w14:paraId="6B4A7401" w14:textId="46157951" w:rsidR="00571E7A" w:rsidRDefault="00571E7A" w:rsidP="00E24BEF">
      <w:pPr>
        <w:jc w:val="center"/>
      </w:pPr>
      <w:r>
        <w:t>03/05/2019</w:t>
      </w:r>
    </w:p>
    <w:p w14:paraId="00C7CEBB" w14:textId="0BDB536E" w:rsidR="00C21461" w:rsidRDefault="001A2AD9" w:rsidP="00E24BEF">
      <w:pPr>
        <w:jc w:val="center"/>
      </w:pPr>
      <w:hyperlink r:id="rId8" w:history="1">
        <w:r w:rsidRPr="006E2678">
          <w:rPr>
            <w:rStyle w:val="Hyperlink"/>
          </w:rPr>
          <w:t>1812409@student.uwtsd.ac.uk</w:t>
        </w:r>
      </w:hyperlink>
    </w:p>
    <w:p w14:paraId="590A3881" w14:textId="6818A9B6" w:rsidR="00E24BEF" w:rsidRDefault="00E24BEF" w:rsidP="00E24BEF">
      <w:pPr>
        <w:jc w:val="center"/>
      </w:pPr>
    </w:p>
    <w:p w14:paraId="1533A09C" w14:textId="78A52CF4" w:rsidR="00E24BEF" w:rsidRDefault="00E24BEF" w:rsidP="00F5100D">
      <w:pPr>
        <w:jc w:val="center"/>
      </w:pPr>
    </w:p>
    <w:p w14:paraId="73BA73E4" w14:textId="52FCD75B" w:rsidR="00E24BEF" w:rsidRDefault="00E24BEF" w:rsidP="00F5100D">
      <w:pPr>
        <w:jc w:val="center"/>
      </w:pPr>
    </w:p>
    <w:p w14:paraId="48DE9CB1" w14:textId="1F2E1BF4" w:rsidR="00E24BEF" w:rsidRDefault="00E24BEF" w:rsidP="00F5100D">
      <w:pPr>
        <w:jc w:val="center"/>
      </w:pPr>
    </w:p>
    <w:p w14:paraId="46F31776" w14:textId="76D7F011" w:rsidR="00E24BEF" w:rsidRDefault="00E24BEF" w:rsidP="00F5100D">
      <w:pPr>
        <w:jc w:val="center"/>
      </w:pPr>
    </w:p>
    <w:p w14:paraId="5521B316" w14:textId="08E03706" w:rsidR="00E24BEF" w:rsidRDefault="00E24BEF" w:rsidP="00F5100D">
      <w:pPr>
        <w:jc w:val="center"/>
      </w:pPr>
    </w:p>
    <w:p w14:paraId="1CABA777" w14:textId="0044423F" w:rsidR="00E24BEF" w:rsidRDefault="00E24BEF" w:rsidP="00F5100D">
      <w:pPr>
        <w:jc w:val="center"/>
      </w:pPr>
    </w:p>
    <w:p w14:paraId="55AE1F56" w14:textId="13F505C8" w:rsidR="00E24BEF" w:rsidRDefault="00E24BEF" w:rsidP="00F5100D">
      <w:pPr>
        <w:jc w:val="center"/>
      </w:pPr>
    </w:p>
    <w:p w14:paraId="39EB7BDC" w14:textId="19FB7539" w:rsidR="00E24BEF" w:rsidRDefault="00E24BEF" w:rsidP="00F5100D">
      <w:pPr>
        <w:jc w:val="center"/>
      </w:pPr>
    </w:p>
    <w:p w14:paraId="5ECCDE6D" w14:textId="747DE9D0" w:rsidR="00E24BEF" w:rsidRDefault="00E24BEF" w:rsidP="00F5100D">
      <w:pPr>
        <w:jc w:val="center"/>
      </w:pPr>
    </w:p>
    <w:p w14:paraId="1D7FD82F" w14:textId="4C955439" w:rsidR="00E24BEF" w:rsidRDefault="00E24BEF" w:rsidP="00F5100D">
      <w:pPr>
        <w:jc w:val="center"/>
      </w:pPr>
    </w:p>
    <w:p w14:paraId="17CCDDAF" w14:textId="29614749" w:rsidR="00E24BEF" w:rsidRDefault="00E24BEF" w:rsidP="00F5100D">
      <w:pPr>
        <w:jc w:val="center"/>
      </w:pPr>
    </w:p>
    <w:p w14:paraId="13F884A7" w14:textId="4005B8EF" w:rsidR="00E24BEF" w:rsidRDefault="00E24BEF" w:rsidP="00F5100D">
      <w:pPr>
        <w:jc w:val="center"/>
      </w:pPr>
    </w:p>
    <w:p w14:paraId="3694807E" w14:textId="7A12292D" w:rsidR="00E24BEF" w:rsidRDefault="00E24BEF" w:rsidP="00F5100D">
      <w:pPr>
        <w:jc w:val="center"/>
      </w:pPr>
    </w:p>
    <w:p w14:paraId="25C2A786" w14:textId="37A1830B" w:rsidR="00E24BEF" w:rsidRDefault="00E24BEF" w:rsidP="00F5100D">
      <w:pPr>
        <w:jc w:val="center"/>
      </w:pPr>
    </w:p>
    <w:p w14:paraId="4A2CFBC9" w14:textId="3AC4301A" w:rsidR="00E24BEF" w:rsidRDefault="00E24BEF" w:rsidP="00F5100D">
      <w:pPr>
        <w:jc w:val="center"/>
      </w:pPr>
    </w:p>
    <w:p w14:paraId="1376265F" w14:textId="36AAC495" w:rsidR="00E24BEF" w:rsidRDefault="00E24BEF" w:rsidP="00F5100D">
      <w:pPr>
        <w:jc w:val="center"/>
      </w:pPr>
    </w:p>
    <w:sdt>
      <w:sdtPr>
        <w:rPr>
          <w:rFonts w:asciiTheme="minorHAnsi" w:eastAsiaTheme="minorHAnsi" w:hAnsiTheme="minorHAnsi" w:cstheme="minorBidi"/>
          <w:color w:val="auto"/>
          <w:sz w:val="22"/>
          <w:szCs w:val="22"/>
          <w:lang w:val="en-GB"/>
        </w:rPr>
        <w:id w:val="2051647350"/>
        <w:docPartObj>
          <w:docPartGallery w:val="Table of Contents"/>
          <w:docPartUnique/>
        </w:docPartObj>
      </w:sdtPr>
      <w:sdtEndPr>
        <w:rPr>
          <w:b/>
          <w:bCs/>
          <w:noProof/>
        </w:rPr>
      </w:sdtEndPr>
      <w:sdtContent>
        <w:p w14:paraId="50D01FDC" w14:textId="067121AA" w:rsidR="00A20029" w:rsidRDefault="00A20029">
          <w:pPr>
            <w:pStyle w:val="TOCHeading"/>
          </w:pPr>
          <w:r>
            <w:t>Table of Contents</w:t>
          </w:r>
        </w:p>
        <w:p w14:paraId="538E46E1" w14:textId="360E2296" w:rsidR="006A422E" w:rsidRDefault="00A20029">
          <w:pPr>
            <w:pStyle w:val="TOC1"/>
            <w:tabs>
              <w:tab w:val="right" w:leader="dot" w:pos="9628"/>
            </w:tabs>
            <w:rPr>
              <w:rFonts w:eastAsiaTheme="minorEastAsia"/>
              <w:noProof/>
              <w:lang w:eastAsia="en-GB"/>
            </w:rPr>
          </w:pPr>
          <w:r>
            <w:fldChar w:fldCharType="begin"/>
          </w:r>
          <w:r>
            <w:instrText xml:space="preserve"> TOC \o "1-3" \h \z \u </w:instrText>
          </w:r>
          <w:r>
            <w:fldChar w:fldCharType="separate"/>
          </w:r>
          <w:hyperlink w:anchor="_Toc7774437" w:history="1">
            <w:r w:rsidR="006A422E" w:rsidRPr="00952BCE">
              <w:rPr>
                <w:rStyle w:val="Hyperlink"/>
                <w:noProof/>
              </w:rPr>
              <w:t>Introduction</w:t>
            </w:r>
            <w:r w:rsidR="006A422E">
              <w:rPr>
                <w:noProof/>
                <w:webHidden/>
              </w:rPr>
              <w:tab/>
            </w:r>
            <w:r w:rsidR="006A422E">
              <w:rPr>
                <w:noProof/>
                <w:webHidden/>
              </w:rPr>
              <w:fldChar w:fldCharType="begin"/>
            </w:r>
            <w:r w:rsidR="006A422E">
              <w:rPr>
                <w:noProof/>
                <w:webHidden/>
              </w:rPr>
              <w:instrText xml:space="preserve"> PAGEREF _Toc7774437 \h </w:instrText>
            </w:r>
            <w:r w:rsidR="006A422E">
              <w:rPr>
                <w:noProof/>
                <w:webHidden/>
              </w:rPr>
            </w:r>
            <w:r w:rsidR="006A422E">
              <w:rPr>
                <w:noProof/>
                <w:webHidden/>
              </w:rPr>
              <w:fldChar w:fldCharType="separate"/>
            </w:r>
            <w:r w:rsidR="006A422E">
              <w:rPr>
                <w:noProof/>
                <w:webHidden/>
              </w:rPr>
              <w:t>3</w:t>
            </w:r>
            <w:r w:rsidR="006A422E">
              <w:rPr>
                <w:noProof/>
                <w:webHidden/>
              </w:rPr>
              <w:fldChar w:fldCharType="end"/>
            </w:r>
          </w:hyperlink>
        </w:p>
        <w:p w14:paraId="14420C05" w14:textId="26276F6C" w:rsidR="006A422E" w:rsidRDefault="009F3F5D">
          <w:pPr>
            <w:pStyle w:val="TOC1"/>
            <w:tabs>
              <w:tab w:val="right" w:leader="dot" w:pos="9628"/>
            </w:tabs>
            <w:rPr>
              <w:rFonts w:eastAsiaTheme="minorEastAsia"/>
              <w:noProof/>
              <w:lang w:eastAsia="en-GB"/>
            </w:rPr>
          </w:pPr>
          <w:hyperlink w:anchor="_Toc7774438" w:history="1">
            <w:r w:rsidR="006A422E" w:rsidRPr="00952BCE">
              <w:rPr>
                <w:rStyle w:val="Hyperlink"/>
                <w:noProof/>
              </w:rPr>
              <w:t>Pharmaceutical industry</w:t>
            </w:r>
            <w:r w:rsidR="006A422E">
              <w:rPr>
                <w:noProof/>
                <w:webHidden/>
              </w:rPr>
              <w:tab/>
            </w:r>
            <w:r w:rsidR="006A422E">
              <w:rPr>
                <w:noProof/>
                <w:webHidden/>
              </w:rPr>
              <w:fldChar w:fldCharType="begin"/>
            </w:r>
            <w:r w:rsidR="006A422E">
              <w:rPr>
                <w:noProof/>
                <w:webHidden/>
              </w:rPr>
              <w:instrText xml:space="preserve"> PAGEREF _Toc7774438 \h </w:instrText>
            </w:r>
            <w:r w:rsidR="006A422E">
              <w:rPr>
                <w:noProof/>
                <w:webHidden/>
              </w:rPr>
            </w:r>
            <w:r w:rsidR="006A422E">
              <w:rPr>
                <w:noProof/>
                <w:webHidden/>
              </w:rPr>
              <w:fldChar w:fldCharType="separate"/>
            </w:r>
            <w:r w:rsidR="006A422E">
              <w:rPr>
                <w:noProof/>
                <w:webHidden/>
              </w:rPr>
              <w:t>3</w:t>
            </w:r>
            <w:r w:rsidR="006A422E">
              <w:rPr>
                <w:noProof/>
                <w:webHidden/>
              </w:rPr>
              <w:fldChar w:fldCharType="end"/>
            </w:r>
          </w:hyperlink>
        </w:p>
        <w:p w14:paraId="44D3CCF8" w14:textId="63329A8F" w:rsidR="006A422E" w:rsidRDefault="009F3F5D">
          <w:pPr>
            <w:pStyle w:val="TOC1"/>
            <w:tabs>
              <w:tab w:val="right" w:leader="dot" w:pos="9628"/>
            </w:tabs>
            <w:rPr>
              <w:rFonts w:eastAsiaTheme="minorEastAsia"/>
              <w:noProof/>
              <w:lang w:eastAsia="en-GB"/>
            </w:rPr>
          </w:pPr>
          <w:hyperlink w:anchor="_Toc7774439" w:history="1">
            <w:r w:rsidR="006A422E" w:rsidRPr="00952BCE">
              <w:rPr>
                <w:rStyle w:val="Hyperlink"/>
                <w:noProof/>
              </w:rPr>
              <w:t>GSK</w:t>
            </w:r>
            <w:r w:rsidR="006A422E">
              <w:rPr>
                <w:noProof/>
                <w:webHidden/>
              </w:rPr>
              <w:tab/>
            </w:r>
            <w:r w:rsidR="006A422E">
              <w:rPr>
                <w:noProof/>
                <w:webHidden/>
              </w:rPr>
              <w:fldChar w:fldCharType="begin"/>
            </w:r>
            <w:r w:rsidR="006A422E">
              <w:rPr>
                <w:noProof/>
                <w:webHidden/>
              </w:rPr>
              <w:instrText xml:space="preserve"> PAGEREF _Toc7774439 \h </w:instrText>
            </w:r>
            <w:r w:rsidR="006A422E">
              <w:rPr>
                <w:noProof/>
                <w:webHidden/>
              </w:rPr>
            </w:r>
            <w:r w:rsidR="006A422E">
              <w:rPr>
                <w:noProof/>
                <w:webHidden/>
              </w:rPr>
              <w:fldChar w:fldCharType="separate"/>
            </w:r>
            <w:r w:rsidR="006A422E">
              <w:rPr>
                <w:noProof/>
                <w:webHidden/>
              </w:rPr>
              <w:t>3</w:t>
            </w:r>
            <w:r w:rsidR="006A422E">
              <w:rPr>
                <w:noProof/>
                <w:webHidden/>
              </w:rPr>
              <w:fldChar w:fldCharType="end"/>
            </w:r>
          </w:hyperlink>
        </w:p>
        <w:p w14:paraId="0C6B25EE" w14:textId="2739824C" w:rsidR="006A422E" w:rsidRDefault="009F3F5D">
          <w:pPr>
            <w:pStyle w:val="TOC2"/>
            <w:tabs>
              <w:tab w:val="right" w:leader="dot" w:pos="9628"/>
            </w:tabs>
            <w:rPr>
              <w:rFonts w:eastAsiaTheme="minorEastAsia"/>
              <w:noProof/>
              <w:lang w:eastAsia="en-GB"/>
            </w:rPr>
          </w:pPr>
          <w:hyperlink w:anchor="_Toc7774440" w:history="1">
            <w:r w:rsidR="006A422E" w:rsidRPr="00952BCE">
              <w:rPr>
                <w:rStyle w:val="Hyperlink"/>
                <w:noProof/>
                <w:shd w:val="clear" w:color="auto" w:fill="FFFFFF"/>
              </w:rPr>
              <w:t>GSK’s events over the past few years</w:t>
            </w:r>
            <w:r w:rsidR="006A422E">
              <w:rPr>
                <w:noProof/>
                <w:webHidden/>
              </w:rPr>
              <w:tab/>
            </w:r>
            <w:r w:rsidR="006A422E">
              <w:rPr>
                <w:noProof/>
                <w:webHidden/>
              </w:rPr>
              <w:fldChar w:fldCharType="begin"/>
            </w:r>
            <w:r w:rsidR="006A422E">
              <w:rPr>
                <w:noProof/>
                <w:webHidden/>
              </w:rPr>
              <w:instrText xml:space="preserve"> PAGEREF _Toc7774440 \h </w:instrText>
            </w:r>
            <w:r w:rsidR="006A422E">
              <w:rPr>
                <w:noProof/>
                <w:webHidden/>
              </w:rPr>
            </w:r>
            <w:r w:rsidR="006A422E">
              <w:rPr>
                <w:noProof/>
                <w:webHidden/>
              </w:rPr>
              <w:fldChar w:fldCharType="separate"/>
            </w:r>
            <w:r w:rsidR="006A422E">
              <w:rPr>
                <w:noProof/>
                <w:webHidden/>
              </w:rPr>
              <w:t>3</w:t>
            </w:r>
            <w:r w:rsidR="006A422E">
              <w:rPr>
                <w:noProof/>
                <w:webHidden/>
              </w:rPr>
              <w:fldChar w:fldCharType="end"/>
            </w:r>
          </w:hyperlink>
        </w:p>
        <w:p w14:paraId="059ADB27" w14:textId="466CA8EE" w:rsidR="006A422E" w:rsidRDefault="009F3F5D">
          <w:pPr>
            <w:pStyle w:val="TOC1"/>
            <w:tabs>
              <w:tab w:val="right" w:leader="dot" w:pos="9628"/>
            </w:tabs>
            <w:rPr>
              <w:rFonts w:eastAsiaTheme="minorEastAsia"/>
              <w:noProof/>
              <w:lang w:eastAsia="en-GB"/>
            </w:rPr>
          </w:pPr>
          <w:hyperlink w:anchor="_Toc7774441" w:history="1">
            <w:r w:rsidR="006A422E" w:rsidRPr="00952BCE">
              <w:rPr>
                <w:rStyle w:val="Hyperlink"/>
                <w:noProof/>
                <w:shd w:val="clear" w:color="auto" w:fill="FFFFFF"/>
              </w:rPr>
              <w:t>AstraZeneca</w:t>
            </w:r>
            <w:r w:rsidR="006A422E">
              <w:rPr>
                <w:noProof/>
                <w:webHidden/>
              </w:rPr>
              <w:tab/>
            </w:r>
            <w:r w:rsidR="006A422E">
              <w:rPr>
                <w:noProof/>
                <w:webHidden/>
              </w:rPr>
              <w:fldChar w:fldCharType="begin"/>
            </w:r>
            <w:r w:rsidR="006A422E">
              <w:rPr>
                <w:noProof/>
                <w:webHidden/>
              </w:rPr>
              <w:instrText xml:space="preserve"> PAGEREF _Toc7774441 \h </w:instrText>
            </w:r>
            <w:r w:rsidR="006A422E">
              <w:rPr>
                <w:noProof/>
                <w:webHidden/>
              </w:rPr>
            </w:r>
            <w:r w:rsidR="006A422E">
              <w:rPr>
                <w:noProof/>
                <w:webHidden/>
              </w:rPr>
              <w:fldChar w:fldCharType="separate"/>
            </w:r>
            <w:r w:rsidR="006A422E">
              <w:rPr>
                <w:noProof/>
                <w:webHidden/>
              </w:rPr>
              <w:t>4</w:t>
            </w:r>
            <w:r w:rsidR="006A422E">
              <w:rPr>
                <w:noProof/>
                <w:webHidden/>
              </w:rPr>
              <w:fldChar w:fldCharType="end"/>
            </w:r>
          </w:hyperlink>
        </w:p>
        <w:p w14:paraId="20D629C8" w14:textId="299D9080" w:rsidR="006A422E" w:rsidRDefault="009F3F5D">
          <w:pPr>
            <w:pStyle w:val="TOC1"/>
            <w:tabs>
              <w:tab w:val="right" w:leader="dot" w:pos="9628"/>
            </w:tabs>
            <w:rPr>
              <w:rFonts w:eastAsiaTheme="minorEastAsia"/>
              <w:noProof/>
              <w:lang w:eastAsia="en-GB"/>
            </w:rPr>
          </w:pPr>
          <w:hyperlink w:anchor="_Toc7774442" w:history="1">
            <w:r w:rsidR="006A422E" w:rsidRPr="00952BCE">
              <w:rPr>
                <w:rStyle w:val="Hyperlink"/>
                <w:noProof/>
                <w:shd w:val="clear" w:color="auto" w:fill="FFFFFF"/>
              </w:rPr>
              <w:t>Financial Performance</w:t>
            </w:r>
            <w:r w:rsidR="006A422E">
              <w:rPr>
                <w:noProof/>
                <w:webHidden/>
              </w:rPr>
              <w:tab/>
            </w:r>
            <w:r w:rsidR="006A422E">
              <w:rPr>
                <w:noProof/>
                <w:webHidden/>
              </w:rPr>
              <w:fldChar w:fldCharType="begin"/>
            </w:r>
            <w:r w:rsidR="006A422E">
              <w:rPr>
                <w:noProof/>
                <w:webHidden/>
              </w:rPr>
              <w:instrText xml:space="preserve"> PAGEREF _Toc7774442 \h </w:instrText>
            </w:r>
            <w:r w:rsidR="006A422E">
              <w:rPr>
                <w:noProof/>
                <w:webHidden/>
              </w:rPr>
            </w:r>
            <w:r w:rsidR="006A422E">
              <w:rPr>
                <w:noProof/>
                <w:webHidden/>
              </w:rPr>
              <w:fldChar w:fldCharType="separate"/>
            </w:r>
            <w:r w:rsidR="006A422E">
              <w:rPr>
                <w:noProof/>
                <w:webHidden/>
              </w:rPr>
              <w:t>4</w:t>
            </w:r>
            <w:r w:rsidR="006A422E">
              <w:rPr>
                <w:noProof/>
                <w:webHidden/>
              </w:rPr>
              <w:fldChar w:fldCharType="end"/>
            </w:r>
          </w:hyperlink>
        </w:p>
        <w:p w14:paraId="530DA37D" w14:textId="09511141" w:rsidR="006A422E" w:rsidRDefault="009F3F5D">
          <w:pPr>
            <w:pStyle w:val="TOC2"/>
            <w:tabs>
              <w:tab w:val="right" w:leader="dot" w:pos="9628"/>
            </w:tabs>
            <w:rPr>
              <w:rFonts w:eastAsiaTheme="minorEastAsia"/>
              <w:noProof/>
              <w:lang w:eastAsia="en-GB"/>
            </w:rPr>
          </w:pPr>
          <w:hyperlink w:anchor="_Toc7774443" w:history="1">
            <w:r w:rsidR="006A422E" w:rsidRPr="00952BCE">
              <w:rPr>
                <w:rStyle w:val="Hyperlink"/>
                <w:noProof/>
              </w:rPr>
              <w:t>Profitability ratio</w:t>
            </w:r>
            <w:r w:rsidR="006A422E">
              <w:rPr>
                <w:noProof/>
                <w:webHidden/>
              </w:rPr>
              <w:tab/>
            </w:r>
            <w:r w:rsidR="006A422E">
              <w:rPr>
                <w:noProof/>
                <w:webHidden/>
              </w:rPr>
              <w:fldChar w:fldCharType="begin"/>
            </w:r>
            <w:r w:rsidR="006A422E">
              <w:rPr>
                <w:noProof/>
                <w:webHidden/>
              </w:rPr>
              <w:instrText xml:space="preserve"> PAGEREF _Toc7774443 \h </w:instrText>
            </w:r>
            <w:r w:rsidR="006A422E">
              <w:rPr>
                <w:noProof/>
                <w:webHidden/>
              </w:rPr>
            </w:r>
            <w:r w:rsidR="006A422E">
              <w:rPr>
                <w:noProof/>
                <w:webHidden/>
              </w:rPr>
              <w:fldChar w:fldCharType="separate"/>
            </w:r>
            <w:r w:rsidR="006A422E">
              <w:rPr>
                <w:noProof/>
                <w:webHidden/>
              </w:rPr>
              <w:t>4</w:t>
            </w:r>
            <w:r w:rsidR="006A422E">
              <w:rPr>
                <w:noProof/>
                <w:webHidden/>
              </w:rPr>
              <w:fldChar w:fldCharType="end"/>
            </w:r>
          </w:hyperlink>
        </w:p>
        <w:p w14:paraId="4D45D757" w14:textId="7F93ED40" w:rsidR="006A422E" w:rsidRDefault="009F3F5D">
          <w:pPr>
            <w:pStyle w:val="TOC3"/>
            <w:tabs>
              <w:tab w:val="right" w:leader="dot" w:pos="9628"/>
            </w:tabs>
            <w:rPr>
              <w:rFonts w:eastAsiaTheme="minorEastAsia"/>
              <w:noProof/>
              <w:lang w:eastAsia="en-GB"/>
            </w:rPr>
          </w:pPr>
          <w:hyperlink w:anchor="_Toc7774444" w:history="1">
            <w:r w:rsidR="006A422E" w:rsidRPr="00952BCE">
              <w:rPr>
                <w:rStyle w:val="Hyperlink"/>
                <w:noProof/>
              </w:rPr>
              <w:t>Gross margin</w:t>
            </w:r>
            <w:r w:rsidR="006A422E">
              <w:rPr>
                <w:noProof/>
                <w:webHidden/>
              </w:rPr>
              <w:tab/>
            </w:r>
            <w:r w:rsidR="006A422E">
              <w:rPr>
                <w:noProof/>
                <w:webHidden/>
              </w:rPr>
              <w:fldChar w:fldCharType="begin"/>
            </w:r>
            <w:r w:rsidR="006A422E">
              <w:rPr>
                <w:noProof/>
                <w:webHidden/>
              </w:rPr>
              <w:instrText xml:space="preserve"> PAGEREF _Toc7774444 \h </w:instrText>
            </w:r>
            <w:r w:rsidR="006A422E">
              <w:rPr>
                <w:noProof/>
                <w:webHidden/>
              </w:rPr>
            </w:r>
            <w:r w:rsidR="006A422E">
              <w:rPr>
                <w:noProof/>
                <w:webHidden/>
              </w:rPr>
              <w:fldChar w:fldCharType="separate"/>
            </w:r>
            <w:r w:rsidR="006A422E">
              <w:rPr>
                <w:noProof/>
                <w:webHidden/>
              </w:rPr>
              <w:t>5</w:t>
            </w:r>
            <w:r w:rsidR="006A422E">
              <w:rPr>
                <w:noProof/>
                <w:webHidden/>
              </w:rPr>
              <w:fldChar w:fldCharType="end"/>
            </w:r>
          </w:hyperlink>
        </w:p>
        <w:p w14:paraId="0B62F1C9" w14:textId="238F854B" w:rsidR="006A422E" w:rsidRDefault="009F3F5D">
          <w:pPr>
            <w:pStyle w:val="TOC3"/>
            <w:tabs>
              <w:tab w:val="right" w:leader="dot" w:pos="9628"/>
            </w:tabs>
            <w:rPr>
              <w:rFonts w:eastAsiaTheme="minorEastAsia"/>
              <w:noProof/>
              <w:lang w:eastAsia="en-GB"/>
            </w:rPr>
          </w:pPr>
          <w:hyperlink w:anchor="_Toc7774445" w:history="1">
            <w:r w:rsidR="006A422E" w:rsidRPr="00952BCE">
              <w:rPr>
                <w:rStyle w:val="Hyperlink"/>
                <w:noProof/>
              </w:rPr>
              <w:t>Operating margin</w:t>
            </w:r>
            <w:r w:rsidR="006A422E">
              <w:rPr>
                <w:noProof/>
                <w:webHidden/>
              </w:rPr>
              <w:tab/>
            </w:r>
            <w:r w:rsidR="006A422E">
              <w:rPr>
                <w:noProof/>
                <w:webHidden/>
              </w:rPr>
              <w:fldChar w:fldCharType="begin"/>
            </w:r>
            <w:r w:rsidR="006A422E">
              <w:rPr>
                <w:noProof/>
                <w:webHidden/>
              </w:rPr>
              <w:instrText xml:space="preserve"> PAGEREF _Toc7774445 \h </w:instrText>
            </w:r>
            <w:r w:rsidR="006A422E">
              <w:rPr>
                <w:noProof/>
                <w:webHidden/>
              </w:rPr>
            </w:r>
            <w:r w:rsidR="006A422E">
              <w:rPr>
                <w:noProof/>
                <w:webHidden/>
              </w:rPr>
              <w:fldChar w:fldCharType="separate"/>
            </w:r>
            <w:r w:rsidR="006A422E">
              <w:rPr>
                <w:noProof/>
                <w:webHidden/>
              </w:rPr>
              <w:t>6</w:t>
            </w:r>
            <w:r w:rsidR="006A422E">
              <w:rPr>
                <w:noProof/>
                <w:webHidden/>
              </w:rPr>
              <w:fldChar w:fldCharType="end"/>
            </w:r>
          </w:hyperlink>
        </w:p>
        <w:p w14:paraId="6DE262F1" w14:textId="4A669414" w:rsidR="006A422E" w:rsidRDefault="009F3F5D">
          <w:pPr>
            <w:pStyle w:val="TOC3"/>
            <w:tabs>
              <w:tab w:val="right" w:leader="dot" w:pos="9628"/>
            </w:tabs>
            <w:rPr>
              <w:rFonts w:eastAsiaTheme="minorEastAsia"/>
              <w:noProof/>
              <w:lang w:eastAsia="en-GB"/>
            </w:rPr>
          </w:pPr>
          <w:hyperlink w:anchor="_Toc7774446" w:history="1">
            <w:r w:rsidR="006A422E" w:rsidRPr="00952BCE">
              <w:rPr>
                <w:rStyle w:val="Hyperlink"/>
                <w:noProof/>
              </w:rPr>
              <w:t>RORC</w:t>
            </w:r>
            <w:r w:rsidR="006A422E">
              <w:rPr>
                <w:noProof/>
                <w:webHidden/>
              </w:rPr>
              <w:tab/>
            </w:r>
            <w:r w:rsidR="006A422E">
              <w:rPr>
                <w:noProof/>
                <w:webHidden/>
              </w:rPr>
              <w:fldChar w:fldCharType="begin"/>
            </w:r>
            <w:r w:rsidR="006A422E">
              <w:rPr>
                <w:noProof/>
                <w:webHidden/>
              </w:rPr>
              <w:instrText xml:space="preserve"> PAGEREF _Toc7774446 \h </w:instrText>
            </w:r>
            <w:r w:rsidR="006A422E">
              <w:rPr>
                <w:noProof/>
                <w:webHidden/>
              </w:rPr>
            </w:r>
            <w:r w:rsidR="006A422E">
              <w:rPr>
                <w:noProof/>
                <w:webHidden/>
              </w:rPr>
              <w:fldChar w:fldCharType="separate"/>
            </w:r>
            <w:r w:rsidR="006A422E">
              <w:rPr>
                <w:noProof/>
                <w:webHidden/>
              </w:rPr>
              <w:t>7</w:t>
            </w:r>
            <w:r w:rsidR="006A422E">
              <w:rPr>
                <w:noProof/>
                <w:webHidden/>
              </w:rPr>
              <w:fldChar w:fldCharType="end"/>
            </w:r>
          </w:hyperlink>
        </w:p>
        <w:p w14:paraId="20FA96DD" w14:textId="75038827" w:rsidR="006A422E" w:rsidRDefault="009F3F5D">
          <w:pPr>
            <w:pStyle w:val="TOC2"/>
            <w:tabs>
              <w:tab w:val="right" w:leader="dot" w:pos="9628"/>
            </w:tabs>
            <w:rPr>
              <w:rFonts w:eastAsiaTheme="minorEastAsia"/>
              <w:noProof/>
              <w:lang w:eastAsia="en-GB"/>
            </w:rPr>
          </w:pPr>
          <w:hyperlink w:anchor="_Toc7774447" w:history="1">
            <w:r w:rsidR="006A422E" w:rsidRPr="00952BCE">
              <w:rPr>
                <w:rStyle w:val="Hyperlink"/>
                <w:noProof/>
              </w:rPr>
              <w:t>Liquidity ratios</w:t>
            </w:r>
            <w:r w:rsidR="006A422E">
              <w:rPr>
                <w:noProof/>
                <w:webHidden/>
              </w:rPr>
              <w:tab/>
            </w:r>
            <w:r w:rsidR="006A422E">
              <w:rPr>
                <w:noProof/>
                <w:webHidden/>
              </w:rPr>
              <w:fldChar w:fldCharType="begin"/>
            </w:r>
            <w:r w:rsidR="006A422E">
              <w:rPr>
                <w:noProof/>
                <w:webHidden/>
              </w:rPr>
              <w:instrText xml:space="preserve"> PAGEREF _Toc7774447 \h </w:instrText>
            </w:r>
            <w:r w:rsidR="006A422E">
              <w:rPr>
                <w:noProof/>
                <w:webHidden/>
              </w:rPr>
            </w:r>
            <w:r w:rsidR="006A422E">
              <w:rPr>
                <w:noProof/>
                <w:webHidden/>
              </w:rPr>
              <w:fldChar w:fldCharType="separate"/>
            </w:r>
            <w:r w:rsidR="006A422E">
              <w:rPr>
                <w:noProof/>
                <w:webHidden/>
              </w:rPr>
              <w:t>7</w:t>
            </w:r>
            <w:r w:rsidR="006A422E">
              <w:rPr>
                <w:noProof/>
                <w:webHidden/>
              </w:rPr>
              <w:fldChar w:fldCharType="end"/>
            </w:r>
          </w:hyperlink>
        </w:p>
        <w:p w14:paraId="487A518F" w14:textId="3CFE90C6" w:rsidR="006A422E" w:rsidRDefault="009F3F5D">
          <w:pPr>
            <w:pStyle w:val="TOC3"/>
            <w:tabs>
              <w:tab w:val="right" w:leader="dot" w:pos="9628"/>
            </w:tabs>
            <w:rPr>
              <w:rFonts w:eastAsiaTheme="minorEastAsia"/>
              <w:noProof/>
              <w:lang w:eastAsia="en-GB"/>
            </w:rPr>
          </w:pPr>
          <w:hyperlink w:anchor="_Toc7774448" w:history="1">
            <w:r w:rsidR="006A422E" w:rsidRPr="00952BCE">
              <w:rPr>
                <w:rStyle w:val="Hyperlink"/>
                <w:noProof/>
              </w:rPr>
              <w:t>Current ratio</w:t>
            </w:r>
            <w:r w:rsidR="006A422E">
              <w:rPr>
                <w:noProof/>
                <w:webHidden/>
              </w:rPr>
              <w:tab/>
            </w:r>
            <w:r w:rsidR="006A422E">
              <w:rPr>
                <w:noProof/>
                <w:webHidden/>
              </w:rPr>
              <w:fldChar w:fldCharType="begin"/>
            </w:r>
            <w:r w:rsidR="006A422E">
              <w:rPr>
                <w:noProof/>
                <w:webHidden/>
              </w:rPr>
              <w:instrText xml:space="preserve"> PAGEREF _Toc7774448 \h </w:instrText>
            </w:r>
            <w:r w:rsidR="006A422E">
              <w:rPr>
                <w:noProof/>
                <w:webHidden/>
              </w:rPr>
            </w:r>
            <w:r w:rsidR="006A422E">
              <w:rPr>
                <w:noProof/>
                <w:webHidden/>
              </w:rPr>
              <w:fldChar w:fldCharType="separate"/>
            </w:r>
            <w:r w:rsidR="006A422E">
              <w:rPr>
                <w:noProof/>
                <w:webHidden/>
              </w:rPr>
              <w:t>8</w:t>
            </w:r>
            <w:r w:rsidR="006A422E">
              <w:rPr>
                <w:noProof/>
                <w:webHidden/>
              </w:rPr>
              <w:fldChar w:fldCharType="end"/>
            </w:r>
          </w:hyperlink>
        </w:p>
        <w:p w14:paraId="1797BA69" w14:textId="41D84426" w:rsidR="006A422E" w:rsidRDefault="009F3F5D">
          <w:pPr>
            <w:pStyle w:val="TOC3"/>
            <w:tabs>
              <w:tab w:val="right" w:leader="dot" w:pos="9628"/>
            </w:tabs>
            <w:rPr>
              <w:rFonts w:eastAsiaTheme="minorEastAsia"/>
              <w:noProof/>
              <w:lang w:eastAsia="en-GB"/>
            </w:rPr>
          </w:pPr>
          <w:hyperlink w:anchor="_Toc7774449" w:history="1">
            <w:r w:rsidR="006A422E" w:rsidRPr="00952BCE">
              <w:rPr>
                <w:rStyle w:val="Hyperlink"/>
                <w:noProof/>
              </w:rPr>
              <w:t>Quick ratio</w:t>
            </w:r>
            <w:r w:rsidR="006A422E">
              <w:rPr>
                <w:noProof/>
                <w:webHidden/>
              </w:rPr>
              <w:tab/>
            </w:r>
            <w:r w:rsidR="006A422E">
              <w:rPr>
                <w:noProof/>
                <w:webHidden/>
              </w:rPr>
              <w:fldChar w:fldCharType="begin"/>
            </w:r>
            <w:r w:rsidR="006A422E">
              <w:rPr>
                <w:noProof/>
                <w:webHidden/>
              </w:rPr>
              <w:instrText xml:space="preserve"> PAGEREF _Toc7774449 \h </w:instrText>
            </w:r>
            <w:r w:rsidR="006A422E">
              <w:rPr>
                <w:noProof/>
                <w:webHidden/>
              </w:rPr>
            </w:r>
            <w:r w:rsidR="006A422E">
              <w:rPr>
                <w:noProof/>
                <w:webHidden/>
              </w:rPr>
              <w:fldChar w:fldCharType="separate"/>
            </w:r>
            <w:r w:rsidR="006A422E">
              <w:rPr>
                <w:noProof/>
                <w:webHidden/>
              </w:rPr>
              <w:t>8</w:t>
            </w:r>
            <w:r w:rsidR="006A422E">
              <w:rPr>
                <w:noProof/>
                <w:webHidden/>
              </w:rPr>
              <w:fldChar w:fldCharType="end"/>
            </w:r>
          </w:hyperlink>
        </w:p>
        <w:p w14:paraId="32D7115B" w14:textId="7B72B46E" w:rsidR="006A422E" w:rsidRDefault="009F3F5D">
          <w:pPr>
            <w:pStyle w:val="TOC3"/>
            <w:tabs>
              <w:tab w:val="right" w:leader="dot" w:pos="9628"/>
            </w:tabs>
            <w:rPr>
              <w:rFonts w:eastAsiaTheme="minorEastAsia"/>
              <w:noProof/>
              <w:lang w:eastAsia="en-GB"/>
            </w:rPr>
          </w:pPr>
          <w:hyperlink w:anchor="_Toc7774450" w:history="1">
            <w:r w:rsidR="006A422E" w:rsidRPr="00952BCE">
              <w:rPr>
                <w:rStyle w:val="Hyperlink"/>
                <w:noProof/>
              </w:rPr>
              <w:t>Cash ratio</w:t>
            </w:r>
            <w:r w:rsidR="006A422E">
              <w:rPr>
                <w:noProof/>
                <w:webHidden/>
              </w:rPr>
              <w:tab/>
            </w:r>
            <w:r w:rsidR="006A422E">
              <w:rPr>
                <w:noProof/>
                <w:webHidden/>
              </w:rPr>
              <w:fldChar w:fldCharType="begin"/>
            </w:r>
            <w:r w:rsidR="006A422E">
              <w:rPr>
                <w:noProof/>
                <w:webHidden/>
              </w:rPr>
              <w:instrText xml:space="preserve"> PAGEREF _Toc7774450 \h </w:instrText>
            </w:r>
            <w:r w:rsidR="006A422E">
              <w:rPr>
                <w:noProof/>
                <w:webHidden/>
              </w:rPr>
            </w:r>
            <w:r w:rsidR="006A422E">
              <w:rPr>
                <w:noProof/>
                <w:webHidden/>
              </w:rPr>
              <w:fldChar w:fldCharType="separate"/>
            </w:r>
            <w:r w:rsidR="006A422E">
              <w:rPr>
                <w:noProof/>
                <w:webHidden/>
              </w:rPr>
              <w:t>9</w:t>
            </w:r>
            <w:r w:rsidR="006A422E">
              <w:rPr>
                <w:noProof/>
                <w:webHidden/>
              </w:rPr>
              <w:fldChar w:fldCharType="end"/>
            </w:r>
          </w:hyperlink>
        </w:p>
        <w:p w14:paraId="7FC1A746" w14:textId="1D33F552" w:rsidR="006A422E" w:rsidRDefault="009F3F5D">
          <w:pPr>
            <w:pStyle w:val="TOC2"/>
            <w:tabs>
              <w:tab w:val="right" w:leader="dot" w:pos="9628"/>
            </w:tabs>
            <w:rPr>
              <w:rFonts w:eastAsiaTheme="minorEastAsia"/>
              <w:noProof/>
              <w:lang w:eastAsia="en-GB"/>
            </w:rPr>
          </w:pPr>
          <w:hyperlink w:anchor="_Toc7774451" w:history="1">
            <w:r w:rsidR="006A422E" w:rsidRPr="00952BCE">
              <w:rPr>
                <w:rStyle w:val="Hyperlink"/>
                <w:noProof/>
                <w:shd w:val="clear" w:color="auto" w:fill="FFFFFF"/>
              </w:rPr>
              <w:t>Leverage ratios</w:t>
            </w:r>
            <w:r w:rsidR="006A422E">
              <w:rPr>
                <w:noProof/>
                <w:webHidden/>
              </w:rPr>
              <w:tab/>
            </w:r>
            <w:r w:rsidR="006A422E">
              <w:rPr>
                <w:noProof/>
                <w:webHidden/>
              </w:rPr>
              <w:fldChar w:fldCharType="begin"/>
            </w:r>
            <w:r w:rsidR="006A422E">
              <w:rPr>
                <w:noProof/>
                <w:webHidden/>
              </w:rPr>
              <w:instrText xml:space="preserve"> PAGEREF _Toc7774451 \h </w:instrText>
            </w:r>
            <w:r w:rsidR="006A422E">
              <w:rPr>
                <w:noProof/>
                <w:webHidden/>
              </w:rPr>
            </w:r>
            <w:r w:rsidR="006A422E">
              <w:rPr>
                <w:noProof/>
                <w:webHidden/>
              </w:rPr>
              <w:fldChar w:fldCharType="separate"/>
            </w:r>
            <w:r w:rsidR="006A422E">
              <w:rPr>
                <w:noProof/>
                <w:webHidden/>
              </w:rPr>
              <w:t>9</w:t>
            </w:r>
            <w:r w:rsidR="006A422E">
              <w:rPr>
                <w:noProof/>
                <w:webHidden/>
              </w:rPr>
              <w:fldChar w:fldCharType="end"/>
            </w:r>
          </w:hyperlink>
        </w:p>
        <w:p w14:paraId="433B12C1" w14:textId="1AECDAB7" w:rsidR="006A422E" w:rsidRDefault="009F3F5D">
          <w:pPr>
            <w:pStyle w:val="TOC3"/>
            <w:tabs>
              <w:tab w:val="right" w:leader="dot" w:pos="9628"/>
            </w:tabs>
            <w:rPr>
              <w:rFonts w:eastAsiaTheme="minorEastAsia"/>
              <w:noProof/>
              <w:lang w:eastAsia="en-GB"/>
            </w:rPr>
          </w:pPr>
          <w:hyperlink w:anchor="_Toc7774452" w:history="1">
            <w:r w:rsidR="006A422E" w:rsidRPr="00952BCE">
              <w:rPr>
                <w:rStyle w:val="Hyperlink"/>
                <w:noProof/>
              </w:rPr>
              <w:t>Debt-equity ratio</w:t>
            </w:r>
            <w:r w:rsidR="006A422E">
              <w:rPr>
                <w:noProof/>
                <w:webHidden/>
              </w:rPr>
              <w:tab/>
            </w:r>
            <w:r w:rsidR="006A422E">
              <w:rPr>
                <w:noProof/>
                <w:webHidden/>
              </w:rPr>
              <w:fldChar w:fldCharType="begin"/>
            </w:r>
            <w:r w:rsidR="006A422E">
              <w:rPr>
                <w:noProof/>
                <w:webHidden/>
              </w:rPr>
              <w:instrText xml:space="preserve"> PAGEREF _Toc7774452 \h </w:instrText>
            </w:r>
            <w:r w:rsidR="006A422E">
              <w:rPr>
                <w:noProof/>
                <w:webHidden/>
              </w:rPr>
            </w:r>
            <w:r w:rsidR="006A422E">
              <w:rPr>
                <w:noProof/>
                <w:webHidden/>
              </w:rPr>
              <w:fldChar w:fldCharType="separate"/>
            </w:r>
            <w:r w:rsidR="006A422E">
              <w:rPr>
                <w:noProof/>
                <w:webHidden/>
              </w:rPr>
              <w:t>10</w:t>
            </w:r>
            <w:r w:rsidR="006A422E">
              <w:rPr>
                <w:noProof/>
                <w:webHidden/>
              </w:rPr>
              <w:fldChar w:fldCharType="end"/>
            </w:r>
          </w:hyperlink>
        </w:p>
        <w:p w14:paraId="4C4B465C" w14:textId="51106243" w:rsidR="006A422E" w:rsidRDefault="009F3F5D">
          <w:pPr>
            <w:pStyle w:val="TOC3"/>
            <w:tabs>
              <w:tab w:val="right" w:leader="dot" w:pos="9628"/>
            </w:tabs>
            <w:rPr>
              <w:rFonts w:eastAsiaTheme="minorEastAsia"/>
              <w:noProof/>
              <w:lang w:eastAsia="en-GB"/>
            </w:rPr>
          </w:pPr>
          <w:hyperlink w:anchor="_Toc7774453" w:history="1">
            <w:r w:rsidR="006A422E" w:rsidRPr="00952BCE">
              <w:rPr>
                <w:rStyle w:val="Hyperlink"/>
                <w:noProof/>
              </w:rPr>
              <w:t>Debt-to-capital ratio</w:t>
            </w:r>
            <w:r w:rsidR="006A422E">
              <w:rPr>
                <w:noProof/>
                <w:webHidden/>
              </w:rPr>
              <w:tab/>
            </w:r>
            <w:r w:rsidR="006A422E">
              <w:rPr>
                <w:noProof/>
                <w:webHidden/>
              </w:rPr>
              <w:fldChar w:fldCharType="begin"/>
            </w:r>
            <w:r w:rsidR="006A422E">
              <w:rPr>
                <w:noProof/>
                <w:webHidden/>
              </w:rPr>
              <w:instrText xml:space="preserve"> PAGEREF _Toc7774453 \h </w:instrText>
            </w:r>
            <w:r w:rsidR="006A422E">
              <w:rPr>
                <w:noProof/>
                <w:webHidden/>
              </w:rPr>
            </w:r>
            <w:r w:rsidR="006A422E">
              <w:rPr>
                <w:noProof/>
                <w:webHidden/>
              </w:rPr>
              <w:fldChar w:fldCharType="separate"/>
            </w:r>
            <w:r w:rsidR="006A422E">
              <w:rPr>
                <w:noProof/>
                <w:webHidden/>
              </w:rPr>
              <w:t>10</w:t>
            </w:r>
            <w:r w:rsidR="006A422E">
              <w:rPr>
                <w:noProof/>
                <w:webHidden/>
              </w:rPr>
              <w:fldChar w:fldCharType="end"/>
            </w:r>
          </w:hyperlink>
        </w:p>
        <w:p w14:paraId="7ED725DD" w14:textId="0B754217" w:rsidR="006A422E" w:rsidRDefault="009F3F5D">
          <w:pPr>
            <w:pStyle w:val="TOC2"/>
            <w:tabs>
              <w:tab w:val="right" w:leader="dot" w:pos="9628"/>
            </w:tabs>
            <w:rPr>
              <w:rFonts w:eastAsiaTheme="minorEastAsia"/>
              <w:noProof/>
              <w:lang w:eastAsia="en-GB"/>
            </w:rPr>
          </w:pPr>
          <w:hyperlink w:anchor="_Toc7774454" w:history="1">
            <w:r w:rsidR="006A422E" w:rsidRPr="00952BCE">
              <w:rPr>
                <w:rStyle w:val="Hyperlink"/>
                <w:noProof/>
              </w:rPr>
              <w:t>Efficiently ratios</w:t>
            </w:r>
            <w:r w:rsidR="006A422E">
              <w:rPr>
                <w:noProof/>
                <w:webHidden/>
              </w:rPr>
              <w:tab/>
            </w:r>
            <w:r w:rsidR="006A422E">
              <w:rPr>
                <w:noProof/>
                <w:webHidden/>
              </w:rPr>
              <w:fldChar w:fldCharType="begin"/>
            </w:r>
            <w:r w:rsidR="006A422E">
              <w:rPr>
                <w:noProof/>
                <w:webHidden/>
              </w:rPr>
              <w:instrText xml:space="preserve"> PAGEREF _Toc7774454 \h </w:instrText>
            </w:r>
            <w:r w:rsidR="006A422E">
              <w:rPr>
                <w:noProof/>
                <w:webHidden/>
              </w:rPr>
            </w:r>
            <w:r w:rsidR="006A422E">
              <w:rPr>
                <w:noProof/>
                <w:webHidden/>
              </w:rPr>
              <w:fldChar w:fldCharType="separate"/>
            </w:r>
            <w:r w:rsidR="006A422E">
              <w:rPr>
                <w:noProof/>
                <w:webHidden/>
              </w:rPr>
              <w:t>11</w:t>
            </w:r>
            <w:r w:rsidR="006A422E">
              <w:rPr>
                <w:noProof/>
                <w:webHidden/>
              </w:rPr>
              <w:fldChar w:fldCharType="end"/>
            </w:r>
          </w:hyperlink>
        </w:p>
        <w:p w14:paraId="1ED48573" w14:textId="5E211F3E" w:rsidR="006A422E" w:rsidRDefault="009F3F5D">
          <w:pPr>
            <w:pStyle w:val="TOC3"/>
            <w:tabs>
              <w:tab w:val="right" w:leader="dot" w:pos="9628"/>
            </w:tabs>
            <w:rPr>
              <w:rFonts w:eastAsiaTheme="minorEastAsia"/>
              <w:noProof/>
              <w:lang w:eastAsia="en-GB"/>
            </w:rPr>
          </w:pPr>
          <w:hyperlink w:anchor="_Toc7774455" w:history="1">
            <w:r w:rsidR="006A422E" w:rsidRPr="00952BCE">
              <w:rPr>
                <w:rStyle w:val="Hyperlink"/>
                <w:noProof/>
              </w:rPr>
              <w:t>Asset turnover</w:t>
            </w:r>
            <w:r w:rsidR="006A422E">
              <w:rPr>
                <w:noProof/>
                <w:webHidden/>
              </w:rPr>
              <w:tab/>
            </w:r>
            <w:r w:rsidR="006A422E">
              <w:rPr>
                <w:noProof/>
                <w:webHidden/>
              </w:rPr>
              <w:fldChar w:fldCharType="begin"/>
            </w:r>
            <w:r w:rsidR="006A422E">
              <w:rPr>
                <w:noProof/>
                <w:webHidden/>
              </w:rPr>
              <w:instrText xml:space="preserve"> PAGEREF _Toc7774455 \h </w:instrText>
            </w:r>
            <w:r w:rsidR="006A422E">
              <w:rPr>
                <w:noProof/>
                <w:webHidden/>
              </w:rPr>
            </w:r>
            <w:r w:rsidR="006A422E">
              <w:rPr>
                <w:noProof/>
                <w:webHidden/>
              </w:rPr>
              <w:fldChar w:fldCharType="separate"/>
            </w:r>
            <w:r w:rsidR="006A422E">
              <w:rPr>
                <w:noProof/>
                <w:webHidden/>
              </w:rPr>
              <w:t>12</w:t>
            </w:r>
            <w:r w:rsidR="006A422E">
              <w:rPr>
                <w:noProof/>
                <w:webHidden/>
              </w:rPr>
              <w:fldChar w:fldCharType="end"/>
            </w:r>
          </w:hyperlink>
        </w:p>
        <w:p w14:paraId="5A10517C" w14:textId="47E0E545" w:rsidR="006A422E" w:rsidRDefault="009F3F5D">
          <w:pPr>
            <w:pStyle w:val="TOC3"/>
            <w:tabs>
              <w:tab w:val="right" w:leader="dot" w:pos="9628"/>
            </w:tabs>
            <w:rPr>
              <w:rFonts w:eastAsiaTheme="minorEastAsia"/>
              <w:noProof/>
              <w:lang w:eastAsia="en-GB"/>
            </w:rPr>
          </w:pPr>
          <w:hyperlink w:anchor="_Toc7774456" w:history="1">
            <w:r w:rsidR="006A422E" w:rsidRPr="00952BCE">
              <w:rPr>
                <w:rStyle w:val="Hyperlink"/>
                <w:noProof/>
              </w:rPr>
              <w:t>Fixed asset turnover</w:t>
            </w:r>
            <w:r w:rsidR="006A422E">
              <w:rPr>
                <w:noProof/>
                <w:webHidden/>
              </w:rPr>
              <w:tab/>
            </w:r>
            <w:r w:rsidR="006A422E">
              <w:rPr>
                <w:noProof/>
                <w:webHidden/>
              </w:rPr>
              <w:fldChar w:fldCharType="begin"/>
            </w:r>
            <w:r w:rsidR="006A422E">
              <w:rPr>
                <w:noProof/>
                <w:webHidden/>
              </w:rPr>
              <w:instrText xml:space="preserve"> PAGEREF _Toc7774456 \h </w:instrText>
            </w:r>
            <w:r w:rsidR="006A422E">
              <w:rPr>
                <w:noProof/>
                <w:webHidden/>
              </w:rPr>
            </w:r>
            <w:r w:rsidR="006A422E">
              <w:rPr>
                <w:noProof/>
                <w:webHidden/>
              </w:rPr>
              <w:fldChar w:fldCharType="separate"/>
            </w:r>
            <w:r w:rsidR="006A422E">
              <w:rPr>
                <w:noProof/>
                <w:webHidden/>
              </w:rPr>
              <w:t>12</w:t>
            </w:r>
            <w:r w:rsidR="006A422E">
              <w:rPr>
                <w:noProof/>
                <w:webHidden/>
              </w:rPr>
              <w:fldChar w:fldCharType="end"/>
            </w:r>
          </w:hyperlink>
        </w:p>
        <w:p w14:paraId="3F12F18A" w14:textId="74D81F72" w:rsidR="006A422E" w:rsidRDefault="009F3F5D">
          <w:pPr>
            <w:pStyle w:val="TOC2"/>
            <w:tabs>
              <w:tab w:val="right" w:leader="dot" w:pos="9628"/>
            </w:tabs>
            <w:rPr>
              <w:rFonts w:eastAsiaTheme="minorEastAsia"/>
              <w:noProof/>
              <w:lang w:eastAsia="en-GB"/>
            </w:rPr>
          </w:pPr>
          <w:hyperlink w:anchor="_Toc7774457" w:history="1">
            <w:r w:rsidR="006A422E" w:rsidRPr="00952BCE">
              <w:rPr>
                <w:rStyle w:val="Hyperlink"/>
                <w:noProof/>
              </w:rPr>
              <w:t>Recommendations – how to improve GSK’s performance</w:t>
            </w:r>
            <w:r w:rsidR="006A422E">
              <w:rPr>
                <w:noProof/>
                <w:webHidden/>
              </w:rPr>
              <w:tab/>
            </w:r>
            <w:r w:rsidR="006A422E">
              <w:rPr>
                <w:noProof/>
                <w:webHidden/>
              </w:rPr>
              <w:fldChar w:fldCharType="begin"/>
            </w:r>
            <w:r w:rsidR="006A422E">
              <w:rPr>
                <w:noProof/>
                <w:webHidden/>
              </w:rPr>
              <w:instrText xml:space="preserve"> PAGEREF _Toc7774457 \h </w:instrText>
            </w:r>
            <w:r w:rsidR="006A422E">
              <w:rPr>
                <w:noProof/>
                <w:webHidden/>
              </w:rPr>
            </w:r>
            <w:r w:rsidR="006A422E">
              <w:rPr>
                <w:noProof/>
                <w:webHidden/>
              </w:rPr>
              <w:fldChar w:fldCharType="separate"/>
            </w:r>
            <w:r w:rsidR="006A422E">
              <w:rPr>
                <w:noProof/>
                <w:webHidden/>
              </w:rPr>
              <w:t>13</w:t>
            </w:r>
            <w:r w:rsidR="006A422E">
              <w:rPr>
                <w:noProof/>
                <w:webHidden/>
              </w:rPr>
              <w:fldChar w:fldCharType="end"/>
            </w:r>
          </w:hyperlink>
        </w:p>
        <w:p w14:paraId="54C91FC3" w14:textId="22B6BD82" w:rsidR="006A422E" w:rsidRDefault="009F3F5D">
          <w:pPr>
            <w:pStyle w:val="TOC2"/>
            <w:tabs>
              <w:tab w:val="right" w:leader="dot" w:pos="9628"/>
            </w:tabs>
            <w:rPr>
              <w:rFonts w:eastAsiaTheme="minorEastAsia"/>
              <w:noProof/>
              <w:lang w:eastAsia="en-GB"/>
            </w:rPr>
          </w:pPr>
          <w:hyperlink w:anchor="_Toc7774458" w:history="1">
            <w:r w:rsidR="006A422E" w:rsidRPr="00952BCE">
              <w:rPr>
                <w:rStyle w:val="Hyperlink"/>
                <w:noProof/>
              </w:rPr>
              <w:t>Limitations of financial analysis</w:t>
            </w:r>
            <w:r w:rsidR="006A422E">
              <w:rPr>
                <w:noProof/>
                <w:webHidden/>
              </w:rPr>
              <w:tab/>
            </w:r>
            <w:r w:rsidR="006A422E">
              <w:rPr>
                <w:noProof/>
                <w:webHidden/>
              </w:rPr>
              <w:fldChar w:fldCharType="begin"/>
            </w:r>
            <w:r w:rsidR="006A422E">
              <w:rPr>
                <w:noProof/>
                <w:webHidden/>
              </w:rPr>
              <w:instrText xml:space="preserve"> PAGEREF _Toc7774458 \h </w:instrText>
            </w:r>
            <w:r w:rsidR="006A422E">
              <w:rPr>
                <w:noProof/>
                <w:webHidden/>
              </w:rPr>
            </w:r>
            <w:r w:rsidR="006A422E">
              <w:rPr>
                <w:noProof/>
                <w:webHidden/>
              </w:rPr>
              <w:fldChar w:fldCharType="separate"/>
            </w:r>
            <w:r w:rsidR="006A422E">
              <w:rPr>
                <w:noProof/>
                <w:webHidden/>
              </w:rPr>
              <w:t>13</w:t>
            </w:r>
            <w:r w:rsidR="006A422E">
              <w:rPr>
                <w:noProof/>
                <w:webHidden/>
              </w:rPr>
              <w:fldChar w:fldCharType="end"/>
            </w:r>
          </w:hyperlink>
        </w:p>
        <w:p w14:paraId="42D45382" w14:textId="4136941E" w:rsidR="006A422E" w:rsidRDefault="009F3F5D">
          <w:pPr>
            <w:pStyle w:val="TOC1"/>
            <w:tabs>
              <w:tab w:val="right" w:leader="dot" w:pos="9628"/>
            </w:tabs>
            <w:rPr>
              <w:rFonts w:eastAsiaTheme="minorEastAsia"/>
              <w:noProof/>
              <w:lang w:eastAsia="en-GB"/>
            </w:rPr>
          </w:pPr>
          <w:hyperlink w:anchor="_Toc7774459" w:history="1">
            <w:r w:rsidR="006A422E" w:rsidRPr="00952BCE">
              <w:rPr>
                <w:rStyle w:val="Hyperlink"/>
                <w:noProof/>
              </w:rPr>
              <w:t>Capital Budgeting</w:t>
            </w:r>
            <w:r w:rsidR="006A422E">
              <w:rPr>
                <w:noProof/>
                <w:webHidden/>
              </w:rPr>
              <w:tab/>
            </w:r>
            <w:r w:rsidR="006A422E">
              <w:rPr>
                <w:noProof/>
                <w:webHidden/>
              </w:rPr>
              <w:fldChar w:fldCharType="begin"/>
            </w:r>
            <w:r w:rsidR="006A422E">
              <w:rPr>
                <w:noProof/>
                <w:webHidden/>
              </w:rPr>
              <w:instrText xml:space="preserve"> PAGEREF _Toc7774459 \h </w:instrText>
            </w:r>
            <w:r w:rsidR="006A422E">
              <w:rPr>
                <w:noProof/>
                <w:webHidden/>
              </w:rPr>
            </w:r>
            <w:r w:rsidR="006A422E">
              <w:rPr>
                <w:noProof/>
                <w:webHidden/>
              </w:rPr>
              <w:fldChar w:fldCharType="separate"/>
            </w:r>
            <w:r w:rsidR="006A422E">
              <w:rPr>
                <w:noProof/>
                <w:webHidden/>
              </w:rPr>
              <w:t>13</w:t>
            </w:r>
            <w:r w:rsidR="006A422E">
              <w:rPr>
                <w:noProof/>
                <w:webHidden/>
              </w:rPr>
              <w:fldChar w:fldCharType="end"/>
            </w:r>
          </w:hyperlink>
        </w:p>
        <w:p w14:paraId="669469A2" w14:textId="2F10EBF4" w:rsidR="006A422E" w:rsidRDefault="009F3F5D">
          <w:pPr>
            <w:pStyle w:val="TOC2"/>
            <w:tabs>
              <w:tab w:val="right" w:leader="dot" w:pos="9628"/>
            </w:tabs>
            <w:rPr>
              <w:rFonts w:eastAsiaTheme="minorEastAsia"/>
              <w:noProof/>
              <w:lang w:eastAsia="en-GB"/>
            </w:rPr>
          </w:pPr>
          <w:hyperlink w:anchor="_Toc7774460" w:history="1">
            <w:r w:rsidR="006A422E" w:rsidRPr="00952BCE">
              <w:rPr>
                <w:rStyle w:val="Hyperlink"/>
                <w:noProof/>
              </w:rPr>
              <w:t>Payback period</w:t>
            </w:r>
            <w:r w:rsidR="006A422E">
              <w:rPr>
                <w:noProof/>
                <w:webHidden/>
              </w:rPr>
              <w:tab/>
            </w:r>
            <w:r w:rsidR="006A422E">
              <w:rPr>
                <w:noProof/>
                <w:webHidden/>
              </w:rPr>
              <w:fldChar w:fldCharType="begin"/>
            </w:r>
            <w:r w:rsidR="006A422E">
              <w:rPr>
                <w:noProof/>
                <w:webHidden/>
              </w:rPr>
              <w:instrText xml:space="preserve"> PAGEREF _Toc7774460 \h </w:instrText>
            </w:r>
            <w:r w:rsidR="006A422E">
              <w:rPr>
                <w:noProof/>
                <w:webHidden/>
              </w:rPr>
            </w:r>
            <w:r w:rsidR="006A422E">
              <w:rPr>
                <w:noProof/>
                <w:webHidden/>
              </w:rPr>
              <w:fldChar w:fldCharType="separate"/>
            </w:r>
            <w:r w:rsidR="006A422E">
              <w:rPr>
                <w:noProof/>
                <w:webHidden/>
              </w:rPr>
              <w:t>13</w:t>
            </w:r>
            <w:r w:rsidR="006A422E">
              <w:rPr>
                <w:noProof/>
                <w:webHidden/>
              </w:rPr>
              <w:fldChar w:fldCharType="end"/>
            </w:r>
          </w:hyperlink>
        </w:p>
        <w:p w14:paraId="66A549A9" w14:textId="757E0392" w:rsidR="006A422E" w:rsidRDefault="009F3F5D">
          <w:pPr>
            <w:pStyle w:val="TOC3"/>
            <w:tabs>
              <w:tab w:val="right" w:leader="dot" w:pos="9628"/>
            </w:tabs>
            <w:rPr>
              <w:rFonts w:eastAsiaTheme="minorEastAsia"/>
              <w:noProof/>
              <w:lang w:eastAsia="en-GB"/>
            </w:rPr>
          </w:pPr>
          <w:hyperlink w:anchor="_Toc7774461" w:history="1">
            <w:r w:rsidR="006A422E" w:rsidRPr="00952BCE">
              <w:rPr>
                <w:rStyle w:val="Hyperlink"/>
                <w:noProof/>
              </w:rPr>
              <w:t>Advantages and disadvantages of PBP period.</w:t>
            </w:r>
            <w:r w:rsidR="006A422E">
              <w:rPr>
                <w:noProof/>
                <w:webHidden/>
              </w:rPr>
              <w:tab/>
            </w:r>
            <w:r w:rsidR="006A422E">
              <w:rPr>
                <w:noProof/>
                <w:webHidden/>
              </w:rPr>
              <w:fldChar w:fldCharType="begin"/>
            </w:r>
            <w:r w:rsidR="006A422E">
              <w:rPr>
                <w:noProof/>
                <w:webHidden/>
              </w:rPr>
              <w:instrText xml:space="preserve"> PAGEREF _Toc7774461 \h </w:instrText>
            </w:r>
            <w:r w:rsidR="006A422E">
              <w:rPr>
                <w:noProof/>
                <w:webHidden/>
              </w:rPr>
            </w:r>
            <w:r w:rsidR="006A422E">
              <w:rPr>
                <w:noProof/>
                <w:webHidden/>
              </w:rPr>
              <w:fldChar w:fldCharType="separate"/>
            </w:r>
            <w:r w:rsidR="006A422E">
              <w:rPr>
                <w:noProof/>
                <w:webHidden/>
              </w:rPr>
              <w:t>14</w:t>
            </w:r>
            <w:r w:rsidR="006A422E">
              <w:rPr>
                <w:noProof/>
                <w:webHidden/>
              </w:rPr>
              <w:fldChar w:fldCharType="end"/>
            </w:r>
          </w:hyperlink>
        </w:p>
        <w:p w14:paraId="6E07C21E" w14:textId="6AF8E786" w:rsidR="006A422E" w:rsidRDefault="009F3F5D">
          <w:pPr>
            <w:pStyle w:val="TOC2"/>
            <w:tabs>
              <w:tab w:val="right" w:leader="dot" w:pos="9628"/>
            </w:tabs>
            <w:rPr>
              <w:rFonts w:eastAsiaTheme="minorEastAsia"/>
              <w:noProof/>
              <w:lang w:eastAsia="en-GB"/>
            </w:rPr>
          </w:pPr>
          <w:hyperlink w:anchor="_Toc7774462" w:history="1">
            <w:r w:rsidR="006A422E" w:rsidRPr="00952BCE">
              <w:rPr>
                <w:rStyle w:val="Hyperlink"/>
                <w:noProof/>
              </w:rPr>
              <w:t>Accounting rate of return</w:t>
            </w:r>
            <w:r w:rsidR="006A422E">
              <w:rPr>
                <w:noProof/>
                <w:webHidden/>
              </w:rPr>
              <w:tab/>
            </w:r>
            <w:r w:rsidR="006A422E">
              <w:rPr>
                <w:noProof/>
                <w:webHidden/>
              </w:rPr>
              <w:fldChar w:fldCharType="begin"/>
            </w:r>
            <w:r w:rsidR="006A422E">
              <w:rPr>
                <w:noProof/>
                <w:webHidden/>
              </w:rPr>
              <w:instrText xml:space="preserve"> PAGEREF _Toc7774462 \h </w:instrText>
            </w:r>
            <w:r w:rsidR="006A422E">
              <w:rPr>
                <w:noProof/>
                <w:webHidden/>
              </w:rPr>
            </w:r>
            <w:r w:rsidR="006A422E">
              <w:rPr>
                <w:noProof/>
                <w:webHidden/>
              </w:rPr>
              <w:fldChar w:fldCharType="separate"/>
            </w:r>
            <w:r w:rsidR="006A422E">
              <w:rPr>
                <w:noProof/>
                <w:webHidden/>
              </w:rPr>
              <w:t>14</w:t>
            </w:r>
            <w:r w:rsidR="006A422E">
              <w:rPr>
                <w:noProof/>
                <w:webHidden/>
              </w:rPr>
              <w:fldChar w:fldCharType="end"/>
            </w:r>
          </w:hyperlink>
        </w:p>
        <w:p w14:paraId="3AAEDE0D" w14:textId="3164F7E5" w:rsidR="006A422E" w:rsidRDefault="009F3F5D">
          <w:pPr>
            <w:pStyle w:val="TOC3"/>
            <w:tabs>
              <w:tab w:val="right" w:leader="dot" w:pos="9628"/>
            </w:tabs>
            <w:rPr>
              <w:rFonts w:eastAsiaTheme="minorEastAsia"/>
              <w:noProof/>
              <w:lang w:eastAsia="en-GB"/>
            </w:rPr>
          </w:pPr>
          <w:hyperlink w:anchor="_Toc7774463" w:history="1">
            <w:r w:rsidR="006A422E" w:rsidRPr="00952BCE">
              <w:rPr>
                <w:rStyle w:val="Hyperlink"/>
                <w:noProof/>
              </w:rPr>
              <w:t>Advantages and disadvantages of ARR</w:t>
            </w:r>
            <w:r w:rsidR="006A422E">
              <w:rPr>
                <w:noProof/>
                <w:webHidden/>
              </w:rPr>
              <w:tab/>
            </w:r>
            <w:r w:rsidR="006A422E">
              <w:rPr>
                <w:noProof/>
                <w:webHidden/>
              </w:rPr>
              <w:fldChar w:fldCharType="begin"/>
            </w:r>
            <w:r w:rsidR="006A422E">
              <w:rPr>
                <w:noProof/>
                <w:webHidden/>
              </w:rPr>
              <w:instrText xml:space="preserve"> PAGEREF _Toc7774463 \h </w:instrText>
            </w:r>
            <w:r w:rsidR="006A422E">
              <w:rPr>
                <w:noProof/>
                <w:webHidden/>
              </w:rPr>
            </w:r>
            <w:r w:rsidR="006A422E">
              <w:rPr>
                <w:noProof/>
                <w:webHidden/>
              </w:rPr>
              <w:fldChar w:fldCharType="separate"/>
            </w:r>
            <w:r w:rsidR="006A422E">
              <w:rPr>
                <w:noProof/>
                <w:webHidden/>
              </w:rPr>
              <w:t>14</w:t>
            </w:r>
            <w:r w:rsidR="006A422E">
              <w:rPr>
                <w:noProof/>
                <w:webHidden/>
              </w:rPr>
              <w:fldChar w:fldCharType="end"/>
            </w:r>
          </w:hyperlink>
        </w:p>
        <w:p w14:paraId="61897AF4" w14:textId="65D6152C" w:rsidR="006A422E" w:rsidRDefault="009F3F5D">
          <w:pPr>
            <w:pStyle w:val="TOC2"/>
            <w:tabs>
              <w:tab w:val="right" w:leader="dot" w:pos="9628"/>
            </w:tabs>
            <w:rPr>
              <w:rFonts w:eastAsiaTheme="minorEastAsia"/>
              <w:noProof/>
              <w:lang w:eastAsia="en-GB"/>
            </w:rPr>
          </w:pPr>
          <w:hyperlink w:anchor="_Toc7774464" w:history="1">
            <w:r w:rsidR="006A422E" w:rsidRPr="00952BCE">
              <w:rPr>
                <w:rStyle w:val="Hyperlink"/>
                <w:noProof/>
              </w:rPr>
              <w:t>Net present value</w:t>
            </w:r>
            <w:r w:rsidR="006A422E">
              <w:rPr>
                <w:noProof/>
                <w:webHidden/>
              </w:rPr>
              <w:tab/>
            </w:r>
            <w:r w:rsidR="006A422E">
              <w:rPr>
                <w:noProof/>
                <w:webHidden/>
              </w:rPr>
              <w:fldChar w:fldCharType="begin"/>
            </w:r>
            <w:r w:rsidR="006A422E">
              <w:rPr>
                <w:noProof/>
                <w:webHidden/>
              </w:rPr>
              <w:instrText xml:space="preserve"> PAGEREF _Toc7774464 \h </w:instrText>
            </w:r>
            <w:r w:rsidR="006A422E">
              <w:rPr>
                <w:noProof/>
                <w:webHidden/>
              </w:rPr>
            </w:r>
            <w:r w:rsidR="006A422E">
              <w:rPr>
                <w:noProof/>
                <w:webHidden/>
              </w:rPr>
              <w:fldChar w:fldCharType="separate"/>
            </w:r>
            <w:r w:rsidR="006A422E">
              <w:rPr>
                <w:noProof/>
                <w:webHidden/>
              </w:rPr>
              <w:t>15</w:t>
            </w:r>
            <w:r w:rsidR="006A422E">
              <w:rPr>
                <w:noProof/>
                <w:webHidden/>
              </w:rPr>
              <w:fldChar w:fldCharType="end"/>
            </w:r>
          </w:hyperlink>
        </w:p>
        <w:p w14:paraId="723EC17F" w14:textId="1DCA3F86" w:rsidR="006A422E" w:rsidRDefault="009F3F5D">
          <w:pPr>
            <w:pStyle w:val="TOC3"/>
            <w:tabs>
              <w:tab w:val="right" w:leader="dot" w:pos="9628"/>
            </w:tabs>
            <w:rPr>
              <w:rFonts w:eastAsiaTheme="minorEastAsia"/>
              <w:noProof/>
              <w:lang w:eastAsia="en-GB"/>
            </w:rPr>
          </w:pPr>
          <w:hyperlink w:anchor="_Toc7774465" w:history="1">
            <w:r w:rsidR="006A422E" w:rsidRPr="00952BCE">
              <w:rPr>
                <w:rStyle w:val="Hyperlink"/>
                <w:noProof/>
              </w:rPr>
              <w:t>Advantages and disadvantages of Net present value</w:t>
            </w:r>
            <w:r w:rsidR="006A422E">
              <w:rPr>
                <w:noProof/>
                <w:webHidden/>
              </w:rPr>
              <w:tab/>
            </w:r>
            <w:r w:rsidR="006A422E">
              <w:rPr>
                <w:noProof/>
                <w:webHidden/>
              </w:rPr>
              <w:fldChar w:fldCharType="begin"/>
            </w:r>
            <w:r w:rsidR="006A422E">
              <w:rPr>
                <w:noProof/>
                <w:webHidden/>
              </w:rPr>
              <w:instrText xml:space="preserve"> PAGEREF _Toc7774465 \h </w:instrText>
            </w:r>
            <w:r w:rsidR="006A422E">
              <w:rPr>
                <w:noProof/>
                <w:webHidden/>
              </w:rPr>
            </w:r>
            <w:r w:rsidR="006A422E">
              <w:rPr>
                <w:noProof/>
                <w:webHidden/>
              </w:rPr>
              <w:fldChar w:fldCharType="separate"/>
            </w:r>
            <w:r w:rsidR="006A422E">
              <w:rPr>
                <w:noProof/>
                <w:webHidden/>
              </w:rPr>
              <w:t>15</w:t>
            </w:r>
            <w:r w:rsidR="006A422E">
              <w:rPr>
                <w:noProof/>
                <w:webHidden/>
              </w:rPr>
              <w:fldChar w:fldCharType="end"/>
            </w:r>
          </w:hyperlink>
        </w:p>
        <w:p w14:paraId="6C9223B0" w14:textId="4FAAC911" w:rsidR="006A422E" w:rsidRDefault="009F3F5D">
          <w:pPr>
            <w:pStyle w:val="TOC2"/>
            <w:tabs>
              <w:tab w:val="right" w:leader="dot" w:pos="9628"/>
            </w:tabs>
            <w:rPr>
              <w:rFonts w:eastAsiaTheme="minorEastAsia"/>
              <w:noProof/>
              <w:lang w:eastAsia="en-GB"/>
            </w:rPr>
          </w:pPr>
          <w:hyperlink w:anchor="_Toc7774466" w:history="1">
            <w:r w:rsidR="006A422E" w:rsidRPr="00952BCE">
              <w:rPr>
                <w:rStyle w:val="Hyperlink"/>
                <w:noProof/>
              </w:rPr>
              <w:t>Internal rate of return</w:t>
            </w:r>
            <w:r w:rsidR="006A422E">
              <w:rPr>
                <w:noProof/>
                <w:webHidden/>
              </w:rPr>
              <w:tab/>
            </w:r>
            <w:r w:rsidR="006A422E">
              <w:rPr>
                <w:noProof/>
                <w:webHidden/>
              </w:rPr>
              <w:fldChar w:fldCharType="begin"/>
            </w:r>
            <w:r w:rsidR="006A422E">
              <w:rPr>
                <w:noProof/>
                <w:webHidden/>
              </w:rPr>
              <w:instrText xml:space="preserve"> PAGEREF _Toc7774466 \h </w:instrText>
            </w:r>
            <w:r w:rsidR="006A422E">
              <w:rPr>
                <w:noProof/>
                <w:webHidden/>
              </w:rPr>
            </w:r>
            <w:r w:rsidR="006A422E">
              <w:rPr>
                <w:noProof/>
                <w:webHidden/>
              </w:rPr>
              <w:fldChar w:fldCharType="separate"/>
            </w:r>
            <w:r w:rsidR="006A422E">
              <w:rPr>
                <w:noProof/>
                <w:webHidden/>
              </w:rPr>
              <w:t>15</w:t>
            </w:r>
            <w:r w:rsidR="006A422E">
              <w:rPr>
                <w:noProof/>
                <w:webHidden/>
              </w:rPr>
              <w:fldChar w:fldCharType="end"/>
            </w:r>
          </w:hyperlink>
        </w:p>
        <w:p w14:paraId="3D700F33" w14:textId="4FCBCFCF" w:rsidR="006A422E" w:rsidRDefault="009F3F5D">
          <w:pPr>
            <w:pStyle w:val="TOC3"/>
            <w:tabs>
              <w:tab w:val="right" w:leader="dot" w:pos="9628"/>
            </w:tabs>
            <w:rPr>
              <w:rFonts w:eastAsiaTheme="minorEastAsia"/>
              <w:noProof/>
              <w:lang w:eastAsia="en-GB"/>
            </w:rPr>
          </w:pPr>
          <w:hyperlink w:anchor="_Toc7774467" w:history="1">
            <w:r w:rsidR="006A422E" w:rsidRPr="00952BCE">
              <w:rPr>
                <w:rStyle w:val="Hyperlink"/>
                <w:noProof/>
              </w:rPr>
              <w:t>Advantages and disadvantages of IRR</w:t>
            </w:r>
            <w:r w:rsidR="006A422E">
              <w:rPr>
                <w:noProof/>
                <w:webHidden/>
              </w:rPr>
              <w:tab/>
            </w:r>
            <w:r w:rsidR="006A422E">
              <w:rPr>
                <w:noProof/>
                <w:webHidden/>
              </w:rPr>
              <w:fldChar w:fldCharType="begin"/>
            </w:r>
            <w:r w:rsidR="006A422E">
              <w:rPr>
                <w:noProof/>
                <w:webHidden/>
              </w:rPr>
              <w:instrText xml:space="preserve"> PAGEREF _Toc7774467 \h </w:instrText>
            </w:r>
            <w:r w:rsidR="006A422E">
              <w:rPr>
                <w:noProof/>
                <w:webHidden/>
              </w:rPr>
            </w:r>
            <w:r w:rsidR="006A422E">
              <w:rPr>
                <w:noProof/>
                <w:webHidden/>
              </w:rPr>
              <w:fldChar w:fldCharType="separate"/>
            </w:r>
            <w:r w:rsidR="006A422E">
              <w:rPr>
                <w:noProof/>
                <w:webHidden/>
              </w:rPr>
              <w:t>16</w:t>
            </w:r>
            <w:r w:rsidR="006A422E">
              <w:rPr>
                <w:noProof/>
                <w:webHidden/>
              </w:rPr>
              <w:fldChar w:fldCharType="end"/>
            </w:r>
          </w:hyperlink>
        </w:p>
        <w:p w14:paraId="0F03DF89" w14:textId="591250E8" w:rsidR="006A422E" w:rsidRDefault="009F3F5D">
          <w:pPr>
            <w:pStyle w:val="TOC2"/>
            <w:tabs>
              <w:tab w:val="right" w:leader="dot" w:pos="9628"/>
            </w:tabs>
            <w:rPr>
              <w:rFonts w:eastAsiaTheme="minorEastAsia"/>
              <w:noProof/>
              <w:lang w:eastAsia="en-GB"/>
            </w:rPr>
          </w:pPr>
          <w:hyperlink w:anchor="_Toc7774468" w:history="1">
            <w:r w:rsidR="006A422E" w:rsidRPr="00952BCE">
              <w:rPr>
                <w:rStyle w:val="Hyperlink"/>
                <w:noProof/>
              </w:rPr>
              <w:t>Considerations</w:t>
            </w:r>
            <w:r w:rsidR="006A422E">
              <w:rPr>
                <w:noProof/>
                <w:webHidden/>
              </w:rPr>
              <w:tab/>
            </w:r>
            <w:r w:rsidR="006A422E">
              <w:rPr>
                <w:noProof/>
                <w:webHidden/>
              </w:rPr>
              <w:fldChar w:fldCharType="begin"/>
            </w:r>
            <w:r w:rsidR="006A422E">
              <w:rPr>
                <w:noProof/>
                <w:webHidden/>
              </w:rPr>
              <w:instrText xml:space="preserve"> PAGEREF _Toc7774468 \h </w:instrText>
            </w:r>
            <w:r w:rsidR="006A422E">
              <w:rPr>
                <w:noProof/>
                <w:webHidden/>
              </w:rPr>
            </w:r>
            <w:r w:rsidR="006A422E">
              <w:rPr>
                <w:noProof/>
                <w:webHidden/>
              </w:rPr>
              <w:fldChar w:fldCharType="separate"/>
            </w:r>
            <w:r w:rsidR="006A422E">
              <w:rPr>
                <w:noProof/>
                <w:webHidden/>
              </w:rPr>
              <w:t>16</w:t>
            </w:r>
            <w:r w:rsidR="006A422E">
              <w:rPr>
                <w:noProof/>
                <w:webHidden/>
              </w:rPr>
              <w:fldChar w:fldCharType="end"/>
            </w:r>
          </w:hyperlink>
        </w:p>
        <w:p w14:paraId="22A3539A" w14:textId="04CA24BF" w:rsidR="006A422E" w:rsidRDefault="009F3F5D">
          <w:pPr>
            <w:pStyle w:val="TOC1"/>
            <w:tabs>
              <w:tab w:val="right" w:leader="dot" w:pos="9628"/>
            </w:tabs>
            <w:rPr>
              <w:rFonts w:eastAsiaTheme="minorEastAsia"/>
              <w:noProof/>
              <w:lang w:eastAsia="en-GB"/>
            </w:rPr>
          </w:pPr>
          <w:hyperlink w:anchor="_Toc7774469" w:history="1">
            <w:r w:rsidR="006A422E" w:rsidRPr="00952BCE">
              <w:rPr>
                <w:rStyle w:val="Hyperlink"/>
                <w:noProof/>
              </w:rPr>
              <w:t>References</w:t>
            </w:r>
            <w:r w:rsidR="006A422E">
              <w:rPr>
                <w:noProof/>
                <w:webHidden/>
              </w:rPr>
              <w:tab/>
            </w:r>
            <w:r w:rsidR="006A422E">
              <w:rPr>
                <w:noProof/>
                <w:webHidden/>
              </w:rPr>
              <w:fldChar w:fldCharType="begin"/>
            </w:r>
            <w:r w:rsidR="006A422E">
              <w:rPr>
                <w:noProof/>
                <w:webHidden/>
              </w:rPr>
              <w:instrText xml:space="preserve"> PAGEREF _Toc7774469 \h </w:instrText>
            </w:r>
            <w:r w:rsidR="006A422E">
              <w:rPr>
                <w:noProof/>
                <w:webHidden/>
              </w:rPr>
            </w:r>
            <w:r w:rsidR="006A422E">
              <w:rPr>
                <w:noProof/>
                <w:webHidden/>
              </w:rPr>
              <w:fldChar w:fldCharType="separate"/>
            </w:r>
            <w:r w:rsidR="006A422E">
              <w:rPr>
                <w:noProof/>
                <w:webHidden/>
              </w:rPr>
              <w:t>17</w:t>
            </w:r>
            <w:r w:rsidR="006A422E">
              <w:rPr>
                <w:noProof/>
                <w:webHidden/>
              </w:rPr>
              <w:fldChar w:fldCharType="end"/>
            </w:r>
          </w:hyperlink>
        </w:p>
        <w:p w14:paraId="6ECB03B3" w14:textId="3249F32C" w:rsidR="006A422E" w:rsidRDefault="009F3F5D">
          <w:pPr>
            <w:pStyle w:val="TOC1"/>
            <w:tabs>
              <w:tab w:val="right" w:leader="dot" w:pos="9628"/>
            </w:tabs>
            <w:rPr>
              <w:rFonts w:eastAsiaTheme="minorEastAsia"/>
              <w:noProof/>
              <w:lang w:eastAsia="en-GB"/>
            </w:rPr>
          </w:pPr>
          <w:hyperlink w:anchor="_Toc7774470" w:history="1">
            <w:r w:rsidR="006A422E" w:rsidRPr="00952BCE">
              <w:rPr>
                <w:rStyle w:val="Hyperlink"/>
                <w:noProof/>
              </w:rPr>
              <w:t>Appendix 1: formulas</w:t>
            </w:r>
            <w:r w:rsidR="006A422E">
              <w:rPr>
                <w:noProof/>
                <w:webHidden/>
              </w:rPr>
              <w:tab/>
            </w:r>
            <w:r w:rsidR="006A422E">
              <w:rPr>
                <w:noProof/>
                <w:webHidden/>
              </w:rPr>
              <w:fldChar w:fldCharType="begin"/>
            </w:r>
            <w:r w:rsidR="006A422E">
              <w:rPr>
                <w:noProof/>
                <w:webHidden/>
              </w:rPr>
              <w:instrText xml:space="preserve"> PAGEREF _Toc7774470 \h </w:instrText>
            </w:r>
            <w:r w:rsidR="006A422E">
              <w:rPr>
                <w:noProof/>
                <w:webHidden/>
              </w:rPr>
            </w:r>
            <w:r w:rsidR="006A422E">
              <w:rPr>
                <w:noProof/>
                <w:webHidden/>
              </w:rPr>
              <w:fldChar w:fldCharType="separate"/>
            </w:r>
            <w:r w:rsidR="006A422E">
              <w:rPr>
                <w:noProof/>
                <w:webHidden/>
              </w:rPr>
              <w:t>17</w:t>
            </w:r>
            <w:r w:rsidR="006A422E">
              <w:rPr>
                <w:noProof/>
                <w:webHidden/>
              </w:rPr>
              <w:fldChar w:fldCharType="end"/>
            </w:r>
          </w:hyperlink>
        </w:p>
        <w:p w14:paraId="5B632279" w14:textId="28D6CD4A" w:rsidR="00A20029" w:rsidRDefault="00A20029">
          <w:r>
            <w:rPr>
              <w:b/>
              <w:bCs/>
              <w:noProof/>
            </w:rPr>
            <w:lastRenderedPageBreak/>
            <w:fldChar w:fldCharType="end"/>
          </w:r>
        </w:p>
      </w:sdtContent>
    </w:sdt>
    <w:p w14:paraId="2FBE940B" w14:textId="77777777" w:rsidR="00F5100D" w:rsidRDefault="00F5100D" w:rsidP="002F3EB7">
      <w:pPr>
        <w:pStyle w:val="Heading1"/>
      </w:pPr>
      <w:bookmarkStart w:id="0" w:name="_Toc7774437"/>
      <w:r w:rsidRPr="00F5100D">
        <w:t>Introduction</w:t>
      </w:r>
      <w:bookmarkEnd w:id="0"/>
    </w:p>
    <w:p w14:paraId="23C6F06F" w14:textId="77777777" w:rsidR="00F62389" w:rsidRDefault="00227B3D" w:rsidP="00F5100D">
      <w:r>
        <w:t>The aim of this paper is to analyse financially GSK, a British pharmaceutical company.</w:t>
      </w:r>
      <w:r w:rsidR="00785238">
        <w:t xml:space="preserve"> To do that, a brief history about the major recent events over the past f</w:t>
      </w:r>
      <w:r w:rsidR="00845F8D">
        <w:t>ew</w:t>
      </w:r>
      <w:r w:rsidR="00785238">
        <w:t xml:space="preserve"> years will be exposed. </w:t>
      </w:r>
      <w:r>
        <w:t xml:space="preserve">Secondly, </w:t>
      </w:r>
      <w:r w:rsidR="00785238">
        <w:t xml:space="preserve">a comparison with its major competitor, AstraZeneca will be studied. </w:t>
      </w:r>
      <w:r w:rsidR="00F44D36">
        <w:t xml:space="preserve">Moreover, some recommendations on how to improve the financial manager of GSK will be given. </w:t>
      </w:r>
    </w:p>
    <w:p w14:paraId="3D422737" w14:textId="6984B955" w:rsidR="00227B3D" w:rsidRDefault="00F44D36" w:rsidP="00F5100D">
      <w:r>
        <w:t xml:space="preserve">In the last part, two projects </w:t>
      </w:r>
      <w:r w:rsidR="002F3EB7">
        <w:t xml:space="preserve">(which are mutually exclusive) </w:t>
      </w:r>
      <w:r>
        <w:t xml:space="preserve">will be evaluated by using different methods of capital budgeting (PBP, ARR, IRR and NPV). </w:t>
      </w:r>
      <w:r w:rsidR="00452793">
        <w:t>Therefore,</w:t>
      </w:r>
      <w:r>
        <w:t xml:space="preserve"> in order to choose one of these projects, </w:t>
      </w:r>
      <w:r w:rsidR="002F3EB7">
        <w:t xml:space="preserve">financial and non-financial factors will be included. </w:t>
      </w:r>
    </w:p>
    <w:p w14:paraId="2DE72BD1" w14:textId="20D24158" w:rsidR="00452793" w:rsidRDefault="00452793" w:rsidP="00F5100D">
      <w:r>
        <w:t xml:space="preserve">The financial analysis has been based on ratio analysis. Financial annual report of both companies has been the source of the </w:t>
      </w:r>
      <w:r w:rsidR="002F3EB7">
        <w:t xml:space="preserve">ratio’s </w:t>
      </w:r>
      <w:r>
        <w:t xml:space="preserve">calculation. </w:t>
      </w:r>
      <w:r w:rsidR="002F3EB7">
        <w:t xml:space="preserve">The appendix shows the formulas utilized. </w:t>
      </w:r>
    </w:p>
    <w:p w14:paraId="3D2191D4" w14:textId="44DC9AB9" w:rsidR="00DC3EA2" w:rsidRPr="00EF4DF5" w:rsidRDefault="00DC3EA2" w:rsidP="00F5100D">
      <w:pPr>
        <w:rPr>
          <w:color w:val="000000" w:themeColor="text1"/>
        </w:rPr>
      </w:pPr>
      <w:r>
        <w:t xml:space="preserve">GSK and AstraZeneca used different standard and </w:t>
      </w:r>
      <w:r w:rsidR="00D46ABB">
        <w:t>different currency. In order to facilitate this analysis</w:t>
      </w:r>
      <w:r w:rsidR="008C3DAF">
        <w:t xml:space="preserve">, these differences </w:t>
      </w:r>
      <w:r w:rsidR="004850C7">
        <w:t xml:space="preserve">will be not </w:t>
      </w:r>
      <w:r w:rsidR="00823BE2">
        <w:t>considered</w:t>
      </w:r>
      <w:r w:rsidR="004850C7">
        <w:t xml:space="preserve">. </w:t>
      </w:r>
    </w:p>
    <w:p w14:paraId="1888CBAB" w14:textId="77777777" w:rsidR="002F3EB7" w:rsidRDefault="002F3EB7" w:rsidP="00F5100D"/>
    <w:p w14:paraId="52FA1152" w14:textId="77777777" w:rsidR="00AF7F91" w:rsidRDefault="002F3EB7" w:rsidP="00AF7F91">
      <w:pPr>
        <w:pStyle w:val="Heading1"/>
      </w:pPr>
      <w:bookmarkStart w:id="1" w:name="_Toc7774438"/>
      <w:r>
        <w:t>Pharmaceutical industry</w:t>
      </w:r>
      <w:bookmarkEnd w:id="1"/>
      <w:r>
        <w:t xml:space="preserve"> </w:t>
      </w:r>
    </w:p>
    <w:p w14:paraId="5E776B73" w14:textId="77777777" w:rsidR="00AF7F91" w:rsidRDefault="00AF7F91" w:rsidP="00AF7F91">
      <w:r>
        <w:t xml:space="preserve">Pharmaceutical companies develop, produce and market licensed drugs or biologicals. </w:t>
      </w:r>
    </w:p>
    <w:p w14:paraId="266213DD" w14:textId="77777777" w:rsidR="00AF7F91" w:rsidRDefault="00AF7F91" w:rsidP="00AF7F91">
      <w:r>
        <w:t xml:space="preserve">The business model of the large pharmaceutical companies is complex and has become increasingly so with the technological developments in the industry particularly in relation to the innovation introduced by biotechnology. </w:t>
      </w:r>
      <w:r w:rsidR="003F2EAD">
        <w:t xml:space="preserve">The business models of large pharmaceutical companies have certain unique aspects. One is the drawn out, highly structured value chain determined in large part by the regulatory process itself. Another is the high cost of product development, with associated high risk of failure. Offsetting these high costs and risk are the high return for successful product development. A further defining characteristic is the focus on innovation (Rasmussen, 2003). </w:t>
      </w:r>
    </w:p>
    <w:p w14:paraId="1BA0CD25" w14:textId="77777777" w:rsidR="003F2EAD" w:rsidRDefault="003F2EAD" w:rsidP="00AF7F91"/>
    <w:p w14:paraId="02EABF57" w14:textId="77777777" w:rsidR="003F2EAD" w:rsidRDefault="003F2EAD" w:rsidP="003F2EAD">
      <w:pPr>
        <w:pStyle w:val="Heading1"/>
      </w:pPr>
      <w:bookmarkStart w:id="2" w:name="_Toc7774439"/>
      <w:r>
        <w:t>GSK</w:t>
      </w:r>
      <w:bookmarkEnd w:id="2"/>
      <w:r>
        <w:t xml:space="preserve"> </w:t>
      </w:r>
    </w:p>
    <w:p w14:paraId="1B1442BA" w14:textId="77777777" w:rsidR="00E46841" w:rsidRDefault="00845F8D" w:rsidP="00E46841">
      <w:pPr>
        <w:rPr>
          <w:rFonts w:cstheme="minorHAnsi"/>
          <w:color w:val="181818"/>
          <w:shd w:val="clear" w:color="auto" w:fill="FFFFFF"/>
        </w:rPr>
      </w:pPr>
      <w:r w:rsidRPr="00845F8D">
        <w:rPr>
          <w:rFonts w:cstheme="minorHAnsi"/>
          <w:bCs/>
          <w:color w:val="222222"/>
          <w:shd w:val="clear" w:color="auto" w:fill="FFFFFF"/>
        </w:rPr>
        <w:t>GlaxoSmithKline</w:t>
      </w:r>
      <w:r w:rsidRPr="00845F8D">
        <w:rPr>
          <w:rFonts w:cstheme="minorHAnsi"/>
          <w:b/>
          <w:bCs/>
          <w:color w:val="222222"/>
          <w:shd w:val="clear" w:color="auto" w:fill="FFFFFF"/>
        </w:rPr>
        <w:t xml:space="preserve"> </w:t>
      </w:r>
      <w:r w:rsidRPr="00845F8D">
        <w:rPr>
          <w:rFonts w:cstheme="minorHAnsi"/>
          <w:bCs/>
          <w:color w:val="222222"/>
          <w:shd w:val="clear" w:color="auto" w:fill="FFFFFF"/>
        </w:rPr>
        <w:t xml:space="preserve">(GSK) is a British </w:t>
      </w:r>
      <w:r w:rsidRPr="00845F8D">
        <w:rPr>
          <w:rFonts w:cstheme="minorHAnsi"/>
          <w:color w:val="181818"/>
          <w:shd w:val="clear" w:color="auto" w:fill="FFFFFF"/>
        </w:rPr>
        <w:t>science-led global healthcare company that researches and develops wide range of innovative products in areas of Vaccines, Pharmaceuticals and Consumer Healthcare to commercialize them in more than 150 countries around the world.</w:t>
      </w:r>
      <w:r>
        <w:rPr>
          <w:rFonts w:cstheme="minorHAnsi"/>
          <w:color w:val="181818"/>
          <w:shd w:val="clear" w:color="auto" w:fill="FFFFFF"/>
        </w:rPr>
        <w:t xml:space="preserve"> It owns 14 vaccines and 43 pharmaceutical sites in 26 countries.</w:t>
      </w:r>
      <w:r w:rsidR="00E46841">
        <w:rPr>
          <w:rFonts w:cstheme="minorHAnsi"/>
          <w:color w:val="181818"/>
          <w:shd w:val="clear" w:color="auto" w:fill="FFFFFF"/>
        </w:rPr>
        <w:t xml:space="preserve"> </w:t>
      </w:r>
      <w:r w:rsidR="00E46841" w:rsidRPr="00845F8D">
        <w:rPr>
          <w:rFonts w:cstheme="minorHAnsi"/>
          <w:bCs/>
          <w:color w:val="222222"/>
          <w:shd w:val="clear" w:color="auto" w:fill="FFFFFF"/>
        </w:rPr>
        <w:t xml:space="preserve">GSK has a simple business model of a large pharmaceutical company. </w:t>
      </w:r>
      <w:r w:rsidR="00E46841" w:rsidRPr="00845F8D">
        <w:rPr>
          <w:rFonts w:cstheme="minorHAnsi"/>
          <w:color w:val="181818"/>
          <w:shd w:val="clear" w:color="auto" w:fill="FFFFFF"/>
        </w:rPr>
        <w:t>Manufacturing is perceived as key capability of GSK</w:t>
      </w:r>
      <w:r w:rsidR="00E46841">
        <w:rPr>
          <w:rFonts w:cstheme="minorHAnsi"/>
          <w:color w:val="181818"/>
          <w:shd w:val="clear" w:color="auto" w:fill="FFFFFF"/>
        </w:rPr>
        <w:t>.</w:t>
      </w:r>
    </w:p>
    <w:p w14:paraId="02BB173E" w14:textId="3C369536" w:rsidR="00845F8D" w:rsidRDefault="00845F8D" w:rsidP="00845F8D">
      <w:pPr>
        <w:rPr>
          <w:rFonts w:cstheme="minorHAnsi"/>
          <w:bCs/>
          <w:color w:val="222222"/>
          <w:shd w:val="clear" w:color="auto" w:fill="FFFFFF"/>
        </w:rPr>
      </w:pPr>
      <w:r w:rsidRPr="00845F8D">
        <w:rPr>
          <w:rFonts w:cstheme="minorHAnsi"/>
          <w:bCs/>
          <w:color w:val="222222"/>
          <w:shd w:val="clear" w:color="auto" w:fill="FFFFFF"/>
        </w:rPr>
        <w:t>The company has a primary listing on the London Stock Exchange and is a constituent of the FTSE 100 Index.</w:t>
      </w:r>
    </w:p>
    <w:p w14:paraId="5E776690" w14:textId="0F5FE51C" w:rsidR="00845F8D" w:rsidRDefault="00845F8D" w:rsidP="00845F8D">
      <w:pPr>
        <w:rPr>
          <w:rFonts w:cstheme="minorHAnsi"/>
          <w:color w:val="181818"/>
          <w:shd w:val="clear" w:color="auto" w:fill="FFFFFF"/>
        </w:rPr>
      </w:pPr>
      <w:r w:rsidRPr="00845F8D">
        <w:rPr>
          <w:rFonts w:cstheme="minorHAnsi"/>
          <w:bCs/>
          <w:color w:val="222222"/>
          <w:shd w:val="clear" w:color="auto" w:fill="FFFFFF"/>
        </w:rPr>
        <w:t>GSK’s mission is “to improve the quality of human life by enabling people to do more, feel better and live longer”. Its strategy is focus on selling “low price – large volume”</w:t>
      </w:r>
      <w:r w:rsidR="00026C4E">
        <w:rPr>
          <w:rFonts w:cstheme="minorHAnsi"/>
          <w:bCs/>
          <w:color w:val="222222"/>
          <w:shd w:val="clear" w:color="auto" w:fill="FFFFFF"/>
        </w:rPr>
        <w:t xml:space="preserve"> (GSK report, 2012).</w:t>
      </w:r>
    </w:p>
    <w:p w14:paraId="25A68644" w14:textId="77777777" w:rsidR="00845F8D" w:rsidRDefault="00845F8D" w:rsidP="00845F8D">
      <w:pPr>
        <w:rPr>
          <w:rFonts w:cstheme="minorHAnsi"/>
          <w:bCs/>
          <w:color w:val="222222"/>
          <w:shd w:val="clear" w:color="auto" w:fill="FFFFFF"/>
        </w:rPr>
      </w:pPr>
    </w:p>
    <w:p w14:paraId="00799661" w14:textId="77777777" w:rsidR="00845F8D" w:rsidRDefault="00845F8D" w:rsidP="00845F8D">
      <w:pPr>
        <w:pStyle w:val="Heading2"/>
        <w:rPr>
          <w:shd w:val="clear" w:color="auto" w:fill="FFFFFF"/>
        </w:rPr>
      </w:pPr>
      <w:bookmarkStart w:id="3" w:name="_Toc7774440"/>
      <w:r>
        <w:rPr>
          <w:shd w:val="clear" w:color="auto" w:fill="FFFFFF"/>
        </w:rPr>
        <w:t>GSK’s events over the past few years</w:t>
      </w:r>
      <w:bookmarkEnd w:id="3"/>
      <w:r>
        <w:rPr>
          <w:shd w:val="clear" w:color="auto" w:fill="FFFFFF"/>
        </w:rPr>
        <w:t xml:space="preserve"> </w:t>
      </w:r>
    </w:p>
    <w:p w14:paraId="538AB924" w14:textId="77777777" w:rsidR="00845F8D" w:rsidRPr="007345BD" w:rsidRDefault="00845F8D" w:rsidP="00845F8D">
      <w:pPr>
        <w:pStyle w:val="ListParagraph"/>
        <w:numPr>
          <w:ilvl w:val="0"/>
          <w:numId w:val="1"/>
        </w:numPr>
        <w:rPr>
          <w:rFonts w:cstheme="minorHAnsi"/>
          <w:bCs/>
          <w:color w:val="222222"/>
          <w:shd w:val="clear" w:color="auto" w:fill="FFFFFF"/>
        </w:rPr>
      </w:pPr>
      <w:r w:rsidRPr="007345BD">
        <w:rPr>
          <w:rFonts w:cstheme="minorHAnsi"/>
          <w:bCs/>
          <w:color w:val="222222"/>
          <w:shd w:val="clear" w:color="auto" w:fill="FFFFFF"/>
        </w:rPr>
        <w:t>In 2013, GSK launched a new end-to-end chain strategy to simplify supply chain. To do that was necessary re-designing the organization structure. Therefore, its value chain is more efficient;</w:t>
      </w:r>
    </w:p>
    <w:p w14:paraId="0BED72DF" w14:textId="77777777" w:rsidR="00845F8D" w:rsidRPr="007345BD" w:rsidRDefault="00845F8D" w:rsidP="00845F8D">
      <w:pPr>
        <w:pStyle w:val="ListParagraph"/>
        <w:numPr>
          <w:ilvl w:val="0"/>
          <w:numId w:val="1"/>
        </w:numPr>
        <w:rPr>
          <w:rFonts w:cstheme="minorHAnsi"/>
        </w:rPr>
      </w:pPr>
      <w:r w:rsidRPr="007345BD">
        <w:rPr>
          <w:rFonts w:cstheme="minorHAnsi"/>
          <w:bCs/>
          <w:color w:val="222222"/>
          <w:shd w:val="clear" w:color="auto" w:fill="FFFFFF"/>
        </w:rPr>
        <w:lastRenderedPageBreak/>
        <w:t>In 2014, company introduced a standard way of working to identify and eliminate the root causes of accidents, defects and waste. Standardized way of working significantly improved business performance, evidenced by 40% decrease in manufacturing interruptions;</w:t>
      </w:r>
    </w:p>
    <w:p w14:paraId="2F5C9D52" w14:textId="77777777" w:rsidR="00845F8D" w:rsidRPr="007345BD" w:rsidRDefault="00845F8D" w:rsidP="00845F8D">
      <w:pPr>
        <w:pStyle w:val="ListParagraph"/>
        <w:numPr>
          <w:ilvl w:val="0"/>
          <w:numId w:val="1"/>
        </w:numPr>
        <w:rPr>
          <w:rFonts w:cstheme="minorHAnsi"/>
          <w:bCs/>
          <w:color w:val="222222"/>
          <w:shd w:val="clear" w:color="auto" w:fill="FFFFFF"/>
        </w:rPr>
      </w:pPr>
      <w:r w:rsidRPr="007345BD">
        <w:rPr>
          <w:rFonts w:cstheme="minorHAnsi"/>
          <w:bCs/>
          <w:color w:val="222222"/>
          <w:shd w:val="clear" w:color="auto" w:fill="FFFFFF"/>
        </w:rPr>
        <w:t>With the objective of simplifying its product portfolio, in the year 2015, GSK completed a transaction of $20 billion with Novartis. GSK received vaccine portfolio from Novartis in exchange of handing its Oncology business to the Swiss company;</w:t>
      </w:r>
    </w:p>
    <w:p w14:paraId="0F0C1122" w14:textId="77777777" w:rsidR="00845F8D" w:rsidRPr="007345BD" w:rsidRDefault="00845F8D" w:rsidP="00845F8D">
      <w:pPr>
        <w:pStyle w:val="ListParagraph"/>
        <w:numPr>
          <w:ilvl w:val="0"/>
          <w:numId w:val="1"/>
        </w:numPr>
        <w:rPr>
          <w:rFonts w:cstheme="minorHAnsi"/>
          <w:bCs/>
          <w:color w:val="222222"/>
          <w:shd w:val="clear" w:color="auto" w:fill="FFFFFF"/>
        </w:rPr>
      </w:pPr>
      <w:r w:rsidRPr="007345BD">
        <w:rPr>
          <w:rFonts w:cstheme="minorHAnsi"/>
          <w:bCs/>
          <w:color w:val="222222"/>
          <w:shd w:val="clear" w:color="auto" w:fill="FFFFFF"/>
        </w:rPr>
        <w:t>In 2016, Sensodyne (</w:t>
      </w:r>
      <w:r w:rsidRPr="007345BD">
        <w:rPr>
          <w:rFonts w:cstheme="minorHAnsi"/>
          <w:color w:val="222222"/>
          <w:shd w:val="clear" w:color="auto" w:fill="FFFFFF"/>
        </w:rPr>
        <w:t>the world's number 1 sensitivity toothpaste) became its first consumer brand. It reached £1bn in sale;</w:t>
      </w:r>
    </w:p>
    <w:p w14:paraId="5CF9FD9F" w14:textId="77777777" w:rsidR="00845F8D" w:rsidRPr="007345BD" w:rsidRDefault="00845F8D" w:rsidP="00845F8D">
      <w:pPr>
        <w:pStyle w:val="ListParagraph"/>
        <w:numPr>
          <w:ilvl w:val="0"/>
          <w:numId w:val="1"/>
        </w:numPr>
        <w:rPr>
          <w:rStyle w:val="no-wrap"/>
          <w:rFonts w:cstheme="minorHAnsi"/>
          <w:bCs/>
          <w:color w:val="222222"/>
          <w:u w:val="single"/>
          <w:shd w:val="clear" w:color="auto" w:fill="FFFFFF"/>
        </w:rPr>
      </w:pPr>
      <w:r w:rsidRPr="007345BD">
        <w:rPr>
          <w:rFonts w:cstheme="minorHAnsi"/>
          <w:bCs/>
          <w:color w:val="222222"/>
          <w:shd w:val="clear" w:color="auto" w:fill="FFFFFF"/>
        </w:rPr>
        <w:t xml:space="preserve">In 2017, it launched three new products: </w:t>
      </w:r>
      <w:proofErr w:type="spellStart"/>
      <w:r w:rsidRPr="007345BD">
        <w:rPr>
          <w:rFonts w:cstheme="minorHAnsi"/>
          <w:bCs/>
          <w:color w:val="222222"/>
          <w:shd w:val="clear" w:color="auto" w:fill="FFFFFF"/>
        </w:rPr>
        <w:t>Shingrix</w:t>
      </w:r>
      <w:proofErr w:type="spellEnd"/>
      <w:r w:rsidRPr="007345BD">
        <w:rPr>
          <w:rFonts w:cstheme="minorHAnsi"/>
          <w:bCs/>
          <w:color w:val="222222"/>
          <w:shd w:val="clear" w:color="auto" w:fill="FFFFFF"/>
        </w:rPr>
        <w:t xml:space="preserve">, </w:t>
      </w:r>
      <w:proofErr w:type="spellStart"/>
      <w:r w:rsidRPr="007345BD">
        <w:rPr>
          <w:rFonts w:cstheme="minorHAnsi"/>
          <w:bCs/>
          <w:color w:val="222222"/>
          <w:shd w:val="clear" w:color="auto" w:fill="FFFFFF"/>
        </w:rPr>
        <w:t>Trelegy</w:t>
      </w:r>
      <w:proofErr w:type="spellEnd"/>
      <w:r w:rsidRPr="007345BD">
        <w:rPr>
          <w:rFonts w:cstheme="minorHAnsi"/>
          <w:bCs/>
          <w:color w:val="222222"/>
          <w:shd w:val="clear" w:color="auto" w:fill="FFFFFF"/>
        </w:rPr>
        <w:t xml:space="preserve"> Ellipta and </w:t>
      </w:r>
      <w:proofErr w:type="spellStart"/>
      <w:r w:rsidRPr="007345BD">
        <w:rPr>
          <w:rFonts w:cstheme="minorHAnsi"/>
          <w:bCs/>
          <w:color w:val="222222"/>
          <w:shd w:val="clear" w:color="auto" w:fill="FFFFFF"/>
        </w:rPr>
        <w:t>Juluca</w:t>
      </w:r>
      <w:proofErr w:type="spellEnd"/>
      <w:r w:rsidRPr="007345BD">
        <w:rPr>
          <w:rFonts w:cstheme="minorHAnsi"/>
          <w:bCs/>
          <w:color w:val="222222"/>
          <w:shd w:val="clear" w:color="auto" w:fill="FFFFFF"/>
        </w:rPr>
        <w:t>;</w:t>
      </w:r>
    </w:p>
    <w:p w14:paraId="7D83A668" w14:textId="77777777" w:rsidR="00845F8D" w:rsidRPr="007345BD" w:rsidRDefault="00845F8D" w:rsidP="00845F8D">
      <w:pPr>
        <w:pStyle w:val="ListParagraph"/>
        <w:numPr>
          <w:ilvl w:val="0"/>
          <w:numId w:val="1"/>
        </w:numPr>
        <w:rPr>
          <w:rFonts w:cstheme="minorHAnsi"/>
          <w:bCs/>
          <w:color w:val="222222"/>
          <w:shd w:val="clear" w:color="auto" w:fill="FFFFFF"/>
        </w:rPr>
      </w:pPr>
      <w:r w:rsidRPr="007345BD">
        <w:rPr>
          <w:rFonts w:cstheme="minorHAnsi"/>
          <w:bCs/>
          <w:color w:val="222222"/>
          <w:shd w:val="clear" w:color="auto" w:fill="FFFFFF"/>
        </w:rPr>
        <w:t>Emma Walmsley, previously CEO of GSK Consumer Healthcare, became GSK’s CEO in April 2017; she has endeavoured to begin a significant turnaround programme, endeavouring to bring about £1bn of savings by 2020 through a significant cost-cutting programme;</w:t>
      </w:r>
    </w:p>
    <w:p w14:paraId="3E93E854" w14:textId="77777777" w:rsidR="00845F8D" w:rsidRPr="007345BD" w:rsidRDefault="00845F8D" w:rsidP="00845F8D">
      <w:pPr>
        <w:pStyle w:val="ListParagraph"/>
        <w:numPr>
          <w:ilvl w:val="0"/>
          <w:numId w:val="1"/>
        </w:numPr>
        <w:rPr>
          <w:rFonts w:cstheme="minorHAnsi"/>
          <w:color w:val="222222"/>
          <w:shd w:val="clear" w:color="auto" w:fill="FFFFFF"/>
        </w:rPr>
      </w:pPr>
      <w:r w:rsidRPr="007345BD">
        <w:rPr>
          <w:rFonts w:cstheme="minorHAnsi"/>
          <w:bCs/>
          <w:color w:val="222222"/>
          <w:shd w:val="clear" w:color="auto" w:fill="FFFFFF"/>
        </w:rPr>
        <w:t xml:space="preserve">In 2018, GSK announce a new approach to R&amp;D; acquire </w:t>
      </w:r>
      <w:proofErr w:type="spellStart"/>
      <w:r w:rsidRPr="007345BD">
        <w:rPr>
          <w:rFonts w:cstheme="minorHAnsi"/>
          <w:bCs/>
          <w:color w:val="222222"/>
          <w:shd w:val="clear" w:color="auto" w:fill="FFFFFF"/>
        </w:rPr>
        <w:t>Tesaro</w:t>
      </w:r>
      <w:proofErr w:type="spellEnd"/>
      <w:r w:rsidRPr="007345BD">
        <w:rPr>
          <w:rFonts w:cstheme="minorHAnsi"/>
          <w:bCs/>
          <w:color w:val="222222"/>
          <w:shd w:val="clear" w:color="auto" w:fill="FFFFFF"/>
        </w:rPr>
        <w:t xml:space="preserve"> and a collaboration with 23andMe.</w:t>
      </w:r>
    </w:p>
    <w:p w14:paraId="4B44C4CB" w14:textId="77777777" w:rsidR="00845F8D" w:rsidRDefault="00845F8D" w:rsidP="00845F8D">
      <w:pPr>
        <w:rPr>
          <w:rFonts w:ascii="Arial" w:hAnsi="Arial" w:cs="Arial"/>
          <w:color w:val="222222"/>
          <w:shd w:val="clear" w:color="auto" w:fill="FFFFFF"/>
        </w:rPr>
      </w:pPr>
    </w:p>
    <w:p w14:paraId="283E7744" w14:textId="4011FA00" w:rsidR="00845F8D" w:rsidRDefault="00845F8D" w:rsidP="00845F8D">
      <w:pPr>
        <w:pStyle w:val="Heading1"/>
        <w:rPr>
          <w:shd w:val="clear" w:color="auto" w:fill="FFFFFF"/>
        </w:rPr>
      </w:pPr>
      <w:bookmarkStart w:id="4" w:name="_Toc7774441"/>
      <w:r>
        <w:rPr>
          <w:shd w:val="clear" w:color="auto" w:fill="FFFFFF"/>
        </w:rPr>
        <w:t>AstraZeneca</w:t>
      </w:r>
      <w:bookmarkEnd w:id="4"/>
      <w:r>
        <w:rPr>
          <w:shd w:val="clear" w:color="auto" w:fill="FFFFFF"/>
        </w:rPr>
        <w:t xml:space="preserve"> </w:t>
      </w:r>
    </w:p>
    <w:p w14:paraId="79AF138C" w14:textId="77777777" w:rsidR="0034243B" w:rsidRPr="007345BD" w:rsidRDefault="00740B18" w:rsidP="003067FA">
      <w:pPr>
        <w:rPr>
          <w:rFonts w:cstheme="minorHAnsi"/>
          <w:bCs/>
          <w:color w:val="222222"/>
          <w:shd w:val="clear" w:color="auto" w:fill="FFFFFF"/>
        </w:rPr>
      </w:pPr>
      <w:r w:rsidRPr="007345BD">
        <w:rPr>
          <w:rFonts w:cstheme="minorHAnsi"/>
        </w:rPr>
        <w:t>The major competitor of GSK is AstraZen</w:t>
      </w:r>
      <w:r w:rsidR="00BF4D32" w:rsidRPr="007345BD">
        <w:rPr>
          <w:rFonts w:cstheme="minorHAnsi"/>
        </w:rPr>
        <w:t xml:space="preserve">eca, </w:t>
      </w:r>
      <w:r w:rsidR="006C70A5" w:rsidRPr="007345BD">
        <w:rPr>
          <w:rFonts w:cstheme="minorHAnsi"/>
          <w:bCs/>
          <w:color w:val="222222"/>
          <w:shd w:val="clear" w:color="auto" w:fill="FFFFFF"/>
        </w:rPr>
        <w:t>a British-Swedish multinational pharmaceutical and biopharmaceutical company.</w:t>
      </w:r>
      <w:r w:rsidR="00B2553C" w:rsidRPr="007345BD">
        <w:rPr>
          <w:rFonts w:cstheme="minorHAnsi"/>
          <w:bCs/>
          <w:color w:val="222222"/>
          <w:shd w:val="clear" w:color="auto" w:fill="FFFFFF"/>
        </w:rPr>
        <w:t xml:space="preserve"> </w:t>
      </w:r>
      <w:r w:rsidR="00175674" w:rsidRPr="007345BD">
        <w:rPr>
          <w:rFonts w:cstheme="minorHAnsi"/>
          <w:bCs/>
          <w:color w:val="222222"/>
          <w:shd w:val="clear" w:color="auto" w:fill="FFFFFF"/>
        </w:rPr>
        <w:t xml:space="preserve">US and Emerging market are the </w:t>
      </w:r>
      <w:r w:rsidR="00706651" w:rsidRPr="007345BD">
        <w:rPr>
          <w:rFonts w:cstheme="minorHAnsi"/>
          <w:bCs/>
          <w:color w:val="222222"/>
          <w:shd w:val="clear" w:color="auto" w:fill="FFFFFF"/>
        </w:rPr>
        <w:t>major’s</w:t>
      </w:r>
      <w:r w:rsidR="00175674" w:rsidRPr="007345BD">
        <w:rPr>
          <w:rFonts w:cstheme="minorHAnsi"/>
          <w:bCs/>
          <w:color w:val="222222"/>
          <w:shd w:val="clear" w:color="auto" w:fill="FFFFFF"/>
        </w:rPr>
        <w:t xml:space="preserve"> market for </w:t>
      </w:r>
      <w:r w:rsidR="00014809" w:rsidRPr="007345BD">
        <w:rPr>
          <w:rFonts w:cstheme="minorHAnsi"/>
          <w:bCs/>
          <w:color w:val="222222"/>
          <w:shd w:val="clear" w:color="auto" w:fill="FFFFFF"/>
        </w:rPr>
        <w:t xml:space="preserve">AstraZeneca. </w:t>
      </w:r>
      <w:r w:rsidR="00AE7B3E" w:rsidRPr="007345BD">
        <w:rPr>
          <w:rFonts w:cstheme="minorHAnsi"/>
          <w:bCs/>
          <w:color w:val="222222"/>
          <w:shd w:val="clear" w:color="auto" w:fill="FFFFFF"/>
        </w:rPr>
        <w:t xml:space="preserve">The largest </w:t>
      </w:r>
      <w:r w:rsidR="006049E6" w:rsidRPr="007345BD">
        <w:rPr>
          <w:rFonts w:cstheme="minorHAnsi"/>
          <w:bCs/>
          <w:color w:val="222222"/>
          <w:shd w:val="clear" w:color="auto" w:fill="FFFFFF"/>
        </w:rPr>
        <w:t xml:space="preserve">portion of AstraZeneca’s revue come from neuroscience </w:t>
      </w:r>
      <w:r w:rsidR="00223E32" w:rsidRPr="007345BD">
        <w:rPr>
          <w:rFonts w:cstheme="minorHAnsi"/>
          <w:bCs/>
          <w:color w:val="222222"/>
          <w:shd w:val="clear" w:color="auto" w:fill="FFFFFF"/>
        </w:rPr>
        <w:t xml:space="preserve">and cardiovascular drugs. </w:t>
      </w:r>
      <w:r w:rsidR="000A335D" w:rsidRPr="007345BD">
        <w:rPr>
          <w:rFonts w:cstheme="minorHAnsi"/>
          <w:bCs/>
          <w:color w:val="222222"/>
          <w:shd w:val="clear" w:color="auto" w:fill="FFFFFF"/>
        </w:rPr>
        <w:t>Seroquel IR’s patent expired in 2012, while Seroquel XR is expected to drive profits for a further five years before its patent expiry in 2017.</w:t>
      </w:r>
      <w:r w:rsidR="00867934" w:rsidRPr="007345BD">
        <w:rPr>
          <w:rFonts w:cstheme="minorHAnsi"/>
          <w:bCs/>
          <w:color w:val="222222"/>
          <w:shd w:val="clear" w:color="auto" w:fill="FFFFFF"/>
        </w:rPr>
        <w:t xml:space="preserve"> </w:t>
      </w:r>
    </w:p>
    <w:p w14:paraId="0CB0BB21" w14:textId="78D3D136" w:rsidR="003067FA" w:rsidRPr="007345BD" w:rsidRDefault="00867934" w:rsidP="006545D5">
      <w:pPr>
        <w:rPr>
          <w:rFonts w:cstheme="minorHAnsi"/>
          <w:bCs/>
          <w:color w:val="FF0000"/>
          <w:shd w:val="clear" w:color="auto" w:fill="FFFFFF"/>
        </w:rPr>
      </w:pPr>
      <w:r w:rsidRPr="007345BD">
        <w:rPr>
          <w:rFonts w:cstheme="minorHAnsi"/>
          <w:bCs/>
          <w:color w:val="222222"/>
          <w:shd w:val="clear" w:color="auto" w:fill="FFFFFF"/>
        </w:rPr>
        <w:t>In 2018, total rev</w:t>
      </w:r>
      <w:r w:rsidR="00374790" w:rsidRPr="007345BD">
        <w:rPr>
          <w:rFonts w:cstheme="minorHAnsi"/>
          <w:bCs/>
          <w:color w:val="222222"/>
          <w:shd w:val="clear" w:color="auto" w:fill="FFFFFF"/>
        </w:rPr>
        <w:t xml:space="preserve">enue declined by 2% respect to year 2017; driver by a 55% </w:t>
      </w:r>
      <w:r w:rsidR="0034243B" w:rsidRPr="007345BD">
        <w:rPr>
          <w:rFonts w:cstheme="minorHAnsi"/>
          <w:bCs/>
          <w:color w:val="222222"/>
          <w:shd w:val="clear" w:color="auto" w:fill="FFFFFF"/>
        </w:rPr>
        <w:t xml:space="preserve">decline </w:t>
      </w:r>
      <w:r w:rsidR="00374790" w:rsidRPr="007345BD">
        <w:rPr>
          <w:rFonts w:cstheme="minorHAnsi"/>
          <w:bCs/>
          <w:color w:val="222222"/>
          <w:shd w:val="clear" w:color="auto" w:fill="FFFFFF"/>
        </w:rPr>
        <w:t xml:space="preserve">in Externalisation </w:t>
      </w:r>
      <w:r w:rsidR="0034243B" w:rsidRPr="007345BD">
        <w:rPr>
          <w:rFonts w:cstheme="minorHAnsi"/>
          <w:bCs/>
          <w:color w:val="222222"/>
          <w:shd w:val="clear" w:color="auto" w:fill="FFFFFF"/>
        </w:rPr>
        <w:t xml:space="preserve">Revenue. </w:t>
      </w:r>
      <w:r w:rsidR="006545D5" w:rsidRPr="007345BD">
        <w:rPr>
          <w:rFonts w:cstheme="minorHAnsi"/>
          <w:bCs/>
          <w:color w:val="222222"/>
          <w:shd w:val="clear" w:color="auto" w:fill="FFFFFF"/>
        </w:rPr>
        <w:t xml:space="preserve">Externalisation Revenue to $1,041m, with the year-on-year performance partly reflecting the impact of $997m of Initial Externalisation Revenue recognised in FY 2017 as part of the </w:t>
      </w:r>
      <w:proofErr w:type="spellStart"/>
      <w:r w:rsidR="006545D5" w:rsidRPr="007345BD">
        <w:rPr>
          <w:rFonts w:cstheme="minorHAnsi"/>
          <w:bCs/>
          <w:color w:val="222222"/>
          <w:shd w:val="clear" w:color="auto" w:fill="FFFFFF"/>
        </w:rPr>
        <w:t>Lynparza</w:t>
      </w:r>
      <w:proofErr w:type="spellEnd"/>
      <w:r w:rsidR="006545D5" w:rsidRPr="007345BD">
        <w:rPr>
          <w:rFonts w:cstheme="minorHAnsi"/>
          <w:bCs/>
          <w:color w:val="222222"/>
          <w:shd w:val="clear" w:color="auto" w:fill="FFFFFF"/>
        </w:rPr>
        <w:t xml:space="preserve"> collaboration with MSD</w:t>
      </w:r>
      <w:r w:rsidR="00A272D1" w:rsidRPr="007345BD">
        <w:rPr>
          <w:rFonts w:cstheme="minorHAnsi"/>
          <w:bCs/>
          <w:color w:val="222222"/>
          <w:shd w:val="clear" w:color="auto" w:fill="FFFFFF"/>
        </w:rPr>
        <w:t>.</w:t>
      </w:r>
    </w:p>
    <w:p w14:paraId="73A8FFEF" w14:textId="356F58AE" w:rsidR="003A6E48" w:rsidRDefault="003A6E48" w:rsidP="006545D5">
      <w:pPr>
        <w:rPr>
          <w:rFonts w:ascii="Arial" w:hAnsi="Arial" w:cs="Arial"/>
          <w:bCs/>
          <w:color w:val="222222"/>
          <w:sz w:val="21"/>
          <w:szCs w:val="21"/>
          <w:shd w:val="clear" w:color="auto" w:fill="FFFFFF"/>
        </w:rPr>
      </w:pPr>
    </w:p>
    <w:p w14:paraId="0BA9D192" w14:textId="27BEC299" w:rsidR="003A6E48" w:rsidRDefault="00A525F5" w:rsidP="00A525F5">
      <w:pPr>
        <w:pStyle w:val="Heading1"/>
        <w:rPr>
          <w:shd w:val="clear" w:color="auto" w:fill="FFFFFF"/>
        </w:rPr>
      </w:pPr>
      <w:bookmarkStart w:id="5" w:name="_Toc7774442"/>
      <w:r>
        <w:rPr>
          <w:shd w:val="clear" w:color="auto" w:fill="FFFFFF"/>
        </w:rPr>
        <w:t>Financial Performance</w:t>
      </w:r>
      <w:bookmarkEnd w:id="5"/>
      <w:r>
        <w:rPr>
          <w:shd w:val="clear" w:color="auto" w:fill="FFFFFF"/>
        </w:rPr>
        <w:t xml:space="preserve"> </w:t>
      </w:r>
    </w:p>
    <w:p w14:paraId="0915CF22" w14:textId="199C28E6" w:rsidR="00475A86" w:rsidRDefault="00B91188" w:rsidP="00A525F5">
      <w:r>
        <w:t>T</w:t>
      </w:r>
      <w:r w:rsidR="00AD1700">
        <w:t>his part of this assessment</w:t>
      </w:r>
      <w:r>
        <w:t xml:space="preserve"> </w:t>
      </w:r>
      <w:r w:rsidR="005659CF">
        <w:t>will be</w:t>
      </w:r>
      <w:r>
        <w:t xml:space="preserve"> focused on </w:t>
      </w:r>
      <w:r w:rsidR="00541A86">
        <w:t>the financial analysis</w:t>
      </w:r>
      <w:r w:rsidR="00E01E1C">
        <w:t xml:space="preserve"> of GSK</w:t>
      </w:r>
      <w:r w:rsidR="00815B14">
        <w:t xml:space="preserve"> based on performance ratio and benchmarked </w:t>
      </w:r>
      <w:r w:rsidR="00FA03DA">
        <w:t xml:space="preserve">against AstraZeneca. </w:t>
      </w:r>
      <w:r w:rsidR="001464A7">
        <w:t>GSK will be studied for</w:t>
      </w:r>
      <w:r w:rsidR="005659CF">
        <w:t xml:space="preserve"> the past</w:t>
      </w:r>
      <w:r w:rsidR="001464A7">
        <w:t xml:space="preserve"> five years </w:t>
      </w:r>
      <w:r w:rsidR="005659CF">
        <w:t>(</w:t>
      </w:r>
      <w:r w:rsidR="001464A7">
        <w:t>from 2014 to 2018</w:t>
      </w:r>
      <w:r w:rsidR="005659CF">
        <w:t>)</w:t>
      </w:r>
      <w:r w:rsidR="00077CB6">
        <w:t xml:space="preserve">; </w:t>
      </w:r>
      <w:r w:rsidR="001464A7">
        <w:t xml:space="preserve">AstraZeneca </w:t>
      </w:r>
      <w:r w:rsidR="001464A7" w:rsidRPr="00475A86">
        <w:rPr>
          <w:color w:val="000000" w:themeColor="text1"/>
        </w:rPr>
        <w:t xml:space="preserve">for </w:t>
      </w:r>
      <w:r w:rsidR="00CB2D0B" w:rsidRPr="00475A86">
        <w:rPr>
          <w:color w:val="000000" w:themeColor="text1"/>
        </w:rPr>
        <w:t>one year</w:t>
      </w:r>
      <w:r w:rsidR="00CB2D0B">
        <w:t xml:space="preserve">, </w:t>
      </w:r>
      <w:r w:rsidR="005659CF">
        <w:t>(</w:t>
      </w:r>
      <w:r w:rsidR="00CB2D0B">
        <w:t>2018</w:t>
      </w:r>
      <w:r w:rsidR="005659CF">
        <w:t>)</w:t>
      </w:r>
      <w:r w:rsidR="00CB2D0B">
        <w:t xml:space="preserve">. </w:t>
      </w:r>
    </w:p>
    <w:p w14:paraId="34393CFB" w14:textId="7B43334B" w:rsidR="0074151E" w:rsidRDefault="00C73F6A" w:rsidP="00A525F5">
      <w:r>
        <w:t xml:space="preserve">Ratio is a mathematical relationship between one number to another number. </w:t>
      </w:r>
      <w:r w:rsidR="0062020A">
        <w:t xml:space="preserve">Analysts and investors </w:t>
      </w:r>
      <w:r w:rsidR="000B6C22">
        <w:t xml:space="preserve">used ratio analysis in order to </w:t>
      </w:r>
      <w:r w:rsidR="008E4109">
        <w:t>evaluate</w:t>
      </w:r>
      <w:r w:rsidR="000B6C22">
        <w:t xml:space="preserve"> the financial performance of the </w:t>
      </w:r>
      <w:r w:rsidR="008E4109">
        <w:t xml:space="preserve">business concern. </w:t>
      </w:r>
    </w:p>
    <w:p w14:paraId="5C13C186" w14:textId="16D9B0DC" w:rsidR="008E4109" w:rsidRPr="00CA26E4" w:rsidRDefault="00314DE6" w:rsidP="00A525F5">
      <w:pPr>
        <w:rPr>
          <w:color w:val="FF0000"/>
        </w:rPr>
      </w:pPr>
      <w:r>
        <w:t xml:space="preserve">In this section profitability, </w:t>
      </w:r>
      <w:r w:rsidR="001A5CE6">
        <w:t xml:space="preserve">liquidity, leverage and </w:t>
      </w:r>
      <w:r w:rsidR="005E00A2">
        <w:t xml:space="preserve">efficiently ratios are calculated and analysed. </w:t>
      </w:r>
    </w:p>
    <w:p w14:paraId="5E597B15" w14:textId="29D3B164" w:rsidR="005E00A2" w:rsidRDefault="005E00A2" w:rsidP="00A525F5"/>
    <w:p w14:paraId="39491E39" w14:textId="440F64DD" w:rsidR="005E00A2" w:rsidRDefault="005E00A2" w:rsidP="00D220A5">
      <w:pPr>
        <w:pStyle w:val="Heading2"/>
      </w:pPr>
      <w:bookmarkStart w:id="6" w:name="_Toc7774443"/>
      <w:r>
        <w:t xml:space="preserve">Profitability </w:t>
      </w:r>
      <w:r w:rsidR="00D220A5">
        <w:t>ratio</w:t>
      </w:r>
      <w:bookmarkEnd w:id="6"/>
    </w:p>
    <w:p w14:paraId="1D9D5B69" w14:textId="11FFC64A" w:rsidR="00D76ED6" w:rsidRPr="00D76ED6" w:rsidRDefault="008F4EAC" w:rsidP="00D76ED6">
      <w:r>
        <w:t>Profitability ratios</w:t>
      </w:r>
      <w:r w:rsidR="008066F5">
        <w:t xml:space="preserve"> are useful for analysts and investors </w:t>
      </w:r>
      <w:r w:rsidR="00632DFB">
        <w:t>since they</w:t>
      </w:r>
      <w:r>
        <w:t xml:space="preserve"> </w:t>
      </w:r>
      <w:r w:rsidR="00366E5D">
        <w:t xml:space="preserve">show </w:t>
      </w:r>
      <w:r w:rsidR="00592AFD">
        <w:t xml:space="preserve">a company’s ability to </w:t>
      </w:r>
      <w:r w:rsidR="00540941">
        <w:t xml:space="preserve">generate profit </w:t>
      </w:r>
      <w:r w:rsidR="00F5314A">
        <w:t xml:space="preserve">through its operation. </w:t>
      </w:r>
    </w:p>
    <w:p w14:paraId="77B8EBF7" w14:textId="09AB8380" w:rsidR="00A97734" w:rsidRDefault="00D04F6C" w:rsidP="00D04F6C">
      <w:r>
        <w:t xml:space="preserve">Gross margin, Operating margin and Return on research capital will be studied. </w:t>
      </w:r>
    </w:p>
    <w:p w14:paraId="2538E64F" w14:textId="50F7EEE5" w:rsidR="00A97734" w:rsidRPr="00772647" w:rsidRDefault="00A97734" w:rsidP="00D04F6C">
      <w:pPr>
        <w:rPr>
          <w:b/>
        </w:rPr>
      </w:pPr>
      <w:r w:rsidRPr="00772647">
        <w:rPr>
          <w:b/>
          <w:u w:val="single"/>
        </w:rPr>
        <w:t>Tab</w:t>
      </w:r>
      <w:r w:rsidR="000F08EF" w:rsidRPr="00772647">
        <w:rPr>
          <w:b/>
          <w:u w:val="single"/>
        </w:rPr>
        <w:t>. 1</w:t>
      </w:r>
      <w:r w:rsidR="000F08EF" w:rsidRPr="00772647">
        <w:rPr>
          <w:b/>
        </w:rPr>
        <w:t>: Sales</w:t>
      </w:r>
      <w:r w:rsidR="00DA77FD" w:rsidRPr="00772647">
        <w:rPr>
          <w:b/>
        </w:rPr>
        <w:t xml:space="preserve">, Gross profit, </w:t>
      </w:r>
      <w:r w:rsidR="00772647">
        <w:rPr>
          <w:b/>
        </w:rPr>
        <w:t>O</w:t>
      </w:r>
      <w:r w:rsidR="00DA77FD" w:rsidRPr="00772647">
        <w:rPr>
          <w:b/>
        </w:rPr>
        <w:t xml:space="preserve">perating income and R&amp;D expenditures </w:t>
      </w:r>
      <w:r w:rsidR="00721734" w:rsidRPr="00772647">
        <w:rPr>
          <w:b/>
        </w:rPr>
        <w:t xml:space="preserve">of GSK (2014-2018) and AstraZeneca (2018). </w:t>
      </w:r>
    </w:p>
    <w:tbl>
      <w:tblPr>
        <w:tblW w:w="9841" w:type="dxa"/>
        <w:tblLook w:val="04A0" w:firstRow="1" w:lastRow="0" w:firstColumn="1" w:lastColumn="0" w:noHBand="0" w:noVBand="1"/>
      </w:tblPr>
      <w:tblGrid>
        <w:gridCol w:w="2204"/>
        <w:gridCol w:w="1149"/>
        <w:gridCol w:w="1149"/>
        <w:gridCol w:w="1149"/>
        <w:gridCol w:w="1149"/>
        <w:gridCol w:w="1149"/>
        <w:gridCol w:w="1892"/>
      </w:tblGrid>
      <w:tr w:rsidR="00A97734" w:rsidRPr="00CF5A4D" w14:paraId="73BA464A" w14:textId="77777777" w:rsidTr="006C0B7F">
        <w:trPr>
          <w:trHeight w:val="291"/>
        </w:trPr>
        <w:tc>
          <w:tcPr>
            <w:tcW w:w="2204" w:type="dxa"/>
            <w:tcBorders>
              <w:top w:val="single" w:sz="4" w:space="0" w:color="8EA9DB"/>
              <w:left w:val="single" w:sz="4" w:space="0" w:color="8EA9DB"/>
              <w:bottom w:val="single" w:sz="4" w:space="0" w:color="8EA9DB"/>
              <w:right w:val="nil"/>
            </w:tcBorders>
            <w:shd w:val="clear" w:color="4472C4" w:fill="4472C4"/>
            <w:noWrap/>
            <w:vAlign w:val="bottom"/>
            <w:hideMark/>
          </w:tcPr>
          <w:p w14:paraId="3EF24EEC" w14:textId="77777777" w:rsidR="00A97734" w:rsidRPr="00CF5A4D" w:rsidRDefault="00A97734" w:rsidP="006C0B7F">
            <w:pPr>
              <w:spacing w:after="0" w:line="240" w:lineRule="auto"/>
              <w:jc w:val="center"/>
              <w:rPr>
                <w:rFonts w:ascii="Calibri" w:eastAsia="Times New Roman" w:hAnsi="Calibri" w:cs="Calibri"/>
                <w:b/>
                <w:bCs/>
                <w:color w:val="FFFFFF"/>
                <w:lang w:eastAsia="en-GB"/>
              </w:rPr>
            </w:pPr>
            <w:r w:rsidRPr="00CF5A4D">
              <w:rPr>
                <w:rFonts w:ascii="Calibri" w:eastAsia="Times New Roman" w:hAnsi="Calibri" w:cs="Calibri"/>
                <w:b/>
                <w:bCs/>
                <w:color w:val="FFFFFF"/>
                <w:lang w:eastAsia="en-GB"/>
              </w:rPr>
              <w:t>GSK</w:t>
            </w:r>
            <w:r>
              <w:rPr>
                <w:rFonts w:ascii="Calibri" w:eastAsia="Times New Roman" w:hAnsi="Calibri" w:cs="Calibri"/>
                <w:b/>
                <w:bCs/>
                <w:color w:val="FFFFFF"/>
                <w:lang w:eastAsia="en-GB"/>
              </w:rPr>
              <w:t xml:space="preserve"> £m</w:t>
            </w:r>
          </w:p>
        </w:tc>
        <w:tc>
          <w:tcPr>
            <w:tcW w:w="1149" w:type="dxa"/>
            <w:tcBorders>
              <w:top w:val="single" w:sz="4" w:space="0" w:color="8EA9DB"/>
              <w:left w:val="nil"/>
              <w:bottom w:val="single" w:sz="4" w:space="0" w:color="8EA9DB"/>
              <w:right w:val="nil"/>
            </w:tcBorders>
            <w:shd w:val="clear" w:color="4472C4" w:fill="4472C4"/>
            <w:noWrap/>
            <w:vAlign w:val="bottom"/>
            <w:hideMark/>
          </w:tcPr>
          <w:p w14:paraId="70CA797D" w14:textId="77777777" w:rsidR="00A97734" w:rsidRPr="00CF5A4D" w:rsidRDefault="00A97734" w:rsidP="006C0B7F">
            <w:pPr>
              <w:spacing w:after="0" w:line="240" w:lineRule="auto"/>
              <w:jc w:val="center"/>
              <w:rPr>
                <w:rFonts w:ascii="Calibri" w:eastAsia="Times New Roman" w:hAnsi="Calibri" w:cs="Calibri"/>
                <w:b/>
                <w:bCs/>
                <w:color w:val="FFFFFF"/>
                <w:lang w:eastAsia="en-GB"/>
              </w:rPr>
            </w:pPr>
            <w:r w:rsidRPr="00CF5A4D">
              <w:rPr>
                <w:rFonts w:ascii="Calibri" w:eastAsia="Times New Roman" w:hAnsi="Calibri" w:cs="Calibri"/>
                <w:b/>
                <w:bCs/>
                <w:color w:val="FFFFFF"/>
                <w:lang w:eastAsia="en-GB"/>
              </w:rPr>
              <w:t>2014</w:t>
            </w:r>
          </w:p>
        </w:tc>
        <w:tc>
          <w:tcPr>
            <w:tcW w:w="1149" w:type="dxa"/>
            <w:tcBorders>
              <w:top w:val="single" w:sz="4" w:space="0" w:color="8EA9DB"/>
              <w:left w:val="nil"/>
              <w:bottom w:val="single" w:sz="4" w:space="0" w:color="8EA9DB"/>
              <w:right w:val="nil"/>
            </w:tcBorders>
            <w:shd w:val="clear" w:color="4472C4" w:fill="4472C4"/>
            <w:noWrap/>
            <w:vAlign w:val="bottom"/>
            <w:hideMark/>
          </w:tcPr>
          <w:p w14:paraId="22A3B4BC" w14:textId="77777777" w:rsidR="00A97734" w:rsidRPr="00CF5A4D" w:rsidRDefault="00A97734" w:rsidP="006C0B7F">
            <w:pPr>
              <w:spacing w:after="0" w:line="240" w:lineRule="auto"/>
              <w:jc w:val="center"/>
              <w:rPr>
                <w:rFonts w:ascii="Calibri" w:eastAsia="Times New Roman" w:hAnsi="Calibri" w:cs="Calibri"/>
                <w:b/>
                <w:bCs/>
                <w:color w:val="FFFFFF"/>
                <w:lang w:eastAsia="en-GB"/>
              </w:rPr>
            </w:pPr>
            <w:r w:rsidRPr="00CF5A4D">
              <w:rPr>
                <w:rFonts w:ascii="Calibri" w:eastAsia="Times New Roman" w:hAnsi="Calibri" w:cs="Calibri"/>
                <w:b/>
                <w:bCs/>
                <w:color w:val="FFFFFF"/>
                <w:lang w:eastAsia="en-GB"/>
              </w:rPr>
              <w:t>2015</w:t>
            </w:r>
          </w:p>
        </w:tc>
        <w:tc>
          <w:tcPr>
            <w:tcW w:w="1149" w:type="dxa"/>
            <w:tcBorders>
              <w:top w:val="single" w:sz="4" w:space="0" w:color="8EA9DB"/>
              <w:left w:val="nil"/>
              <w:bottom w:val="single" w:sz="4" w:space="0" w:color="8EA9DB"/>
              <w:right w:val="nil"/>
            </w:tcBorders>
            <w:shd w:val="clear" w:color="4472C4" w:fill="4472C4"/>
            <w:noWrap/>
            <w:vAlign w:val="bottom"/>
            <w:hideMark/>
          </w:tcPr>
          <w:p w14:paraId="7D5961BE" w14:textId="77777777" w:rsidR="00A97734" w:rsidRPr="00CF5A4D" w:rsidRDefault="00A97734" w:rsidP="006C0B7F">
            <w:pPr>
              <w:spacing w:after="0" w:line="240" w:lineRule="auto"/>
              <w:jc w:val="center"/>
              <w:rPr>
                <w:rFonts w:ascii="Calibri" w:eastAsia="Times New Roman" w:hAnsi="Calibri" w:cs="Calibri"/>
                <w:b/>
                <w:bCs/>
                <w:color w:val="FFFFFF"/>
                <w:lang w:eastAsia="en-GB"/>
              </w:rPr>
            </w:pPr>
            <w:r w:rsidRPr="00CF5A4D">
              <w:rPr>
                <w:rFonts w:ascii="Calibri" w:eastAsia="Times New Roman" w:hAnsi="Calibri" w:cs="Calibri"/>
                <w:b/>
                <w:bCs/>
                <w:color w:val="FFFFFF"/>
                <w:lang w:eastAsia="en-GB"/>
              </w:rPr>
              <w:t>2016</w:t>
            </w:r>
          </w:p>
        </w:tc>
        <w:tc>
          <w:tcPr>
            <w:tcW w:w="1149" w:type="dxa"/>
            <w:tcBorders>
              <w:top w:val="single" w:sz="4" w:space="0" w:color="8EA9DB"/>
              <w:left w:val="nil"/>
              <w:bottom w:val="single" w:sz="4" w:space="0" w:color="8EA9DB"/>
              <w:right w:val="nil"/>
            </w:tcBorders>
            <w:shd w:val="clear" w:color="4472C4" w:fill="4472C4"/>
            <w:noWrap/>
            <w:vAlign w:val="bottom"/>
            <w:hideMark/>
          </w:tcPr>
          <w:p w14:paraId="6907A0DE" w14:textId="77777777" w:rsidR="00A97734" w:rsidRPr="00CF5A4D" w:rsidRDefault="00A97734" w:rsidP="006C0B7F">
            <w:pPr>
              <w:spacing w:after="0" w:line="240" w:lineRule="auto"/>
              <w:jc w:val="center"/>
              <w:rPr>
                <w:rFonts w:ascii="Calibri" w:eastAsia="Times New Roman" w:hAnsi="Calibri" w:cs="Calibri"/>
                <w:b/>
                <w:bCs/>
                <w:color w:val="FFFFFF"/>
                <w:lang w:eastAsia="en-GB"/>
              </w:rPr>
            </w:pPr>
            <w:r w:rsidRPr="00CF5A4D">
              <w:rPr>
                <w:rFonts w:ascii="Calibri" w:eastAsia="Times New Roman" w:hAnsi="Calibri" w:cs="Calibri"/>
                <w:b/>
                <w:bCs/>
                <w:color w:val="FFFFFF"/>
                <w:lang w:eastAsia="en-GB"/>
              </w:rPr>
              <w:t>2017</w:t>
            </w:r>
          </w:p>
        </w:tc>
        <w:tc>
          <w:tcPr>
            <w:tcW w:w="1149" w:type="dxa"/>
            <w:tcBorders>
              <w:top w:val="single" w:sz="4" w:space="0" w:color="8EA9DB"/>
              <w:left w:val="nil"/>
              <w:bottom w:val="single" w:sz="4" w:space="0" w:color="8EA9DB"/>
              <w:right w:val="nil"/>
            </w:tcBorders>
            <w:shd w:val="clear" w:color="4472C4" w:fill="4472C4"/>
            <w:noWrap/>
            <w:vAlign w:val="bottom"/>
            <w:hideMark/>
          </w:tcPr>
          <w:p w14:paraId="64B365BF" w14:textId="77777777" w:rsidR="00A97734" w:rsidRPr="00CF5A4D" w:rsidRDefault="00A97734" w:rsidP="006C0B7F">
            <w:pPr>
              <w:spacing w:after="0" w:line="240" w:lineRule="auto"/>
              <w:jc w:val="center"/>
              <w:rPr>
                <w:rFonts w:ascii="Calibri" w:eastAsia="Times New Roman" w:hAnsi="Calibri" w:cs="Calibri"/>
                <w:b/>
                <w:bCs/>
                <w:color w:val="FFFFFF"/>
                <w:lang w:eastAsia="en-GB"/>
              </w:rPr>
            </w:pPr>
            <w:r w:rsidRPr="00CF5A4D">
              <w:rPr>
                <w:rFonts w:ascii="Calibri" w:eastAsia="Times New Roman" w:hAnsi="Calibri" w:cs="Calibri"/>
                <w:b/>
                <w:bCs/>
                <w:color w:val="FFFFFF"/>
                <w:lang w:eastAsia="en-GB"/>
              </w:rPr>
              <w:t>2018</w:t>
            </w:r>
          </w:p>
        </w:tc>
        <w:tc>
          <w:tcPr>
            <w:tcW w:w="1892" w:type="dxa"/>
            <w:tcBorders>
              <w:top w:val="single" w:sz="4" w:space="0" w:color="8EA9DB"/>
              <w:left w:val="nil"/>
              <w:bottom w:val="single" w:sz="4" w:space="0" w:color="8EA9DB"/>
              <w:right w:val="single" w:sz="4" w:space="0" w:color="8EA9DB"/>
            </w:tcBorders>
            <w:shd w:val="clear" w:color="4472C4" w:fill="4472C4"/>
            <w:noWrap/>
            <w:vAlign w:val="bottom"/>
            <w:hideMark/>
          </w:tcPr>
          <w:p w14:paraId="51534F51" w14:textId="77777777" w:rsidR="00A97734" w:rsidRDefault="00A97734" w:rsidP="006C0B7F">
            <w:pPr>
              <w:spacing w:after="0" w:line="240" w:lineRule="auto"/>
              <w:jc w:val="center"/>
              <w:rPr>
                <w:rFonts w:ascii="Calibri" w:eastAsia="Times New Roman" w:hAnsi="Calibri" w:cs="Calibri"/>
                <w:b/>
                <w:bCs/>
                <w:color w:val="FFFFFF"/>
                <w:lang w:eastAsia="en-GB"/>
              </w:rPr>
            </w:pPr>
            <w:r w:rsidRPr="00CF5A4D">
              <w:rPr>
                <w:rFonts w:ascii="Calibri" w:eastAsia="Times New Roman" w:hAnsi="Calibri" w:cs="Calibri"/>
                <w:b/>
                <w:bCs/>
                <w:color w:val="FFFFFF"/>
                <w:lang w:eastAsia="en-GB"/>
              </w:rPr>
              <w:t>AstraZeneca</w:t>
            </w:r>
          </w:p>
          <w:p w14:paraId="0416A4BB" w14:textId="77777777" w:rsidR="00A97734" w:rsidRPr="00CF5A4D" w:rsidRDefault="00A97734" w:rsidP="006C0B7F">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2018 $m</w:t>
            </w:r>
          </w:p>
        </w:tc>
      </w:tr>
      <w:tr w:rsidR="00A97734" w:rsidRPr="00CF5A4D" w14:paraId="78A284D1" w14:textId="77777777" w:rsidTr="006C0B7F">
        <w:trPr>
          <w:trHeight w:val="291"/>
        </w:trPr>
        <w:tc>
          <w:tcPr>
            <w:tcW w:w="2204" w:type="dxa"/>
            <w:tcBorders>
              <w:top w:val="single" w:sz="4" w:space="0" w:color="8EA9DB"/>
              <w:left w:val="single" w:sz="4" w:space="0" w:color="8EA9DB"/>
              <w:bottom w:val="single" w:sz="4" w:space="0" w:color="8EA9DB"/>
              <w:right w:val="nil"/>
            </w:tcBorders>
            <w:shd w:val="clear" w:color="D9E1F2" w:fill="D9E1F2"/>
            <w:noWrap/>
            <w:vAlign w:val="bottom"/>
            <w:hideMark/>
          </w:tcPr>
          <w:p w14:paraId="4C27731A"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lastRenderedPageBreak/>
              <w:t xml:space="preserve">Sales </w:t>
            </w:r>
          </w:p>
        </w:tc>
        <w:tc>
          <w:tcPr>
            <w:tcW w:w="1149" w:type="dxa"/>
            <w:tcBorders>
              <w:top w:val="single" w:sz="4" w:space="0" w:color="8EA9DB"/>
              <w:left w:val="nil"/>
              <w:bottom w:val="single" w:sz="4" w:space="0" w:color="8EA9DB"/>
              <w:right w:val="nil"/>
            </w:tcBorders>
            <w:shd w:val="clear" w:color="D9E1F2" w:fill="D9E1F2"/>
            <w:noWrap/>
            <w:vAlign w:val="bottom"/>
            <w:hideMark/>
          </w:tcPr>
          <w:p w14:paraId="20778DC8"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23,006</w:t>
            </w:r>
          </w:p>
        </w:tc>
        <w:tc>
          <w:tcPr>
            <w:tcW w:w="1149" w:type="dxa"/>
            <w:tcBorders>
              <w:top w:val="single" w:sz="4" w:space="0" w:color="8EA9DB"/>
              <w:left w:val="nil"/>
              <w:bottom w:val="single" w:sz="4" w:space="0" w:color="8EA9DB"/>
              <w:right w:val="nil"/>
            </w:tcBorders>
            <w:shd w:val="clear" w:color="D9E1F2" w:fill="D9E1F2"/>
            <w:noWrap/>
            <w:vAlign w:val="bottom"/>
            <w:hideMark/>
          </w:tcPr>
          <w:p w14:paraId="2586E343"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23,923</w:t>
            </w:r>
          </w:p>
        </w:tc>
        <w:tc>
          <w:tcPr>
            <w:tcW w:w="1149" w:type="dxa"/>
            <w:tcBorders>
              <w:top w:val="single" w:sz="4" w:space="0" w:color="8EA9DB"/>
              <w:left w:val="nil"/>
              <w:bottom w:val="single" w:sz="4" w:space="0" w:color="8EA9DB"/>
              <w:right w:val="nil"/>
            </w:tcBorders>
            <w:shd w:val="clear" w:color="D9E1F2" w:fill="D9E1F2"/>
            <w:noWrap/>
            <w:vAlign w:val="bottom"/>
            <w:hideMark/>
          </w:tcPr>
          <w:p w14:paraId="42C93E42"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27,889</w:t>
            </w:r>
          </w:p>
        </w:tc>
        <w:tc>
          <w:tcPr>
            <w:tcW w:w="1149" w:type="dxa"/>
            <w:tcBorders>
              <w:top w:val="single" w:sz="4" w:space="0" w:color="8EA9DB"/>
              <w:left w:val="nil"/>
              <w:bottom w:val="single" w:sz="4" w:space="0" w:color="8EA9DB"/>
              <w:right w:val="nil"/>
            </w:tcBorders>
            <w:shd w:val="clear" w:color="D9E1F2" w:fill="D9E1F2"/>
            <w:noWrap/>
            <w:vAlign w:val="bottom"/>
            <w:hideMark/>
          </w:tcPr>
          <w:p w14:paraId="3D66374E"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30,186</w:t>
            </w:r>
          </w:p>
        </w:tc>
        <w:tc>
          <w:tcPr>
            <w:tcW w:w="1149" w:type="dxa"/>
            <w:tcBorders>
              <w:top w:val="single" w:sz="4" w:space="0" w:color="8EA9DB"/>
              <w:left w:val="nil"/>
              <w:bottom w:val="single" w:sz="4" w:space="0" w:color="8EA9DB"/>
              <w:right w:val="nil"/>
            </w:tcBorders>
            <w:shd w:val="clear" w:color="D9E1F2" w:fill="D9E1F2"/>
            <w:noWrap/>
            <w:vAlign w:val="bottom"/>
            <w:hideMark/>
          </w:tcPr>
          <w:p w14:paraId="15647033"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30,821</w:t>
            </w:r>
          </w:p>
        </w:tc>
        <w:tc>
          <w:tcPr>
            <w:tcW w:w="1892" w:type="dxa"/>
            <w:tcBorders>
              <w:top w:val="single" w:sz="4" w:space="0" w:color="8EA9DB"/>
              <w:left w:val="nil"/>
              <w:bottom w:val="single" w:sz="4" w:space="0" w:color="8EA9DB"/>
              <w:right w:val="single" w:sz="4" w:space="0" w:color="8EA9DB"/>
            </w:tcBorders>
            <w:shd w:val="clear" w:color="D9E1F2" w:fill="D9E1F2"/>
            <w:noWrap/>
            <w:vAlign w:val="bottom"/>
            <w:hideMark/>
          </w:tcPr>
          <w:p w14:paraId="4931053B" w14:textId="77777777" w:rsidR="00A97734" w:rsidRPr="00CF5A4D" w:rsidRDefault="00A97734"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22,090</w:t>
            </w:r>
          </w:p>
        </w:tc>
      </w:tr>
      <w:tr w:rsidR="00A97734" w:rsidRPr="00CF5A4D" w14:paraId="6AD64792" w14:textId="77777777" w:rsidTr="006C0B7F">
        <w:trPr>
          <w:trHeight w:val="291"/>
        </w:trPr>
        <w:tc>
          <w:tcPr>
            <w:tcW w:w="2204" w:type="dxa"/>
            <w:tcBorders>
              <w:top w:val="single" w:sz="4" w:space="0" w:color="8EA9DB"/>
              <w:left w:val="single" w:sz="4" w:space="0" w:color="8EA9DB"/>
              <w:bottom w:val="single" w:sz="4" w:space="0" w:color="8EA9DB"/>
              <w:right w:val="nil"/>
            </w:tcBorders>
            <w:shd w:val="clear" w:color="auto" w:fill="auto"/>
            <w:noWrap/>
            <w:vAlign w:val="bottom"/>
            <w:hideMark/>
          </w:tcPr>
          <w:p w14:paraId="0DCE44B5"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Gross profit</w:t>
            </w:r>
          </w:p>
        </w:tc>
        <w:tc>
          <w:tcPr>
            <w:tcW w:w="1149" w:type="dxa"/>
            <w:tcBorders>
              <w:top w:val="single" w:sz="4" w:space="0" w:color="8EA9DB"/>
              <w:left w:val="nil"/>
              <w:bottom w:val="single" w:sz="4" w:space="0" w:color="8EA9DB"/>
              <w:right w:val="nil"/>
            </w:tcBorders>
            <w:shd w:val="clear" w:color="auto" w:fill="auto"/>
            <w:noWrap/>
            <w:vAlign w:val="bottom"/>
            <w:hideMark/>
          </w:tcPr>
          <w:p w14:paraId="3D2E941E"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15,683</w:t>
            </w:r>
          </w:p>
        </w:tc>
        <w:tc>
          <w:tcPr>
            <w:tcW w:w="1149" w:type="dxa"/>
            <w:tcBorders>
              <w:top w:val="single" w:sz="4" w:space="0" w:color="8EA9DB"/>
              <w:left w:val="nil"/>
              <w:bottom w:val="single" w:sz="4" w:space="0" w:color="8EA9DB"/>
              <w:right w:val="nil"/>
            </w:tcBorders>
            <w:shd w:val="clear" w:color="auto" w:fill="auto"/>
            <w:noWrap/>
            <w:vAlign w:val="bottom"/>
            <w:hideMark/>
          </w:tcPr>
          <w:p w14:paraId="3EF51DDD"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15,070</w:t>
            </w:r>
          </w:p>
        </w:tc>
        <w:tc>
          <w:tcPr>
            <w:tcW w:w="1149" w:type="dxa"/>
            <w:tcBorders>
              <w:top w:val="single" w:sz="4" w:space="0" w:color="8EA9DB"/>
              <w:left w:val="nil"/>
              <w:bottom w:val="single" w:sz="4" w:space="0" w:color="8EA9DB"/>
              <w:right w:val="nil"/>
            </w:tcBorders>
            <w:shd w:val="clear" w:color="auto" w:fill="auto"/>
            <w:noWrap/>
            <w:vAlign w:val="bottom"/>
            <w:hideMark/>
          </w:tcPr>
          <w:p w14:paraId="5C876E64"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18,599</w:t>
            </w:r>
          </w:p>
        </w:tc>
        <w:tc>
          <w:tcPr>
            <w:tcW w:w="1149" w:type="dxa"/>
            <w:tcBorders>
              <w:top w:val="single" w:sz="4" w:space="0" w:color="8EA9DB"/>
              <w:left w:val="nil"/>
              <w:bottom w:val="single" w:sz="4" w:space="0" w:color="8EA9DB"/>
              <w:right w:val="nil"/>
            </w:tcBorders>
            <w:shd w:val="clear" w:color="auto" w:fill="auto"/>
            <w:noWrap/>
            <w:vAlign w:val="bottom"/>
            <w:hideMark/>
          </w:tcPr>
          <w:p w14:paraId="52A2DAA1"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19,844</w:t>
            </w:r>
          </w:p>
        </w:tc>
        <w:tc>
          <w:tcPr>
            <w:tcW w:w="1149" w:type="dxa"/>
            <w:tcBorders>
              <w:top w:val="single" w:sz="4" w:space="0" w:color="8EA9DB"/>
              <w:left w:val="nil"/>
              <w:bottom w:val="single" w:sz="4" w:space="0" w:color="8EA9DB"/>
              <w:right w:val="nil"/>
            </w:tcBorders>
            <w:shd w:val="clear" w:color="auto" w:fill="auto"/>
            <w:noWrap/>
            <w:vAlign w:val="bottom"/>
            <w:hideMark/>
          </w:tcPr>
          <w:p w14:paraId="4CAA2655"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20,580</w:t>
            </w:r>
          </w:p>
        </w:tc>
        <w:tc>
          <w:tcPr>
            <w:tcW w:w="1892" w:type="dxa"/>
            <w:tcBorders>
              <w:top w:val="single" w:sz="4" w:space="0" w:color="8EA9DB"/>
              <w:left w:val="nil"/>
              <w:bottom w:val="single" w:sz="4" w:space="0" w:color="8EA9DB"/>
              <w:right w:val="single" w:sz="4" w:space="0" w:color="8EA9DB"/>
            </w:tcBorders>
            <w:shd w:val="clear" w:color="auto" w:fill="auto"/>
            <w:noWrap/>
            <w:vAlign w:val="bottom"/>
            <w:hideMark/>
          </w:tcPr>
          <w:p w14:paraId="368D6E89" w14:textId="77777777" w:rsidR="00A97734" w:rsidRPr="00CF5A4D" w:rsidRDefault="00A97734"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17,154</w:t>
            </w:r>
          </w:p>
        </w:tc>
      </w:tr>
      <w:tr w:rsidR="00A97734" w:rsidRPr="00CF5A4D" w14:paraId="745764CC" w14:textId="77777777" w:rsidTr="006C0B7F">
        <w:trPr>
          <w:trHeight w:val="291"/>
        </w:trPr>
        <w:tc>
          <w:tcPr>
            <w:tcW w:w="2204" w:type="dxa"/>
            <w:tcBorders>
              <w:top w:val="single" w:sz="4" w:space="0" w:color="8EA9DB"/>
              <w:left w:val="single" w:sz="4" w:space="0" w:color="8EA9DB"/>
              <w:bottom w:val="single" w:sz="4" w:space="0" w:color="8EA9DB"/>
              <w:right w:val="nil"/>
            </w:tcBorders>
            <w:shd w:val="clear" w:color="D9E1F2" w:fill="D9E1F2"/>
            <w:noWrap/>
            <w:vAlign w:val="bottom"/>
            <w:hideMark/>
          </w:tcPr>
          <w:p w14:paraId="3984A905"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Operating income</w:t>
            </w:r>
          </w:p>
        </w:tc>
        <w:tc>
          <w:tcPr>
            <w:tcW w:w="1149" w:type="dxa"/>
            <w:tcBorders>
              <w:top w:val="single" w:sz="4" w:space="0" w:color="8EA9DB"/>
              <w:left w:val="nil"/>
              <w:bottom w:val="single" w:sz="4" w:space="0" w:color="8EA9DB"/>
              <w:right w:val="nil"/>
            </w:tcBorders>
            <w:shd w:val="clear" w:color="D9E1F2" w:fill="D9E1F2"/>
            <w:noWrap/>
            <w:vAlign w:val="bottom"/>
            <w:hideMark/>
          </w:tcPr>
          <w:p w14:paraId="3154FDC2"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3,597</w:t>
            </w:r>
          </w:p>
        </w:tc>
        <w:tc>
          <w:tcPr>
            <w:tcW w:w="1149" w:type="dxa"/>
            <w:tcBorders>
              <w:top w:val="single" w:sz="4" w:space="0" w:color="8EA9DB"/>
              <w:left w:val="nil"/>
              <w:bottom w:val="single" w:sz="4" w:space="0" w:color="8EA9DB"/>
              <w:right w:val="nil"/>
            </w:tcBorders>
            <w:shd w:val="clear" w:color="D9E1F2" w:fill="D9E1F2"/>
            <w:noWrap/>
            <w:vAlign w:val="bottom"/>
            <w:hideMark/>
          </w:tcPr>
          <w:p w14:paraId="2497C642"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314E51">
              <w:rPr>
                <w:rFonts w:ascii="Calibri" w:eastAsia="Times New Roman" w:hAnsi="Calibri" w:cs="Calibri"/>
                <w:color w:val="000000"/>
                <w:lang w:eastAsia="en-GB"/>
              </w:rPr>
              <w:t>10,322</w:t>
            </w:r>
          </w:p>
        </w:tc>
        <w:tc>
          <w:tcPr>
            <w:tcW w:w="1149" w:type="dxa"/>
            <w:tcBorders>
              <w:top w:val="single" w:sz="4" w:space="0" w:color="8EA9DB"/>
              <w:left w:val="nil"/>
              <w:bottom w:val="single" w:sz="4" w:space="0" w:color="8EA9DB"/>
              <w:right w:val="nil"/>
            </w:tcBorders>
            <w:shd w:val="clear" w:color="D9E1F2" w:fill="D9E1F2"/>
            <w:noWrap/>
            <w:vAlign w:val="bottom"/>
            <w:hideMark/>
          </w:tcPr>
          <w:p w14:paraId="6D9D9017"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2,598</w:t>
            </w:r>
          </w:p>
        </w:tc>
        <w:tc>
          <w:tcPr>
            <w:tcW w:w="1149" w:type="dxa"/>
            <w:tcBorders>
              <w:top w:val="single" w:sz="4" w:space="0" w:color="8EA9DB"/>
              <w:left w:val="nil"/>
              <w:bottom w:val="single" w:sz="4" w:space="0" w:color="8EA9DB"/>
              <w:right w:val="nil"/>
            </w:tcBorders>
            <w:shd w:val="clear" w:color="D9E1F2" w:fill="D9E1F2"/>
            <w:noWrap/>
            <w:vAlign w:val="bottom"/>
            <w:hideMark/>
          </w:tcPr>
          <w:p w14:paraId="50ADB273"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4,087</w:t>
            </w:r>
          </w:p>
        </w:tc>
        <w:tc>
          <w:tcPr>
            <w:tcW w:w="1149" w:type="dxa"/>
            <w:tcBorders>
              <w:top w:val="single" w:sz="4" w:space="0" w:color="8EA9DB"/>
              <w:left w:val="nil"/>
              <w:bottom w:val="single" w:sz="4" w:space="0" w:color="8EA9DB"/>
              <w:right w:val="nil"/>
            </w:tcBorders>
            <w:shd w:val="clear" w:color="D9E1F2" w:fill="D9E1F2"/>
            <w:noWrap/>
            <w:vAlign w:val="bottom"/>
            <w:hideMark/>
          </w:tcPr>
          <w:p w14:paraId="32A3B56D" w14:textId="77777777" w:rsidR="00A97734" w:rsidRPr="00CF5A4D" w:rsidRDefault="00A97734" w:rsidP="006C0B7F">
            <w:pPr>
              <w:spacing w:after="0" w:line="240" w:lineRule="auto"/>
              <w:jc w:val="center"/>
              <w:rPr>
                <w:rFonts w:ascii="Calibri" w:eastAsia="Times New Roman" w:hAnsi="Calibri" w:cs="Calibri"/>
                <w:color w:val="000000"/>
                <w:lang w:eastAsia="en-GB"/>
              </w:rPr>
            </w:pPr>
            <w:r w:rsidRPr="00CF5A4D">
              <w:rPr>
                <w:rFonts w:ascii="Calibri" w:eastAsia="Times New Roman" w:hAnsi="Calibri" w:cs="Calibri"/>
                <w:color w:val="000000"/>
                <w:lang w:eastAsia="en-GB"/>
              </w:rPr>
              <w:t>5,483</w:t>
            </w:r>
          </w:p>
        </w:tc>
        <w:tc>
          <w:tcPr>
            <w:tcW w:w="1892" w:type="dxa"/>
            <w:tcBorders>
              <w:top w:val="single" w:sz="4" w:space="0" w:color="8EA9DB"/>
              <w:left w:val="nil"/>
              <w:bottom w:val="single" w:sz="4" w:space="0" w:color="8EA9DB"/>
              <w:right w:val="single" w:sz="4" w:space="0" w:color="8EA9DB"/>
            </w:tcBorders>
            <w:shd w:val="clear" w:color="D9E1F2" w:fill="D9E1F2"/>
            <w:noWrap/>
            <w:vAlign w:val="bottom"/>
            <w:hideMark/>
          </w:tcPr>
          <w:p w14:paraId="4D73F3A8" w14:textId="77777777" w:rsidR="00A97734" w:rsidRPr="00CF5A4D" w:rsidRDefault="00A97734"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3,387</w:t>
            </w:r>
          </w:p>
        </w:tc>
      </w:tr>
      <w:tr w:rsidR="00A97734" w:rsidRPr="00CF5A4D" w14:paraId="753893CE" w14:textId="77777777" w:rsidTr="006C0B7F">
        <w:trPr>
          <w:trHeight w:val="291"/>
        </w:trPr>
        <w:tc>
          <w:tcPr>
            <w:tcW w:w="2204" w:type="dxa"/>
            <w:tcBorders>
              <w:top w:val="single" w:sz="4" w:space="0" w:color="8EA9DB"/>
              <w:left w:val="single" w:sz="4" w:space="0" w:color="8EA9DB"/>
              <w:bottom w:val="single" w:sz="4" w:space="0" w:color="8EA9DB"/>
              <w:right w:val="nil"/>
            </w:tcBorders>
            <w:shd w:val="clear" w:color="auto" w:fill="auto"/>
            <w:noWrap/>
            <w:vAlign w:val="bottom"/>
            <w:hideMark/>
          </w:tcPr>
          <w:p w14:paraId="57C2CE1C" w14:textId="49756148" w:rsidR="00A97734" w:rsidRPr="00CF5A4D" w:rsidRDefault="00A97734"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R&amp;D expenditures</w:t>
            </w:r>
            <w:r w:rsidR="00E36A99">
              <w:rPr>
                <w:rFonts w:ascii="Calibri" w:eastAsia="Times New Roman" w:hAnsi="Calibri" w:cs="Calibri"/>
                <w:color w:val="000000"/>
                <w:lang w:eastAsia="en-GB"/>
              </w:rPr>
              <w:t>*</w:t>
            </w:r>
          </w:p>
        </w:tc>
        <w:tc>
          <w:tcPr>
            <w:tcW w:w="1149" w:type="dxa"/>
            <w:tcBorders>
              <w:top w:val="single" w:sz="4" w:space="0" w:color="8EA9DB"/>
              <w:left w:val="nil"/>
              <w:bottom w:val="single" w:sz="4" w:space="0" w:color="8EA9DB"/>
              <w:right w:val="nil"/>
            </w:tcBorders>
            <w:shd w:val="clear" w:color="auto" w:fill="auto"/>
            <w:noWrap/>
            <w:vAlign w:val="bottom"/>
            <w:hideMark/>
          </w:tcPr>
          <w:p w14:paraId="6769E681" w14:textId="77777777" w:rsidR="00A97734" w:rsidRPr="00CF5A4D" w:rsidRDefault="00A97734"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3,450</w:t>
            </w:r>
          </w:p>
        </w:tc>
        <w:tc>
          <w:tcPr>
            <w:tcW w:w="1149" w:type="dxa"/>
            <w:tcBorders>
              <w:top w:val="single" w:sz="4" w:space="0" w:color="8EA9DB"/>
              <w:left w:val="nil"/>
              <w:bottom w:val="single" w:sz="4" w:space="0" w:color="8EA9DB"/>
              <w:right w:val="nil"/>
            </w:tcBorders>
            <w:shd w:val="clear" w:color="auto" w:fill="auto"/>
            <w:noWrap/>
            <w:vAlign w:val="bottom"/>
            <w:hideMark/>
          </w:tcPr>
          <w:p w14:paraId="64BCD700" w14:textId="77777777" w:rsidR="00A97734" w:rsidRPr="00CF5A4D" w:rsidRDefault="00A97734"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3,560</w:t>
            </w:r>
          </w:p>
        </w:tc>
        <w:tc>
          <w:tcPr>
            <w:tcW w:w="1149" w:type="dxa"/>
            <w:tcBorders>
              <w:top w:val="single" w:sz="4" w:space="0" w:color="8EA9DB"/>
              <w:left w:val="nil"/>
              <w:bottom w:val="single" w:sz="4" w:space="0" w:color="8EA9DB"/>
              <w:right w:val="nil"/>
            </w:tcBorders>
            <w:shd w:val="clear" w:color="auto" w:fill="auto"/>
            <w:noWrap/>
            <w:vAlign w:val="bottom"/>
            <w:hideMark/>
          </w:tcPr>
          <w:p w14:paraId="3B9109AB" w14:textId="77777777" w:rsidR="00A97734" w:rsidRPr="00CF5A4D" w:rsidRDefault="00A97734"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3,628</w:t>
            </w:r>
          </w:p>
        </w:tc>
        <w:tc>
          <w:tcPr>
            <w:tcW w:w="1149" w:type="dxa"/>
            <w:tcBorders>
              <w:top w:val="single" w:sz="4" w:space="0" w:color="8EA9DB"/>
              <w:left w:val="nil"/>
              <w:bottom w:val="single" w:sz="4" w:space="0" w:color="8EA9DB"/>
              <w:right w:val="nil"/>
            </w:tcBorders>
            <w:shd w:val="clear" w:color="auto" w:fill="auto"/>
            <w:noWrap/>
            <w:vAlign w:val="bottom"/>
            <w:hideMark/>
          </w:tcPr>
          <w:p w14:paraId="462CC9D3" w14:textId="77777777" w:rsidR="00A97734" w:rsidRPr="00CF5A4D" w:rsidRDefault="00A97734"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4,476</w:t>
            </w:r>
          </w:p>
        </w:tc>
        <w:tc>
          <w:tcPr>
            <w:tcW w:w="1149" w:type="dxa"/>
            <w:tcBorders>
              <w:top w:val="single" w:sz="4" w:space="0" w:color="8EA9DB"/>
              <w:left w:val="nil"/>
              <w:bottom w:val="single" w:sz="4" w:space="0" w:color="8EA9DB"/>
              <w:right w:val="nil"/>
            </w:tcBorders>
            <w:shd w:val="clear" w:color="auto" w:fill="auto"/>
            <w:noWrap/>
            <w:vAlign w:val="bottom"/>
            <w:hideMark/>
          </w:tcPr>
          <w:p w14:paraId="3F47824A" w14:textId="77777777" w:rsidR="00A97734" w:rsidRPr="00CF5A4D" w:rsidRDefault="00A97734"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3,893</w:t>
            </w:r>
          </w:p>
        </w:tc>
        <w:tc>
          <w:tcPr>
            <w:tcW w:w="1892" w:type="dxa"/>
            <w:tcBorders>
              <w:top w:val="single" w:sz="4" w:space="0" w:color="8EA9DB"/>
              <w:left w:val="nil"/>
              <w:bottom w:val="single" w:sz="4" w:space="0" w:color="8EA9DB"/>
              <w:right w:val="single" w:sz="4" w:space="0" w:color="8EA9DB"/>
            </w:tcBorders>
            <w:shd w:val="clear" w:color="auto" w:fill="auto"/>
            <w:noWrap/>
            <w:vAlign w:val="bottom"/>
            <w:hideMark/>
          </w:tcPr>
          <w:p w14:paraId="355E142B" w14:textId="77777777" w:rsidR="00A97734" w:rsidRPr="00CF5A4D" w:rsidRDefault="00A97734"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5,932</w:t>
            </w:r>
          </w:p>
        </w:tc>
      </w:tr>
    </w:tbl>
    <w:p w14:paraId="36CA711C" w14:textId="4638876C" w:rsidR="00512594" w:rsidRDefault="00E36A99" w:rsidP="00512594">
      <w:r>
        <w:t>*</w:t>
      </w:r>
      <w:r w:rsidR="00512594">
        <w:t>R&amp;D expenditures</w:t>
      </w:r>
      <w:r w:rsidR="00512594">
        <w:sym w:font="Wingdings" w:char="F0E0"/>
      </w:r>
      <w:r w:rsidR="00512594">
        <w:t xml:space="preserve"> GSK 2014</w:t>
      </w:r>
      <w:r>
        <w:t xml:space="preserve"> =</w:t>
      </w:r>
      <w:r w:rsidR="00512594">
        <w:t xml:space="preserve"> £3,923; AstraZeneca 2017</w:t>
      </w:r>
      <w:r>
        <w:t xml:space="preserve"> =</w:t>
      </w:r>
      <w:r w:rsidR="00512594">
        <w:t xml:space="preserve"> $5,757. </w:t>
      </w:r>
    </w:p>
    <w:p w14:paraId="5518BBF5" w14:textId="1A34617D" w:rsidR="00E36A99" w:rsidRDefault="00E36A99" w:rsidP="00E36A99">
      <w:r>
        <w:t>Source</w:t>
      </w:r>
      <w:r w:rsidRPr="00772647">
        <w:rPr>
          <w:i/>
        </w:rPr>
        <w:t>: Annual Financial Reports of GSK and AstraZeneca.</w:t>
      </w:r>
      <w:r>
        <w:t xml:space="preserve"> </w:t>
      </w:r>
    </w:p>
    <w:p w14:paraId="6AE9ACC4" w14:textId="77777777" w:rsidR="00590D3F" w:rsidRDefault="00590D3F" w:rsidP="00E36A99"/>
    <w:p w14:paraId="7434DF82" w14:textId="35DE666F" w:rsidR="000C6002" w:rsidRPr="00924753" w:rsidRDefault="000C6002" w:rsidP="00E36A99">
      <w:pPr>
        <w:rPr>
          <w:b/>
        </w:rPr>
      </w:pPr>
      <w:r w:rsidRPr="00772647">
        <w:rPr>
          <w:b/>
          <w:u w:val="single"/>
        </w:rPr>
        <w:t xml:space="preserve">Tab. </w:t>
      </w:r>
      <w:r>
        <w:rPr>
          <w:b/>
          <w:u w:val="single"/>
        </w:rPr>
        <w:t>2</w:t>
      </w:r>
      <w:r w:rsidRPr="00772647">
        <w:rPr>
          <w:b/>
        </w:rPr>
        <w:t xml:space="preserve">: </w:t>
      </w:r>
      <w:r w:rsidR="00924753">
        <w:rPr>
          <w:b/>
        </w:rPr>
        <w:t xml:space="preserve">Profitability </w:t>
      </w:r>
      <w:r w:rsidR="00590D3F">
        <w:rPr>
          <w:b/>
        </w:rPr>
        <w:t xml:space="preserve">ratios </w:t>
      </w:r>
      <w:r w:rsidRPr="00772647">
        <w:rPr>
          <w:b/>
        </w:rPr>
        <w:t xml:space="preserve">of GSK (2014-2018) and AstraZeneca (2018). </w:t>
      </w:r>
    </w:p>
    <w:tbl>
      <w:tblPr>
        <w:tblW w:w="9789" w:type="dxa"/>
        <w:tblLook w:val="04A0" w:firstRow="1" w:lastRow="0" w:firstColumn="1" w:lastColumn="0" w:noHBand="0" w:noVBand="1"/>
      </w:tblPr>
      <w:tblGrid>
        <w:gridCol w:w="2192"/>
        <w:gridCol w:w="1143"/>
        <w:gridCol w:w="1143"/>
        <w:gridCol w:w="1143"/>
        <w:gridCol w:w="1143"/>
        <w:gridCol w:w="1143"/>
        <w:gridCol w:w="1882"/>
      </w:tblGrid>
      <w:tr w:rsidR="000C6002" w:rsidRPr="0081496E" w14:paraId="71121AE8" w14:textId="77777777" w:rsidTr="006C0B7F">
        <w:trPr>
          <w:trHeight w:val="311"/>
        </w:trPr>
        <w:tc>
          <w:tcPr>
            <w:tcW w:w="2192" w:type="dxa"/>
            <w:tcBorders>
              <w:top w:val="single" w:sz="4" w:space="0" w:color="8EA9DB"/>
              <w:left w:val="single" w:sz="4" w:space="0" w:color="8EA9DB"/>
              <w:bottom w:val="single" w:sz="4" w:space="0" w:color="8EA9DB"/>
              <w:right w:val="nil"/>
            </w:tcBorders>
            <w:shd w:val="clear" w:color="4472C4" w:fill="4472C4"/>
            <w:noWrap/>
            <w:vAlign w:val="bottom"/>
            <w:hideMark/>
          </w:tcPr>
          <w:p w14:paraId="7CF837C4" w14:textId="77777777" w:rsidR="000C6002" w:rsidRPr="0081496E" w:rsidRDefault="000C6002" w:rsidP="006C0B7F">
            <w:pPr>
              <w:spacing w:after="0" w:line="240" w:lineRule="auto"/>
              <w:jc w:val="center"/>
              <w:rPr>
                <w:rFonts w:ascii="Calibri" w:eastAsia="Times New Roman" w:hAnsi="Calibri" w:cs="Calibri"/>
                <w:b/>
                <w:bCs/>
                <w:color w:val="FFFFFF"/>
                <w:lang w:eastAsia="en-GB"/>
              </w:rPr>
            </w:pPr>
            <w:r w:rsidRPr="0081496E">
              <w:rPr>
                <w:rFonts w:ascii="Calibri" w:eastAsia="Times New Roman" w:hAnsi="Calibri" w:cs="Calibri"/>
                <w:b/>
                <w:bCs/>
                <w:color w:val="FFFFFF"/>
                <w:lang w:eastAsia="en-GB"/>
              </w:rPr>
              <w:t>GSK</w:t>
            </w:r>
          </w:p>
        </w:tc>
        <w:tc>
          <w:tcPr>
            <w:tcW w:w="1143" w:type="dxa"/>
            <w:tcBorders>
              <w:top w:val="single" w:sz="4" w:space="0" w:color="8EA9DB"/>
              <w:left w:val="nil"/>
              <w:bottom w:val="single" w:sz="4" w:space="0" w:color="8EA9DB"/>
              <w:right w:val="nil"/>
            </w:tcBorders>
            <w:shd w:val="clear" w:color="4472C4" w:fill="4472C4"/>
            <w:noWrap/>
            <w:vAlign w:val="bottom"/>
            <w:hideMark/>
          </w:tcPr>
          <w:p w14:paraId="59805708" w14:textId="77777777" w:rsidR="000C6002" w:rsidRPr="0081496E" w:rsidRDefault="000C6002" w:rsidP="006C0B7F">
            <w:pPr>
              <w:spacing w:after="0" w:line="240" w:lineRule="auto"/>
              <w:jc w:val="center"/>
              <w:rPr>
                <w:rFonts w:ascii="Calibri" w:eastAsia="Times New Roman" w:hAnsi="Calibri" w:cs="Calibri"/>
                <w:b/>
                <w:bCs/>
                <w:color w:val="FFFFFF"/>
                <w:lang w:eastAsia="en-GB"/>
              </w:rPr>
            </w:pPr>
            <w:r w:rsidRPr="0081496E">
              <w:rPr>
                <w:rFonts w:ascii="Calibri" w:eastAsia="Times New Roman" w:hAnsi="Calibri" w:cs="Calibri"/>
                <w:b/>
                <w:bCs/>
                <w:color w:val="FFFFFF"/>
                <w:lang w:eastAsia="en-GB"/>
              </w:rPr>
              <w:t>2014</w:t>
            </w:r>
          </w:p>
        </w:tc>
        <w:tc>
          <w:tcPr>
            <w:tcW w:w="1143" w:type="dxa"/>
            <w:tcBorders>
              <w:top w:val="single" w:sz="4" w:space="0" w:color="8EA9DB"/>
              <w:left w:val="nil"/>
              <w:bottom w:val="single" w:sz="4" w:space="0" w:color="8EA9DB"/>
              <w:right w:val="nil"/>
            </w:tcBorders>
            <w:shd w:val="clear" w:color="4472C4" w:fill="4472C4"/>
            <w:noWrap/>
            <w:vAlign w:val="bottom"/>
            <w:hideMark/>
          </w:tcPr>
          <w:p w14:paraId="2B97BF6D" w14:textId="77777777" w:rsidR="000C6002" w:rsidRPr="0081496E" w:rsidRDefault="000C6002" w:rsidP="006C0B7F">
            <w:pPr>
              <w:spacing w:after="0" w:line="240" w:lineRule="auto"/>
              <w:jc w:val="center"/>
              <w:rPr>
                <w:rFonts w:ascii="Calibri" w:eastAsia="Times New Roman" w:hAnsi="Calibri" w:cs="Calibri"/>
                <w:b/>
                <w:bCs/>
                <w:color w:val="FFFFFF"/>
                <w:lang w:eastAsia="en-GB"/>
              </w:rPr>
            </w:pPr>
            <w:r w:rsidRPr="0081496E">
              <w:rPr>
                <w:rFonts w:ascii="Calibri" w:eastAsia="Times New Roman" w:hAnsi="Calibri" w:cs="Calibri"/>
                <w:b/>
                <w:bCs/>
                <w:color w:val="FFFFFF"/>
                <w:lang w:eastAsia="en-GB"/>
              </w:rPr>
              <w:t>2015</w:t>
            </w:r>
          </w:p>
        </w:tc>
        <w:tc>
          <w:tcPr>
            <w:tcW w:w="1143" w:type="dxa"/>
            <w:tcBorders>
              <w:top w:val="single" w:sz="4" w:space="0" w:color="8EA9DB"/>
              <w:left w:val="nil"/>
              <w:bottom w:val="single" w:sz="4" w:space="0" w:color="8EA9DB"/>
              <w:right w:val="nil"/>
            </w:tcBorders>
            <w:shd w:val="clear" w:color="4472C4" w:fill="4472C4"/>
            <w:noWrap/>
            <w:vAlign w:val="bottom"/>
            <w:hideMark/>
          </w:tcPr>
          <w:p w14:paraId="77977330" w14:textId="77777777" w:rsidR="000C6002" w:rsidRPr="0081496E" w:rsidRDefault="000C6002" w:rsidP="006C0B7F">
            <w:pPr>
              <w:spacing w:after="0" w:line="240" w:lineRule="auto"/>
              <w:jc w:val="center"/>
              <w:rPr>
                <w:rFonts w:ascii="Calibri" w:eastAsia="Times New Roman" w:hAnsi="Calibri" w:cs="Calibri"/>
                <w:b/>
                <w:bCs/>
                <w:color w:val="FFFFFF"/>
                <w:lang w:eastAsia="en-GB"/>
              </w:rPr>
            </w:pPr>
            <w:r w:rsidRPr="0081496E">
              <w:rPr>
                <w:rFonts w:ascii="Calibri" w:eastAsia="Times New Roman" w:hAnsi="Calibri" w:cs="Calibri"/>
                <w:b/>
                <w:bCs/>
                <w:color w:val="FFFFFF"/>
                <w:lang w:eastAsia="en-GB"/>
              </w:rPr>
              <w:t>2016</w:t>
            </w:r>
          </w:p>
        </w:tc>
        <w:tc>
          <w:tcPr>
            <w:tcW w:w="1143" w:type="dxa"/>
            <w:tcBorders>
              <w:top w:val="single" w:sz="4" w:space="0" w:color="8EA9DB"/>
              <w:left w:val="nil"/>
              <w:bottom w:val="single" w:sz="4" w:space="0" w:color="8EA9DB"/>
              <w:right w:val="nil"/>
            </w:tcBorders>
            <w:shd w:val="clear" w:color="4472C4" w:fill="4472C4"/>
            <w:noWrap/>
            <w:vAlign w:val="bottom"/>
            <w:hideMark/>
          </w:tcPr>
          <w:p w14:paraId="082AFA4B" w14:textId="77777777" w:rsidR="000C6002" w:rsidRPr="0081496E" w:rsidRDefault="000C6002" w:rsidP="006C0B7F">
            <w:pPr>
              <w:spacing w:after="0" w:line="240" w:lineRule="auto"/>
              <w:jc w:val="center"/>
              <w:rPr>
                <w:rFonts w:ascii="Calibri" w:eastAsia="Times New Roman" w:hAnsi="Calibri" w:cs="Calibri"/>
                <w:b/>
                <w:bCs/>
                <w:color w:val="FFFFFF"/>
                <w:lang w:eastAsia="en-GB"/>
              </w:rPr>
            </w:pPr>
            <w:r w:rsidRPr="0081496E">
              <w:rPr>
                <w:rFonts w:ascii="Calibri" w:eastAsia="Times New Roman" w:hAnsi="Calibri" w:cs="Calibri"/>
                <w:b/>
                <w:bCs/>
                <w:color w:val="FFFFFF"/>
                <w:lang w:eastAsia="en-GB"/>
              </w:rPr>
              <w:t>2017</w:t>
            </w:r>
          </w:p>
        </w:tc>
        <w:tc>
          <w:tcPr>
            <w:tcW w:w="1143" w:type="dxa"/>
            <w:tcBorders>
              <w:top w:val="single" w:sz="4" w:space="0" w:color="8EA9DB"/>
              <w:left w:val="nil"/>
              <w:bottom w:val="single" w:sz="4" w:space="0" w:color="8EA9DB"/>
              <w:right w:val="nil"/>
            </w:tcBorders>
            <w:shd w:val="clear" w:color="4472C4" w:fill="4472C4"/>
            <w:noWrap/>
            <w:vAlign w:val="bottom"/>
            <w:hideMark/>
          </w:tcPr>
          <w:p w14:paraId="73D0BA7A" w14:textId="77777777" w:rsidR="000C6002" w:rsidRPr="0081496E" w:rsidRDefault="000C6002" w:rsidP="006C0B7F">
            <w:pPr>
              <w:spacing w:after="0" w:line="240" w:lineRule="auto"/>
              <w:jc w:val="center"/>
              <w:rPr>
                <w:rFonts w:ascii="Calibri" w:eastAsia="Times New Roman" w:hAnsi="Calibri" w:cs="Calibri"/>
                <w:b/>
                <w:bCs/>
                <w:color w:val="FFFFFF"/>
                <w:lang w:eastAsia="en-GB"/>
              </w:rPr>
            </w:pPr>
            <w:r w:rsidRPr="0081496E">
              <w:rPr>
                <w:rFonts w:ascii="Calibri" w:eastAsia="Times New Roman" w:hAnsi="Calibri" w:cs="Calibri"/>
                <w:b/>
                <w:bCs/>
                <w:color w:val="FFFFFF"/>
                <w:lang w:eastAsia="en-GB"/>
              </w:rPr>
              <w:t>2018</w:t>
            </w:r>
          </w:p>
        </w:tc>
        <w:tc>
          <w:tcPr>
            <w:tcW w:w="1882" w:type="dxa"/>
            <w:tcBorders>
              <w:top w:val="single" w:sz="4" w:space="0" w:color="8EA9DB"/>
              <w:left w:val="nil"/>
              <w:bottom w:val="single" w:sz="4" w:space="0" w:color="8EA9DB"/>
              <w:right w:val="single" w:sz="4" w:space="0" w:color="8EA9DB"/>
            </w:tcBorders>
            <w:shd w:val="clear" w:color="4472C4" w:fill="4472C4"/>
            <w:noWrap/>
            <w:vAlign w:val="bottom"/>
            <w:hideMark/>
          </w:tcPr>
          <w:p w14:paraId="298ED31B" w14:textId="77777777" w:rsidR="000C6002" w:rsidRDefault="000C6002" w:rsidP="006C0B7F">
            <w:pPr>
              <w:spacing w:after="0" w:line="240" w:lineRule="auto"/>
              <w:jc w:val="center"/>
              <w:rPr>
                <w:rFonts w:ascii="Calibri" w:eastAsia="Times New Roman" w:hAnsi="Calibri" w:cs="Calibri"/>
                <w:b/>
                <w:bCs/>
                <w:color w:val="FFFFFF"/>
                <w:lang w:eastAsia="en-GB"/>
              </w:rPr>
            </w:pPr>
            <w:r w:rsidRPr="0081496E">
              <w:rPr>
                <w:rFonts w:ascii="Calibri" w:eastAsia="Times New Roman" w:hAnsi="Calibri" w:cs="Calibri"/>
                <w:b/>
                <w:bCs/>
                <w:color w:val="FFFFFF"/>
                <w:lang w:eastAsia="en-GB"/>
              </w:rPr>
              <w:t>AstraZeneca</w:t>
            </w:r>
          </w:p>
          <w:p w14:paraId="67458527" w14:textId="77777777" w:rsidR="000C6002" w:rsidRPr="0081496E" w:rsidRDefault="000C6002" w:rsidP="006C0B7F">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2018</w:t>
            </w:r>
          </w:p>
        </w:tc>
      </w:tr>
      <w:tr w:rsidR="000C6002" w:rsidRPr="0081496E" w14:paraId="39FE4620" w14:textId="77777777" w:rsidTr="006C0B7F">
        <w:trPr>
          <w:trHeight w:val="311"/>
        </w:trPr>
        <w:tc>
          <w:tcPr>
            <w:tcW w:w="2192" w:type="dxa"/>
            <w:tcBorders>
              <w:top w:val="single" w:sz="4" w:space="0" w:color="8EA9DB"/>
              <w:left w:val="single" w:sz="4" w:space="0" w:color="8EA9DB"/>
              <w:bottom w:val="single" w:sz="4" w:space="0" w:color="8EA9DB"/>
              <w:right w:val="nil"/>
            </w:tcBorders>
            <w:shd w:val="clear" w:color="D9E1F2" w:fill="D9E1F2"/>
            <w:noWrap/>
            <w:vAlign w:val="bottom"/>
            <w:hideMark/>
          </w:tcPr>
          <w:p w14:paraId="5E9F2C24" w14:textId="77777777" w:rsidR="000C6002" w:rsidRPr="0081496E" w:rsidRDefault="000C6002" w:rsidP="006C0B7F">
            <w:pPr>
              <w:spacing w:after="0" w:line="240" w:lineRule="auto"/>
              <w:jc w:val="center"/>
              <w:rPr>
                <w:rFonts w:ascii="Calibri" w:eastAsia="Times New Roman" w:hAnsi="Calibri" w:cs="Calibri"/>
                <w:color w:val="000000"/>
                <w:lang w:eastAsia="en-GB"/>
              </w:rPr>
            </w:pPr>
            <w:r w:rsidRPr="0081496E">
              <w:rPr>
                <w:rFonts w:ascii="Calibri" w:eastAsia="Times New Roman" w:hAnsi="Calibri" w:cs="Calibri"/>
                <w:color w:val="000000"/>
                <w:lang w:eastAsia="en-GB"/>
              </w:rPr>
              <w:t xml:space="preserve">Gross margin </w:t>
            </w:r>
            <w:r>
              <w:rPr>
                <w:rFonts w:ascii="Calibri" w:eastAsia="Times New Roman" w:hAnsi="Calibri" w:cs="Calibri"/>
                <w:color w:val="000000"/>
                <w:lang w:eastAsia="en-GB"/>
              </w:rPr>
              <w:t>(%)</w:t>
            </w:r>
          </w:p>
        </w:tc>
        <w:tc>
          <w:tcPr>
            <w:tcW w:w="1143" w:type="dxa"/>
            <w:tcBorders>
              <w:top w:val="single" w:sz="4" w:space="0" w:color="8EA9DB"/>
              <w:left w:val="nil"/>
              <w:bottom w:val="single" w:sz="4" w:space="0" w:color="8EA9DB"/>
              <w:right w:val="nil"/>
            </w:tcBorders>
            <w:shd w:val="clear" w:color="D9E1F2" w:fill="D9E1F2"/>
            <w:noWrap/>
            <w:vAlign w:val="bottom"/>
            <w:hideMark/>
          </w:tcPr>
          <w:p w14:paraId="1B6D56A5" w14:textId="77777777" w:rsidR="000C6002" w:rsidRPr="0081496E" w:rsidRDefault="000C6002" w:rsidP="006C0B7F">
            <w:pPr>
              <w:spacing w:after="0" w:line="240" w:lineRule="auto"/>
              <w:jc w:val="center"/>
              <w:rPr>
                <w:rFonts w:ascii="Calibri" w:eastAsia="Times New Roman" w:hAnsi="Calibri" w:cs="Calibri"/>
                <w:color w:val="000000"/>
                <w:lang w:eastAsia="en-GB"/>
              </w:rPr>
            </w:pPr>
            <w:r w:rsidRPr="00590D3F">
              <w:rPr>
                <w:rFonts w:ascii="Calibri" w:eastAsia="Times New Roman" w:hAnsi="Calibri" w:cs="Calibri"/>
                <w:color w:val="000000"/>
                <w:lang w:eastAsia="en-GB"/>
              </w:rPr>
              <w:t>68.17</w:t>
            </w:r>
          </w:p>
        </w:tc>
        <w:tc>
          <w:tcPr>
            <w:tcW w:w="1143" w:type="dxa"/>
            <w:tcBorders>
              <w:top w:val="single" w:sz="4" w:space="0" w:color="8EA9DB"/>
              <w:left w:val="nil"/>
              <w:bottom w:val="single" w:sz="4" w:space="0" w:color="8EA9DB"/>
              <w:right w:val="nil"/>
            </w:tcBorders>
            <w:shd w:val="clear" w:color="D9E1F2" w:fill="D9E1F2"/>
            <w:noWrap/>
            <w:vAlign w:val="bottom"/>
            <w:hideMark/>
          </w:tcPr>
          <w:p w14:paraId="4CA1AB31"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62.99</w:t>
            </w:r>
          </w:p>
        </w:tc>
        <w:tc>
          <w:tcPr>
            <w:tcW w:w="1143" w:type="dxa"/>
            <w:tcBorders>
              <w:top w:val="single" w:sz="4" w:space="0" w:color="8EA9DB"/>
              <w:left w:val="nil"/>
              <w:bottom w:val="single" w:sz="4" w:space="0" w:color="8EA9DB"/>
              <w:right w:val="nil"/>
            </w:tcBorders>
            <w:shd w:val="clear" w:color="D9E1F2" w:fill="D9E1F2"/>
            <w:noWrap/>
            <w:vAlign w:val="bottom"/>
            <w:hideMark/>
          </w:tcPr>
          <w:p w14:paraId="713159EE" w14:textId="77777777" w:rsidR="000C6002" w:rsidRPr="0081496E" w:rsidRDefault="000C6002" w:rsidP="006C0B7F">
            <w:pPr>
              <w:spacing w:after="0" w:line="240" w:lineRule="auto"/>
              <w:jc w:val="center"/>
              <w:rPr>
                <w:rFonts w:ascii="Calibri" w:eastAsia="Times New Roman" w:hAnsi="Calibri" w:cs="Calibri"/>
                <w:color w:val="000000"/>
                <w:lang w:eastAsia="en-GB"/>
              </w:rPr>
            </w:pPr>
            <w:r w:rsidRPr="00590D3F">
              <w:rPr>
                <w:rFonts w:ascii="Calibri" w:eastAsia="Times New Roman" w:hAnsi="Calibri" w:cs="Calibri"/>
                <w:color w:val="000000"/>
                <w:lang w:eastAsia="en-GB"/>
              </w:rPr>
              <w:t>66.69</w:t>
            </w:r>
          </w:p>
        </w:tc>
        <w:tc>
          <w:tcPr>
            <w:tcW w:w="1143" w:type="dxa"/>
            <w:tcBorders>
              <w:top w:val="single" w:sz="4" w:space="0" w:color="8EA9DB"/>
              <w:left w:val="nil"/>
              <w:bottom w:val="single" w:sz="4" w:space="0" w:color="8EA9DB"/>
              <w:right w:val="nil"/>
            </w:tcBorders>
            <w:shd w:val="clear" w:color="D9E1F2" w:fill="D9E1F2"/>
            <w:noWrap/>
            <w:vAlign w:val="bottom"/>
            <w:hideMark/>
          </w:tcPr>
          <w:p w14:paraId="0D53E538"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65.74</w:t>
            </w:r>
          </w:p>
        </w:tc>
        <w:tc>
          <w:tcPr>
            <w:tcW w:w="1143" w:type="dxa"/>
            <w:tcBorders>
              <w:top w:val="single" w:sz="4" w:space="0" w:color="8EA9DB"/>
              <w:left w:val="nil"/>
              <w:bottom w:val="single" w:sz="4" w:space="0" w:color="8EA9DB"/>
              <w:right w:val="nil"/>
            </w:tcBorders>
            <w:shd w:val="clear" w:color="D9E1F2" w:fill="D9E1F2"/>
            <w:noWrap/>
            <w:vAlign w:val="bottom"/>
            <w:hideMark/>
          </w:tcPr>
          <w:p w14:paraId="668D3C3B"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66.77</w:t>
            </w:r>
          </w:p>
        </w:tc>
        <w:tc>
          <w:tcPr>
            <w:tcW w:w="1882" w:type="dxa"/>
            <w:tcBorders>
              <w:top w:val="single" w:sz="4" w:space="0" w:color="8EA9DB"/>
              <w:left w:val="nil"/>
              <w:bottom w:val="single" w:sz="4" w:space="0" w:color="8EA9DB"/>
              <w:right w:val="single" w:sz="4" w:space="0" w:color="8EA9DB"/>
            </w:tcBorders>
            <w:shd w:val="clear" w:color="D9E1F2" w:fill="D9E1F2"/>
            <w:noWrap/>
            <w:vAlign w:val="bottom"/>
            <w:hideMark/>
          </w:tcPr>
          <w:p w14:paraId="534C87B0"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77.65</w:t>
            </w:r>
          </w:p>
        </w:tc>
      </w:tr>
      <w:tr w:rsidR="000C6002" w:rsidRPr="0081496E" w14:paraId="721958D7" w14:textId="77777777" w:rsidTr="006C0B7F">
        <w:trPr>
          <w:trHeight w:val="311"/>
        </w:trPr>
        <w:tc>
          <w:tcPr>
            <w:tcW w:w="2192" w:type="dxa"/>
            <w:tcBorders>
              <w:top w:val="single" w:sz="4" w:space="0" w:color="8EA9DB"/>
              <w:left w:val="single" w:sz="4" w:space="0" w:color="8EA9DB"/>
              <w:bottom w:val="single" w:sz="4" w:space="0" w:color="8EA9DB"/>
              <w:right w:val="nil"/>
            </w:tcBorders>
            <w:shd w:val="clear" w:color="auto" w:fill="auto"/>
            <w:noWrap/>
            <w:vAlign w:val="bottom"/>
            <w:hideMark/>
          </w:tcPr>
          <w:p w14:paraId="6AD515A2" w14:textId="77777777" w:rsidR="000C6002" w:rsidRPr="0081496E" w:rsidRDefault="000C6002" w:rsidP="006C0B7F">
            <w:pPr>
              <w:spacing w:after="0" w:line="240" w:lineRule="auto"/>
              <w:jc w:val="center"/>
              <w:rPr>
                <w:rFonts w:ascii="Calibri" w:eastAsia="Times New Roman" w:hAnsi="Calibri" w:cs="Calibri"/>
                <w:color w:val="000000"/>
                <w:lang w:eastAsia="en-GB"/>
              </w:rPr>
            </w:pPr>
            <w:r w:rsidRPr="0081496E">
              <w:rPr>
                <w:rFonts w:ascii="Calibri" w:eastAsia="Times New Roman" w:hAnsi="Calibri" w:cs="Calibri"/>
                <w:color w:val="000000"/>
                <w:lang w:eastAsia="en-GB"/>
              </w:rPr>
              <w:t>Operating margin</w:t>
            </w:r>
            <w:r>
              <w:rPr>
                <w:rFonts w:ascii="Calibri" w:eastAsia="Times New Roman" w:hAnsi="Calibri" w:cs="Calibri"/>
                <w:color w:val="000000"/>
                <w:lang w:eastAsia="en-GB"/>
              </w:rPr>
              <w:t xml:space="preserve"> (%)</w:t>
            </w:r>
          </w:p>
        </w:tc>
        <w:tc>
          <w:tcPr>
            <w:tcW w:w="1143" w:type="dxa"/>
            <w:tcBorders>
              <w:top w:val="single" w:sz="4" w:space="0" w:color="8EA9DB"/>
              <w:left w:val="nil"/>
              <w:bottom w:val="single" w:sz="4" w:space="0" w:color="8EA9DB"/>
              <w:right w:val="nil"/>
            </w:tcBorders>
            <w:shd w:val="clear" w:color="auto" w:fill="auto"/>
            <w:noWrap/>
            <w:vAlign w:val="bottom"/>
            <w:hideMark/>
          </w:tcPr>
          <w:p w14:paraId="0BABEA28"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15.63</w:t>
            </w:r>
          </w:p>
        </w:tc>
        <w:tc>
          <w:tcPr>
            <w:tcW w:w="1143" w:type="dxa"/>
            <w:tcBorders>
              <w:top w:val="single" w:sz="4" w:space="0" w:color="8EA9DB"/>
              <w:left w:val="nil"/>
              <w:bottom w:val="single" w:sz="4" w:space="0" w:color="8EA9DB"/>
              <w:right w:val="nil"/>
            </w:tcBorders>
            <w:shd w:val="clear" w:color="auto" w:fill="auto"/>
            <w:noWrap/>
            <w:vAlign w:val="bottom"/>
            <w:hideMark/>
          </w:tcPr>
          <w:p w14:paraId="5D42AF36" w14:textId="77777777" w:rsidR="000C6002" w:rsidRPr="0081496E" w:rsidRDefault="000C6002" w:rsidP="006C0B7F">
            <w:pPr>
              <w:spacing w:after="0" w:line="240" w:lineRule="auto"/>
              <w:jc w:val="center"/>
              <w:rPr>
                <w:rFonts w:ascii="Calibri" w:eastAsia="Times New Roman" w:hAnsi="Calibri" w:cs="Calibri"/>
                <w:color w:val="000000"/>
                <w:lang w:eastAsia="en-GB"/>
              </w:rPr>
            </w:pPr>
            <w:r w:rsidRPr="00590D3F">
              <w:rPr>
                <w:rFonts w:ascii="Calibri" w:eastAsia="Times New Roman" w:hAnsi="Calibri" w:cs="Calibri"/>
                <w:color w:val="000000"/>
                <w:lang w:eastAsia="en-GB"/>
              </w:rPr>
              <w:t>43.15</w:t>
            </w:r>
          </w:p>
        </w:tc>
        <w:tc>
          <w:tcPr>
            <w:tcW w:w="1143" w:type="dxa"/>
            <w:tcBorders>
              <w:top w:val="single" w:sz="4" w:space="0" w:color="8EA9DB"/>
              <w:left w:val="nil"/>
              <w:bottom w:val="single" w:sz="4" w:space="0" w:color="8EA9DB"/>
              <w:right w:val="nil"/>
            </w:tcBorders>
            <w:shd w:val="clear" w:color="auto" w:fill="auto"/>
            <w:noWrap/>
            <w:vAlign w:val="bottom"/>
            <w:hideMark/>
          </w:tcPr>
          <w:p w14:paraId="62488AAC"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9.31</w:t>
            </w:r>
          </w:p>
        </w:tc>
        <w:tc>
          <w:tcPr>
            <w:tcW w:w="1143" w:type="dxa"/>
            <w:tcBorders>
              <w:top w:val="single" w:sz="4" w:space="0" w:color="8EA9DB"/>
              <w:left w:val="nil"/>
              <w:bottom w:val="single" w:sz="4" w:space="0" w:color="8EA9DB"/>
              <w:right w:val="nil"/>
            </w:tcBorders>
            <w:shd w:val="clear" w:color="auto" w:fill="auto"/>
            <w:noWrap/>
            <w:vAlign w:val="bottom"/>
            <w:hideMark/>
          </w:tcPr>
          <w:p w14:paraId="13FCE372"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13.54</w:t>
            </w:r>
          </w:p>
        </w:tc>
        <w:tc>
          <w:tcPr>
            <w:tcW w:w="1143" w:type="dxa"/>
            <w:tcBorders>
              <w:top w:val="single" w:sz="4" w:space="0" w:color="8EA9DB"/>
              <w:left w:val="nil"/>
              <w:bottom w:val="single" w:sz="4" w:space="0" w:color="8EA9DB"/>
              <w:right w:val="nil"/>
            </w:tcBorders>
            <w:shd w:val="clear" w:color="auto" w:fill="auto"/>
            <w:noWrap/>
            <w:vAlign w:val="bottom"/>
            <w:hideMark/>
          </w:tcPr>
          <w:p w14:paraId="67AE42A9"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17.79</w:t>
            </w:r>
          </w:p>
        </w:tc>
        <w:tc>
          <w:tcPr>
            <w:tcW w:w="1882" w:type="dxa"/>
            <w:tcBorders>
              <w:top w:val="single" w:sz="4" w:space="0" w:color="8EA9DB"/>
              <w:left w:val="nil"/>
              <w:bottom w:val="single" w:sz="4" w:space="0" w:color="8EA9DB"/>
              <w:right w:val="single" w:sz="4" w:space="0" w:color="8EA9DB"/>
            </w:tcBorders>
            <w:shd w:val="clear" w:color="auto" w:fill="auto"/>
            <w:noWrap/>
            <w:vAlign w:val="bottom"/>
            <w:hideMark/>
          </w:tcPr>
          <w:p w14:paraId="23403AB8"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15.33</w:t>
            </w:r>
          </w:p>
        </w:tc>
      </w:tr>
      <w:tr w:rsidR="000C6002" w:rsidRPr="0081496E" w14:paraId="37313C63" w14:textId="77777777" w:rsidTr="006C0B7F">
        <w:trPr>
          <w:trHeight w:val="311"/>
        </w:trPr>
        <w:tc>
          <w:tcPr>
            <w:tcW w:w="2192" w:type="dxa"/>
            <w:tcBorders>
              <w:top w:val="single" w:sz="4" w:space="0" w:color="8EA9DB"/>
              <w:left w:val="single" w:sz="4" w:space="0" w:color="8EA9DB"/>
              <w:bottom w:val="single" w:sz="4" w:space="0" w:color="8EA9DB"/>
              <w:right w:val="nil"/>
            </w:tcBorders>
            <w:shd w:val="clear" w:color="D9E1F2" w:fill="D9E1F2"/>
            <w:noWrap/>
            <w:vAlign w:val="bottom"/>
            <w:hideMark/>
          </w:tcPr>
          <w:p w14:paraId="5172328E" w14:textId="7E6B8408"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RORC</w:t>
            </w:r>
            <w:r w:rsidR="00FC44E3">
              <w:rPr>
                <w:rFonts w:ascii="Calibri" w:eastAsia="Times New Roman" w:hAnsi="Calibri" w:cs="Calibri"/>
                <w:color w:val="000000"/>
                <w:lang w:eastAsia="en-GB"/>
              </w:rPr>
              <w:t>*</w:t>
            </w:r>
          </w:p>
        </w:tc>
        <w:tc>
          <w:tcPr>
            <w:tcW w:w="1143" w:type="dxa"/>
            <w:tcBorders>
              <w:top w:val="single" w:sz="4" w:space="0" w:color="8EA9DB"/>
              <w:left w:val="nil"/>
              <w:bottom w:val="single" w:sz="4" w:space="0" w:color="8EA9DB"/>
              <w:right w:val="nil"/>
            </w:tcBorders>
            <w:shd w:val="clear" w:color="D9E1F2" w:fill="D9E1F2"/>
            <w:noWrap/>
            <w:vAlign w:val="bottom"/>
            <w:hideMark/>
          </w:tcPr>
          <w:p w14:paraId="250A5491"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3.99</w:t>
            </w:r>
          </w:p>
        </w:tc>
        <w:tc>
          <w:tcPr>
            <w:tcW w:w="1143" w:type="dxa"/>
            <w:tcBorders>
              <w:top w:val="single" w:sz="4" w:space="0" w:color="8EA9DB"/>
              <w:left w:val="nil"/>
              <w:bottom w:val="single" w:sz="4" w:space="0" w:color="8EA9DB"/>
              <w:right w:val="nil"/>
            </w:tcBorders>
            <w:shd w:val="clear" w:color="D9E1F2" w:fill="D9E1F2"/>
            <w:noWrap/>
            <w:vAlign w:val="bottom"/>
            <w:hideMark/>
          </w:tcPr>
          <w:p w14:paraId="185B167F"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4.37</w:t>
            </w:r>
          </w:p>
        </w:tc>
        <w:tc>
          <w:tcPr>
            <w:tcW w:w="1143" w:type="dxa"/>
            <w:tcBorders>
              <w:top w:val="single" w:sz="4" w:space="0" w:color="8EA9DB"/>
              <w:left w:val="nil"/>
              <w:bottom w:val="single" w:sz="4" w:space="0" w:color="8EA9DB"/>
              <w:right w:val="nil"/>
            </w:tcBorders>
            <w:shd w:val="clear" w:color="D9E1F2" w:fill="D9E1F2"/>
            <w:noWrap/>
            <w:vAlign w:val="bottom"/>
            <w:hideMark/>
          </w:tcPr>
          <w:p w14:paraId="797AB51D"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5,22</w:t>
            </w:r>
          </w:p>
        </w:tc>
        <w:tc>
          <w:tcPr>
            <w:tcW w:w="1143" w:type="dxa"/>
            <w:tcBorders>
              <w:top w:val="single" w:sz="4" w:space="0" w:color="8EA9DB"/>
              <w:left w:val="nil"/>
              <w:bottom w:val="single" w:sz="4" w:space="0" w:color="8EA9DB"/>
              <w:right w:val="nil"/>
            </w:tcBorders>
            <w:shd w:val="clear" w:color="D9E1F2" w:fill="D9E1F2"/>
            <w:noWrap/>
            <w:vAlign w:val="bottom"/>
            <w:hideMark/>
          </w:tcPr>
          <w:p w14:paraId="73831577"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5.47</w:t>
            </w:r>
          </w:p>
        </w:tc>
        <w:tc>
          <w:tcPr>
            <w:tcW w:w="1143" w:type="dxa"/>
            <w:tcBorders>
              <w:top w:val="single" w:sz="4" w:space="0" w:color="8EA9DB"/>
              <w:left w:val="nil"/>
              <w:bottom w:val="single" w:sz="4" w:space="0" w:color="8EA9DB"/>
              <w:right w:val="nil"/>
            </w:tcBorders>
            <w:shd w:val="clear" w:color="D9E1F2" w:fill="D9E1F2"/>
            <w:noWrap/>
            <w:vAlign w:val="bottom"/>
            <w:hideMark/>
          </w:tcPr>
          <w:p w14:paraId="06DB60DB"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4.60</w:t>
            </w:r>
          </w:p>
        </w:tc>
        <w:tc>
          <w:tcPr>
            <w:tcW w:w="1882" w:type="dxa"/>
            <w:tcBorders>
              <w:top w:val="single" w:sz="4" w:space="0" w:color="8EA9DB"/>
              <w:left w:val="nil"/>
              <w:bottom w:val="single" w:sz="4" w:space="0" w:color="8EA9DB"/>
              <w:right w:val="single" w:sz="4" w:space="0" w:color="8EA9DB"/>
            </w:tcBorders>
            <w:shd w:val="clear" w:color="D9E1F2" w:fill="D9E1F2"/>
            <w:noWrap/>
            <w:vAlign w:val="bottom"/>
            <w:hideMark/>
          </w:tcPr>
          <w:p w14:paraId="291F7752" w14:textId="77777777" w:rsidR="000C6002" w:rsidRPr="0081496E" w:rsidRDefault="000C6002"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2.98</w:t>
            </w:r>
          </w:p>
        </w:tc>
      </w:tr>
    </w:tbl>
    <w:p w14:paraId="26E9EEAE" w14:textId="2F34FD45" w:rsidR="00FC44E3" w:rsidRDefault="00FC44E3" w:rsidP="00FC44E3">
      <w:r>
        <w:t xml:space="preserve">*RORC = </w:t>
      </w:r>
      <w:r w:rsidR="00D53266">
        <w:t xml:space="preserve">Return on research capital. </w:t>
      </w:r>
    </w:p>
    <w:p w14:paraId="1483F815" w14:textId="39A34979" w:rsidR="007C1D92" w:rsidRDefault="007C1D92" w:rsidP="007C1D92">
      <w:r>
        <w:t>Source</w:t>
      </w:r>
      <w:r w:rsidRPr="00772647">
        <w:rPr>
          <w:i/>
        </w:rPr>
        <w:t>:</w:t>
      </w:r>
      <w:r w:rsidR="00EC2A02">
        <w:rPr>
          <w:i/>
        </w:rPr>
        <w:t xml:space="preserve"> </w:t>
      </w:r>
      <w:r w:rsidR="00C977A1">
        <w:rPr>
          <w:i/>
        </w:rPr>
        <w:t>Author’s calculations and</w:t>
      </w:r>
      <w:r w:rsidRPr="00772647">
        <w:rPr>
          <w:i/>
        </w:rPr>
        <w:t xml:space="preserve"> Annual Financial Reports of GSK and AstraZeneca.</w:t>
      </w:r>
      <w:r>
        <w:t xml:space="preserve"> </w:t>
      </w:r>
    </w:p>
    <w:p w14:paraId="484675B5" w14:textId="77777777" w:rsidR="000275B3" w:rsidRDefault="000275B3" w:rsidP="007C1D92"/>
    <w:p w14:paraId="79A560E3" w14:textId="74E0AA10" w:rsidR="00814509" w:rsidRDefault="00707EA6" w:rsidP="007C1D92">
      <w:r>
        <w:rPr>
          <w:noProof/>
        </w:rPr>
        <w:drawing>
          <wp:inline distT="0" distB="0" distL="0" distR="0" wp14:anchorId="69E93068" wp14:editId="50F6657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62B2A6F" w14:textId="5107D398" w:rsidR="00D53266" w:rsidRDefault="00D53266" w:rsidP="007C1D92"/>
    <w:p w14:paraId="48968982" w14:textId="5A351524" w:rsidR="001B107B" w:rsidRDefault="001B107B" w:rsidP="001B107B">
      <w:bookmarkStart w:id="7" w:name="_Toc7774444"/>
      <w:r w:rsidRPr="00266A81">
        <w:rPr>
          <w:rStyle w:val="Heading3Char"/>
        </w:rPr>
        <w:t>Gross margin</w:t>
      </w:r>
      <w:bookmarkEnd w:id="7"/>
      <w:r>
        <w:sym w:font="Wingdings" w:char="F0E0"/>
      </w:r>
      <w:r>
        <w:t xml:space="preserve"> </w:t>
      </w:r>
      <w:r w:rsidRPr="00DA4319">
        <w:rPr>
          <w:rFonts w:asciiTheme="majorHAnsi" w:hAnsiTheme="majorHAnsi" w:cstheme="majorHAnsi"/>
        </w:rPr>
        <w:t xml:space="preserve">It represents the amount of sale after incurring the direct cost to produce goods and service. It also measures the efficiency of a company inasmuch it </w:t>
      </w:r>
      <w:r w:rsidR="00335D60" w:rsidRPr="00DA4319">
        <w:rPr>
          <w:rFonts w:asciiTheme="majorHAnsi" w:hAnsiTheme="majorHAnsi" w:cstheme="majorHAnsi"/>
        </w:rPr>
        <w:t>shows</w:t>
      </w:r>
      <w:r w:rsidRPr="00DA4319">
        <w:rPr>
          <w:rFonts w:asciiTheme="majorHAnsi" w:hAnsiTheme="majorHAnsi" w:cstheme="majorHAnsi"/>
        </w:rPr>
        <w:t xml:space="preserve"> how much profit is left to cover overhead and other cash-items.</w:t>
      </w:r>
      <w:r>
        <w:t xml:space="preserve"> </w:t>
      </w:r>
    </w:p>
    <w:p w14:paraId="7EC21848" w14:textId="538DA9A9" w:rsidR="000A2203" w:rsidRPr="00D155B8" w:rsidRDefault="000F02DF" w:rsidP="001B107B">
      <w:pPr>
        <w:rPr>
          <w:b/>
        </w:rPr>
      </w:pPr>
      <w:r w:rsidRPr="00D155B8">
        <w:rPr>
          <w:b/>
        </w:rPr>
        <w:t xml:space="preserve">GSK </w:t>
      </w:r>
    </w:p>
    <w:p w14:paraId="23858721" w14:textId="5D7404BE" w:rsidR="00E44B20" w:rsidRPr="00D06D8B" w:rsidRDefault="00714FEC" w:rsidP="001B107B">
      <w:pPr>
        <w:rPr>
          <w:color w:val="000000" w:themeColor="text1"/>
        </w:rPr>
      </w:pPr>
      <w:r>
        <w:t xml:space="preserve">There has been a steady increase in sales </w:t>
      </w:r>
      <w:r w:rsidR="00467DD3">
        <w:t xml:space="preserve">over the past five years. </w:t>
      </w:r>
      <w:r w:rsidR="0051703D">
        <w:t xml:space="preserve">The </w:t>
      </w:r>
      <w:r w:rsidR="00BD7CC4">
        <w:t>highest</w:t>
      </w:r>
      <w:r w:rsidR="0051703D">
        <w:t xml:space="preserve"> </w:t>
      </w:r>
      <w:r w:rsidR="00243944">
        <w:t>sales</w:t>
      </w:r>
      <w:r w:rsidR="001A10DB">
        <w:t>’</w:t>
      </w:r>
      <w:r w:rsidR="0051703D">
        <w:t xml:space="preserve"> increase has been between 2015 and 2016 (</w:t>
      </w:r>
      <w:r w:rsidR="00C82028">
        <w:t>16,58</w:t>
      </w:r>
      <w:r w:rsidR="00FE76A5" w:rsidRPr="00D06D8B">
        <w:rPr>
          <w:color w:val="000000" w:themeColor="text1"/>
        </w:rPr>
        <w:t>%).</w:t>
      </w:r>
      <w:r w:rsidR="007846FB" w:rsidRPr="00D06D8B">
        <w:rPr>
          <w:color w:val="000000" w:themeColor="text1"/>
        </w:rPr>
        <w:t xml:space="preserve"> </w:t>
      </w:r>
      <w:r w:rsidR="00105D3A" w:rsidRPr="00D06D8B">
        <w:rPr>
          <w:color w:val="000000" w:themeColor="text1"/>
        </w:rPr>
        <w:t xml:space="preserve">On average, the gross profit has climb up </w:t>
      </w:r>
      <w:r w:rsidR="00AA3F3B" w:rsidRPr="00D06D8B">
        <w:rPr>
          <w:color w:val="000000" w:themeColor="text1"/>
        </w:rPr>
        <w:t>as well (except between 2014 and 2015)</w:t>
      </w:r>
      <w:r w:rsidR="00CF36E7" w:rsidRPr="00D06D8B">
        <w:rPr>
          <w:color w:val="000000" w:themeColor="text1"/>
        </w:rPr>
        <w:t xml:space="preserve">. </w:t>
      </w:r>
    </w:p>
    <w:p w14:paraId="5A808AC7" w14:textId="500B0C43" w:rsidR="00A71ED1" w:rsidRDefault="002B0509" w:rsidP="001B107B">
      <w:r>
        <w:lastRenderedPageBreak/>
        <w:t xml:space="preserve">Keeping in mind that </w:t>
      </w:r>
      <w:r w:rsidR="00A25819">
        <w:t xml:space="preserve">gross margin </w:t>
      </w:r>
      <w:r w:rsidR="003C7A9A">
        <w:t xml:space="preserve">is calculated by dividing gross </w:t>
      </w:r>
      <w:r w:rsidR="0028070C">
        <w:t>profit</w:t>
      </w:r>
      <w:r w:rsidR="003C7A9A">
        <w:t xml:space="preserve"> by sales</w:t>
      </w:r>
      <w:r w:rsidR="008335CF">
        <w:t>,</w:t>
      </w:r>
      <w:r w:rsidR="003C7A9A">
        <w:t xml:space="preserve"> </w:t>
      </w:r>
      <w:r w:rsidR="00F4718B">
        <w:t xml:space="preserve">its trend should go </w:t>
      </w:r>
      <w:r w:rsidR="0028070C">
        <w:t xml:space="preserve">in the same direction as sales and gross </w:t>
      </w:r>
      <w:r w:rsidR="006B7641">
        <w:t>profit</w:t>
      </w:r>
      <w:r w:rsidR="0028070C">
        <w:t xml:space="preserve"> trends. </w:t>
      </w:r>
      <w:r w:rsidR="00863EC4">
        <w:t xml:space="preserve">In GSK’s case, </w:t>
      </w:r>
      <w:r w:rsidR="0042047D">
        <w:t>this ma</w:t>
      </w:r>
      <w:r w:rsidR="00137283">
        <w:t xml:space="preserve">thematical relationship is not verified. In other words, </w:t>
      </w:r>
      <w:r w:rsidR="00B67FF9">
        <w:t xml:space="preserve">although sales and gross profit have </w:t>
      </w:r>
      <w:r w:rsidR="00865B9E">
        <w:t xml:space="preserve">grown, </w:t>
      </w:r>
      <w:r w:rsidR="002500A3">
        <w:t>th</w:t>
      </w:r>
      <w:r w:rsidR="007F1065">
        <w:t>e</w:t>
      </w:r>
      <w:r w:rsidR="002500A3">
        <w:t xml:space="preserve"> </w:t>
      </w:r>
      <w:r w:rsidR="004B06C7">
        <w:t xml:space="preserve">increase </w:t>
      </w:r>
      <w:r w:rsidR="000B4A8B">
        <w:t xml:space="preserve">has not occurred </w:t>
      </w:r>
      <w:r w:rsidR="00543842">
        <w:t xml:space="preserve">to the same </w:t>
      </w:r>
      <w:r w:rsidR="004F30CD">
        <w:t>size</w:t>
      </w:r>
      <w:r w:rsidR="00B33E3C">
        <w:t>.</w:t>
      </w:r>
    </w:p>
    <w:p w14:paraId="35752283" w14:textId="1A5F87FD" w:rsidR="006B3967" w:rsidRDefault="00B01D96" w:rsidP="001B107B">
      <w:r>
        <w:t>In addition,</w:t>
      </w:r>
      <w:r w:rsidR="00E207BC">
        <w:t xml:space="preserve"> while</w:t>
      </w:r>
      <w:r>
        <w:t xml:space="preserve"> the trend of the gross profit </w:t>
      </w:r>
      <w:r w:rsidR="00C64A67">
        <w:t>has</w:t>
      </w:r>
      <w:r w:rsidR="007E4C68">
        <w:t xml:space="preserve"> </w:t>
      </w:r>
      <w:r w:rsidR="00447E65">
        <w:t xml:space="preserve">increased </w:t>
      </w:r>
      <w:r w:rsidR="007C2E05">
        <w:t>“</w:t>
      </w:r>
      <w:r w:rsidR="006F1C07">
        <w:t>at steady pace</w:t>
      </w:r>
      <w:r w:rsidR="007C2E05">
        <w:t>”</w:t>
      </w:r>
      <w:r w:rsidR="000611BA">
        <w:t xml:space="preserve">, </w:t>
      </w:r>
      <w:r w:rsidR="00E207BC">
        <w:t xml:space="preserve">the trend of gross margin </w:t>
      </w:r>
      <w:r w:rsidR="007E4C68">
        <w:t>ha</w:t>
      </w:r>
      <w:r w:rsidR="00C64A67">
        <w:t>s</w:t>
      </w:r>
      <w:r w:rsidR="00DB22A0">
        <w:t xml:space="preserve"> fluctuated. </w:t>
      </w:r>
    </w:p>
    <w:p w14:paraId="1B339698" w14:textId="6AC0852B" w:rsidR="004F30CD" w:rsidRDefault="002A03B3" w:rsidP="001B107B">
      <w:r>
        <w:t>T</w:t>
      </w:r>
      <w:r w:rsidR="0056163D">
        <w:t xml:space="preserve">he highest </w:t>
      </w:r>
      <w:r w:rsidR="00762F78">
        <w:t xml:space="preserve">gross margin </w:t>
      </w:r>
      <w:r w:rsidR="0065528E">
        <w:t>occurred</w:t>
      </w:r>
      <w:r w:rsidR="00762F78">
        <w:t xml:space="preserve"> in 2014</w:t>
      </w:r>
      <w:r w:rsidR="00CB5B3C">
        <w:t>, and the lowest one in 2015.</w:t>
      </w:r>
      <w:r w:rsidR="004054E8">
        <w:t xml:space="preserve"> </w:t>
      </w:r>
      <w:r w:rsidR="000610EB">
        <w:t xml:space="preserve">While sales between 2014 and 2015 has grown by 3.99%, </w:t>
      </w:r>
      <w:r w:rsidR="00CE6A7C">
        <w:t xml:space="preserve">the Cogs has grown by 20.89%. </w:t>
      </w:r>
      <w:r w:rsidR="00332397">
        <w:t xml:space="preserve">Consequentially, </w:t>
      </w:r>
      <w:r w:rsidR="009C3440">
        <w:t xml:space="preserve">this </w:t>
      </w:r>
      <w:r w:rsidR="007122EE">
        <w:t>“</w:t>
      </w:r>
      <w:r w:rsidR="00274DA1">
        <w:t>huge</w:t>
      </w:r>
      <w:r w:rsidR="007122EE">
        <w:t>”</w:t>
      </w:r>
      <w:r w:rsidR="00274DA1">
        <w:t xml:space="preserve"> increase in the Cogs has impact</w:t>
      </w:r>
      <w:r w:rsidR="00767ACB">
        <w:t xml:space="preserve">ed </w:t>
      </w:r>
      <w:r w:rsidR="00274DA1">
        <w:t xml:space="preserve">on the gross profit and </w:t>
      </w:r>
      <w:r w:rsidR="00EE5C01">
        <w:t xml:space="preserve">obvisly on the gross margin as well. </w:t>
      </w:r>
      <w:r w:rsidR="00C54958">
        <w:t>Indeed,</w:t>
      </w:r>
      <w:r w:rsidR="00371737">
        <w:t xml:space="preserve"> between 2014 and 2015 the gross profit has decreased by 3.9%</w:t>
      </w:r>
      <w:r w:rsidR="00727B82">
        <w:t xml:space="preserve">. </w:t>
      </w:r>
      <w:r w:rsidR="00371737">
        <w:t xml:space="preserve"> </w:t>
      </w:r>
      <w:r w:rsidR="00EE5C01">
        <w:t xml:space="preserve"> </w:t>
      </w:r>
    </w:p>
    <w:p w14:paraId="543C9E50" w14:textId="2FF9AC37" w:rsidR="00805515" w:rsidRDefault="0041487E" w:rsidP="001B107B">
      <w:r>
        <w:t xml:space="preserve">The huge increase in Cogs in 2015 can be </w:t>
      </w:r>
      <w:r w:rsidR="000A2263">
        <w:t>explained by looking at “other intangible asse</w:t>
      </w:r>
      <w:r w:rsidR="00805515">
        <w:t xml:space="preserve">ts”, indeed this figure has grown up </w:t>
      </w:r>
      <w:r w:rsidR="00B7262B">
        <w:t>by</w:t>
      </w:r>
      <w:r w:rsidR="00805515">
        <w:t xml:space="preserve"> 100% respect to </w:t>
      </w:r>
      <w:r w:rsidR="008E495A">
        <w:t xml:space="preserve">the year 2014. The major impact on the “other intangible assets” have been </w:t>
      </w:r>
      <w:r w:rsidR="002D476F">
        <w:t xml:space="preserve">in “Additions through business combination”. </w:t>
      </w:r>
      <w:r w:rsidR="00A80232">
        <w:t xml:space="preserve">Indeed, in 2015, GSK </w:t>
      </w:r>
      <w:r w:rsidR="001F22C3">
        <w:t xml:space="preserve">completed a transaction with Novartis. </w:t>
      </w:r>
    </w:p>
    <w:p w14:paraId="0E76B74E" w14:textId="1AC942DF" w:rsidR="004850C7" w:rsidRPr="00D155B8" w:rsidRDefault="00757637" w:rsidP="001B107B">
      <w:pPr>
        <w:rPr>
          <w:b/>
        </w:rPr>
      </w:pPr>
      <w:r>
        <w:rPr>
          <w:b/>
        </w:rPr>
        <w:t>GSK vs.</w:t>
      </w:r>
      <w:r w:rsidR="007E4C68">
        <w:rPr>
          <w:b/>
        </w:rPr>
        <w:t xml:space="preserve"> AstraZeneca</w:t>
      </w:r>
    </w:p>
    <w:p w14:paraId="12454621" w14:textId="39CC4CEC" w:rsidR="00D155B8" w:rsidRDefault="00304716" w:rsidP="00672F44">
      <w:r>
        <w:t>Al</w:t>
      </w:r>
      <w:r w:rsidRPr="00304716">
        <w:t>though AstraZeneca’s sale in 2018 were lower than GSK,</w:t>
      </w:r>
      <w:r w:rsidR="000D6AD7">
        <w:t xml:space="preserve"> its gross margin </w:t>
      </w:r>
      <w:r w:rsidR="00CE6A06">
        <w:t>has been</w:t>
      </w:r>
      <w:r w:rsidR="000D6AD7">
        <w:t xml:space="preserve"> higher</w:t>
      </w:r>
      <w:r w:rsidR="007F6B13">
        <w:t xml:space="preserve"> than</w:t>
      </w:r>
      <w:r w:rsidR="000476CB">
        <w:t xml:space="preserve"> the</w:t>
      </w:r>
      <w:r w:rsidR="007F6B13">
        <w:t xml:space="preserve"> GSK’s one</w:t>
      </w:r>
      <w:r w:rsidR="000D6AD7">
        <w:t xml:space="preserve">. </w:t>
      </w:r>
      <w:r w:rsidR="00672F44">
        <w:t xml:space="preserve">This means that AstraZeneca </w:t>
      </w:r>
      <w:r w:rsidR="0016163A" w:rsidRPr="0016163A">
        <w:t xml:space="preserve">has managed its assets and liabilities more productively </w:t>
      </w:r>
      <w:r w:rsidR="00826B48">
        <w:t>(</w:t>
      </w:r>
      <w:r w:rsidR="0016163A" w:rsidRPr="0016163A">
        <w:t>in order to maximize its profit</w:t>
      </w:r>
      <w:r w:rsidR="00826B48">
        <w:t>)</w:t>
      </w:r>
      <w:r w:rsidR="0016163A" w:rsidRPr="0016163A">
        <w:t xml:space="preserve"> than GSK</w:t>
      </w:r>
      <w:r w:rsidR="00826B48">
        <w:t xml:space="preserve">. </w:t>
      </w:r>
      <w:r w:rsidR="00CB26D9">
        <w:t xml:space="preserve">In other </w:t>
      </w:r>
      <w:r w:rsidR="00915D10">
        <w:t>words,</w:t>
      </w:r>
      <w:r w:rsidR="00CB26D9">
        <w:t xml:space="preserve"> AstraZeneca has a better </w:t>
      </w:r>
      <w:r w:rsidR="00C9740E">
        <w:t xml:space="preserve">management </w:t>
      </w:r>
      <w:r w:rsidR="00CB26D9">
        <w:t xml:space="preserve">control of its </w:t>
      </w:r>
      <w:r w:rsidR="00A042F9">
        <w:t>cost</w:t>
      </w:r>
      <w:r w:rsidR="00617366">
        <w:t>s</w:t>
      </w:r>
      <w:r w:rsidR="004F60DF">
        <w:t>, at least of its direct cost</w:t>
      </w:r>
      <w:r w:rsidR="003D6C3F">
        <w:t>s</w:t>
      </w:r>
      <w:r w:rsidR="004F60DF">
        <w:t xml:space="preserve"> (</w:t>
      </w:r>
      <w:r w:rsidR="00FC45C6">
        <w:t>costs associated with producing the goods and services it sells)</w:t>
      </w:r>
      <w:r w:rsidR="00915D10">
        <w:t>.</w:t>
      </w:r>
    </w:p>
    <w:p w14:paraId="5530794E" w14:textId="6E333AEB" w:rsidR="00C67DF1" w:rsidRDefault="006D573C" w:rsidP="006D573C">
      <w:bookmarkStart w:id="8" w:name="_Toc7774445"/>
      <w:r w:rsidRPr="00266A81">
        <w:rPr>
          <w:rStyle w:val="Heading3Char"/>
        </w:rPr>
        <w:t>Operating margin</w:t>
      </w:r>
      <w:bookmarkEnd w:id="8"/>
      <w:r w:rsidRPr="00662087">
        <w:rPr>
          <w:color w:val="ED7D31" w:themeColor="accent2"/>
        </w:rPr>
        <w:t xml:space="preserve"> </w:t>
      </w:r>
      <w:r>
        <w:sym w:font="Wingdings" w:char="F0E0"/>
      </w:r>
      <w:r>
        <w:t xml:space="preserve"> </w:t>
      </w:r>
      <w:r w:rsidR="00243C85" w:rsidRPr="00E21993">
        <w:rPr>
          <w:rFonts w:asciiTheme="majorHAnsi" w:hAnsiTheme="majorHAnsi" w:cstheme="majorHAnsi"/>
        </w:rPr>
        <w:t xml:space="preserve">It measures a company’s ability to generate profit once it has covered </w:t>
      </w:r>
      <w:r w:rsidR="00296257" w:rsidRPr="00E21993">
        <w:rPr>
          <w:rFonts w:asciiTheme="majorHAnsi" w:hAnsiTheme="majorHAnsi" w:cstheme="majorHAnsi"/>
        </w:rPr>
        <w:t xml:space="preserve">virtually </w:t>
      </w:r>
      <w:r w:rsidR="00B37EA8" w:rsidRPr="00E21993">
        <w:rPr>
          <w:rFonts w:asciiTheme="majorHAnsi" w:hAnsiTheme="majorHAnsi" w:cstheme="majorHAnsi"/>
        </w:rPr>
        <w:t>all the expe</w:t>
      </w:r>
      <w:r w:rsidR="006801CE" w:rsidRPr="00E21993">
        <w:rPr>
          <w:rFonts w:asciiTheme="majorHAnsi" w:hAnsiTheme="majorHAnsi" w:cstheme="majorHAnsi"/>
        </w:rPr>
        <w:t xml:space="preserve">nses required to run a business </w:t>
      </w:r>
      <w:r w:rsidR="002044C1" w:rsidRPr="00E21993">
        <w:rPr>
          <w:rFonts w:asciiTheme="majorHAnsi" w:hAnsiTheme="majorHAnsi" w:cstheme="majorHAnsi"/>
        </w:rPr>
        <w:t xml:space="preserve">before </w:t>
      </w:r>
      <w:r w:rsidR="00D1006E" w:rsidRPr="00E21993">
        <w:rPr>
          <w:rFonts w:asciiTheme="majorHAnsi" w:hAnsiTheme="majorHAnsi" w:cstheme="majorHAnsi"/>
        </w:rPr>
        <w:t>paying</w:t>
      </w:r>
      <w:r w:rsidR="00907BC6" w:rsidRPr="00E21993">
        <w:rPr>
          <w:rFonts w:asciiTheme="majorHAnsi" w:hAnsiTheme="majorHAnsi" w:cstheme="majorHAnsi"/>
        </w:rPr>
        <w:t xml:space="preserve"> </w:t>
      </w:r>
      <w:r w:rsidR="00CF78DD" w:rsidRPr="00E21993">
        <w:rPr>
          <w:rFonts w:asciiTheme="majorHAnsi" w:hAnsiTheme="majorHAnsi" w:cstheme="majorHAnsi"/>
        </w:rPr>
        <w:t>interests and taxes.</w:t>
      </w:r>
      <w:r w:rsidR="00CF78DD">
        <w:t xml:space="preserve"> </w:t>
      </w:r>
    </w:p>
    <w:p w14:paraId="62E0BD51" w14:textId="49F9A346" w:rsidR="00F2661E" w:rsidRDefault="00F2661E" w:rsidP="006D573C">
      <w:pPr>
        <w:rPr>
          <w:b/>
        </w:rPr>
      </w:pPr>
      <w:r w:rsidRPr="00F2661E">
        <w:rPr>
          <w:b/>
        </w:rPr>
        <w:t xml:space="preserve">GSK </w:t>
      </w:r>
    </w:p>
    <w:p w14:paraId="3BE3826C" w14:textId="500F2B64" w:rsidR="002529FE" w:rsidRDefault="002529FE" w:rsidP="002529FE">
      <w:r>
        <w:t>The trend of operating margin overall the past five years, has been more fluctuating and unstable than the gross margin one, especially in 2015. In addition, while in 2015 the gross margin has been the lowest one, the operating margin ha</w:t>
      </w:r>
      <w:r w:rsidR="00BC3F14">
        <w:t>s</w:t>
      </w:r>
      <w:r>
        <w:t xml:space="preserve"> been the highest. This could be a sign of the degree of cost control management; at least of variable costs. </w:t>
      </w:r>
    </w:p>
    <w:p w14:paraId="220F4F10" w14:textId="77777777" w:rsidR="002529FE" w:rsidRDefault="002529FE" w:rsidP="002529FE">
      <w:r>
        <w:t xml:space="preserve">The pharmaceutical industry's lifeblood is R&amp;D. The success of major drug companies is almost wholly dependent upon the discovery and development of new medicines, and their allocation of capital expenditures reflects that fact. On average, pharmaceutical companies dedicate approximately 17% of their budget to R&amp;D, and some companies within the industry spend substantially more than that (Investopedia). </w:t>
      </w:r>
    </w:p>
    <w:p w14:paraId="2E846C4D" w14:textId="04D2F234" w:rsidR="002529FE" w:rsidRDefault="002529FE" w:rsidP="002529FE">
      <w:r>
        <w:t xml:space="preserve">So, at first glance </w:t>
      </w:r>
      <w:r w:rsidR="003B5170">
        <w:t>it would seem like</w:t>
      </w:r>
      <w:r>
        <w:t xml:space="preserve"> that in 2015 the operating margin was higher because GSK has reduced its investments in research and development. </w:t>
      </w:r>
      <w:r w:rsidR="00000944">
        <w:t>“</w:t>
      </w:r>
      <w:r>
        <w:t>This is not true</w:t>
      </w:r>
      <w:r w:rsidR="00000944">
        <w:t>”</w:t>
      </w:r>
      <w:r>
        <w:t xml:space="preserve">! The gross margin has not increased because the company has spent less money in R&amp;D. </w:t>
      </w:r>
    </w:p>
    <w:p w14:paraId="51B1140F" w14:textId="70C65CA3" w:rsidR="007B2A91" w:rsidRDefault="002529FE" w:rsidP="002529FE">
      <w:r>
        <w:t>This is due to the transaction with Novartis. The deal with Novartis expected to reduce its operating cost significantly and save GSK over 1 billion a year (Annual Report GSK, 2015). Therefore, the transaction with Novartis has increased “other operating income” (getting better the operating margin). Indeed, in 2014, “other operating income” have been negative (£ -700) and in 2015 have been positive (£ +7715).</w:t>
      </w:r>
    </w:p>
    <w:p w14:paraId="0D420DAE" w14:textId="77777777" w:rsidR="00757637" w:rsidRPr="00D155B8" w:rsidRDefault="00757637" w:rsidP="00757637">
      <w:pPr>
        <w:rPr>
          <w:b/>
        </w:rPr>
      </w:pPr>
      <w:r>
        <w:rPr>
          <w:b/>
        </w:rPr>
        <w:t>GSK vs. AstraZeneca</w:t>
      </w:r>
    </w:p>
    <w:p w14:paraId="6125F639" w14:textId="7B5CF2C2" w:rsidR="00945909" w:rsidRDefault="00D96AD9" w:rsidP="00D96AD9">
      <w:r>
        <w:t>A</w:t>
      </w:r>
      <w:r w:rsidRPr="00F545A0">
        <w:t>stra</w:t>
      </w:r>
      <w:r>
        <w:t>Z</w:t>
      </w:r>
      <w:r w:rsidRPr="00F545A0">
        <w:t xml:space="preserve">eneca has better management on </w:t>
      </w:r>
      <w:r>
        <w:t>the direct cost associated with producing the goods and services it sells,</w:t>
      </w:r>
      <w:r w:rsidRPr="00F545A0">
        <w:t xml:space="preserve"> but a worse management of other</w:t>
      </w:r>
      <w:r>
        <w:t xml:space="preserve"> costs</w:t>
      </w:r>
      <w:r w:rsidR="002448CE">
        <w:t xml:space="preserve">, </w:t>
      </w:r>
      <w:r w:rsidR="002448CE" w:rsidRPr="002448CE">
        <w:t>i.e. semi-variable costs</w:t>
      </w:r>
      <w:r w:rsidR="002448CE">
        <w:t xml:space="preserve">. </w:t>
      </w:r>
      <w:r w:rsidR="003B3660">
        <w:t xml:space="preserve">In other words, in 2018, AstraZeneca has </w:t>
      </w:r>
      <w:r w:rsidR="00915605">
        <w:t xml:space="preserve">a better gross margin, but a worse </w:t>
      </w:r>
      <w:r w:rsidR="00B90937">
        <w:t>operating margin</w:t>
      </w:r>
      <w:r w:rsidR="007B2A91">
        <w:t xml:space="preserve"> compared to GSK. </w:t>
      </w:r>
      <w:r w:rsidR="004A49B3">
        <w:t xml:space="preserve">This can be </w:t>
      </w:r>
      <w:r w:rsidR="004966E8">
        <w:t xml:space="preserve">explained by looking </w:t>
      </w:r>
      <w:r w:rsidR="00F467EF">
        <w:t xml:space="preserve">at </w:t>
      </w:r>
      <w:r w:rsidR="00424DC0">
        <w:t xml:space="preserve">operating expensive. </w:t>
      </w:r>
      <w:r w:rsidR="001E1405">
        <w:t xml:space="preserve">While for GSK </w:t>
      </w:r>
      <w:r w:rsidR="00E461EF">
        <w:t xml:space="preserve">the operating expansive have </w:t>
      </w:r>
      <w:r w:rsidR="00710E8C">
        <w:t xml:space="preserve">an impact of 73.35%, for AstraZeneca these costs </w:t>
      </w:r>
      <w:r w:rsidR="001F2847">
        <w:t>have a major impact, 80</w:t>
      </w:r>
      <w:r w:rsidR="00443A4A">
        <w:t xml:space="preserve">.25% on the </w:t>
      </w:r>
      <w:r w:rsidR="00A06731">
        <w:t xml:space="preserve">operating profit. </w:t>
      </w:r>
    </w:p>
    <w:p w14:paraId="3C63AFA0" w14:textId="1009FA35" w:rsidR="002B4871" w:rsidRDefault="002B4871" w:rsidP="00D96AD9"/>
    <w:p w14:paraId="69D07514" w14:textId="0E5AD81F" w:rsidR="00083314" w:rsidRDefault="00083314" w:rsidP="00D96AD9">
      <w:r>
        <w:t xml:space="preserve">In order to discover if the increase in R&amp;D spending is associated with a higher output or productivity, in this analysis will be studied RORC.  </w:t>
      </w:r>
    </w:p>
    <w:p w14:paraId="6A3DCAF1" w14:textId="0B8DBBB9" w:rsidR="00D96AD9" w:rsidRPr="00E21993" w:rsidRDefault="00CC181F" w:rsidP="00D96AD9">
      <w:pPr>
        <w:rPr>
          <w:rFonts w:asciiTheme="majorHAnsi" w:hAnsiTheme="majorHAnsi" w:cstheme="majorHAnsi"/>
        </w:rPr>
      </w:pPr>
      <w:bookmarkStart w:id="9" w:name="_Toc7774446"/>
      <w:r w:rsidRPr="00266A81">
        <w:rPr>
          <w:rStyle w:val="Heading3Char"/>
        </w:rPr>
        <w:t>RORC</w:t>
      </w:r>
      <w:bookmarkEnd w:id="9"/>
      <w:r>
        <w:sym w:font="Wingdings" w:char="F0E0"/>
      </w:r>
      <w:r>
        <w:t xml:space="preserve"> </w:t>
      </w:r>
      <w:r w:rsidRPr="00E21993">
        <w:rPr>
          <w:rFonts w:asciiTheme="majorHAnsi" w:hAnsiTheme="majorHAnsi" w:cstheme="majorHAnsi"/>
        </w:rPr>
        <w:t>(Return on Research capital) It is an element of productivity and grow, it shows how companies develop new products and service</w:t>
      </w:r>
      <w:r w:rsidR="009063E1" w:rsidRPr="00E21993">
        <w:rPr>
          <w:rFonts w:asciiTheme="majorHAnsi" w:hAnsiTheme="majorHAnsi" w:cstheme="majorHAnsi"/>
        </w:rPr>
        <w:t>s</w:t>
      </w:r>
      <w:r w:rsidRPr="00E21993">
        <w:rPr>
          <w:rFonts w:asciiTheme="majorHAnsi" w:hAnsiTheme="majorHAnsi" w:cstheme="majorHAnsi"/>
        </w:rPr>
        <w:t xml:space="preserve"> for sale. </w:t>
      </w:r>
      <w:r w:rsidR="009063E1" w:rsidRPr="00E21993">
        <w:rPr>
          <w:rFonts w:asciiTheme="majorHAnsi" w:hAnsiTheme="majorHAnsi" w:cstheme="majorHAnsi"/>
        </w:rPr>
        <w:t xml:space="preserve">Therefore, </w:t>
      </w:r>
      <w:r w:rsidRPr="00E21993">
        <w:rPr>
          <w:rFonts w:asciiTheme="majorHAnsi" w:hAnsiTheme="majorHAnsi" w:cstheme="majorHAnsi"/>
        </w:rPr>
        <w:t>it indicates the impact of R&amp;D on the gross profit.</w:t>
      </w:r>
      <w:r w:rsidRPr="00E21993">
        <w:rPr>
          <w:rFonts w:asciiTheme="majorHAnsi" w:hAnsiTheme="majorHAnsi" w:cstheme="majorHAnsi"/>
          <w:color w:val="404346"/>
          <w:sz w:val="21"/>
          <w:szCs w:val="21"/>
        </w:rPr>
        <w:t> </w:t>
      </w:r>
      <w:r w:rsidR="00866F9B" w:rsidRPr="00E21993">
        <w:rPr>
          <w:rFonts w:asciiTheme="majorHAnsi" w:hAnsiTheme="majorHAnsi" w:cstheme="majorHAnsi"/>
        </w:rPr>
        <w:t xml:space="preserve"> </w:t>
      </w:r>
      <w:r w:rsidR="00BA7F6B" w:rsidRPr="00E21993">
        <w:rPr>
          <w:rFonts w:asciiTheme="majorHAnsi" w:hAnsiTheme="majorHAnsi" w:cstheme="majorHAnsi"/>
        </w:rPr>
        <w:t xml:space="preserve"> </w:t>
      </w:r>
    </w:p>
    <w:p w14:paraId="57BF2D7F" w14:textId="77777777" w:rsidR="00307017" w:rsidRDefault="00307017" w:rsidP="00307017">
      <w:pPr>
        <w:rPr>
          <w:b/>
        </w:rPr>
      </w:pPr>
      <w:r w:rsidRPr="00F2661E">
        <w:rPr>
          <w:b/>
        </w:rPr>
        <w:t xml:space="preserve">GSK </w:t>
      </w:r>
    </w:p>
    <w:p w14:paraId="225DFC9E" w14:textId="5067A97A" w:rsidR="00757637" w:rsidRPr="00AD2A0B" w:rsidRDefault="004465D1" w:rsidP="00BF7645">
      <w:pPr>
        <w:rPr>
          <w:rFonts w:cstheme="minorHAnsi"/>
        </w:rPr>
      </w:pPr>
      <w:r w:rsidRPr="00AD2A0B">
        <w:rPr>
          <w:rFonts w:cstheme="minorHAnsi"/>
        </w:rPr>
        <w:t>The high</w:t>
      </w:r>
      <w:r w:rsidR="002060B7" w:rsidRPr="00AD2A0B">
        <w:rPr>
          <w:rFonts w:cstheme="minorHAnsi"/>
        </w:rPr>
        <w:t>est amounts of</w:t>
      </w:r>
      <w:r w:rsidRPr="00AD2A0B">
        <w:rPr>
          <w:rFonts w:cstheme="minorHAnsi"/>
        </w:rPr>
        <w:t xml:space="preserve"> RORC </w:t>
      </w:r>
      <w:r w:rsidR="002060B7" w:rsidRPr="00AD2A0B">
        <w:rPr>
          <w:rFonts w:cstheme="minorHAnsi"/>
        </w:rPr>
        <w:t>occurred</w:t>
      </w:r>
      <w:r w:rsidRPr="00AD2A0B">
        <w:rPr>
          <w:rFonts w:cstheme="minorHAnsi"/>
        </w:rPr>
        <w:t xml:space="preserve"> in 201</w:t>
      </w:r>
      <w:r w:rsidR="00070A83" w:rsidRPr="00AD2A0B">
        <w:rPr>
          <w:rFonts w:cstheme="minorHAnsi"/>
        </w:rPr>
        <w:t>6 and 2017</w:t>
      </w:r>
      <w:r w:rsidR="001E4723" w:rsidRPr="00AD2A0B">
        <w:rPr>
          <w:rFonts w:cstheme="minorHAnsi"/>
        </w:rPr>
        <w:t>. This can be explained by looking at the</w:t>
      </w:r>
      <w:r w:rsidR="00524018" w:rsidRPr="00AD2A0B">
        <w:rPr>
          <w:rFonts w:cstheme="minorHAnsi"/>
        </w:rPr>
        <w:t xml:space="preserve"> three new products</w:t>
      </w:r>
      <w:r w:rsidR="00227C87" w:rsidRPr="00AD2A0B">
        <w:rPr>
          <w:rFonts w:cstheme="minorHAnsi"/>
        </w:rPr>
        <w:t xml:space="preserve"> (</w:t>
      </w:r>
      <w:proofErr w:type="spellStart"/>
      <w:r w:rsidR="00227C87" w:rsidRPr="00AD2A0B">
        <w:rPr>
          <w:rFonts w:cstheme="minorHAnsi"/>
          <w:bCs/>
          <w:color w:val="222222"/>
          <w:shd w:val="clear" w:color="auto" w:fill="FFFFFF"/>
        </w:rPr>
        <w:t>Shingrix</w:t>
      </w:r>
      <w:proofErr w:type="spellEnd"/>
      <w:r w:rsidR="00227C87" w:rsidRPr="00AD2A0B">
        <w:rPr>
          <w:rFonts w:cstheme="minorHAnsi"/>
          <w:bCs/>
          <w:color w:val="222222"/>
          <w:shd w:val="clear" w:color="auto" w:fill="FFFFFF"/>
        </w:rPr>
        <w:t xml:space="preserve">, </w:t>
      </w:r>
      <w:proofErr w:type="spellStart"/>
      <w:r w:rsidR="00227C87" w:rsidRPr="00AD2A0B">
        <w:rPr>
          <w:rFonts w:cstheme="minorHAnsi"/>
          <w:bCs/>
          <w:color w:val="222222"/>
          <w:shd w:val="clear" w:color="auto" w:fill="FFFFFF"/>
        </w:rPr>
        <w:t>Trelegy</w:t>
      </w:r>
      <w:proofErr w:type="spellEnd"/>
      <w:r w:rsidR="00227C87" w:rsidRPr="00AD2A0B">
        <w:rPr>
          <w:rFonts w:cstheme="minorHAnsi"/>
          <w:bCs/>
          <w:color w:val="222222"/>
          <w:shd w:val="clear" w:color="auto" w:fill="FFFFFF"/>
        </w:rPr>
        <w:t xml:space="preserve"> Ellipta and </w:t>
      </w:r>
      <w:proofErr w:type="spellStart"/>
      <w:r w:rsidR="00227C87" w:rsidRPr="00AD2A0B">
        <w:rPr>
          <w:rFonts w:cstheme="minorHAnsi"/>
          <w:bCs/>
          <w:color w:val="222222"/>
          <w:shd w:val="clear" w:color="auto" w:fill="FFFFFF"/>
        </w:rPr>
        <w:t>Juluca</w:t>
      </w:r>
      <w:proofErr w:type="spellEnd"/>
      <w:r w:rsidR="00227C87" w:rsidRPr="00AD2A0B">
        <w:rPr>
          <w:rFonts w:cstheme="minorHAnsi"/>
          <w:bCs/>
          <w:color w:val="222222"/>
          <w:shd w:val="clear" w:color="auto" w:fill="FFFFFF"/>
        </w:rPr>
        <w:t>)</w:t>
      </w:r>
      <w:r w:rsidR="00524018" w:rsidRPr="00AD2A0B">
        <w:rPr>
          <w:rFonts w:cstheme="minorHAnsi"/>
        </w:rPr>
        <w:t xml:space="preserve"> launched </w:t>
      </w:r>
      <w:r w:rsidR="009A51DE" w:rsidRPr="00AD2A0B">
        <w:rPr>
          <w:rFonts w:cstheme="minorHAnsi"/>
        </w:rPr>
        <w:t>by the company</w:t>
      </w:r>
      <w:r w:rsidR="00400FFC" w:rsidRPr="00AD2A0B">
        <w:rPr>
          <w:rFonts w:cstheme="minorHAnsi"/>
        </w:rPr>
        <w:t xml:space="preserve"> in 2017.</w:t>
      </w:r>
      <w:r w:rsidR="000721ED" w:rsidRPr="00AD2A0B">
        <w:rPr>
          <w:rFonts w:cstheme="minorHAnsi"/>
        </w:rPr>
        <w:t xml:space="preserve"> </w:t>
      </w:r>
      <w:r w:rsidR="00C80105" w:rsidRPr="00AD2A0B">
        <w:rPr>
          <w:rFonts w:cstheme="minorHAnsi"/>
        </w:rPr>
        <w:t xml:space="preserve">Therefore, the </w:t>
      </w:r>
      <w:r w:rsidR="00272FE4" w:rsidRPr="00AD2A0B">
        <w:rPr>
          <w:rFonts w:cstheme="minorHAnsi"/>
        </w:rPr>
        <w:t>investments in</w:t>
      </w:r>
      <w:r w:rsidR="00C80105" w:rsidRPr="00AD2A0B">
        <w:rPr>
          <w:rFonts w:cstheme="minorHAnsi"/>
        </w:rPr>
        <w:t xml:space="preserve"> </w:t>
      </w:r>
      <w:r w:rsidR="00AD1998" w:rsidRPr="00AD2A0B">
        <w:rPr>
          <w:rFonts w:cstheme="minorHAnsi"/>
        </w:rPr>
        <w:t xml:space="preserve">R&amp;D in the previous years, has increase the </w:t>
      </w:r>
      <w:r w:rsidR="001E6289" w:rsidRPr="00AD2A0B">
        <w:rPr>
          <w:rFonts w:cstheme="minorHAnsi"/>
        </w:rPr>
        <w:t xml:space="preserve">profit in 2016 and 2017. </w:t>
      </w:r>
      <w:r w:rsidR="007E3D2A" w:rsidRPr="00AD2A0B">
        <w:rPr>
          <w:rFonts w:cstheme="minorHAnsi"/>
        </w:rPr>
        <w:t xml:space="preserve">However, Research and development are difficult to manage since the defining future of research is that the researchers do not know in advance exactly its cash flows. </w:t>
      </w:r>
      <w:r w:rsidR="003B4105" w:rsidRPr="00AD2A0B">
        <w:rPr>
          <w:rFonts w:cstheme="minorHAnsi"/>
        </w:rPr>
        <w:t>Ultimately, it is difficult to verify that an increase in R&amp;D today will lead to an increase in profit tomorrow. It is necessary to consider</w:t>
      </w:r>
      <w:r w:rsidR="006D3F6E">
        <w:rPr>
          <w:rFonts w:cstheme="minorHAnsi"/>
        </w:rPr>
        <w:t xml:space="preserve"> for example,</w:t>
      </w:r>
      <w:r w:rsidR="003B4105" w:rsidRPr="00AD2A0B">
        <w:rPr>
          <w:rFonts w:cstheme="minorHAnsi"/>
        </w:rPr>
        <w:t xml:space="preserve"> the requirements to </w:t>
      </w:r>
      <w:r w:rsidR="000B7F0F" w:rsidRPr="00AD2A0B">
        <w:rPr>
          <w:rFonts w:cstheme="minorHAnsi"/>
        </w:rPr>
        <w:t xml:space="preserve">regulatory approval </w:t>
      </w:r>
      <w:r w:rsidR="00272FE4" w:rsidRPr="00AD2A0B">
        <w:rPr>
          <w:rFonts w:cstheme="minorHAnsi"/>
        </w:rPr>
        <w:t>and</w:t>
      </w:r>
      <w:r w:rsidR="000B7F0F" w:rsidRPr="00AD2A0B">
        <w:rPr>
          <w:rFonts w:cstheme="minorHAnsi"/>
        </w:rPr>
        <w:t xml:space="preserve"> the failure rates.</w:t>
      </w:r>
    </w:p>
    <w:p w14:paraId="2D599CC3" w14:textId="77777777" w:rsidR="00DB6D7D" w:rsidRPr="00D155B8" w:rsidRDefault="00DB6D7D" w:rsidP="00DB6D7D">
      <w:pPr>
        <w:rPr>
          <w:b/>
        </w:rPr>
      </w:pPr>
      <w:r>
        <w:rPr>
          <w:b/>
        </w:rPr>
        <w:t>GSK vs. AstraZeneca</w:t>
      </w:r>
    </w:p>
    <w:p w14:paraId="5A037526" w14:textId="4717A1AD" w:rsidR="00E516B0" w:rsidRDefault="00CE5238" w:rsidP="00BF7645">
      <w:r>
        <w:t>On average</w:t>
      </w:r>
      <w:r w:rsidR="00F17DA6">
        <w:t xml:space="preserve">, </w:t>
      </w:r>
      <w:r>
        <w:t xml:space="preserve">the impact of R&amp;D on the gross profit </w:t>
      </w:r>
      <w:r w:rsidR="00E91E6E">
        <w:t>ha</w:t>
      </w:r>
      <w:r w:rsidR="00F80407">
        <w:t>s</w:t>
      </w:r>
      <w:r w:rsidR="00E91E6E">
        <w:t xml:space="preserve"> been</w:t>
      </w:r>
      <w:r>
        <w:t xml:space="preserve"> better for GSK</w:t>
      </w:r>
      <w:r w:rsidR="00E91E6E">
        <w:t xml:space="preserve"> (in 2018).</w:t>
      </w:r>
      <w:r>
        <w:t xml:space="preserve"> This could mean that the </w:t>
      </w:r>
      <w:r w:rsidR="00417F8E">
        <w:t xml:space="preserve">technology used by GSK is more </w:t>
      </w:r>
      <w:r w:rsidR="00910892" w:rsidRPr="00910892">
        <w:t>innovative</w:t>
      </w:r>
      <w:r w:rsidR="00910892">
        <w:t xml:space="preserve"> and more</w:t>
      </w:r>
      <w:r w:rsidR="00910892" w:rsidRPr="00910892">
        <w:t xml:space="preserve"> cutting-edge</w:t>
      </w:r>
      <w:r w:rsidR="00910892">
        <w:t xml:space="preserve"> than </w:t>
      </w:r>
      <w:r w:rsidR="00680A50">
        <w:t xml:space="preserve">AstraZeneca. </w:t>
      </w:r>
    </w:p>
    <w:p w14:paraId="64CB3BEB" w14:textId="77777777" w:rsidR="009D16F7" w:rsidRPr="009D16F7" w:rsidRDefault="009D16F7" w:rsidP="009D16F7">
      <w:pPr>
        <w:pStyle w:val="Heading2"/>
      </w:pPr>
      <w:bookmarkStart w:id="10" w:name="_Toc7774447"/>
      <w:r w:rsidRPr="009D16F7">
        <w:t>Liquidity ratios</w:t>
      </w:r>
      <w:bookmarkEnd w:id="10"/>
      <w:r w:rsidRPr="009D16F7">
        <w:t xml:space="preserve"> </w:t>
      </w:r>
    </w:p>
    <w:p w14:paraId="1CB181DB" w14:textId="6B8F88EB" w:rsidR="00722674" w:rsidRPr="00E21993" w:rsidRDefault="009D16F7" w:rsidP="009D16F7">
      <w:pPr>
        <w:rPr>
          <w:rFonts w:asciiTheme="majorHAnsi" w:hAnsiTheme="majorHAnsi" w:cstheme="majorHAnsi"/>
        </w:rPr>
      </w:pPr>
      <w:r w:rsidRPr="00E21993">
        <w:rPr>
          <w:rFonts w:asciiTheme="majorHAnsi" w:hAnsiTheme="majorHAnsi" w:cstheme="majorHAnsi"/>
        </w:rPr>
        <w:t xml:space="preserve">Liquidity ratios measure a company’s ability to convert assets into cash quickly and cheaply. Therefore, liquidity ratios </w:t>
      </w:r>
      <w:r w:rsidR="00722674" w:rsidRPr="00E21993">
        <w:rPr>
          <w:rFonts w:asciiTheme="majorHAnsi" w:hAnsiTheme="majorHAnsi" w:cstheme="majorHAnsi"/>
        </w:rPr>
        <w:t>calculate</w:t>
      </w:r>
      <w:r w:rsidRPr="00E21993">
        <w:rPr>
          <w:rFonts w:asciiTheme="majorHAnsi" w:hAnsiTheme="majorHAnsi" w:cstheme="majorHAnsi"/>
        </w:rPr>
        <w:t xml:space="preserve"> a company’s ability to pay its short-term debt on time. </w:t>
      </w:r>
    </w:p>
    <w:p w14:paraId="63C69530" w14:textId="131EB925" w:rsidR="009D16F7" w:rsidRDefault="009D16F7" w:rsidP="009D16F7">
      <w:r>
        <w:t>Current ratio, Quick ratio and Cash ratio will be analysed.</w:t>
      </w:r>
    </w:p>
    <w:p w14:paraId="6C704DC6" w14:textId="0AAF2213" w:rsidR="009D16F7" w:rsidRPr="00403A81" w:rsidRDefault="00403A81" w:rsidP="009D16F7">
      <w:pPr>
        <w:rPr>
          <w:b/>
        </w:rPr>
      </w:pPr>
      <w:r w:rsidRPr="00772647">
        <w:rPr>
          <w:b/>
          <w:u w:val="single"/>
        </w:rPr>
        <w:t xml:space="preserve">Tab. </w:t>
      </w:r>
      <w:r>
        <w:rPr>
          <w:b/>
          <w:u w:val="single"/>
        </w:rPr>
        <w:t>3</w:t>
      </w:r>
      <w:r w:rsidRPr="00772647">
        <w:rPr>
          <w:b/>
        </w:rPr>
        <w:t xml:space="preserve">: </w:t>
      </w:r>
      <w:r>
        <w:rPr>
          <w:b/>
        </w:rPr>
        <w:t xml:space="preserve">Current assets, Current liabilities, Inventory and cash and </w:t>
      </w:r>
      <w:r w:rsidR="002A12C6">
        <w:rPr>
          <w:b/>
        </w:rPr>
        <w:t xml:space="preserve">cash equivalent </w:t>
      </w:r>
      <w:r w:rsidRPr="00772647">
        <w:rPr>
          <w:b/>
        </w:rPr>
        <w:t xml:space="preserve">of GSK (2014-2018) and AstraZeneca (2018). </w:t>
      </w:r>
    </w:p>
    <w:tbl>
      <w:tblPr>
        <w:tblW w:w="9924" w:type="dxa"/>
        <w:tblLook w:val="04A0" w:firstRow="1" w:lastRow="0" w:firstColumn="1" w:lastColumn="0" w:noHBand="0" w:noVBand="1"/>
      </w:tblPr>
      <w:tblGrid>
        <w:gridCol w:w="2222"/>
        <w:gridCol w:w="1159"/>
        <w:gridCol w:w="1159"/>
        <w:gridCol w:w="1159"/>
        <w:gridCol w:w="1159"/>
        <w:gridCol w:w="1159"/>
        <w:gridCol w:w="1907"/>
      </w:tblGrid>
      <w:tr w:rsidR="00403A81" w:rsidRPr="00F85B7C" w14:paraId="4BC2223C" w14:textId="77777777" w:rsidTr="002A12C6">
        <w:trPr>
          <w:trHeight w:val="272"/>
        </w:trPr>
        <w:tc>
          <w:tcPr>
            <w:tcW w:w="2222" w:type="dxa"/>
            <w:tcBorders>
              <w:top w:val="single" w:sz="4" w:space="0" w:color="8EA9DB"/>
              <w:left w:val="single" w:sz="4" w:space="0" w:color="8EA9DB"/>
              <w:bottom w:val="single" w:sz="4" w:space="0" w:color="8EA9DB"/>
              <w:right w:val="nil"/>
            </w:tcBorders>
            <w:shd w:val="clear" w:color="4472C4" w:fill="4472C4"/>
            <w:noWrap/>
            <w:vAlign w:val="bottom"/>
            <w:hideMark/>
          </w:tcPr>
          <w:p w14:paraId="3F5B9B8D" w14:textId="77777777" w:rsidR="00403A81" w:rsidRPr="00F85B7C" w:rsidRDefault="00403A81" w:rsidP="006C0B7F">
            <w:pPr>
              <w:spacing w:after="0" w:line="240" w:lineRule="auto"/>
              <w:jc w:val="center"/>
              <w:rPr>
                <w:rFonts w:ascii="Calibri" w:eastAsia="Times New Roman" w:hAnsi="Calibri" w:cs="Calibri"/>
                <w:b/>
                <w:bCs/>
                <w:color w:val="FFFFFF"/>
                <w:lang w:eastAsia="en-GB"/>
              </w:rPr>
            </w:pPr>
            <w:r w:rsidRPr="00F85B7C">
              <w:rPr>
                <w:rFonts w:ascii="Calibri" w:eastAsia="Times New Roman" w:hAnsi="Calibri" w:cs="Calibri"/>
                <w:b/>
                <w:bCs/>
                <w:color w:val="FFFFFF"/>
                <w:lang w:eastAsia="en-GB"/>
              </w:rPr>
              <w:t>GSK £</w:t>
            </w:r>
            <w:r>
              <w:rPr>
                <w:rFonts w:ascii="Calibri" w:eastAsia="Times New Roman" w:hAnsi="Calibri" w:cs="Calibri"/>
                <w:b/>
                <w:bCs/>
                <w:color w:val="FFFFFF"/>
                <w:lang w:eastAsia="en-GB"/>
              </w:rPr>
              <w:t>m</w:t>
            </w:r>
          </w:p>
        </w:tc>
        <w:tc>
          <w:tcPr>
            <w:tcW w:w="1159" w:type="dxa"/>
            <w:tcBorders>
              <w:top w:val="single" w:sz="4" w:space="0" w:color="8EA9DB"/>
              <w:left w:val="nil"/>
              <w:bottom w:val="single" w:sz="4" w:space="0" w:color="8EA9DB"/>
              <w:right w:val="nil"/>
            </w:tcBorders>
            <w:shd w:val="clear" w:color="4472C4" w:fill="4472C4"/>
            <w:noWrap/>
            <w:vAlign w:val="bottom"/>
            <w:hideMark/>
          </w:tcPr>
          <w:p w14:paraId="386B58D3" w14:textId="77777777" w:rsidR="00403A81" w:rsidRPr="00F85B7C" w:rsidRDefault="00403A81" w:rsidP="006C0B7F">
            <w:pPr>
              <w:spacing w:after="0" w:line="240" w:lineRule="auto"/>
              <w:jc w:val="center"/>
              <w:rPr>
                <w:rFonts w:ascii="Calibri" w:eastAsia="Times New Roman" w:hAnsi="Calibri" w:cs="Calibri"/>
                <w:b/>
                <w:bCs/>
                <w:color w:val="FFFFFF"/>
                <w:lang w:eastAsia="en-GB"/>
              </w:rPr>
            </w:pPr>
            <w:r w:rsidRPr="00F85B7C">
              <w:rPr>
                <w:rFonts w:ascii="Calibri" w:eastAsia="Times New Roman" w:hAnsi="Calibri" w:cs="Calibri"/>
                <w:b/>
                <w:bCs/>
                <w:color w:val="FFFFFF"/>
                <w:lang w:eastAsia="en-GB"/>
              </w:rPr>
              <w:t>2014</w:t>
            </w:r>
          </w:p>
        </w:tc>
        <w:tc>
          <w:tcPr>
            <w:tcW w:w="1159" w:type="dxa"/>
            <w:tcBorders>
              <w:top w:val="single" w:sz="4" w:space="0" w:color="8EA9DB"/>
              <w:left w:val="nil"/>
              <w:bottom w:val="single" w:sz="4" w:space="0" w:color="8EA9DB"/>
              <w:right w:val="nil"/>
            </w:tcBorders>
            <w:shd w:val="clear" w:color="4472C4" w:fill="4472C4"/>
            <w:noWrap/>
            <w:vAlign w:val="bottom"/>
            <w:hideMark/>
          </w:tcPr>
          <w:p w14:paraId="093B6003" w14:textId="77777777" w:rsidR="00403A81" w:rsidRPr="00F85B7C" w:rsidRDefault="00403A81" w:rsidP="006C0B7F">
            <w:pPr>
              <w:spacing w:after="0" w:line="240" w:lineRule="auto"/>
              <w:jc w:val="center"/>
              <w:rPr>
                <w:rFonts w:ascii="Calibri" w:eastAsia="Times New Roman" w:hAnsi="Calibri" w:cs="Calibri"/>
                <w:b/>
                <w:bCs/>
                <w:color w:val="FFFFFF"/>
                <w:lang w:eastAsia="en-GB"/>
              </w:rPr>
            </w:pPr>
            <w:r w:rsidRPr="00F85B7C">
              <w:rPr>
                <w:rFonts w:ascii="Calibri" w:eastAsia="Times New Roman" w:hAnsi="Calibri" w:cs="Calibri"/>
                <w:b/>
                <w:bCs/>
                <w:color w:val="FFFFFF"/>
                <w:lang w:eastAsia="en-GB"/>
              </w:rPr>
              <w:t>2015</w:t>
            </w:r>
          </w:p>
        </w:tc>
        <w:tc>
          <w:tcPr>
            <w:tcW w:w="1159" w:type="dxa"/>
            <w:tcBorders>
              <w:top w:val="single" w:sz="4" w:space="0" w:color="8EA9DB"/>
              <w:left w:val="nil"/>
              <w:bottom w:val="single" w:sz="4" w:space="0" w:color="8EA9DB"/>
              <w:right w:val="nil"/>
            </w:tcBorders>
            <w:shd w:val="clear" w:color="4472C4" w:fill="4472C4"/>
            <w:noWrap/>
            <w:vAlign w:val="bottom"/>
            <w:hideMark/>
          </w:tcPr>
          <w:p w14:paraId="45DEFFE6" w14:textId="77777777" w:rsidR="00403A81" w:rsidRPr="00F85B7C" w:rsidRDefault="00403A81" w:rsidP="006C0B7F">
            <w:pPr>
              <w:spacing w:after="0" w:line="240" w:lineRule="auto"/>
              <w:jc w:val="center"/>
              <w:rPr>
                <w:rFonts w:ascii="Calibri" w:eastAsia="Times New Roman" w:hAnsi="Calibri" w:cs="Calibri"/>
                <w:b/>
                <w:bCs/>
                <w:color w:val="FFFFFF"/>
                <w:lang w:eastAsia="en-GB"/>
              </w:rPr>
            </w:pPr>
            <w:r w:rsidRPr="00F85B7C">
              <w:rPr>
                <w:rFonts w:ascii="Calibri" w:eastAsia="Times New Roman" w:hAnsi="Calibri" w:cs="Calibri"/>
                <w:b/>
                <w:bCs/>
                <w:color w:val="FFFFFF"/>
                <w:lang w:eastAsia="en-GB"/>
              </w:rPr>
              <w:t>2016</w:t>
            </w:r>
          </w:p>
        </w:tc>
        <w:tc>
          <w:tcPr>
            <w:tcW w:w="1159" w:type="dxa"/>
            <w:tcBorders>
              <w:top w:val="single" w:sz="4" w:space="0" w:color="8EA9DB"/>
              <w:left w:val="nil"/>
              <w:bottom w:val="single" w:sz="4" w:space="0" w:color="8EA9DB"/>
              <w:right w:val="nil"/>
            </w:tcBorders>
            <w:shd w:val="clear" w:color="4472C4" w:fill="4472C4"/>
            <w:noWrap/>
            <w:vAlign w:val="bottom"/>
            <w:hideMark/>
          </w:tcPr>
          <w:p w14:paraId="170BE5DC" w14:textId="77777777" w:rsidR="00403A81" w:rsidRPr="00F85B7C" w:rsidRDefault="00403A81" w:rsidP="006C0B7F">
            <w:pPr>
              <w:spacing w:after="0" w:line="240" w:lineRule="auto"/>
              <w:jc w:val="center"/>
              <w:rPr>
                <w:rFonts w:ascii="Calibri" w:eastAsia="Times New Roman" w:hAnsi="Calibri" w:cs="Calibri"/>
                <w:b/>
                <w:bCs/>
                <w:color w:val="FFFFFF"/>
                <w:lang w:eastAsia="en-GB"/>
              </w:rPr>
            </w:pPr>
            <w:r w:rsidRPr="00F85B7C">
              <w:rPr>
                <w:rFonts w:ascii="Calibri" w:eastAsia="Times New Roman" w:hAnsi="Calibri" w:cs="Calibri"/>
                <w:b/>
                <w:bCs/>
                <w:color w:val="FFFFFF"/>
                <w:lang w:eastAsia="en-GB"/>
              </w:rPr>
              <w:t>2017</w:t>
            </w:r>
          </w:p>
        </w:tc>
        <w:tc>
          <w:tcPr>
            <w:tcW w:w="1159" w:type="dxa"/>
            <w:tcBorders>
              <w:top w:val="single" w:sz="4" w:space="0" w:color="8EA9DB"/>
              <w:left w:val="nil"/>
              <w:bottom w:val="single" w:sz="4" w:space="0" w:color="8EA9DB"/>
              <w:right w:val="nil"/>
            </w:tcBorders>
            <w:shd w:val="clear" w:color="4472C4" w:fill="4472C4"/>
            <w:noWrap/>
            <w:vAlign w:val="bottom"/>
            <w:hideMark/>
          </w:tcPr>
          <w:p w14:paraId="3E7DF174" w14:textId="77777777" w:rsidR="00403A81" w:rsidRPr="00F85B7C" w:rsidRDefault="00403A81" w:rsidP="006C0B7F">
            <w:pPr>
              <w:spacing w:after="0" w:line="240" w:lineRule="auto"/>
              <w:jc w:val="center"/>
              <w:rPr>
                <w:rFonts w:ascii="Calibri" w:eastAsia="Times New Roman" w:hAnsi="Calibri" w:cs="Calibri"/>
                <w:b/>
                <w:bCs/>
                <w:color w:val="FFFFFF"/>
                <w:lang w:eastAsia="en-GB"/>
              </w:rPr>
            </w:pPr>
            <w:r w:rsidRPr="00F85B7C">
              <w:rPr>
                <w:rFonts w:ascii="Calibri" w:eastAsia="Times New Roman" w:hAnsi="Calibri" w:cs="Calibri"/>
                <w:b/>
                <w:bCs/>
                <w:color w:val="FFFFFF"/>
                <w:lang w:eastAsia="en-GB"/>
              </w:rPr>
              <w:t>2018</w:t>
            </w:r>
          </w:p>
        </w:tc>
        <w:tc>
          <w:tcPr>
            <w:tcW w:w="1907" w:type="dxa"/>
            <w:tcBorders>
              <w:top w:val="single" w:sz="4" w:space="0" w:color="8EA9DB"/>
              <w:left w:val="nil"/>
              <w:bottom w:val="single" w:sz="4" w:space="0" w:color="8EA9DB"/>
              <w:right w:val="single" w:sz="4" w:space="0" w:color="8EA9DB"/>
            </w:tcBorders>
            <w:shd w:val="clear" w:color="4472C4" w:fill="4472C4"/>
            <w:noWrap/>
            <w:vAlign w:val="bottom"/>
            <w:hideMark/>
          </w:tcPr>
          <w:p w14:paraId="00A4C264" w14:textId="77777777" w:rsidR="00403A81" w:rsidRPr="00F85B7C" w:rsidRDefault="00403A81" w:rsidP="006C0B7F">
            <w:pPr>
              <w:spacing w:after="0" w:line="240" w:lineRule="auto"/>
              <w:jc w:val="center"/>
              <w:rPr>
                <w:rFonts w:ascii="Calibri" w:eastAsia="Times New Roman" w:hAnsi="Calibri" w:cs="Calibri"/>
                <w:b/>
                <w:bCs/>
                <w:color w:val="FFFFFF"/>
                <w:lang w:eastAsia="en-GB"/>
              </w:rPr>
            </w:pPr>
            <w:r w:rsidRPr="00F85B7C">
              <w:rPr>
                <w:rFonts w:ascii="Calibri" w:eastAsia="Times New Roman" w:hAnsi="Calibri" w:cs="Calibri"/>
                <w:b/>
                <w:bCs/>
                <w:color w:val="FFFFFF"/>
                <w:lang w:eastAsia="en-GB"/>
              </w:rPr>
              <w:t xml:space="preserve">AstraZeneca </w:t>
            </w:r>
            <w:r>
              <w:rPr>
                <w:rFonts w:ascii="Calibri" w:eastAsia="Times New Roman" w:hAnsi="Calibri" w:cs="Calibri"/>
                <w:b/>
                <w:bCs/>
                <w:color w:val="FFFFFF"/>
                <w:lang w:eastAsia="en-GB"/>
              </w:rPr>
              <w:t xml:space="preserve">2018 </w:t>
            </w:r>
            <w:r w:rsidRPr="00F85B7C">
              <w:rPr>
                <w:rFonts w:ascii="Calibri" w:eastAsia="Times New Roman" w:hAnsi="Calibri" w:cs="Calibri"/>
                <w:b/>
                <w:bCs/>
                <w:color w:val="FFFFFF"/>
                <w:lang w:eastAsia="en-GB"/>
              </w:rPr>
              <w:t>$</w:t>
            </w:r>
            <w:r>
              <w:rPr>
                <w:rFonts w:ascii="Calibri" w:eastAsia="Times New Roman" w:hAnsi="Calibri" w:cs="Calibri"/>
                <w:b/>
                <w:bCs/>
                <w:color w:val="FFFFFF"/>
                <w:lang w:eastAsia="en-GB"/>
              </w:rPr>
              <w:t>m</w:t>
            </w:r>
          </w:p>
        </w:tc>
      </w:tr>
      <w:tr w:rsidR="00403A81" w:rsidRPr="00F85B7C" w14:paraId="1C314FF0" w14:textId="77777777" w:rsidTr="002A12C6">
        <w:trPr>
          <w:trHeight w:val="272"/>
        </w:trPr>
        <w:tc>
          <w:tcPr>
            <w:tcW w:w="2222" w:type="dxa"/>
            <w:tcBorders>
              <w:top w:val="single" w:sz="4" w:space="0" w:color="8EA9DB"/>
              <w:left w:val="single" w:sz="4" w:space="0" w:color="8EA9DB"/>
              <w:bottom w:val="single" w:sz="4" w:space="0" w:color="8EA9DB"/>
              <w:right w:val="nil"/>
            </w:tcBorders>
            <w:shd w:val="clear" w:color="D9E1F2" w:fill="D9E1F2"/>
            <w:noWrap/>
            <w:vAlign w:val="bottom"/>
            <w:hideMark/>
          </w:tcPr>
          <w:p w14:paraId="71A84291"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Current asse</w:t>
            </w:r>
            <w:r>
              <w:rPr>
                <w:rFonts w:ascii="Calibri" w:eastAsia="Times New Roman" w:hAnsi="Calibri" w:cs="Calibri"/>
                <w:color w:val="000000"/>
                <w:lang w:eastAsia="en-GB"/>
              </w:rPr>
              <w:t>ts</w:t>
            </w:r>
          </w:p>
        </w:tc>
        <w:tc>
          <w:tcPr>
            <w:tcW w:w="1159" w:type="dxa"/>
            <w:tcBorders>
              <w:top w:val="single" w:sz="4" w:space="0" w:color="8EA9DB"/>
              <w:left w:val="nil"/>
              <w:bottom w:val="single" w:sz="4" w:space="0" w:color="8EA9DB"/>
              <w:right w:val="nil"/>
            </w:tcBorders>
            <w:shd w:val="clear" w:color="D9E1F2" w:fill="D9E1F2"/>
            <w:noWrap/>
            <w:vAlign w:val="bottom"/>
            <w:hideMark/>
          </w:tcPr>
          <w:p w14:paraId="5F0EBA1F"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14,678</w:t>
            </w:r>
          </w:p>
        </w:tc>
        <w:tc>
          <w:tcPr>
            <w:tcW w:w="1159" w:type="dxa"/>
            <w:tcBorders>
              <w:top w:val="single" w:sz="4" w:space="0" w:color="8EA9DB"/>
              <w:left w:val="nil"/>
              <w:bottom w:val="single" w:sz="4" w:space="0" w:color="8EA9DB"/>
              <w:right w:val="nil"/>
            </w:tcBorders>
            <w:shd w:val="clear" w:color="D9E1F2" w:fill="D9E1F2"/>
            <w:noWrap/>
            <w:vAlign w:val="bottom"/>
            <w:hideMark/>
          </w:tcPr>
          <w:p w14:paraId="5307246E"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16,587</w:t>
            </w:r>
          </w:p>
        </w:tc>
        <w:tc>
          <w:tcPr>
            <w:tcW w:w="1159" w:type="dxa"/>
            <w:tcBorders>
              <w:top w:val="single" w:sz="4" w:space="0" w:color="8EA9DB"/>
              <w:left w:val="nil"/>
              <w:bottom w:val="single" w:sz="4" w:space="0" w:color="8EA9DB"/>
              <w:right w:val="nil"/>
            </w:tcBorders>
            <w:shd w:val="clear" w:color="D9E1F2" w:fill="D9E1F2"/>
            <w:noWrap/>
            <w:vAlign w:val="bottom"/>
            <w:hideMark/>
          </w:tcPr>
          <w:p w14:paraId="540D82C0"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16,711</w:t>
            </w:r>
          </w:p>
        </w:tc>
        <w:tc>
          <w:tcPr>
            <w:tcW w:w="1159" w:type="dxa"/>
            <w:tcBorders>
              <w:top w:val="single" w:sz="4" w:space="0" w:color="8EA9DB"/>
              <w:left w:val="nil"/>
              <w:bottom w:val="single" w:sz="4" w:space="0" w:color="8EA9DB"/>
              <w:right w:val="nil"/>
            </w:tcBorders>
            <w:shd w:val="clear" w:color="D9E1F2" w:fill="D9E1F2"/>
            <w:noWrap/>
            <w:vAlign w:val="bottom"/>
            <w:hideMark/>
          </w:tcPr>
          <w:p w14:paraId="255DE415"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15,907</w:t>
            </w:r>
          </w:p>
        </w:tc>
        <w:tc>
          <w:tcPr>
            <w:tcW w:w="1159" w:type="dxa"/>
            <w:tcBorders>
              <w:top w:val="single" w:sz="4" w:space="0" w:color="8EA9DB"/>
              <w:left w:val="nil"/>
              <w:bottom w:val="single" w:sz="4" w:space="0" w:color="8EA9DB"/>
              <w:right w:val="nil"/>
            </w:tcBorders>
            <w:shd w:val="clear" w:color="D9E1F2" w:fill="D9E1F2"/>
            <w:noWrap/>
            <w:vAlign w:val="bottom"/>
            <w:hideMark/>
          </w:tcPr>
          <w:p w14:paraId="1E03B56D"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16,927</w:t>
            </w:r>
          </w:p>
        </w:tc>
        <w:tc>
          <w:tcPr>
            <w:tcW w:w="1907" w:type="dxa"/>
            <w:tcBorders>
              <w:top w:val="single" w:sz="4" w:space="0" w:color="8EA9DB"/>
              <w:left w:val="nil"/>
              <w:bottom w:val="single" w:sz="4" w:space="0" w:color="8EA9DB"/>
              <w:right w:val="single" w:sz="4" w:space="0" w:color="8EA9DB"/>
            </w:tcBorders>
            <w:shd w:val="clear" w:color="D9E1F2" w:fill="D9E1F2"/>
            <w:noWrap/>
            <w:vAlign w:val="bottom"/>
            <w:hideMark/>
          </w:tcPr>
          <w:p w14:paraId="0F53C821"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15,591</w:t>
            </w:r>
          </w:p>
        </w:tc>
      </w:tr>
      <w:tr w:rsidR="00403A81" w:rsidRPr="00F85B7C" w14:paraId="3DC183AB" w14:textId="77777777" w:rsidTr="002A12C6">
        <w:trPr>
          <w:trHeight w:val="272"/>
        </w:trPr>
        <w:tc>
          <w:tcPr>
            <w:tcW w:w="2222" w:type="dxa"/>
            <w:tcBorders>
              <w:top w:val="single" w:sz="4" w:space="0" w:color="8EA9DB"/>
              <w:left w:val="single" w:sz="4" w:space="0" w:color="8EA9DB"/>
              <w:bottom w:val="single" w:sz="4" w:space="0" w:color="8EA9DB"/>
              <w:right w:val="nil"/>
            </w:tcBorders>
            <w:shd w:val="clear" w:color="auto" w:fill="auto"/>
            <w:noWrap/>
            <w:vAlign w:val="bottom"/>
            <w:hideMark/>
          </w:tcPr>
          <w:p w14:paraId="2AD47BA3"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Current liabilities</w:t>
            </w:r>
          </w:p>
        </w:tc>
        <w:tc>
          <w:tcPr>
            <w:tcW w:w="1159" w:type="dxa"/>
            <w:tcBorders>
              <w:top w:val="single" w:sz="4" w:space="0" w:color="8EA9DB"/>
              <w:left w:val="nil"/>
              <w:bottom w:val="single" w:sz="4" w:space="0" w:color="8EA9DB"/>
              <w:right w:val="nil"/>
            </w:tcBorders>
            <w:shd w:val="clear" w:color="auto" w:fill="auto"/>
            <w:noWrap/>
            <w:vAlign w:val="bottom"/>
            <w:hideMark/>
          </w:tcPr>
          <w:p w14:paraId="3497E0B3"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13,295</w:t>
            </w:r>
          </w:p>
        </w:tc>
        <w:tc>
          <w:tcPr>
            <w:tcW w:w="1159" w:type="dxa"/>
            <w:tcBorders>
              <w:top w:val="single" w:sz="4" w:space="0" w:color="8EA9DB"/>
              <w:left w:val="nil"/>
              <w:bottom w:val="single" w:sz="4" w:space="0" w:color="8EA9DB"/>
              <w:right w:val="nil"/>
            </w:tcBorders>
            <w:shd w:val="clear" w:color="auto" w:fill="auto"/>
            <w:noWrap/>
            <w:vAlign w:val="bottom"/>
            <w:hideMark/>
          </w:tcPr>
          <w:p w14:paraId="41940D9E"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13,417</w:t>
            </w:r>
          </w:p>
        </w:tc>
        <w:tc>
          <w:tcPr>
            <w:tcW w:w="1159" w:type="dxa"/>
            <w:tcBorders>
              <w:top w:val="single" w:sz="4" w:space="0" w:color="8EA9DB"/>
              <w:left w:val="nil"/>
              <w:bottom w:val="single" w:sz="4" w:space="0" w:color="8EA9DB"/>
              <w:right w:val="nil"/>
            </w:tcBorders>
            <w:shd w:val="clear" w:color="auto" w:fill="auto"/>
            <w:noWrap/>
            <w:vAlign w:val="bottom"/>
            <w:hideMark/>
          </w:tcPr>
          <w:p w14:paraId="67DB3106"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19,001</w:t>
            </w:r>
          </w:p>
        </w:tc>
        <w:tc>
          <w:tcPr>
            <w:tcW w:w="1159" w:type="dxa"/>
            <w:tcBorders>
              <w:top w:val="single" w:sz="4" w:space="0" w:color="8EA9DB"/>
              <w:left w:val="nil"/>
              <w:bottom w:val="single" w:sz="4" w:space="0" w:color="8EA9DB"/>
              <w:right w:val="nil"/>
            </w:tcBorders>
            <w:shd w:val="clear" w:color="auto" w:fill="auto"/>
            <w:noWrap/>
            <w:vAlign w:val="bottom"/>
            <w:hideMark/>
          </w:tcPr>
          <w:p w14:paraId="5EF4B015"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26,569</w:t>
            </w:r>
          </w:p>
        </w:tc>
        <w:tc>
          <w:tcPr>
            <w:tcW w:w="1159" w:type="dxa"/>
            <w:tcBorders>
              <w:top w:val="single" w:sz="4" w:space="0" w:color="8EA9DB"/>
              <w:left w:val="nil"/>
              <w:bottom w:val="single" w:sz="4" w:space="0" w:color="8EA9DB"/>
              <w:right w:val="nil"/>
            </w:tcBorders>
            <w:shd w:val="clear" w:color="auto" w:fill="auto"/>
            <w:noWrap/>
            <w:vAlign w:val="bottom"/>
            <w:hideMark/>
          </w:tcPr>
          <w:p w14:paraId="6C140DF6"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22,491</w:t>
            </w:r>
          </w:p>
        </w:tc>
        <w:tc>
          <w:tcPr>
            <w:tcW w:w="1907" w:type="dxa"/>
            <w:tcBorders>
              <w:top w:val="single" w:sz="4" w:space="0" w:color="8EA9DB"/>
              <w:left w:val="nil"/>
              <w:bottom w:val="single" w:sz="4" w:space="0" w:color="8EA9DB"/>
              <w:right w:val="single" w:sz="4" w:space="0" w:color="8EA9DB"/>
            </w:tcBorders>
            <w:shd w:val="clear" w:color="auto" w:fill="auto"/>
            <w:noWrap/>
            <w:vAlign w:val="bottom"/>
            <w:hideMark/>
          </w:tcPr>
          <w:p w14:paraId="58688BA1"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16,292</w:t>
            </w:r>
          </w:p>
        </w:tc>
      </w:tr>
      <w:tr w:rsidR="00403A81" w:rsidRPr="00F85B7C" w14:paraId="7F61B238" w14:textId="77777777" w:rsidTr="002A12C6">
        <w:trPr>
          <w:trHeight w:val="272"/>
        </w:trPr>
        <w:tc>
          <w:tcPr>
            <w:tcW w:w="2222" w:type="dxa"/>
            <w:tcBorders>
              <w:top w:val="single" w:sz="4" w:space="0" w:color="8EA9DB"/>
              <w:left w:val="single" w:sz="4" w:space="0" w:color="8EA9DB"/>
              <w:bottom w:val="single" w:sz="4" w:space="0" w:color="8EA9DB"/>
              <w:right w:val="nil"/>
            </w:tcBorders>
            <w:shd w:val="clear" w:color="D9E1F2" w:fill="D9E1F2"/>
            <w:noWrap/>
            <w:vAlign w:val="bottom"/>
            <w:hideMark/>
          </w:tcPr>
          <w:p w14:paraId="43E50B57"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Inventory</w:t>
            </w:r>
          </w:p>
        </w:tc>
        <w:tc>
          <w:tcPr>
            <w:tcW w:w="1159" w:type="dxa"/>
            <w:tcBorders>
              <w:top w:val="single" w:sz="4" w:space="0" w:color="8EA9DB"/>
              <w:left w:val="nil"/>
              <w:bottom w:val="single" w:sz="4" w:space="0" w:color="8EA9DB"/>
              <w:right w:val="nil"/>
            </w:tcBorders>
            <w:shd w:val="clear" w:color="D9E1F2" w:fill="D9E1F2"/>
            <w:noWrap/>
            <w:vAlign w:val="bottom"/>
            <w:hideMark/>
          </w:tcPr>
          <w:p w14:paraId="44F0E8BD"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4,231</w:t>
            </w:r>
          </w:p>
        </w:tc>
        <w:tc>
          <w:tcPr>
            <w:tcW w:w="1159" w:type="dxa"/>
            <w:tcBorders>
              <w:top w:val="single" w:sz="4" w:space="0" w:color="8EA9DB"/>
              <w:left w:val="nil"/>
              <w:bottom w:val="single" w:sz="4" w:space="0" w:color="8EA9DB"/>
              <w:right w:val="nil"/>
            </w:tcBorders>
            <w:shd w:val="clear" w:color="D9E1F2" w:fill="D9E1F2"/>
            <w:noWrap/>
            <w:vAlign w:val="bottom"/>
            <w:hideMark/>
          </w:tcPr>
          <w:p w14:paraId="691D7638"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4,716</w:t>
            </w:r>
          </w:p>
        </w:tc>
        <w:tc>
          <w:tcPr>
            <w:tcW w:w="1159" w:type="dxa"/>
            <w:tcBorders>
              <w:top w:val="single" w:sz="4" w:space="0" w:color="8EA9DB"/>
              <w:left w:val="nil"/>
              <w:bottom w:val="single" w:sz="4" w:space="0" w:color="8EA9DB"/>
              <w:right w:val="nil"/>
            </w:tcBorders>
            <w:shd w:val="clear" w:color="D9E1F2" w:fill="D9E1F2"/>
            <w:noWrap/>
            <w:vAlign w:val="bottom"/>
            <w:hideMark/>
          </w:tcPr>
          <w:p w14:paraId="2A4D4133"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5,102</w:t>
            </w:r>
          </w:p>
        </w:tc>
        <w:tc>
          <w:tcPr>
            <w:tcW w:w="1159" w:type="dxa"/>
            <w:tcBorders>
              <w:top w:val="single" w:sz="4" w:space="0" w:color="8EA9DB"/>
              <w:left w:val="nil"/>
              <w:bottom w:val="single" w:sz="4" w:space="0" w:color="8EA9DB"/>
              <w:right w:val="nil"/>
            </w:tcBorders>
            <w:shd w:val="clear" w:color="D9E1F2" w:fill="D9E1F2"/>
            <w:noWrap/>
            <w:vAlign w:val="bottom"/>
            <w:hideMark/>
          </w:tcPr>
          <w:p w14:paraId="70CB08DB"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5,557</w:t>
            </w:r>
          </w:p>
        </w:tc>
        <w:tc>
          <w:tcPr>
            <w:tcW w:w="1159" w:type="dxa"/>
            <w:tcBorders>
              <w:top w:val="single" w:sz="4" w:space="0" w:color="8EA9DB"/>
              <w:left w:val="nil"/>
              <w:bottom w:val="single" w:sz="4" w:space="0" w:color="8EA9DB"/>
              <w:right w:val="nil"/>
            </w:tcBorders>
            <w:shd w:val="clear" w:color="D9E1F2" w:fill="D9E1F2"/>
            <w:noWrap/>
            <w:vAlign w:val="bottom"/>
            <w:hideMark/>
          </w:tcPr>
          <w:p w14:paraId="381FB6C4"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5,476</w:t>
            </w:r>
          </w:p>
        </w:tc>
        <w:tc>
          <w:tcPr>
            <w:tcW w:w="1907" w:type="dxa"/>
            <w:tcBorders>
              <w:top w:val="single" w:sz="4" w:space="0" w:color="8EA9DB"/>
              <w:left w:val="nil"/>
              <w:bottom w:val="single" w:sz="4" w:space="0" w:color="8EA9DB"/>
              <w:right w:val="single" w:sz="4" w:space="0" w:color="8EA9DB"/>
            </w:tcBorders>
            <w:shd w:val="clear" w:color="D9E1F2" w:fill="D9E1F2"/>
            <w:noWrap/>
            <w:vAlign w:val="bottom"/>
            <w:hideMark/>
          </w:tcPr>
          <w:p w14:paraId="33B344C3"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2,890</w:t>
            </w:r>
          </w:p>
        </w:tc>
      </w:tr>
      <w:tr w:rsidR="00403A81" w:rsidRPr="00F85B7C" w14:paraId="2EAD3934" w14:textId="77777777" w:rsidTr="002A12C6">
        <w:trPr>
          <w:trHeight w:val="272"/>
        </w:trPr>
        <w:tc>
          <w:tcPr>
            <w:tcW w:w="2222" w:type="dxa"/>
            <w:tcBorders>
              <w:top w:val="single" w:sz="4" w:space="0" w:color="8EA9DB"/>
              <w:left w:val="single" w:sz="4" w:space="0" w:color="8EA9DB"/>
              <w:bottom w:val="single" w:sz="4" w:space="0" w:color="8EA9DB"/>
              <w:right w:val="nil"/>
            </w:tcBorders>
            <w:shd w:val="clear" w:color="auto" w:fill="auto"/>
            <w:noWrap/>
            <w:vAlign w:val="bottom"/>
            <w:hideMark/>
          </w:tcPr>
          <w:p w14:paraId="61FF1630"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 xml:space="preserve">Cash and </w:t>
            </w:r>
            <w:r>
              <w:rPr>
                <w:rFonts w:ascii="Calibri" w:eastAsia="Times New Roman" w:hAnsi="Calibri" w:cs="Calibri"/>
                <w:color w:val="000000"/>
                <w:lang w:eastAsia="en-GB"/>
              </w:rPr>
              <w:t>cash equivalents</w:t>
            </w:r>
          </w:p>
        </w:tc>
        <w:tc>
          <w:tcPr>
            <w:tcW w:w="1159" w:type="dxa"/>
            <w:tcBorders>
              <w:top w:val="single" w:sz="4" w:space="0" w:color="8EA9DB"/>
              <w:left w:val="nil"/>
              <w:bottom w:val="single" w:sz="4" w:space="0" w:color="8EA9DB"/>
              <w:right w:val="nil"/>
            </w:tcBorders>
            <w:shd w:val="clear" w:color="auto" w:fill="auto"/>
            <w:noWrap/>
            <w:vAlign w:val="bottom"/>
            <w:hideMark/>
          </w:tcPr>
          <w:p w14:paraId="1203156B"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4,338</w:t>
            </w:r>
          </w:p>
        </w:tc>
        <w:tc>
          <w:tcPr>
            <w:tcW w:w="1159" w:type="dxa"/>
            <w:tcBorders>
              <w:top w:val="single" w:sz="4" w:space="0" w:color="8EA9DB"/>
              <w:left w:val="nil"/>
              <w:bottom w:val="single" w:sz="4" w:space="0" w:color="8EA9DB"/>
              <w:right w:val="nil"/>
            </w:tcBorders>
            <w:shd w:val="clear" w:color="auto" w:fill="auto"/>
            <w:noWrap/>
            <w:vAlign w:val="bottom"/>
            <w:hideMark/>
          </w:tcPr>
          <w:p w14:paraId="1B596584"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5,830</w:t>
            </w:r>
          </w:p>
        </w:tc>
        <w:tc>
          <w:tcPr>
            <w:tcW w:w="1159" w:type="dxa"/>
            <w:tcBorders>
              <w:top w:val="single" w:sz="4" w:space="0" w:color="8EA9DB"/>
              <w:left w:val="nil"/>
              <w:bottom w:val="single" w:sz="4" w:space="0" w:color="8EA9DB"/>
              <w:right w:val="nil"/>
            </w:tcBorders>
            <w:shd w:val="clear" w:color="auto" w:fill="auto"/>
            <w:noWrap/>
            <w:vAlign w:val="bottom"/>
            <w:hideMark/>
          </w:tcPr>
          <w:p w14:paraId="4F9842E8"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4,897</w:t>
            </w:r>
          </w:p>
        </w:tc>
        <w:tc>
          <w:tcPr>
            <w:tcW w:w="1159" w:type="dxa"/>
            <w:tcBorders>
              <w:top w:val="single" w:sz="4" w:space="0" w:color="8EA9DB"/>
              <w:left w:val="nil"/>
              <w:bottom w:val="single" w:sz="4" w:space="0" w:color="8EA9DB"/>
              <w:right w:val="nil"/>
            </w:tcBorders>
            <w:shd w:val="clear" w:color="auto" w:fill="auto"/>
            <w:noWrap/>
            <w:vAlign w:val="bottom"/>
            <w:hideMark/>
          </w:tcPr>
          <w:p w14:paraId="1F4BA2D6"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3,833</w:t>
            </w:r>
          </w:p>
        </w:tc>
        <w:tc>
          <w:tcPr>
            <w:tcW w:w="1159" w:type="dxa"/>
            <w:tcBorders>
              <w:top w:val="single" w:sz="4" w:space="0" w:color="8EA9DB"/>
              <w:left w:val="nil"/>
              <w:bottom w:val="single" w:sz="4" w:space="0" w:color="8EA9DB"/>
              <w:right w:val="nil"/>
            </w:tcBorders>
            <w:shd w:val="clear" w:color="auto" w:fill="auto"/>
            <w:noWrap/>
            <w:vAlign w:val="bottom"/>
            <w:hideMark/>
          </w:tcPr>
          <w:p w14:paraId="33B2BC71"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3,874</w:t>
            </w:r>
          </w:p>
        </w:tc>
        <w:tc>
          <w:tcPr>
            <w:tcW w:w="1907" w:type="dxa"/>
            <w:tcBorders>
              <w:top w:val="single" w:sz="4" w:space="0" w:color="8EA9DB"/>
              <w:left w:val="nil"/>
              <w:bottom w:val="single" w:sz="4" w:space="0" w:color="8EA9DB"/>
              <w:right w:val="single" w:sz="4" w:space="0" w:color="8EA9DB"/>
            </w:tcBorders>
            <w:shd w:val="clear" w:color="auto" w:fill="auto"/>
            <w:noWrap/>
            <w:vAlign w:val="bottom"/>
            <w:hideMark/>
          </w:tcPr>
          <w:p w14:paraId="6AF40694" w14:textId="77777777" w:rsidR="00403A81" w:rsidRPr="00F85B7C" w:rsidRDefault="00403A81" w:rsidP="006C0B7F">
            <w:pPr>
              <w:spacing w:after="0" w:line="240" w:lineRule="auto"/>
              <w:jc w:val="center"/>
              <w:rPr>
                <w:rFonts w:ascii="Calibri" w:eastAsia="Times New Roman" w:hAnsi="Calibri" w:cs="Calibri"/>
                <w:color w:val="000000"/>
                <w:lang w:eastAsia="en-GB"/>
              </w:rPr>
            </w:pPr>
            <w:r w:rsidRPr="00F85B7C">
              <w:rPr>
                <w:rFonts w:ascii="Calibri" w:eastAsia="Times New Roman" w:hAnsi="Calibri" w:cs="Calibri"/>
                <w:color w:val="000000"/>
                <w:lang w:eastAsia="en-GB"/>
              </w:rPr>
              <w:t>4,831</w:t>
            </w:r>
          </w:p>
        </w:tc>
      </w:tr>
    </w:tbl>
    <w:p w14:paraId="53902FAF" w14:textId="5D8241E9" w:rsidR="002A12C6" w:rsidRDefault="002A12C6" w:rsidP="002A12C6">
      <w:r>
        <w:t>Source</w:t>
      </w:r>
      <w:r w:rsidRPr="00772647">
        <w:rPr>
          <w:i/>
        </w:rPr>
        <w:t>: Annual Financial Reports of GSK and AstraZeneca.</w:t>
      </w:r>
      <w:r>
        <w:t xml:space="preserve"> </w:t>
      </w:r>
    </w:p>
    <w:p w14:paraId="692772B7" w14:textId="05CAF081" w:rsidR="002A12C6" w:rsidRDefault="002A12C6" w:rsidP="002A12C6"/>
    <w:p w14:paraId="5579260E" w14:textId="00B5E099" w:rsidR="001752EF" w:rsidRPr="001752EF" w:rsidRDefault="001752EF" w:rsidP="002A12C6">
      <w:pPr>
        <w:rPr>
          <w:b/>
        </w:rPr>
      </w:pPr>
      <w:r w:rsidRPr="00772647">
        <w:rPr>
          <w:b/>
          <w:u w:val="single"/>
        </w:rPr>
        <w:t xml:space="preserve">Tab. </w:t>
      </w:r>
      <w:r>
        <w:rPr>
          <w:b/>
          <w:u w:val="single"/>
        </w:rPr>
        <w:t>4</w:t>
      </w:r>
      <w:r w:rsidRPr="00772647">
        <w:rPr>
          <w:b/>
        </w:rPr>
        <w:t xml:space="preserve">: </w:t>
      </w:r>
      <w:r>
        <w:rPr>
          <w:b/>
        </w:rPr>
        <w:t xml:space="preserve">Liquidity ratios </w:t>
      </w:r>
      <w:r w:rsidRPr="00772647">
        <w:rPr>
          <w:b/>
        </w:rPr>
        <w:t xml:space="preserve">of GSK (2014-2018) and AstraZeneca (2018). </w:t>
      </w:r>
    </w:p>
    <w:tbl>
      <w:tblPr>
        <w:tblW w:w="10240" w:type="dxa"/>
        <w:tblLook w:val="04A0" w:firstRow="1" w:lastRow="0" w:firstColumn="1" w:lastColumn="0" w:noHBand="0" w:noVBand="1"/>
      </w:tblPr>
      <w:tblGrid>
        <w:gridCol w:w="1923"/>
        <w:gridCol w:w="1003"/>
        <w:gridCol w:w="1003"/>
        <w:gridCol w:w="1003"/>
        <w:gridCol w:w="1003"/>
        <w:gridCol w:w="1003"/>
        <w:gridCol w:w="2982"/>
        <w:gridCol w:w="320"/>
      </w:tblGrid>
      <w:tr w:rsidR="008D2ADF" w:rsidRPr="005F645B" w14:paraId="43CB27A5" w14:textId="77777777" w:rsidTr="00E87D7A">
        <w:trPr>
          <w:trHeight w:val="306"/>
        </w:trPr>
        <w:tc>
          <w:tcPr>
            <w:tcW w:w="1923" w:type="dxa"/>
            <w:tcBorders>
              <w:top w:val="single" w:sz="4" w:space="0" w:color="8EA9DB"/>
              <w:left w:val="single" w:sz="4" w:space="0" w:color="8EA9DB"/>
              <w:bottom w:val="single" w:sz="4" w:space="0" w:color="8EA9DB"/>
              <w:right w:val="nil"/>
            </w:tcBorders>
            <w:shd w:val="clear" w:color="4472C4" w:fill="4472C4"/>
            <w:noWrap/>
            <w:vAlign w:val="bottom"/>
            <w:hideMark/>
          </w:tcPr>
          <w:p w14:paraId="4FEE4FF9" w14:textId="77777777" w:rsidR="008D2ADF" w:rsidRPr="005F645B" w:rsidRDefault="008D2ADF" w:rsidP="006C0B7F">
            <w:pPr>
              <w:spacing w:after="0" w:line="240" w:lineRule="auto"/>
              <w:jc w:val="center"/>
              <w:rPr>
                <w:rFonts w:ascii="Calibri" w:eastAsia="Times New Roman" w:hAnsi="Calibri" w:cs="Calibri"/>
                <w:b/>
                <w:bCs/>
                <w:color w:val="FFFFFF"/>
                <w:lang w:eastAsia="en-GB"/>
              </w:rPr>
            </w:pPr>
            <w:r w:rsidRPr="005F645B">
              <w:rPr>
                <w:rFonts w:ascii="Calibri" w:eastAsia="Times New Roman" w:hAnsi="Calibri" w:cs="Calibri"/>
                <w:b/>
                <w:bCs/>
                <w:color w:val="FFFFFF"/>
                <w:lang w:eastAsia="en-GB"/>
              </w:rPr>
              <w:t>GSK</w:t>
            </w:r>
          </w:p>
        </w:tc>
        <w:tc>
          <w:tcPr>
            <w:tcW w:w="1003" w:type="dxa"/>
            <w:tcBorders>
              <w:top w:val="single" w:sz="4" w:space="0" w:color="8EA9DB"/>
              <w:left w:val="nil"/>
              <w:bottom w:val="single" w:sz="4" w:space="0" w:color="8EA9DB"/>
              <w:right w:val="nil"/>
            </w:tcBorders>
            <w:shd w:val="clear" w:color="4472C4" w:fill="4472C4"/>
            <w:noWrap/>
            <w:vAlign w:val="bottom"/>
            <w:hideMark/>
          </w:tcPr>
          <w:p w14:paraId="047EF13B" w14:textId="77777777" w:rsidR="008D2ADF" w:rsidRPr="005F645B" w:rsidRDefault="008D2ADF" w:rsidP="006C0B7F">
            <w:pPr>
              <w:spacing w:after="0" w:line="240" w:lineRule="auto"/>
              <w:jc w:val="center"/>
              <w:rPr>
                <w:rFonts w:ascii="Calibri" w:eastAsia="Times New Roman" w:hAnsi="Calibri" w:cs="Calibri"/>
                <w:b/>
                <w:bCs/>
                <w:color w:val="FFFFFF"/>
                <w:lang w:eastAsia="en-GB"/>
              </w:rPr>
            </w:pPr>
            <w:r w:rsidRPr="005F645B">
              <w:rPr>
                <w:rFonts w:ascii="Calibri" w:eastAsia="Times New Roman" w:hAnsi="Calibri" w:cs="Calibri"/>
                <w:b/>
                <w:bCs/>
                <w:color w:val="FFFFFF"/>
                <w:lang w:eastAsia="en-GB"/>
              </w:rPr>
              <w:t>2014</w:t>
            </w:r>
          </w:p>
        </w:tc>
        <w:tc>
          <w:tcPr>
            <w:tcW w:w="1003" w:type="dxa"/>
            <w:tcBorders>
              <w:top w:val="single" w:sz="4" w:space="0" w:color="8EA9DB"/>
              <w:left w:val="nil"/>
              <w:bottom w:val="single" w:sz="4" w:space="0" w:color="8EA9DB"/>
              <w:right w:val="nil"/>
            </w:tcBorders>
            <w:shd w:val="clear" w:color="4472C4" w:fill="4472C4"/>
            <w:noWrap/>
            <w:vAlign w:val="bottom"/>
            <w:hideMark/>
          </w:tcPr>
          <w:p w14:paraId="14F91BE2" w14:textId="77777777" w:rsidR="008D2ADF" w:rsidRPr="005F645B" w:rsidRDefault="008D2ADF" w:rsidP="006C0B7F">
            <w:pPr>
              <w:spacing w:after="0" w:line="240" w:lineRule="auto"/>
              <w:jc w:val="center"/>
              <w:rPr>
                <w:rFonts w:ascii="Calibri" w:eastAsia="Times New Roman" w:hAnsi="Calibri" w:cs="Calibri"/>
                <w:b/>
                <w:bCs/>
                <w:color w:val="FFFFFF"/>
                <w:lang w:eastAsia="en-GB"/>
              </w:rPr>
            </w:pPr>
            <w:r w:rsidRPr="005F645B">
              <w:rPr>
                <w:rFonts w:ascii="Calibri" w:eastAsia="Times New Roman" w:hAnsi="Calibri" w:cs="Calibri"/>
                <w:b/>
                <w:bCs/>
                <w:color w:val="FFFFFF"/>
                <w:lang w:eastAsia="en-GB"/>
              </w:rPr>
              <w:t>2015</w:t>
            </w:r>
          </w:p>
        </w:tc>
        <w:tc>
          <w:tcPr>
            <w:tcW w:w="1003" w:type="dxa"/>
            <w:tcBorders>
              <w:top w:val="single" w:sz="4" w:space="0" w:color="8EA9DB"/>
              <w:left w:val="nil"/>
              <w:bottom w:val="single" w:sz="4" w:space="0" w:color="8EA9DB"/>
              <w:right w:val="nil"/>
            </w:tcBorders>
            <w:shd w:val="clear" w:color="4472C4" w:fill="4472C4"/>
            <w:noWrap/>
            <w:vAlign w:val="bottom"/>
            <w:hideMark/>
          </w:tcPr>
          <w:p w14:paraId="33AF7077" w14:textId="77777777" w:rsidR="008D2ADF" w:rsidRPr="005F645B" w:rsidRDefault="008D2ADF" w:rsidP="006C0B7F">
            <w:pPr>
              <w:spacing w:after="0" w:line="240" w:lineRule="auto"/>
              <w:jc w:val="center"/>
              <w:rPr>
                <w:rFonts w:ascii="Calibri" w:eastAsia="Times New Roman" w:hAnsi="Calibri" w:cs="Calibri"/>
                <w:b/>
                <w:bCs/>
                <w:color w:val="FFFFFF"/>
                <w:lang w:eastAsia="en-GB"/>
              </w:rPr>
            </w:pPr>
            <w:r w:rsidRPr="005F645B">
              <w:rPr>
                <w:rFonts w:ascii="Calibri" w:eastAsia="Times New Roman" w:hAnsi="Calibri" w:cs="Calibri"/>
                <w:b/>
                <w:bCs/>
                <w:color w:val="FFFFFF"/>
                <w:lang w:eastAsia="en-GB"/>
              </w:rPr>
              <w:t>2016</w:t>
            </w:r>
          </w:p>
        </w:tc>
        <w:tc>
          <w:tcPr>
            <w:tcW w:w="1003" w:type="dxa"/>
            <w:tcBorders>
              <w:top w:val="single" w:sz="4" w:space="0" w:color="8EA9DB"/>
              <w:left w:val="nil"/>
              <w:bottom w:val="single" w:sz="4" w:space="0" w:color="8EA9DB"/>
              <w:right w:val="nil"/>
            </w:tcBorders>
            <w:shd w:val="clear" w:color="4472C4" w:fill="4472C4"/>
            <w:noWrap/>
            <w:vAlign w:val="bottom"/>
            <w:hideMark/>
          </w:tcPr>
          <w:p w14:paraId="6C7A4405" w14:textId="77777777" w:rsidR="008D2ADF" w:rsidRPr="005F645B" w:rsidRDefault="008D2ADF" w:rsidP="006C0B7F">
            <w:pPr>
              <w:spacing w:after="0" w:line="240" w:lineRule="auto"/>
              <w:jc w:val="center"/>
              <w:rPr>
                <w:rFonts w:ascii="Calibri" w:eastAsia="Times New Roman" w:hAnsi="Calibri" w:cs="Calibri"/>
                <w:b/>
                <w:bCs/>
                <w:color w:val="FFFFFF"/>
                <w:lang w:eastAsia="en-GB"/>
              </w:rPr>
            </w:pPr>
            <w:r w:rsidRPr="005F645B">
              <w:rPr>
                <w:rFonts w:ascii="Calibri" w:eastAsia="Times New Roman" w:hAnsi="Calibri" w:cs="Calibri"/>
                <w:b/>
                <w:bCs/>
                <w:color w:val="FFFFFF"/>
                <w:lang w:eastAsia="en-GB"/>
              </w:rPr>
              <w:t>2017</w:t>
            </w:r>
          </w:p>
        </w:tc>
        <w:tc>
          <w:tcPr>
            <w:tcW w:w="1003" w:type="dxa"/>
            <w:tcBorders>
              <w:top w:val="single" w:sz="4" w:space="0" w:color="8EA9DB"/>
              <w:left w:val="nil"/>
              <w:bottom w:val="single" w:sz="4" w:space="0" w:color="8EA9DB"/>
              <w:right w:val="nil"/>
            </w:tcBorders>
            <w:shd w:val="clear" w:color="4472C4" w:fill="4472C4"/>
            <w:noWrap/>
            <w:vAlign w:val="bottom"/>
            <w:hideMark/>
          </w:tcPr>
          <w:p w14:paraId="299055E6" w14:textId="77777777" w:rsidR="008D2ADF" w:rsidRPr="005F645B" w:rsidRDefault="008D2ADF" w:rsidP="006C0B7F">
            <w:pPr>
              <w:spacing w:after="0" w:line="240" w:lineRule="auto"/>
              <w:jc w:val="center"/>
              <w:rPr>
                <w:rFonts w:ascii="Calibri" w:eastAsia="Times New Roman" w:hAnsi="Calibri" w:cs="Calibri"/>
                <w:b/>
                <w:bCs/>
                <w:color w:val="FFFFFF"/>
                <w:lang w:eastAsia="en-GB"/>
              </w:rPr>
            </w:pPr>
            <w:r w:rsidRPr="005F645B">
              <w:rPr>
                <w:rFonts w:ascii="Calibri" w:eastAsia="Times New Roman" w:hAnsi="Calibri" w:cs="Calibri"/>
                <w:b/>
                <w:bCs/>
                <w:color w:val="FFFFFF"/>
                <w:lang w:eastAsia="en-GB"/>
              </w:rPr>
              <w:t>2018</w:t>
            </w:r>
          </w:p>
        </w:tc>
        <w:tc>
          <w:tcPr>
            <w:tcW w:w="2982" w:type="dxa"/>
            <w:tcBorders>
              <w:top w:val="single" w:sz="4" w:space="0" w:color="8EA9DB"/>
              <w:left w:val="nil"/>
              <w:bottom w:val="single" w:sz="4" w:space="0" w:color="8EA9DB"/>
              <w:right w:val="single" w:sz="4" w:space="0" w:color="8EA9DB"/>
            </w:tcBorders>
            <w:shd w:val="clear" w:color="4472C4" w:fill="4472C4"/>
            <w:noWrap/>
            <w:vAlign w:val="bottom"/>
            <w:hideMark/>
          </w:tcPr>
          <w:p w14:paraId="213C298E" w14:textId="77777777" w:rsidR="008D2ADF" w:rsidRDefault="008D2ADF" w:rsidP="006C0B7F">
            <w:pPr>
              <w:spacing w:after="0" w:line="240" w:lineRule="auto"/>
              <w:jc w:val="center"/>
              <w:rPr>
                <w:rFonts w:ascii="Calibri" w:eastAsia="Times New Roman" w:hAnsi="Calibri" w:cs="Calibri"/>
                <w:b/>
                <w:bCs/>
                <w:color w:val="FFFFFF"/>
                <w:lang w:eastAsia="en-GB"/>
              </w:rPr>
            </w:pPr>
            <w:r w:rsidRPr="005F645B">
              <w:rPr>
                <w:rFonts w:ascii="Calibri" w:eastAsia="Times New Roman" w:hAnsi="Calibri" w:cs="Calibri"/>
                <w:b/>
                <w:bCs/>
                <w:color w:val="FFFFFF"/>
                <w:lang w:eastAsia="en-GB"/>
              </w:rPr>
              <w:t>AstraZeneca</w:t>
            </w:r>
          </w:p>
          <w:p w14:paraId="1C12EDA0" w14:textId="77777777" w:rsidR="008D2ADF" w:rsidRPr="005F645B" w:rsidRDefault="008D2ADF" w:rsidP="006C0B7F">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2018</w:t>
            </w:r>
          </w:p>
        </w:tc>
        <w:tc>
          <w:tcPr>
            <w:tcW w:w="320" w:type="dxa"/>
            <w:tcBorders>
              <w:top w:val="nil"/>
              <w:left w:val="nil"/>
              <w:bottom w:val="nil"/>
              <w:right w:val="nil"/>
            </w:tcBorders>
            <w:shd w:val="clear" w:color="auto" w:fill="auto"/>
            <w:noWrap/>
            <w:vAlign w:val="bottom"/>
            <w:hideMark/>
          </w:tcPr>
          <w:p w14:paraId="1D32E014" w14:textId="77777777" w:rsidR="008D2ADF" w:rsidRPr="005F645B" w:rsidRDefault="008D2ADF" w:rsidP="006C0B7F">
            <w:pPr>
              <w:spacing w:after="0" w:line="240" w:lineRule="auto"/>
              <w:jc w:val="center"/>
              <w:rPr>
                <w:rFonts w:ascii="Calibri" w:eastAsia="Times New Roman" w:hAnsi="Calibri" w:cs="Calibri"/>
                <w:b/>
                <w:bCs/>
                <w:color w:val="FFFFFF"/>
                <w:lang w:eastAsia="en-GB"/>
              </w:rPr>
            </w:pPr>
          </w:p>
        </w:tc>
      </w:tr>
      <w:tr w:rsidR="008D2ADF" w:rsidRPr="005F645B" w14:paraId="1DE9744B" w14:textId="77777777" w:rsidTr="00E87D7A">
        <w:trPr>
          <w:trHeight w:val="306"/>
        </w:trPr>
        <w:tc>
          <w:tcPr>
            <w:tcW w:w="1923" w:type="dxa"/>
            <w:tcBorders>
              <w:top w:val="single" w:sz="4" w:space="0" w:color="8EA9DB"/>
              <w:left w:val="single" w:sz="4" w:space="0" w:color="8EA9DB"/>
              <w:bottom w:val="single" w:sz="4" w:space="0" w:color="8EA9DB"/>
              <w:right w:val="nil"/>
            </w:tcBorders>
            <w:shd w:val="clear" w:color="D9E1F2" w:fill="D9E1F2"/>
            <w:noWrap/>
            <w:vAlign w:val="bottom"/>
            <w:hideMark/>
          </w:tcPr>
          <w:p w14:paraId="63BCD09D"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Current ratio</w:t>
            </w:r>
          </w:p>
        </w:tc>
        <w:tc>
          <w:tcPr>
            <w:tcW w:w="1003" w:type="dxa"/>
            <w:tcBorders>
              <w:top w:val="single" w:sz="4" w:space="0" w:color="8EA9DB"/>
              <w:left w:val="nil"/>
              <w:bottom w:val="single" w:sz="4" w:space="0" w:color="8EA9DB"/>
              <w:right w:val="nil"/>
            </w:tcBorders>
            <w:shd w:val="clear" w:color="D9E1F2" w:fill="D9E1F2"/>
            <w:noWrap/>
            <w:vAlign w:val="bottom"/>
            <w:hideMark/>
          </w:tcPr>
          <w:p w14:paraId="5D9BF18C"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1.1</w:t>
            </w:r>
          </w:p>
        </w:tc>
        <w:tc>
          <w:tcPr>
            <w:tcW w:w="1003" w:type="dxa"/>
            <w:tcBorders>
              <w:top w:val="single" w:sz="4" w:space="0" w:color="8EA9DB"/>
              <w:left w:val="nil"/>
              <w:bottom w:val="single" w:sz="4" w:space="0" w:color="8EA9DB"/>
              <w:right w:val="nil"/>
            </w:tcBorders>
            <w:shd w:val="clear" w:color="D9E1F2" w:fill="D9E1F2"/>
            <w:noWrap/>
            <w:vAlign w:val="bottom"/>
            <w:hideMark/>
          </w:tcPr>
          <w:p w14:paraId="428E71E2"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1.24</w:t>
            </w:r>
          </w:p>
        </w:tc>
        <w:tc>
          <w:tcPr>
            <w:tcW w:w="1003" w:type="dxa"/>
            <w:tcBorders>
              <w:top w:val="single" w:sz="4" w:space="0" w:color="8EA9DB"/>
              <w:left w:val="nil"/>
              <w:bottom w:val="single" w:sz="4" w:space="0" w:color="8EA9DB"/>
              <w:right w:val="nil"/>
            </w:tcBorders>
            <w:shd w:val="clear" w:color="D9E1F2" w:fill="D9E1F2"/>
            <w:noWrap/>
            <w:vAlign w:val="bottom"/>
            <w:hideMark/>
          </w:tcPr>
          <w:p w14:paraId="6DB3C5C3"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0.88</w:t>
            </w:r>
          </w:p>
        </w:tc>
        <w:tc>
          <w:tcPr>
            <w:tcW w:w="1003" w:type="dxa"/>
            <w:tcBorders>
              <w:top w:val="single" w:sz="4" w:space="0" w:color="8EA9DB"/>
              <w:left w:val="nil"/>
              <w:bottom w:val="single" w:sz="4" w:space="0" w:color="8EA9DB"/>
              <w:right w:val="nil"/>
            </w:tcBorders>
            <w:shd w:val="clear" w:color="D9E1F2" w:fill="D9E1F2"/>
            <w:noWrap/>
            <w:vAlign w:val="bottom"/>
            <w:hideMark/>
          </w:tcPr>
          <w:p w14:paraId="24B6C1CD"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0.6</w:t>
            </w:r>
          </w:p>
        </w:tc>
        <w:tc>
          <w:tcPr>
            <w:tcW w:w="1003" w:type="dxa"/>
            <w:tcBorders>
              <w:top w:val="single" w:sz="4" w:space="0" w:color="8EA9DB"/>
              <w:left w:val="nil"/>
              <w:bottom w:val="single" w:sz="4" w:space="0" w:color="8EA9DB"/>
              <w:right w:val="nil"/>
            </w:tcBorders>
            <w:shd w:val="clear" w:color="D9E1F2" w:fill="D9E1F2"/>
            <w:noWrap/>
            <w:vAlign w:val="bottom"/>
            <w:hideMark/>
          </w:tcPr>
          <w:p w14:paraId="1235A7F9"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0.75</w:t>
            </w:r>
          </w:p>
        </w:tc>
        <w:tc>
          <w:tcPr>
            <w:tcW w:w="2982" w:type="dxa"/>
            <w:tcBorders>
              <w:top w:val="single" w:sz="4" w:space="0" w:color="8EA9DB"/>
              <w:left w:val="nil"/>
              <w:bottom w:val="single" w:sz="4" w:space="0" w:color="8EA9DB"/>
              <w:right w:val="single" w:sz="4" w:space="0" w:color="8EA9DB"/>
            </w:tcBorders>
            <w:shd w:val="clear" w:color="D9E1F2" w:fill="D9E1F2"/>
            <w:noWrap/>
            <w:vAlign w:val="bottom"/>
            <w:hideMark/>
          </w:tcPr>
          <w:p w14:paraId="2F79AE69"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0.96</w:t>
            </w:r>
          </w:p>
        </w:tc>
        <w:tc>
          <w:tcPr>
            <w:tcW w:w="320" w:type="dxa"/>
            <w:tcBorders>
              <w:top w:val="nil"/>
              <w:left w:val="nil"/>
              <w:bottom w:val="nil"/>
              <w:right w:val="nil"/>
            </w:tcBorders>
            <w:shd w:val="clear" w:color="auto" w:fill="auto"/>
            <w:noWrap/>
            <w:vAlign w:val="bottom"/>
            <w:hideMark/>
          </w:tcPr>
          <w:p w14:paraId="6A24B966" w14:textId="77777777" w:rsidR="008D2ADF" w:rsidRPr="005F645B" w:rsidRDefault="008D2ADF" w:rsidP="006C0B7F">
            <w:pPr>
              <w:spacing w:after="0" w:line="240" w:lineRule="auto"/>
              <w:jc w:val="center"/>
              <w:rPr>
                <w:rFonts w:ascii="Calibri" w:eastAsia="Times New Roman" w:hAnsi="Calibri" w:cs="Calibri"/>
                <w:color w:val="000000"/>
                <w:lang w:eastAsia="en-GB"/>
              </w:rPr>
            </w:pPr>
          </w:p>
        </w:tc>
      </w:tr>
      <w:tr w:rsidR="008D2ADF" w:rsidRPr="005F645B" w14:paraId="1B3CEFAD" w14:textId="77777777" w:rsidTr="00E87D7A">
        <w:trPr>
          <w:trHeight w:val="306"/>
        </w:trPr>
        <w:tc>
          <w:tcPr>
            <w:tcW w:w="1923" w:type="dxa"/>
            <w:tcBorders>
              <w:top w:val="single" w:sz="4" w:space="0" w:color="8EA9DB"/>
              <w:left w:val="single" w:sz="4" w:space="0" w:color="8EA9DB"/>
              <w:bottom w:val="single" w:sz="4" w:space="0" w:color="8EA9DB"/>
              <w:right w:val="nil"/>
            </w:tcBorders>
            <w:shd w:val="clear" w:color="auto" w:fill="auto"/>
            <w:noWrap/>
            <w:vAlign w:val="bottom"/>
            <w:hideMark/>
          </w:tcPr>
          <w:p w14:paraId="201F2CDA"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Quick ratio</w:t>
            </w:r>
          </w:p>
        </w:tc>
        <w:tc>
          <w:tcPr>
            <w:tcW w:w="1003" w:type="dxa"/>
            <w:tcBorders>
              <w:top w:val="single" w:sz="4" w:space="0" w:color="8EA9DB"/>
              <w:left w:val="nil"/>
              <w:bottom w:val="single" w:sz="4" w:space="0" w:color="8EA9DB"/>
              <w:right w:val="nil"/>
            </w:tcBorders>
            <w:shd w:val="clear" w:color="auto" w:fill="auto"/>
            <w:noWrap/>
            <w:vAlign w:val="bottom"/>
            <w:hideMark/>
          </w:tcPr>
          <w:p w14:paraId="6708653C"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0.79</w:t>
            </w:r>
          </w:p>
        </w:tc>
        <w:tc>
          <w:tcPr>
            <w:tcW w:w="1003" w:type="dxa"/>
            <w:tcBorders>
              <w:top w:val="single" w:sz="4" w:space="0" w:color="8EA9DB"/>
              <w:left w:val="nil"/>
              <w:bottom w:val="single" w:sz="4" w:space="0" w:color="8EA9DB"/>
              <w:right w:val="nil"/>
            </w:tcBorders>
            <w:shd w:val="clear" w:color="auto" w:fill="auto"/>
            <w:noWrap/>
            <w:vAlign w:val="bottom"/>
            <w:hideMark/>
          </w:tcPr>
          <w:p w14:paraId="482097EC"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0.88</w:t>
            </w:r>
          </w:p>
        </w:tc>
        <w:tc>
          <w:tcPr>
            <w:tcW w:w="1003" w:type="dxa"/>
            <w:tcBorders>
              <w:top w:val="single" w:sz="4" w:space="0" w:color="8EA9DB"/>
              <w:left w:val="nil"/>
              <w:bottom w:val="single" w:sz="4" w:space="0" w:color="8EA9DB"/>
              <w:right w:val="nil"/>
            </w:tcBorders>
            <w:shd w:val="clear" w:color="auto" w:fill="auto"/>
            <w:noWrap/>
            <w:vAlign w:val="bottom"/>
            <w:hideMark/>
          </w:tcPr>
          <w:p w14:paraId="25710C82"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0.61</w:t>
            </w:r>
          </w:p>
        </w:tc>
        <w:tc>
          <w:tcPr>
            <w:tcW w:w="1003" w:type="dxa"/>
            <w:tcBorders>
              <w:top w:val="single" w:sz="4" w:space="0" w:color="8EA9DB"/>
              <w:left w:val="nil"/>
              <w:bottom w:val="single" w:sz="4" w:space="0" w:color="8EA9DB"/>
              <w:right w:val="nil"/>
            </w:tcBorders>
            <w:shd w:val="clear" w:color="auto" w:fill="auto"/>
            <w:noWrap/>
            <w:vAlign w:val="bottom"/>
            <w:hideMark/>
          </w:tcPr>
          <w:p w14:paraId="7CF98D8C"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0.39</w:t>
            </w:r>
          </w:p>
        </w:tc>
        <w:tc>
          <w:tcPr>
            <w:tcW w:w="1003" w:type="dxa"/>
            <w:tcBorders>
              <w:top w:val="single" w:sz="4" w:space="0" w:color="8EA9DB"/>
              <w:left w:val="nil"/>
              <w:bottom w:val="single" w:sz="4" w:space="0" w:color="8EA9DB"/>
              <w:right w:val="nil"/>
            </w:tcBorders>
            <w:shd w:val="clear" w:color="auto" w:fill="auto"/>
            <w:noWrap/>
            <w:vAlign w:val="bottom"/>
            <w:hideMark/>
          </w:tcPr>
          <w:p w14:paraId="0CB82827"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0.51</w:t>
            </w:r>
          </w:p>
        </w:tc>
        <w:tc>
          <w:tcPr>
            <w:tcW w:w="2982" w:type="dxa"/>
            <w:tcBorders>
              <w:top w:val="single" w:sz="4" w:space="0" w:color="8EA9DB"/>
              <w:left w:val="nil"/>
              <w:bottom w:val="single" w:sz="4" w:space="0" w:color="8EA9DB"/>
              <w:right w:val="single" w:sz="4" w:space="0" w:color="8EA9DB"/>
            </w:tcBorders>
            <w:shd w:val="clear" w:color="auto" w:fill="auto"/>
            <w:noWrap/>
            <w:vAlign w:val="bottom"/>
            <w:hideMark/>
          </w:tcPr>
          <w:p w14:paraId="0FE9100D"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0.78</w:t>
            </w:r>
          </w:p>
        </w:tc>
        <w:tc>
          <w:tcPr>
            <w:tcW w:w="320" w:type="dxa"/>
            <w:tcBorders>
              <w:top w:val="nil"/>
              <w:left w:val="nil"/>
              <w:bottom w:val="nil"/>
              <w:right w:val="nil"/>
            </w:tcBorders>
            <w:shd w:val="clear" w:color="auto" w:fill="auto"/>
            <w:noWrap/>
            <w:vAlign w:val="bottom"/>
            <w:hideMark/>
          </w:tcPr>
          <w:p w14:paraId="7B1978D1" w14:textId="77777777" w:rsidR="008D2ADF" w:rsidRPr="005F645B" w:rsidRDefault="008D2ADF" w:rsidP="006C0B7F">
            <w:pPr>
              <w:spacing w:after="0" w:line="240" w:lineRule="auto"/>
              <w:jc w:val="center"/>
              <w:rPr>
                <w:rFonts w:ascii="Calibri" w:eastAsia="Times New Roman" w:hAnsi="Calibri" w:cs="Calibri"/>
                <w:color w:val="000000"/>
                <w:lang w:eastAsia="en-GB"/>
              </w:rPr>
            </w:pPr>
          </w:p>
        </w:tc>
      </w:tr>
      <w:tr w:rsidR="008D2ADF" w:rsidRPr="005F645B" w14:paraId="1CF13FC5" w14:textId="77777777" w:rsidTr="00E87D7A">
        <w:trPr>
          <w:trHeight w:val="306"/>
        </w:trPr>
        <w:tc>
          <w:tcPr>
            <w:tcW w:w="1923" w:type="dxa"/>
            <w:tcBorders>
              <w:top w:val="single" w:sz="4" w:space="0" w:color="8EA9DB"/>
              <w:left w:val="single" w:sz="4" w:space="0" w:color="8EA9DB"/>
              <w:bottom w:val="single" w:sz="4" w:space="0" w:color="8EA9DB"/>
              <w:right w:val="nil"/>
            </w:tcBorders>
            <w:shd w:val="clear" w:color="D9E1F2" w:fill="D9E1F2"/>
            <w:noWrap/>
            <w:vAlign w:val="bottom"/>
            <w:hideMark/>
          </w:tcPr>
          <w:p w14:paraId="0BC37C2B"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Cash ratio</w:t>
            </w:r>
          </w:p>
        </w:tc>
        <w:tc>
          <w:tcPr>
            <w:tcW w:w="1003" w:type="dxa"/>
            <w:tcBorders>
              <w:top w:val="single" w:sz="4" w:space="0" w:color="8EA9DB"/>
              <w:left w:val="nil"/>
              <w:bottom w:val="single" w:sz="4" w:space="0" w:color="8EA9DB"/>
              <w:right w:val="nil"/>
            </w:tcBorders>
            <w:shd w:val="clear" w:color="D9E1F2" w:fill="D9E1F2"/>
            <w:noWrap/>
            <w:vAlign w:val="bottom"/>
            <w:hideMark/>
          </w:tcPr>
          <w:p w14:paraId="657F3990"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0.33</w:t>
            </w:r>
          </w:p>
        </w:tc>
        <w:tc>
          <w:tcPr>
            <w:tcW w:w="1003" w:type="dxa"/>
            <w:tcBorders>
              <w:top w:val="single" w:sz="4" w:space="0" w:color="8EA9DB"/>
              <w:left w:val="nil"/>
              <w:bottom w:val="single" w:sz="4" w:space="0" w:color="8EA9DB"/>
              <w:right w:val="nil"/>
            </w:tcBorders>
            <w:shd w:val="clear" w:color="D9E1F2" w:fill="D9E1F2"/>
            <w:noWrap/>
            <w:vAlign w:val="bottom"/>
            <w:hideMark/>
          </w:tcPr>
          <w:p w14:paraId="5CD02F23"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0.43</w:t>
            </w:r>
          </w:p>
        </w:tc>
        <w:tc>
          <w:tcPr>
            <w:tcW w:w="1003" w:type="dxa"/>
            <w:tcBorders>
              <w:top w:val="single" w:sz="4" w:space="0" w:color="8EA9DB"/>
              <w:left w:val="nil"/>
              <w:bottom w:val="single" w:sz="4" w:space="0" w:color="8EA9DB"/>
              <w:right w:val="nil"/>
            </w:tcBorders>
            <w:shd w:val="clear" w:color="D9E1F2" w:fill="D9E1F2"/>
            <w:noWrap/>
            <w:vAlign w:val="bottom"/>
            <w:hideMark/>
          </w:tcPr>
          <w:p w14:paraId="39AD4C26"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0.26</w:t>
            </w:r>
          </w:p>
        </w:tc>
        <w:tc>
          <w:tcPr>
            <w:tcW w:w="1003" w:type="dxa"/>
            <w:tcBorders>
              <w:top w:val="single" w:sz="4" w:space="0" w:color="8EA9DB"/>
              <w:left w:val="nil"/>
              <w:bottom w:val="single" w:sz="4" w:space="0" w:color="8EA9DB"/>
              <w:right w:val="nil"/>
            </w:tcBorders>
            <w:shd w:val="clear" w:color="D9E1F2" w:fill="D9E1F2"/>
            <w:noWrap/>
            <w:vAlign w:val="bottom"/>
            <w:hideMark/>
          </w:tcPr>
          <w:p w14:paraId="484F2000"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0.14</w:t>
            </w:r>
          </w:p>
        </w:tc>
        <w:tc>
          <w:tcPr>
            <w:tcW w:w="1003" w:type="dxa"/>
            <w:tcBorders>
              <w:top w:val="single" w:sz="4" w:space="0" w:color="8EA9DB"/>
              <w:left w:val="nil"/>
              <w:bottom w:val="single" w:sz="4" w:space="0" w:color="8EA9DB"/>
              <w:right w:val="nil"/>
            </w:tcBorders>
            <w:shd w:val="clear" w:color="D9E1F2" w:fill="D9E1F2"/>
            <w:noWrap/>
            <w:vAlign w:val="bottom"/>
            <w:hideMark/>
          </w:tcPr>
          <w:p w14:paraId="1E8B83CF"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0.17</w:t>
            </w:r>
          </w:p>
        </w:tc>
        <w:tc>
          <w:tcPr>
            <w:tcW w:w="2982" w:type="dxa"/>
            <w:tcBorders>
              <w:top w:val="single" w:sz="4" w:space="0" w:color="8EA9DB"/>
              <w:left w:val="nil"/>
              <w:bottom w:val="single" w:sz="4" w:space="0" w:color="8EA9DB"/>
              <w:right w:val="single" w:sz="4" w:space="0" w:color="8EA9DB"/>
            </w:tcBorders>
            <w:shd w:val="clear" w:color="D9E1F2" w:fill="D9E1F2"/>
            <w:noWrap/>
            <w:vAlign w:val="bottom"/>
            <w:hideMark/>
          </w:tcPr>
          <w:p w14:paraId="694C4D93" w14:textId="77777777" w:rsidR="008D2ADF" w:rsidRPr="005F645B" w:rsidRDefault="008D2ADF" w:rsidP="006C0B7F">
            <w:pPr>
              <w:spacing w:after="0" w:line="240" w:lineRule="auto"/>
              <w:jc w:val="center"/>
              <w:rPr>
                <w:rFonts w:ascii="Calibri" w:eastAsia="Times New Roman" w:hAnsi="Calibri" w:cs="Calibri"/>
                <w:color w:val="000000"/>
                <w:lang w:eastAsia="en-GB"/>
              </w:rPr>
            </w:pPr>
            <w:r w:rsidRPr="005F645B">
              <w:rPr>
                <w:rFonts w:ascii="Calibri" w:eastAsia="Times New Roman" w:hAnsi="Calibri" w:cs="Calibri"/>
                <w:color w:val="000000"/>
                <w:lang w:eastAsia="en-GB"/>
              </w:rPr>
              <w:t>0.3</w:t>
            </w:r>
          </w:p>
        </w:tc>
        <w:tc>
          <w:tcPr>
            <w:tcW w:w="320" w:type="dxa"/>
            <w:tcBorders>
              <w:top w:val="nil"/>
              <w:left w:val="nil"/>
              <w:bottom w:val="nil"/>
              <w:right w:val="nil"/>
            </w:tcBorders>
            <w:shd w:val="clear" w:color="auto" w:fill="auto"/>
            <w:noWrap/>
            <w:vAlign w:val="bottom"/>
            <w:hideMark/>
          </w:tcPr>
          <w:p w14:paraId="2F48F524" w14:textId="77777777" w:rsidR="008D2ADF" w:rsidRPr="005F645B" w:rsidRDefault="008D2ADF" w:rsidP="006C0B7F">
            <w:pPr>
              <w:spacing w:after="0" w:line="240" w:lineRule="auto"/>
              <w:jc w:val="center"/>
              <w:rPr>
                <w:rFonts w:ascii="Calibri" w:eastAsia="Times New Roman" w:hAnsi="Calibri" w:cs="Calibri"/>
                <w:color w:val="000000"/>
                <w:lang w:eastAsia="en-GB"/>
              </w:rPr>
            </w:pPr>
          </w:p>
        </w:tc>
      </w:tr>
    </w:tbl>
    <w:p w14:paraId="074993C2" w14:textId="77777777" w:rsidR="00FF1498" w:rsidRDefault="00FF1498" w:rsidP="00FF1498">
      <w:r>
        <w:t>Source</w:t>
      </w:r>
      <w:r w:rsidRPr="00772647">
        <w:rPr>
          <w:i/>
        </w:rPr>
        <w:t>:</w:t>
      </w:r>
      <w:r>
        <w:rPr>
          <w:i/>
        </w:rPr>
        <w:t xml:space="preserve"> Author’s calculations and</w:t>
      </w:r>
      <w:r w:rsidRPr="00772647">
        <w:rPr>
          <w:i/>
        </w:rPr>
        <w:t xml:space="preserve"> Annual Financial Reports of GSK and AstraZeneca.</w:t>
      </w:r>
      <w:r>
        <w:t xml:space="preserve"> </w:t>
      </w:r>
    </w:p>
    <w:p w14:paraId="337FC616" w14:textId="75C51139" w:rsidR="002A12C6" w:rsidRDefault="000275B3" w:rsidP="002A12C6">
      <w:r>
        <w:rPr>
          <w:noProof/>
        </w:rPr>
        <w:lastRenderedPageBreak/>
        <w:drawing>
          <wp:inline distT="0" distB="0" distL="0" distR="0" wp14:anchorId="2432C194" wp14:editId="48C84F89">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678417C" w14:textId="27DBAFAF" w:rsidR="00360AFA" w:rsidRDefault="00360AFA" w:rsidP="00360AFA">
      <w:bookmarkStart w:id="11" w:name="_Toc7774448"/>
      <w:r w:rsidRPr="00266A81">
        <w:rPr>
          <w:rStyle w:val="Heading3Char"/>
        </w:rPr>
        <w:t>Current ratio</w:t>
      </w:r>
      <w:bookmarkEnd w:id="11"/>
      <w:r>
        <w:sym w:font="Wingdings" w:char="F0E0"/>
      </w:r>
      <w:r>
        <w:t xml:space="preserve"> </w:t>
      </w:r>
      <w:r w:rsidRPr="00E21993">
        <w:rPr>
          <w:rFonts w:asciiTheme="majorHAnsi" w:hAnsiTheme="majorHAnsi" w:cstheme="majorHAnsi"/>
        </w:rPr>
        <w:t xml:space="preserve">It shows a company’s ability to pay short-term (less than one year) obligations. </w:t>
      </w:r>
      <w:r w:rsidR="006E25F1" w:rsidRPr="00E21993">
        <w:rPr>
          <w:rFonts w:asciiTheme="majorHAnsi" w:hAnsiTheme="majorHAnsi" w:cstheme="majorHAnsi"/>
        </w:rPr>
        <w:t>As a role of th</w:t>
      </w:r>
      <w:r w:rsidR="00D71FD5" w:rsidRPr="00E21993">
        <w:rPr>
          <w:rFonts w:asciiTheme="majorHAnsi" w:hAnsiTheme="majorHAnsi" w:cstheme="majorHAnsi"/>
        </w:rPr>
        <w:t>umb</w:t>
      </w:r>
      <w:r w:rsidRPr="00E21993">
        <w:rPr>
          <w:rFonts w:asciiTheme="majorHAnsi" w:hAnsiTheme="majorHAnsi" w:cstheme="majorHAnsi"/>
        </w:rPr>
        <w:t>, the higher the current ratio, the greater the safety margin between current obligations and the ability to pay them</w:t>
      </w:r>
      <w:r w:rsidR="00321E02" w:rsidRPr="00E21993">
        <w:rPr>
          <w:rFonts w:asciiTheme="majorHAnsi" w:hAnsiTheme="majorHAnsi" w:cstheme="majorHAnsi"/>
        </w:rPr>
        <w:t xml:space="preserve">. </w:t>
      </w:r>
      <w:r w:rsidR="004F1080" w:rsidRPr="00E21993">
        <w:rPr>
          <w:rFonts w:asciiTheme="majorHAnsi" w:hAnsiTheme="majorHAnsi" w:cstheme="majorHAnsi"/>
        </w:rPr>
        <w:t>However, t</w:t>
      </w:r>
      <w:r w:rsidR="00E41FDC" w:rsidRPr="00E21993">
        <w:rPr>
          <w:rFonts w:asciiTheme="majorHAnsi" w:hAnsiTheme="majorHAnsi" w:cstheme="majorHAnsi"/>
        </w:rPr>
        <w:t xml:space="preserve">oo high level of </w:t>
      </w:r>
      <w:r w:rsidR="004F1080" w:rsidRPr="00E21993">
        <w:rPr>
          <w:rFonts w:asciiTheme="majorHAnsi" w:hAnsiTheme="majorHAnsi" w:cstheme="majorHAnsi"/>
        </w:rPr>
        <w:t>current ratio indicate</w:t>
      </w:r>
      <w:r w:rsidR="00FE082A" w:rsidRPr="00E21993">
        <w:rPr>
          <w:rFonts w:asciiTheme="majorHAnsi" w:hAnsiTheme="majorHAnsi" w:cstheme="majorHAnsi"/>
        </w:rPr>
        <w:t xml:space="preserve"> that the company is not efficiently using its current asset.</w:t>
      </w:r>
      <w:r w:rsidR="00FE082A">
        <w:t xml:space="preserve"> </w:t>
      </w:r>
    </w:p>
    <w:p w14:paraId="0D5C5377" w14:textId="77777777" w:rsidR="0023349B" w:rsidRDefault="0023349B" w:rsidP="0023349B">
      <w:pPr>
        <w:rPr>
          <w:b/>
        </w:rPr>
      </w:pPr>
      <w:r w:rsidRPr="00F2661E">
        <w:rPr>
          <w:b/>
        </w:rPr>
        <w:t xml:space="preserve">GSK </w:t>
      </w:r>
    </w:p>
    <w:p w14:paraId="0E17D467" w14:textId="271EC878" w:rsidR="0023349B" w:rsidRDefault="0023349B" w:rsidP="0023349B">
      <w:r>
        <w:t>In 2014 and 2015, the current ratio ha</w:t>
      </w:r>
      <w:r w:rsidR="009B3FC0">
        <w:t>s</w:t>
      </w:r>
      <w:r>
        <w:t xml:space="preserve"> been more than 1. This would suggest acceptable liquidity and efficient management of working capital. From 2016 to 2018, </w:t>
      </w:r>
      <w:r w:rsidR="002040C2">
        <w:t>current</w:t>
      </w:r>
      <w:r w:rsidR="00084654">
        <w:t xml:space="preserve"> ratio</w:t>
      </w:r>
      <w:r w:rsidR="009B3FC0">
        <w:t xml:space="preserve"> </w:t>
      </w:r>
      <w:r>
        <w:t>ha</w:t>
      </w:r>
      <w:r w:rsidR="009B3FC0">
        <w:t>s</w:t>
      </w:r>
      <w:r>
        <w:t xml:space="preserve"> been less than one. This indicate possible liquidity problem. </w:t>
      </w:r>
    </w:p>
    <w:p w14:paraId="58973AD5" w14:textId="2A7CE498" w:rsidR="00594ED7" w:rsidRDefault="00594ED7" w:rsidP="00594ED7">
      <w:r>
        <w:t>Between 2015 and 2016, while current assets have grown by 0.7%, the current liabilities have grown by 40.62%. The major impact of this growth has been the short-term borrowing, passed from £1,308 to £4,129</w:t>
      </w:r>
      <w:r w:rsidR="001B1F3A">
        <w:t>. Also,</w:t>
      </w:r>
      <w:r>
        <w:t xml:space="preserve"> trade and other payable </w:t>
      </w:r>
      <w:r w:rsidR="00EB2D9B">
        <w:t xml:space="preserve">has </w:t>
      </w:r>
      <w:r>
        <w:t xml:space="preserve">passed from £8,885 to £11,964. </w:t>
      </w:r>
    </w:p>
    <w:p w14:paraId="60CA6BB3" w14:textId="3E4F7914" w:rsidR="00E219F0" w:rsidRDefault="007523B5" w:rsidP="0023349B">
      <w:r>
        <w:t xml:space="preserve">In other hands, while the trend of </w:t>
      </w:r>
      <w:r w:rsidR="000362B9">
        <w:t>current asset</w:t>
      </w:r>
      <w:r w:rsidR="0018423C">
        <w:t>s</w:t>
      </w:r>
      <w:r w:rsidR="000362B9">
        <w:t xml:space="preserve"> </w:t>
      </w:r>
      <w:r w:rsidR="00215DD7">
        <w:t>ha</w:t>
      </w:r>
      <w:r w:rsidR="0018423C">
        <w:t>s</w:t>
      </w:r>
      <w:r w:rsidR="000362B9">
        <w:t xml:space="preserve"> been stable, the current liabilitie</w:t>
      </w:r>
      <w:r w:rsidR="0018423C">
        <w:t>s</w:t>
      </w:r>
      <w:r w:rsidR="000362B9">
        <w:t xml:space="preserve"> ha</w:t>
      </w:r>
      <w:r w:rsidR="00503B57">
        <w:t>ve</w:t>
      </w:r>
      <w:r w:rsidR="000362B9">
        <w:t xml:space="preserve"> duplicated from 2014 to 2018. </w:t>
      </w:r>
    </w:p>
    <w:p w14:paraId="0A6A3CBA" w14:textId="24AD4C4F" w:rsidR="00A66EDA" w:rsidRDefault="00E9112A" w:rsidP="00A66EDA">
      <w:r>
        <w:t>This trend has due because</w:t>
      </w:r>
      <w:r w:rsidR="0053742B">
        <w:t xml:space="preserve"> </w:t>
      </w:r>
      <w:r w:rsidR="00A66EDA">
        <w:t>GSK has a £ 8.1 billion US commercial paper program, of which £ 1.1 billion was in issue at 31 December 2016</w:t>
      </w:r>
      <w:r w:rsidR="006A3045">
        <w:t xml:space="preserve">. </w:t>
      </w:r>
      <w:r w:rsidR="00A66EDA">
        <w:t>GSK also has £ 1.9 billion five year committed facilities and £ 2.0 billion of 364 day committed facilities. The five-year committed facilities were agreed in September 2015 and were extended by one year to 2021 in September 2016.Trade and other payables included £36 million (2015 – £17 million) due to associates and joint ventures</w:t>
      </w:r>
      <w:r>
        <w:t xml:space="preserve"> (</w:t>
      </w:r>
      <w:r w:rsidR="006A3045">
        <w:t>A</w:t>
      </w:r>
      <w:r>
        <w:t xml:space="preserve">nnual </w:t>
      </w:r>
      <w:r w:rsidR="007B17B2">
        <w:t>R</w:t>
      </w:r>
      <w:r>
        <w:t xml:space="preserve">eport GSK, 2016). </w:t>
      </w:r>
    </w:p>
    <w:p w14:paraId="33AE0374" w14:textId="77777777" w:rsidR="00CE489A" w:rsidRPr="00D155B8" w:rsidRDefault="00CE489A" w:rsidP="00CE489A">
      <w:pPr>
        <w:rPr>
          <w:b/>
        </w:rPr>
      </w:pPr>
      <w:r>
        <w:rPr>
          <w:b/>
        </w:rPr>
        <w:t>GSK vs. AstraZeneca</w:t>
      </w:r>
    </w:p>
    <w:p w14:paraId="1D4F41A8" w14:textId="5E22490B" w:rsidR="00E86CF0" w:rsidRDefault="00672A1E" w:rsidP="00A66EDA">
      <w:r>
        <w:t xml:space="preserve">In 2018, </w:t>
      </w:r>
      <w:r w:rsidR="00C16158">
        <w:t xml:space="preserve">the current ratio of AstraZeneca has been </w:t>
      </w:r>
      <w:r w:rsidR="00006FDE">
        <w:t xml:space="preserve">about 1. This mean that managers of AstraZeneca have managed </w:t>
      </w:r>
      <w:r w:rsidR="00207835">
        <w:t>efficien</w:t>
      </w:r>
      <w:r w:rsidR="005B1F98">
        <w:t>tly</w:t>
      </w:r>
      <w:r w:rsidR="00920446">
        <w:t xml:space="preserve"> </w:t>
      </w:r>
      <w:r w:rsidR="00207835">
        <w:t xml:space="preserve">its current </w:t>
      </w:r>
      <w:r w:rsidR="00FA39D1">
        <w:t>assets</w:t>
      </w:r>
      <w:r w:rsidR="00CE00E2">
        <w:t xml:space="preserve">, at least better than GSK. </w:t>
      </w:r>
    </w:p>
    <w:p w14:paraId="75E8FD04" w14:textId="45CA69F1" w:rsidR="00474DCB" w:rsidRDefault="00474DCB" w:rsidP="00474DCB">
      <w:pPr>
        <w:rPr>
          <w:rFonts w:ascii="Helvetica" w:hAnsi="Helvetica" w:cs="Helvetica"/>
          <w:color w:val="333333"/>
          <w:sz w:val="21"/>
          <w:szCs w:val="21"/>
          <w:shd w:val="clear" w:color="auto" w:fill="FFFFFF"/>
        </w:rPr>
      </w:pPr>
      <w:bookmarkStart w:id="12" w:name="_Toc7774449"/>
      <w:r w:rsidRPr="00266A81">
        <w:rPr>
          <w:rStyle w:val="Heading3Char"/>
        </w:rPr>
        <w:t>Quick ratio</w:t>
      </w:r>
      <w:bookmarkEnd w:id="12"/>
      <w:r>
        <w:sym w:font="Wingdings" w:char="F0E0"/>
      </w:r>
      <w:r>
        <w:t xml:space="preserve"> </w:t>
      </w:r>
      <w:r w:rsidRPr="00E21993">
        <w:rPr>
          <w:rFonts w:asciiTheme="majorHAnsi" w:hAnsiTheme="majorHAnsi" w:cstheme="majorHAnsi"/>
        </w:rPr>
        <w:t>The concept of quick ratios is very similar to current ratio.</w:t>
      </w:r>
      <w:r w:rsidRPr="00E21993">
        <w:rPr>
          <w:rFonts w:asciiTheme="majorHAnsi" w:hAnsiTheme="majorHAnsi" w:cstheme="majorHAnsi"/>
          <w:color w:val="333333"/>
          <w:shd w:val="clear" w:color="auto" w:fill="FFFFFF"/>
        </w:rPr>
        <w:t xml:space="preserve"> The quick ratio assumes that only cash, cash equivalent, short-term marketable securities and accounts receivable will turn to cash quickly. It does not include inventories. This means that the difference between current ratio and quick ratios are inventories.</w:t>
      </w:r>
      <w:r>
        <w:rPr>
          <w:rFonts w:ascii="Helvetica" w:hAnsi="Helvetica" w:cs="Helvetica"/>
          <w:color w:val="333333"/>
          <w:sz w:val="21"/>
          <w:szCs w:val="21"/>
          <w:shd w:val="clear" w:color="auto" w:fill="FFFFFF"/>
        </w:rPr>
        <w:t xml:space="preserve"> </w:t>
      </w:r>
    </w:p>
    <w:p w14:paraId="728723C6" w14:textId="77777777" w:rsidR="003F74BD" w:rsidRDefault="003F74BD" w:rsidP="003F74BD">
      <w:pPr>
        <w:rPr>
          <w:b/>
        </w:rPr>
      </w:pPr>
      <w:r w:rsidRPr="00F2661E">
        <w:rPr>
          <w:b/>
        </w:rPr>
        <w:t xml:space="preserve">GSK </w:t>
      </w:r>
    </w:p>
    <w:p w14:paraId="7A28BAD5" w14:textId="3E42882D" w:rsidR="005671E8" w:rsidRDefault="00FF3125" w:rsidP="00A66EDA">
      <w:r>
        <w:lastRenderedPageBreak/>
        <w:t>Both, c</w:t>
      </w:r>
      <w:r w:rsidR="00B734EE">
        <w:t xml:space="preserve">urrent assets and inventory in the last </w:t>
      </w:r>
      <w:r w:rsidR="00AB07A9">
        <w:t>five years have grown at steady pace.</w:t>
      </w:r>
      <w:r w:rsidR="00620F60">
        <w:t xml:space="preserve"> However</w:t>
      </w:r>
      <w:r w:rsidR="00057EBF">
        <w:t>,</w:t>
      </w:r>
      <w:r w:rsidR="00620F60">
        <w:t xml:space="preserve"> </w:t>
      </w:r>
      <w:r w:rsidR="00944845">
        <w:t>the increase in inve</w:t>
      </w:r>
      <w:r w:rsidR="005F4E4C">
        <w:t xml:space="preserve">ntory </w:t>
      </w:r>
      <w:r w:rsidR="00314B4E">
        <w:t>has f</w:t>
      </w:r>
      <w:r w:rsidR="00CB4420">
        <w:t xml:space="preserve">ailed to change </w:t>
      </w:r>
      <w:r w:rsidR="008C2440">
        <w:t xml:space="preserve">the trend </w:t>
      </w:r>
      <w:r w:rsidR="004A73D1">
        <w:t>of</w:t>
      </w:r>
      <w:r w:rsidR="008C2440">
        <w:t xml:space="preserve"> quick ratio</w:t>
      </w:r>
      <w:r w:rsidR="00885284">
        <w:t xml:space="preserve">. </w:t>
      </w:r>
      <w:r w:rsidR="00057EBF">
        <w:t>Indeed</w:t>
      </w:r>
      <w:r w:rsidR="00020558">
        <w:t>,</w:t>
      </w:r>
      <w:r w:rsidR="00A21C73">
        <w:t xml:space="preserve"> </w:t>
      </w:r>
      <w:r w:rsidR="00885284">
        <w:t xml:space="preserve">the trend of </w:t>
      </w:r>
      <w:r w:rsidR="00A66D8E">
        <w:t xml:space="preserve">quick ratio has been </w:t>
      </w:r>
      <w:proofErr w:type="gramStart"/>
      <w:r w:rsidR="00A66D8E">
        <w:t>similar to</w:t>
      </w:r>
      <w:proofErr w:type="gramEnd"/>
      <w:r w:rsidR="00A66D8E">
        <w:t xml:space="preserve"> the trend of current </w:t>
      </w:r>
      <w:r w:rsidR="00515709">
        <w:t xml:space="preserve">ratio. This is due to </w:t>
      </w:r>
      <w:r w:rsidR="00020558">
        <w:t>the curre</w:t>
      </w:r>
      <w:r w:rsidR="00BE4819">
        <w:t xml:space="preserve">nt liabilities’ </w:t>
      </w:r>
      <w:r w:rsidR="00B166A7">
        <w:t xml:space="preserve">trend </w:t>
      </w:r>
      <w:r w:rsidR="0053110E">
        <w:t xml:space="preserve">that </w:t>
      </w:r>
      <w:r w:rsidR="00E5191D">
        <w:t xml:space="preserve">has </w:t>
      </w:r>
      <w:r w:rsidR="005F77A3">
        <w:t>fluctuated</w:t>
      </w:r>
      <w:r w:rsidR="003D5579">
        <w:t xml:space="preserve"> passing from </w:t>
      </w:r>
      <w:r w:rsidR="00395241">
        <w:t>£</w:t>
      </w:r>
      <w:r w:rsidR="00C823E0">
        <w:t xml:space="preserve"> </w:t>
      </w:r>
      <w:r w:rsidR="00395241">
        <w:t xml:space="preserve">13,295 to </w:t>
      </w:r>
      <w:r w:rsidR="00C823E0">
        <w:t>£ 26,569</w:t>
      </w:r>
      <w:r w:rsidR="0053110E">
        <w:t xml:space="preserve"> (overall the past five years).</w:t>
      </w:r>
    </w:p>
    <w:p w14:paraId="0EC51E85" w14:textId="77777777" w:rsidR="009C5F8C" w:rsidRPr="008D672E" w:rsidRDefault="009C5F8C" w:rsidP="009C5F8C">
      <w:pPr>
        <w:rPr>
          <w:b/>
        </w:rPr>
      </w:pPr>
      <w:r w:rsidRPr="008D672E">
        <w:rPr>
          <w:b/>
        </w:rPr>
        <w:t>GSK vs. AstraZeneca</w:t>
      </w:r>
    </w:p>
    <w:p w14:paraId="19D801AE" w14:textId="337233F6" w:rsidR="009C5F8C" w:rsidRDefault="00D97598" w:rsidP="00A66EDA">
      <w:r w:rsidRPr="00381D21">
        <w:t xml:space="preserve">In 2018, </w:t>
      </w:r>
      <w:r w:rsidR="00CD0B6B" w:rsidRPr="00381D21">
        <w:t xml:space="preserve">quick ratio </w:t>
      </w:r>
      <w:r w:rsidR="00381D21" w:rsidRPr="00381D21">
        <w:t>for A</w:t>
      </w:r>
      <w:r w:rsidR="00381D21">
        <w:t xml:space="preserve">straZeneca has been higher than </w:t>
      </w:r>
      <w:r w:rsidR="00483328">
        <w:t xml:space="preserve">GSK’s one. </w:t>
      </w:r>
      <w:r w:rsidR="00AD458A">
        <w:t>Even, exclu</w:t>
      </w:r>
      <w:r w:rsidR="00C93831">
        <w:t>ding the</w:t>
      </w:r>
      <w:r w:rsidR="00AD458A">
        <w:t xml:space="preserve"> inventory </w:t>
      </w:r>
      <w:r w:rsidR="00316732">
        <w:t xml:space="preserve">AstraZeneca has a </w:t>
      </w:r>
      <w:r w:rsidR="00C36BC5">
        <w:t xml:space="preserve">greater ability to pay its </w:t>
      </w:r>
      <w:r w:rsidR="00FF2E6F">
        <w:t>short-term obligations</w:t>
      </w:r>
      <w:r w:rsidR="00777B14">
        <w:t xml:space="preserve"> than GSK. </w:t>
      </w:r>
    </w:p>
    <w:p w14:paraId="039AB77A" w14:textId="1B80BA31" w:rsidR="007E7931" w:rsidRDefault="007E7931" w:rsidP="007E7931">
      <w:pPr>
        <w:rPr>
          <w:rFonts w:ascii="Helvetica" w:hAnsi="Helvetica" w:cs="Helvetica"/>
          <w:color w:val="333333"/>
          <w:sz w:val="21"/>
          <w:szCs w:val="21"/>
          <w:shd w:val="clear" w:color="auto" w:fill="FFFFFF"/>
        </w:rPr>
      </w:pPr>
      <w:bookmarkStart w:id="13" w:name="_Toc7774450"/>
      <w:r w:rsidRPr="00266A81">
        <w:rPr>
          <w:rStyle w:val="Heading3Char"/>
        </w:rPr>
        <w:t>Cash ratio</w:t>
      </w:r>
      <w:bookmarkEnd w:id="13"/>
      <w:r w:rsidRPr="0042635E">
        <w:rPr>
          <w:rFonts w:ascii="Helvetica" w:hAnsi="Helvetica" w:cs="Helvetica"/>
          <w:color w:val="333333"/>
          <w:sz w:val="21"/>
          <w:szCs w:val="21"/>
          <w:shd w:val="clear" w:color="auto" w:fill="FFFFFF"/>
        </w:rPr>
        <w:sym w:font="Wingdings" w:char="F0E0"/>
      </w:r>
      <w:r>
        <w:rPr>
          <w:rFonts w:ascii="Helvetica" w:hAnsi="Helvetica" w:cs="Helvetica"/>
          <w:color w:val="333333"/>
          <w:sz w:val="21"/>
          <w:szCs w:val="21"/>
          <w:shd w:val="clear" w:color="auto" w:fill="FFFFFF"/>
        </w:rPr>
        <w:t xml:space="preserve"> </w:t>
      </w:r>
      <w:r w:rsidRPr="00E21993">
        <w:rPr>
          <w:rFonts w:asciiTheme="majorHAnsi" w:hAnsiTheme="majorHAnsi" w:cstheme="majorHAnsi"/>
          <w:color w:val="333333"/>
          <w:shd w:val="clear" w:color="auto" w:fill="FFFFFF"/>
        </w:rPr>
        <w:t xml:space="preserve">It represents a company’s ability to repay its short-term debt with readily-liquidated cash and cash equivalent on hand. </w:t>
      </w:r>
      <w:r w:rsidR="00475638" w:rsidRPr="00E21993">
        <w:rPr>
          <w:rFonts w:asciiTheme="majorHAnsi" w:hAnsiTheme="majorHAnsi" w:cstheme="majorHAnsi"/>
          <w:color w:val="333333"/>
          <w:shd w:val="clear" w:color="auto" w:fill="FFFFFF"/>
        </w:rPr>
        <w:t>Compered to</w:t>
      </w:r>
      <w:r w:rsidR="000703BE" w:rsidRPr="00E21993">
        <w:rPr>
          <w:rFonts w:asciiTheme="majorHAnsi" w:hAnsiTheme="majorHAnsi" w:cstheme="majorHAnsi"/>
          <w:color w:val="333333"/>
          <w:shd w:val="clear" w:color="auto" w:fill="FFFFFF"/>
        </w:rPr>
        <w:t xml:space="preserve"> current and quick ratios, this is more conservative inasmuch </w:t>
      </w:r>
      <w:r w:rsidR="00FA27F8" w:rsidRPr="00E21993">
        <w:rPr>
          <w:rFonts w:asciiTheme="majorHAnsi" w:hAnsiTheme="majorHAnsi" w:cstheme="majorHAnsi"/>
          <w:color w:val="333333"/>
          <w:shd w:val="clear" w:color="auto" w:fill="FFFFFF"/>
        </w:rPr>
        <w:t>it only considers a company’s most liquid reso</w:t>
      </w:r>
      <w:r w:rsidR="000C7402" w:rsidRPr="00E21993">
        <w:rPr>
          <w:rFonts w:asciiTheme="majorHAnsi" w:hAnsiTheme="majorHAnsi" w:cstheme="majorHAnsi"/>
          <w:color w:val="333333"/>
          <w:shd w:val="clear" w:color="auto" w:fill="FFFFFF"/>
        </w:rPr>
        <w:t>urces</w:t>
      </w:r>
      <w:r w:rsidR="000C7402">
        <w:rPr>
          <w:rFonts w:ascii="Helvetica" w:hAnsi="Helvetica" w:cs="Helvetica"/>
          <w:color w:val="333333"/>
          <w:sz w:val="21"/>
          <w:szCs w:val="21"/>
          <w:shd w:val="clear" w:color="auto" w:fill="FFFFFF"/>
        </w:rPr>
        <w:t>.</w:t>
      </w:r>
    </w:p>
    <w:p w14:paraId="2D557FF7" w14:textId="3764FDBE" w:rsidR="009C5F8C" w:rsidRDefault="0058619A" w:rsidP="00A66EDA">
      <w:pPr>
        <w:rPr>
          <w:b/>
        </w:rPr>
      </w:pPr>
      <w:r w:rsidRPr="00F2661E">
        <w:rPr>
          <w:b/>
        </w:rPr>
        <w:t>GSK</w:t>
      </w:r>
    </w:p>
    <w:p w14:paraId="38673246" w14:textId="4A6C7A37" w:rsidR="00D14B4F" w:rsidRDefault="00D15F6D" w:rsidP="00A66EDA">
      <w:r>
        <w:t xml:space="preserve">Overall the past five years, </w:t>
      </w:r>
      <w:r w:rsidR="00500CAD">
        <w:t>the trend in cash ratio has flu</w:t>
      </w:r>
      <w:r w:rsidR="00C0256F">
        <w:t xml:space="preserve">ctuated, and </w:t>
      </w:r>
      <w:r w:rsidR="00F124A1">
        <w:t>its proce</w:t>
      </w:r>
      <w:r w:rsidR="00531ED7">
        <w:t>e</w:t>
      </w:r>
      <w:r w:rsidR="00F124A1">
        <w:t xml:space="preserve">ding </w:t>
      </w:r>
      <w:r w:rsidR="00531ED7">
        <w:t xml:space="preserve">has been </w:t>
      </w:r>
      <w:proofErr w:type="gramStart"/>
      <w:r w:rsidR="00531ED7">
        <w:t>similar to</w:t>
      </w:r>
      <w:proofErr w:type="gramEnd"/>
      <w:r w:rsidR="00531ED7">
        <w:t xml:space="preserve"> the current and </w:t>
      </w:r>
      <w:r w:rsidR="007D1624">
        <w:t>quick ratios.</w:t>
      </w:r>
    </w:p>
    <w:p w14:paraId="1AEFA9F3" w14:textId="11A282E6" w:rsidR="00C36BA8" w:rsidRDefault="000256D8" w:rsidP="00A66EDA">
      <w:r>
        <w:t xml:space="preserve">Its average, overall the past five yeas has been </w:t>
      </w:r>
      <w:r w:rsidR="002C48A7">
        <w:t xml:space="preserve">0.26. This means that </w:t>
      </w:r>
      <w:r w:rsidR="00D8593E">
        <w:t xml:space="preserve">that the company has insufficient cash to </w:t>
      </w:r>
      <w:r w:rsidR="00320088">
        <w:t xml:space="preserve">pay its short-term debt. </w:t>
      </w:r>
    </w:p>
    <w:p w14:paraId="22847E0F" w14:textId="27B7E2A2" w:rsidR="00AB50BE" w:rsidRDefault="00390E8F" w:rsidP="00A66EDA">
      <w:r>
        <w:t xml:space="preserve">However, it is </w:t>
      </w:r>
      <w:r w:rsidR="000B15DA">
        <w:t xml:space="preserve">necessary to </w:t>
      </w:r>
      <w:r w:rsidR="001F3403">
        <w:t xml:space="preserve">underline </w:t>
      </w:r>
      <w:r w:rsidR="00D86DD2">
        <w:t xml:space="preserve">that most of GSK’s borrowing </w:t>
      </w:r>
      <w:r w:rsidR="00F426CE">
        <w:t xml:space="preserve">have a deadline </w:t>
      </w:r>
      <w:r w:rsidR="00A40652">
        <w:t>of over</w:t>
      </w:r>
      <w:r w:rsidR="00F426CE">
        <w:t xml:space="preserve"> </w:t>
      </w:r>
      <w:r w:rsidR="00A40652">
        <w:t>a</w:t>
      </w:r>
      <w:r w:rsidR="00043C53">
        <w:t xml:space="preserve"> year</w:t>
      </w:r>
      <w:r w:rsidR="00560058">
        <w:t xml:space="preserve"> (</w:t>
      </w:r>
      <w:r w:rsidR="00A245D4">
        <w:t>as shown in the tab.5).</w:t>
      </w:r>
      <w:r w:rsidR="00043C53">
        <w:t xml:space="preserve"> This means that for pharmaceutical </w:t>
      </w:r>
      <w:r w:rsidR="00E22550">
        <w:t xml:space="preserve">companies the </w:t>
      </w:r>
      <w:r w:rsidR="007C6652">
        <w:t>“</w:t>
      </w:r>
      <w:r w:rsidR="00A40652">
        <w:t>biggest</w:t>
      </w:r>
      <w:r w:rsidR="00E22550">
        <w:t xml:space="preserve"> challeng</w:t>
      </w:r>
      <w:r w:rsidR="007C6652">
        <w:t>e”</w:t>
      </w:r>
      <w:r w:rsidR="00E22550">
        <w:t xml:space="preserve"> is the </w:t>
      </w:r>
      <w:r w:rsidR="00A15753">
        <w:t>ability</w:t>
      </w:r>
      <w:r w:rsidR="00E22550">
        <w:t xml:space="preserve"> to pay their long-term borrowing</w:t>
      </w:r>
      <w:r w:rsidR="00135D14">
        <w:t xml:space="preserve">s. </w:t>
      </w:r>
    </w:p>
    <w:p w14:paraId="50872CB4" w14:textId="5DC34820" w:rsidR="00BC2C78" w:rsidRDefault="00BC2C78" w:rsidP="00BC2C78">
      <w:pPr>
        <w:rPr>
          <w:b/>
        </w:rPr>
      </w:pPr>
      <w:r w:rsidRPr="00C57777">
        <w:rPr>
          <w:b/>
        </w:rPr>
        <w:t>GSK vs. AstraZeneca</w:t>
      </w:r>
    </w:p>
    <w:p w14:paraId="70620680" w14:textId="7EDB24E6" w:rsidR="00307C5F" w:rsidRDefault="00753A14" w:rsidP="0023349B">
      <w:r>
        <w:t>A</w:t>
      </w:r>
      <w:r w:rsidR="0073065D">
        <w:t xml:space="preserve">s other liquidity ratios, </w:t>
      </w:r>
      <w:r w:rsidR="0029382C">
        <w:t xml:space="preserve">AstraZeneca performed better than GSK. In 2018. AstraZeneca has </w:t>
      </w:r>
      <w:r w:rsidR="00FE4290">
        <w:t xml:space="preserve">a “grater” </w:t>
      </w:r>
      <w:r w:rsidR="00742F1D">
        <w:t xml:space="preserve">ability to pay its short-term borrowing (less than one year) by using cash and cash equivalent. </w:t>
      </w:r>
    </w:p>
    <w:p w14:paraId="382389BC" w14:textId="53CA10B6" w:rsidR="00C007B9" w:rsidRPr="00C50E3D" w:rsidRDefault="00C007B9" w:rsidP="0023349B">
      <w:r>
        <w:t>Finally, AstraZeneca has a better liquidity position</w:t>
      </w:r>
      <w:r w:rsidR="00F16731">
        <w:t xml:space="preserve"> than GSK.</w:t>
      </w:r>
    </w:p>
    <w:p w14:paraId="51C39A8E" w14:textId="580D0F3A" w:rsidR="00307C5F" w:rsidRPr="00C50E3D" w:rsidRDefault="00307C5F" w:rsidP="0023349B"/>
    <w:p w14:paraId="1F5C1C95" w14:textId="77777777" w:rsidR="00307C5F" w:rsidRDefault="00307C5F" w:rsidP="00307C5F">
      <w:pPr>
        <w:pStyle w:val="Heading2"/>
        <w:rPr>
          <w:shd w:val="clear" w:color="auto" w:fill="FFFFFF"/>
        </w:rPr>
      </w:pPr>
      <w:bookmarkStart w:id="14" w:name="_Toc7774451"/>
      <w:r>
        <w:rPr>
          <w:shd w:val="clear" w:color="auto" w:fill="FFFFFF"/>
        </w:rPr>
        <w:t>Leverage ratios</w:t>
      </w:r>
      <w:bookmarkEnd w:id="14"/>
      <w:r>
        <w:rPr>
          <w:shd w:val="clear" w:color="auto" w:fill="FFFFFF"/>
        </w:rPr>
        <w:t xml:space="preserve"> </w:t>
      </w:r>
    </w:p>
    <w:p w14:paraId="2BC13960" w14:textId="08EF9696" w:rsidR="00307C5F" w:rsidRDefault="009C46C4" w:rsidP="00307C5F">
      <w:r>
        <w:t>Leverage ratios are</w:t>
      </w:r>
      <w:r w:rsidR="00307C5F">
        <w:t xml:space="preserve"> used by company and investors to measure a company’s risk and to determine the relative level of debt load that a business has incurred. </w:t>
      </w:r>
    </w:p>
    <w:p w14:paraId="44BCE773" w14:textId="7A59FC83" w:rsidR="00687895" w:rsidRDefault="00BD3C25" w:rsidP="00307C5F">
      <w:r>
        <w:t xml:space="preserve">Debt-equity ratio and Debt-to-capital ratios will be </w:t>
      </w:r>
      <w:r w:rsidR="003C77FA">
        <w:t>studied</w:t>
      </w:r>
      <w:r>
        <w:t xml:space="preserve">. </w:t>
      </w:r>
    </w:p>
    <w:p w14:paraId="7A108E59" w14:textId="13AB4A30" w:rsidR="00307C5F" w:rsidRPr="00BE1901" w:rsidRDefault="00307C5F" w:rsidP="00307C5F">
      <w:pPr>
        <w:rPr>
          <w:b/>
        </w:rPr>
      </w:pPr>
      <w:r w:rsidRPr="00772647">
        <w:rPr>
          <w:b/>
          <w:u w:val="single"/>
        </w:rPr>
        <w:t xml:space="preserve">Tab. </w:t>
      </w:r>
      <w:r>
        <w:rPr>
          <w:b/>
          <w:u w:val="single"/>
        </w:rPr>
        <w:t>5</w:t>
      </w:r>
      <w:r w:rsidRPr="00772647">
        <w:rPr>
          <w:b/>
        </w:rPr>
        <w:t xml:space="preserve">: </w:t>
      </w:r>
      <w:r>
        <w:rPr>
          <w:b/>
        </w:rPr>
        <w:t>Short-term borr</w:t>
      </w:r>
      <w:r w:rsidR="00BE1901">
        <w:rPr>
          <w:b/>
        </w:rPr>
        <w:t xml:space="preserve">owing, Long-term borrowing and Total equity </w:t>
      </w:r>
      <w:r w:rsidRPr="00772647">
        <w:rPr>
          <w:b/>
        </w:rPr>
        <w:t xml:space="preserve">of GSK (2014-2018) and AstraZeneca (2018). </w:t>
      </w:r>
    </w:p>
    <w:tbl>
      <w:tblPr>
        <w:tblW w:w="9678" w:type="dxa"/>
        <w:tblLook w:val="04A0" w:firstRow="1" w:lastRow="0" w:firstColumn="1" w:lastColumn="0" w:noHBand="0" w:noVBand="1"/>
      </w:tblPr>
      <w:tblGrid>
        <w:gridCol w:w="2225"/>
        <w:gridCol w:w="1071"/>
        <w:gridCol w:w="1071"/>
        <w:gridCol w:w="1071"/>
        <w:gridCol w:w="1071"/>
        <w:gridCol w:w="1071"/>
        <w:gridCol w:w="2098"/>
      </w:tblGrid>
      <w:tr w:rsidR="00307C5F" w:rsidRPr="00783FAD" w14:paraId="56AAE3BF" w14:textId="77777777" w:rsidTr="006C0B7F">
        <w:trPr>
          <w:trHeight w:val="305"/>
        </w:trPr>
        <w:tc>
          <w:tcPr>
            <w:tcW w:w="2225" w:type="dxa"/>
            <w:tcBorders>
              <w:top w:val="single" w:sz="4" w:space="0" w:color="8EA9DB"/>
              <w:left w:val="single" w:sz="4" w:space="0" w:color="8EA9DB"/>
              <w:bottom w:val="single" w:sz="4" w:space="0" w:color="8EA9DB"/>
              <w:right w:val="nil"/>
            </w:tcBorders>
            <w:shd w:val="clear" w:color="4472C4" w:fill="4472C4"/>
            <w:noWrap/>
            <w:vAlign w:val="bottom"/>
            <w:hideMark/>
          </w:tcPr>
          <w:p w14:paraId="2EC2E906" w14:textId="77777777" w:rsidR="00307C5F" w:rsidRPr="00783FAD" w:rsidRDefault="00307C5F" w:rsidP="006C0B7F">
            <w:pPr>
              <w:spacing w:after="0" w:line="240" w:lineRule="auto"/>
              <w:jc w:val="center"/>
              <w:rPr>
                <w:rFonts w:ascii="Calibri" w:eastAsia="Times New Roman" w:hAnsi="Calibri" w:cs="Calibri"/>
                <w:b/>
                <w:bCs/>
                <w:color w:val="FFFFFF"/>
                <w:lang w:eastAsia="en-GB"/>
              </w:rPr>
            </w:pPr>
            <w:r w:rsidRPr="00783FAD">
              <w:rPr>
                <w:rFonts w:ascii="Calibri" w:eastAsia="Times New Roman" w:hAnsi="Calibri" w:cs="Calibri"/>
                <w:b/>
                <w:bCs/>
                <w:color w:val="FFFFFF"/>
                <w:lang w:eastAsia="en-GB"/>
              </w:rPr>
              <w:t>GSK £m</w:t>
            </w:r>
          </w:p>
        </w:tc>
        <w:tc>
          <w:tcPr>
            <w:tcW w:w="1071" w:type="dxa"/>
            <w:tcBorders>
              <w:top w:val="single" w:sz="4" w:space="0" w:color="8EA9DB"/>
              <w:left w:val="nil"/>
              <w:bottom w:val="single" w:sz="4" w:space="0" w:color="8EA9DB"/>
              <w:right w:val="nil"/>
            </w:tcBorders>
            <w:shd w:val="clear" w:color="4472C4" w:fill="4472C4"/>
            <w:noWrap/>
            <w:vAlign w:val="bottom"/>
            <w:hideMark/>
          </w:tcPr>
          <w:p w14:paraId="06725A28" w14:textId="77777777" w:rsidR="00307C5F" w:rsidRPr="00783FAD" w:rsidRDefault="00307C5F" w:rsidP="006C0B7F">
            <w:pPr>
              <w:spacing w:after="0" w:line="240" w:lineRule="auto"/>
              <w:jc w:val="center"/>
              <w:rPr>
                <w:rFonts w:ascii="Calibri" w:eastAsia="Times New Roman" w:hAnsi="Calibri" w:cs="Calibri"/>
                <w:b/>
                <w:bCs/>
                <w:color w:val="FFFFFF"/>
                <w:lang w:eastAsia="en-GB"/>
              </w:rPr>
            </w:pPr>
            <w:r w:rsidRPr="00783FAD">
              <w:rPr>
                <w:rFonts w:ascii="Calibri" w:eastAsia="Times New Roman" w:hAnsi="Calibri" w:cs="Calibri"/>
                <w:b/>
                <w:bCs/>
                <w:color w:val="FFFFFF"/>
                <w:lang w:eastAsia="en-GB"/>
              </w:rPr>
              <w:t>2014</w:t>
            </w:r>
          </w:p>
        </w:tc>
        <w:tc>
          <w:tcPr>
            <w:tcW w:w="1071" w:type="dxa"/>
            <w:tcBorders>
              <w:top w:val="single" w:sz="4" w:space="0" w:color="8EA9DB"/>
              <w:left w:val="nil"/>
              <w:bottom w:val="single" w:sz="4" w:space="0" w:color="8EA9DB"/>
              <w:right w:val="nil"/>
            </w:tcBorders>
            <w:shd w:val="clear" w:color="4472C4" w:fill="4472C4"/>
            <w:noWrap/>
            <w:vAlign w:val="bottom"/>
            <w:hideMark/>
          </w:tcPr>
          <w:p w14:paraId="6BF9753D" w14:textId="77777777" w:rsidR="00307C5F" w:rsidRPr="00783FAD" w:rsidRDefault="00307C5F" w:rsidP="006C0B7F">
            <w:pPr>
              <w:spacing w:after="0" w:line="240" w:lineRule="auto"/>
              <w:jc w:val="center"/>
              <w:rPr>
                <w:rFonts w:ascii="Calibri" w:eastAsia="Times New Roman" w:hAnsi="Calibri" w:cs="Calibri"/>
                <w:b/>
                <w:bCs/>
                <w:color w:val="FFFFFF"/>
                <w:lang w:eastAsia="en-GB"/>
              </w:rPr>
            </w:pPr>
            <w:r w:rsidRPr="00783FAD">
              <w:rPr>
                <w:rFonts w:ascii="Calibri" w:eastAsia="Times New Roman" w:hAnsi="Calibri" w:cs="Calibri"/>
                <w:b/>
                <w:bCs/>
                <w:color w:val="FFFFFF"/>
                <w:lang w:eastAsia="en-GB"/>
              </w:rPr>
              <w:t>2015</w:t>
            </w:r>
          </w:p>
        </w:tc>
        <w:tc>
          <w:tcPr>
            <w:tcW w:w="1071" w:type="dxa"/>
            <w:tcBorders>
              <w:top w:val="single" w:sz="4" w:space="0" w:color="8EA9DB"/>
              <w:left w:val="nil"/>
              <w:bottom w:val="single" w:sz="4" w:space="0" w:color="8EA9DB"/>
              <w:right w:val="nil"/>
            </w:tcBorders>
            <w:shd w:val="clear" w:color="4472C4" w:fill="4472C4"/>
            <w:noWrap/>
            <w:vAlign w:val="bottom"/>
            <w:hideMark/>
          </w:tcPr>
          <w:p w14:paraId="5C1394A7" w14:textId="77777777" w:rsidR="00307C5F" w:rsidRPr="00783FAD" w:rsidRDefault="00307C5F" w:rsidP="006C0B7F">
            <w:pPr>
              <w:spacing w:after="0" w:line="240" w:lineRule="auto"/>
              <w:jc w:val="center"/>
              <w:rPr>
                <w:rFonts w:ascii="Calibri" w:eastAsia="Times New Roman" w:hAnsi="Calibri" w:cs="Calibri"/>
                <w:b/>
                <w:bCs/>
                <w:color w:val="FFFFFF"/>
                <w:lang w:eastAsia="en-GB"/>
              </w:rPr>
            </w:pPr>
            <w:r w:rsidRPr="00783FAD">
              <w:rPr>
                <w:rFonts w:ascii="Calibri" w:eastAsia="Times New Roman" w:hAnsi="Calibri" w:cs="Calibri"/>
                <w:b/>
                <w:bCs/>
                <w:color w:val="FFFFFF"/>
                <w:lang w:eastAsia="en-GB"/>
              </w:rPr>
              <w:t>2016</w:t>
            </w:r>
          </w:p>
        </w:tc>
        <w:tc>
          <w:tcPr>
            <w:tcW w:w="1071" w:type="dxa"/>
            <w:tcBorders>
              <w:top w:val="single" w:sz="4" w:space="0" w:color="8EA9DB"/>
              <w:left w:val="nil"/>
              <w:bottom w:val="single" w:sz="4" w:space="0" w:color="8EA9DB"/>
              <w:right w:val="nil"/>
            </w:tcBorders>
            <w:shd w:val="clear" w:color="4472C4" w:fill="4472C4"/>
            <w:noWrap/>
            <w:vAlign w:val="bottom"/>
            <w:hideMark/>
          </w:tcPr>
          <w:p w14:paraId="763AAF4B" w14:textId="77777777" w:rsidR="00307C5F" w:rsidRPr="00783FAD" w:rsidRDefault="00307C5F" w:rsidP="006C0B7F">
            <w:pPr>
              <w:spacing w:after="0" w:line="240" w:lineRule="auto"/>
              <w:jc w:val="center"/>
              <w:rPr>
                <w:rFonts w:ascii="Calibri" w:eastAsia="Times New Roman" w:hAnsi="Calibri" w:cs="Calibri"/>
                <w:b/>
                <w:bCs/>
                <w:color w:val="FFFFFF"/>
                <w:lang w:eastAsia="en-GB"/>
              </w:rPr>
            </w:pPr>
            <w:r w:rsidRPr="00783FAD">
              <w:rPr>
                <w:rFonts w:ascii="Calibri" w:eastAsia="Times New Roman" w:hAnsi="Calibri" w:cs="Calibri"/>
                <w:b/>
                <w:bCs/>
                <w:color w:val="FFFFFF"/>
                <w:lang w:eastAsia="en-GB"/>
              </w:rPr>
              <w:t>2017</w:t>
            </w:r>
          </w:p>
        </w:tc>
        <w:tc>
          <w:tcPr>
            <w:tcW w:w="1071" w:type="dxa"/>
            <w:tcBorders>
              <w:top w:val="single" w:sz="4" w:space="0" w:color="8EA9DB"/>
              <w:left w:val="nil"/>
              <w:bottom w:val="single" w:sz="4" w:space="0" w:color="8EA9DB"/>
              <w:right w:val="nil"/>
            </w:tcBorders>
            <w:shd w:val="clear" w:color="4472C4" w:fill="4472C4"/>
            <w:noWrap/>
            <w:vAlign w:val="bottom"/>
            <w:hideMark/>
          </w:tcPr>
          <w:p w14:paraId="4463CE47" w14:textId="77777777" w:rsidR="00307C5F" w:rsidRPr="00783FAD" w:rsidRDefault="00307C5F" w:rsidP="006C0B7F">
            <w:pPr>
              <w:spacing w:after="0" w:line="240" w:lineRule="auto"/>
              <w:jc w:val="center"/>
              <w:rPr>
                <w:rFonts w:ascii="Calibri" w:eastAsia="Times New Roman" w:hAnsi="Calibri" w:cs="Calibri"/>
                <w:b/>
                <w:bCs/>
                <w:color w:val="FFFFFF"/>
                <w:lang w:eastAsia="en-GB"/>
              </w:rPr>
            </w:pPr>
            <w:r w:rsidRPr="00783FAD">
              <w:rPr>
                <w:rFonts w:ascii="Calibri" w:eastAsia="Times New Roman" w:hAnsi="Calibri" w:cs="Calibri"/>
                <w:b/>
                <w:bCs/>
                <w:color w:val="FFFFFF"/>
                <w:lang w:eastAsia="en-GB"/>
              </w:rPr>
              <w:t>2018</w:t>
            </w:r>
          </w:p>
        </w:tc>
        <w:tc>
          <w:tcPr>
            <w:tcW w:w="2098" w:type="dxa"/>
            <w:tcBorders>
              <w:top w:val="single" w:sz="4" w:space="0" w:color="8EA9DB"/>
              <w:left w:val="nil"/>
              <w:bottom w:val="single" w:sz="4" w:space="0" w:color="8EA9DB"/>
              <w:right w:val="single" w:sz="4" w:space="0" w:color="8EA9DB"/>
            </w:tcBorders>
            <w:shd w:val="clear" w:color="4472C4" w:fill="4472C4"/>
            <w:noWrap/>
            <w:vAlign w:val="bottom"/>
            <w:hideMark/>
          </w:tcPr>
          <w:p w14:paraId="43ED4159" w14:textId="77777777" w:rsidR="00307C5F" w:rsidRDefault="00307C5F" w:rsidP="006C0B7F">
            <w:pPr>
              <w:spacing w:after="0" w:line="240" w:lineRule="auto"/>
              <w:jc w:val="center"/>
              <w:rPr>
                <w:rFonts w:ascii="Calibri" w:eastAsia="Times New Roman" w:hAnsi="Calibri" w:cs="Calibri"/>
                <w:b/>
                <w:bCs/>
                <w:color w:val="FFFFFF"/>
                <w:lang w:eastAsia="en-GB"/>
              </w:rPr>
            </w:pPr>
            <w:r w:rsidRPr="00783FAD">
              <w:rPr>
                <w:rFonts w:ascii="Calibri" w:eastAsia="Times New Roman" w:hAnsi="Calibri" w:cs="Calibri"/>
                <w:b/>
                <w:bCs/>
                <w:color w:val="FFFFFF"/>
                <w:lang w:eastAsia="en-GB"/>
              </w:rPr>
              <w:t>AstraZeneca 2018</w:t>
            </w:r>
          </w:p>
          <w:p w14:paraId="7FF0DF13" w14:textId="77777777" w:rsidR="00307C5F" w:rsidRPr="00783FAD" w:rsidRDefault="00307C5F" w:rsidP="006C0B7F">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$m</w:t>
            </w:r>
          </w:p>
        </w:tc>
      </w:tr>
      <w:tr w:rsidR="00307C5F" w:rsidRPr="00783FAD" w14:paraId="6A44D61C" w14:textId="77777777" w:rsidTr="006C0B7F">
        <w:trPr>
          <w:trHeight w:val="305"/>
        </w:trPr>
        <w:tc>
          <w:tcPr>
            <w:tcW w:w="2225" w:type="dxa"/>
            <w:tcBorders>
              <w:top w:val="single" w:sz="4" w:space="0" w:color="8EA9DB"/>
              <w:left w:val="single" w:sz="4" w:space="0" w:color="8EA9DB"/>
              <w:bottom w:val="single" w:sz="4" w:space="0" w:color="8EA9DB"/>
              <w:right w:val="nil"/>
            </w:tcBorders>
            <w:shd w:val="clear" w:color="D9E1F2" w:fill="D9E1F2"/>
            <w:noWrap/>
            <w:vAlign w:val="bottom"/>
            <w:hideMark/>
          </w:tcPr>
          <w:p w14:paraId="74EFFC5C"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Short-term borrowing</w:t>
            </w:r>
          </w:p>
        </w:tc>
        <w:tc>
          <w:tcPr>
            <w:tcW w:w="1071" w:type="dxa"/>
            <w:tcBorders>
              <w:top w:val="single" w:sz="4" w:space="0" w:color="8EA9DB"/>
              <w:left w:val="nil"/>
              <w:bottom w:val="single" w:sz="4" w:space="0" w:color="8EA9DB"/>
              <w:right w:val="nil"/>
            </w:tcBorders>
            <w:shd w:val="clear" w:color="D9E1F2" w:fill="D9E1F2"/>
            <w:noWrap/>
            <w:vAlign w:val="bottom"/>
            <w:hideMark/>
          </w:tcPr>
          <w:p w14:paraId="35B15DCB"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2,943</w:t>
            </w:r>
          </w:p>
        </w:tc>
        <w:tc>
          <w:tcPr>
            <w:tcW w:w="1071" w:type="dxa"/>
            <w:tcBorders>
              <w:top w:val="single" w:sz="4" w:space="0" w:color="8EA9DB"/>
              <w:left w:val="nil"/>
              <w:bottom w:val="single" w:sz="4" w:space="0" w:color="8EA9DB"/>
              <w:right w:val="nil"/>
            </w:tcBorders>
            <w:shd w:val="clear" w:color="D9E1F2" w:fill="D9E1F2"/>
            <w:noWrap/>
            <w:vAlign w:val="bottom"/>
            <w:hideMark/>
          </w:tcPr>
          <w:p w14:paraId="7067FEB3"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1,308</w:t>
            </w:r>
          </w:p>
        </w:tc>
        <w:tc>
          <w:tcPr>
            <w:tcW w:w="1071" w:type="dxa"/>
            <w:tcBorders>
              <w:top w:val="single" w:sz="4" w:space="0" w:color="8EA9DB"/>
              <w:left w:val="nil"/>
              <w:bottom w:val="single" w:sz="4" w:space="0" w:color="8EA9DB"/>
              <w:right w:val="nil"/>
            </w:tcBorders>
            <w:shd w:val="clear" w:color="D9E1F2" w:fill="D9E1F2"/>
            <w:noWrap/>
            <w:vAlign w:val="bottom"/>
            <w:hideMark/>
          </w:tcPr>
          <w:p w14:paraId="60A2FD94"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4,129</w:t>
            </w:r>
          </w:p>
        </w:tc>
        <w:tc>
          <w:tcPr>
            <w:tcW w:w="1071" w:type="dxa"/>
            <w:tcBorders>
              <w:top w:val="single" w:sz="4" w:space="0" w:color="8EA9DB"/>
              <w:left w:val="nil"/>
              <w:bottom w:val="single" w:sz="4" w:space="0" w:color="8EA9DB"/>
              <w:right w:val="nil"/>
            </w:tcBorders>
            <w:shd w:val="clear" w:color="D9E1F2" w:fill="D9E1F2"/>
            <w:noWrap/>
            <w:vAlign w:val="bottom"/>
            <w:hideMark/>
          </w:tcPr>
          <w:p w14:paraId="67E70DF9"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2,825</w:t>
            </w:r>
          </w:p>
        </w:tc>
        <w:tc>
          <w:tcPr>
            <w:tcW w:w="1071" w:type="dxa"/>
            <w:tcBorders>
              <w:top w:val="single" w:sz="4" w:space="0" w:color="8EA9DB"/>
              <w:left w:val="nil"/>
              <w:bottom w:val="single" w:sz="4" w:space="0" w:color="8EA9DB"/>
              <w:right w:val="nil"/>
            </w:tcBorders>
            <w:shd w:val="clear" w:color="D9E1F2" w:fill="D9E1F2"/>
            <w:noWrap/>
            <w:vAlign w:val="bottom"/>
            <w:hideMark/>
          </w:tcPr>
          <w:p w14:paraId="26100949"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5,793</w:t>
            </w:r>
          </w:p>
        </w:tc>
        <w:tc>
          <w:tcPr>
            <w:tcW w:w="2098" w:type="dxa"/>
            <w:tcBorders>
              <w:top w:val="single" w:sz="4" w:space="0" w:color="8EA9DB"/>
              <w:left w:val="nil"/>
              <w:bottom w:val="single" w:sz="4" w:space="0" w:color="8EA9DB"/>
              <w:right w:val="single" w:sz="4" w:space="0" w:color="8EA9DB"/>
            </w:tcBorders>
            <w:shd w:val="clear" w:color="D9E1F2" w:fill="D9E1F2"/>
            <w:noWrap/>
            <w:vAlign w:val="bottom"/>
            <w:hideMark/>
          </w:tcPr>
          <w:p w14:paraId="50410AB6"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1,754</w:t>
            </w:r>
          </w:p>
        </w:tc>
      </w:tr>
      <w:tr w:rsidR="00307C5F" w:rsidRPr="00783FAD" w14:paraId="111F1558" w14:textId="77777777" w:rsidTr="006C0B7F">
        <w:trPr>
          <w:trHeight w:val="305"/>
        </w:trPr>
        <w:tc>
          <w:tcPr>
            <w:tcW w:w="2225" w:type="dxa"/>
            <w:tcBorders>
              <w:top w:val="single" w:sz="4" w:space="0" w:color="8EA9DB"/>
              <w:left w:val="single" w:sz="4" w:space="0" w:color="8EA9DB"/>
              <w:bottom w:val="single" w:sz="4" w:space="0" w:color="8EA9DB"/>
              <w:right w:val="nil"/>
            </w:tcBorders>
            <w:shd w:val="clear" w:color="auto" w:fill="auto"/>
            <w:noWrap/>
            <w:vAlign w:val="bottom"/>
            <w:hideMark/>
          </w:tcPr>
          <w:p w14:paraId="6DD6E2E2"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 xml:space="preserve">Long-term borrowing </w:t>
            </w:r>
          </w:p>
        </w:tc>
        <w:tc>
          <w:tcPr>
            <w:tcW w:w="1071" w:type="dxa"/>
            <w:tcBorders>
              <w:top w:val="single" w:sz="4" w:space="0" w:color="8EA9DB"/>
              <w:left w:val="nil"/>
              <w:bottom w:val="single" w:sz="4" w:space="0" w:color="8EA9DB"/>
              <w:right w:val="nil"/>
            </w:tcBorders>
            <w:shd w:val="clear" w:color="auto" w:fill="auto"/>
            <w:noWrap/>
            <w:vAlign w:val="bottom"/>
            <w:hideMark/>
          </w:tcPr>
          <w:p w14:paraId="67CAFBD3"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15,841</w:t>
            </w:r>
          </w:p>
        </w:tc>
        <w:tc>
          <w:tcPr>
            <w:tcW w:w="1071" w:type="dxa"/>
            <w:tcBorders>
              <w:top w:val="single" w:sz="4" w:space="0" w:color="8EA9DB"/>
              <w:left w:val="nil"/>
              <w:bottom w:val="single" w:sz="4" w:space="0" w:color="8EA9DB"/>
              <w:right w:val="nil"/>
            </w:tcBorders>
            <w:shd w:val="clear" w:color="auto" w:fill="auto"/>
            <w:noWrap/>
            <w:vAlign w:val="bottom"/>
            <w:hideMark/>
          </w:tcPr>
          <w:p w14:paraId="712BB414"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15,324</w:t>
            </w:r>
          </w:p>
        </w:tc>
        <w:tc>
          <w:tcPr>
            <w:tcW w:w="1071" w:type="dxa"/>
            <w:tcBorders>
              <w:top w:val="single" w:sz="4" w:space="0" w:color="8EA9DB"/>
              <w:left w:val="nil"/>
              <w:bottom w:val="single" w:sz="4" w:space="0" w:color="8EA9DB"/>
              <w:right w:val="nil"/>
            </w:tcBorders>
            <w:shd w:val="clear" w:color="auto" w:fill="auto"/>
            <w:noWrap/>
            <w:vAlign w:val="bottom"/>
            <w:hideMark/>
          </w:tcPr>
          <w:p w14:paraId="34A848B8"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14,661</w:t>
            </w:r>
          </w:p>
        </w:tc>
        <w:tc>
          <w:tcPr>
            <w:tcW w:w="1071" w:type="dxa"/>
            <w:tcBorders>
              <w:top w:val="single" w:sz="4" w:space="0" w:color="8EA9DB"/>
              <w:left w:val="nil"/>
              <w:bottom w:val="single" w:sz="4" w:space="0" w:color="8EA9DB"/>
              <w:right w:val="nil"/>
            </w:tcBorders>
            <w:shd w:val="clear" w:color="auto" w:fill="auto"/>
            <w:noWrap/>
            <w:vAlign w:val="bottom"/>
            <w:hideMark/>
          </w:tcPr>
          <w:p w14:paraId="36FA9296"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14,264</w:t>
            </w:r>
          </w:p>
        </w:tc>
        <w:tc>
          <w:tcPr>
            <w:tcW w:w="1071" w:type="dxa"/>
            <w:tcBorders>
              <w:top w:val="single" w:sz="4" w:space="0" w:color="8EA9DB"/>
              <w:left w:val="nil"/>
              <w:bottom w:val="single" w:sz="4" w:space="0" w:color="8EA9DB"/>
              <w:right w:val="nil"/>
            </w:tcBorders>
            <w:shd w:val="clear" w:color="auto" w:fill="auto"/>
            <w:noWrap/>
            <w:vAlign w:val="bottom"/>
            <w:hideMark/>
          </w:tcPr>
          <w:p w14:paraId="45D652DE"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20,271</w:t>
            </w:r>
          </w:p>
        </w:tc>
        <w:tc>
          <w:tcPr>
            <w:tcW w:w="2098" w:type="dxa"/>
            <w:tcBorders>
              <w:top w:val="single" w:sz="4" w:space="0" w:color="8EA9DB"/>
              <w:left w:val="nil"/>
              <w:bottom w:val="single" w:sz="4" w:space="0" w:color="8EA9DB"/>
              <w:right w:val="single" w:sz="4" w:space="0" w:color="8EA9DB"/>
            </w:tcBorders>
            <w:shd w:val="clear" w:color="auto" w:fill="auto"/>
            <w:noWrap/>
            <w:vAlign w:val="bottom"/>
            <w:hideMark/>
          </w:tcPr>
          <w:p w14:paraId="4A35E856"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17,359</w:t>
            </w:r>
          </w:p>
        </w:tc>
      </w:tr>
      <w:tr w:rsidR="00307C5F" w:rsidRPr="00783FAD" w14:paraId="65AF1593" w14:textId="77777777" w:rsidTr="006C0B7F">
        <w:trPr>
          <w:trHeight w:val="305"/>
        </w:trPr>
        <w:tc>
          <w:tcPr>
            <w:tcW w:w="2225" w:type="dxa"/>
            <w:tcBorders>
              <w:top w:val="single" w:sz="4" w:space="0" w:color="8EA9DB"/>
              <w:left w:val="single" w:sz="4" w:space="0" w:color="8EA9DB"/>
              <w:bottom w:val="single" w:sz="4" w:space="0" w:color="8EA9DB"/>
              <w:right w:val="nil"/>
            </w:tcBorders>
            <w:shd w:val="clear" w:color="D9E1F2" w:fill="D9E1F2"/>
            <w:noWrap/>
            <w:vAlign w:val="bottom"/>
            <w:hideMark/>
          </w:tcPr>
          <w:p w14:paraId="70828C3C"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Total equity</w:t>
            </w:r>
          </w:p>
        </w:tc>
        <w:tc>
          <w:tcPr>
            <w:tcW w:w="1071" w:type="dxa"/>
            <w:tcBorders>
              <w:top w:val="single" w:sz="4" w:space="0" w:color="8EA9DB"/>
              <w:left w:val="nil"/>
              <w:bottom w:val="single" w:sz="4" w:space="0" w:color="8EA9DB"/>
              <w:right w:val="nil"/>
            </w:tcBorders>
            <w:shd w:val="clear" w:color="D9E1F2" w:fill="D9E1F2"/>
            <w:noWrap/>
            <w:vAlign w:val="bottom"/>
            <w:hideMark/>
          </w:tcPr>
          <w:p w14:paraId="5B4ACDA2"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4,936</w:t>
            </w:r>
          </w:p>
        </w:tc>
        <w:tc>
          <w:tcPr>
            <w:tcW w:w="1071" w:type="dxa"/>
            <w:tcBorders>
              <w:top w:val="single" w:sz="4" w:space="0" w:color="8EA9DB"/>
              <w:left w:val="nil"/>
              <w:bottom w:val="single" w:sz="4" w:space="0" w:color="8EA9DB"/>
              <w:right w:val="nil"/>
            </w:tcBorders>
            <w:shd w:val="clear" w:color="D9E1F2" w:fill="D9E1F2"/>
            <w:noWrap/>
            <w:vAlign w:val="bottom"/>
            <w:hideMark/>
          </w:tcPr>
          <w:p w14:paraId="5FBFB929"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BE1901">
              <w:rPr>
                <w:rFonts w:ascii="Calibri" w:eastAsia="Times New Roman" w:hAnsi="Calibri" w:cs="Calibri"/>
                <w:color w:val="000000"/>
                <w:lang w:eastAsia="en-GB"/>
              </w:rPr>
              <w:t>8,878</w:t>
            </w:r>
          </w:p>
        </w:tc>
        <w:tc>
          <w:tcPr>
            <w:tcW w:w="1071" w:type="dxa"/>
            <w:tcBorders>
              <w:top w:val="single" w:sz="4" w:space="0" w:color="8EA9DB"/>
              <w:left w:val="nil"/>
              <w:bottom w:val="single" w:sz="4" w:space="0" w:color="8EA9DB"/>
              <w:right w:val="nil"/>
            </w:tcBorders>
            <w:shd w:val="clear" w:color="D9E1F2" w:fill="D9E1F2"/>
            <w:noWrap/>
            <w:vAlign w:val="bottom"/>
            <w:hideMark/>
          </w:tcPr>
          <w:p w14:paraId="592F36A8"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4,963</w:t>
            </w:r>
          </w:p>
        </w:tc>
        <w:tc>
          <w:tcPr>
            <w:tcW w:w="1071" w:type="dxa"/>
            <w:tcBorders>
              <w:top w:val="single" w:sz="4" w:space="0" w:color="8EA9DB"/>
              <w:left w:val="nil"/>
              <w:bottom w:val="single" w:sz="4" w:space="0" w:color="8EA9DB"/>
              <w:right w:val="nil"/>
            </w:tcBorders>
            <w:shd w:val="clear" w:color="D9E1F2" w:fill="D9E1F2"/>
            <w:noWrap/>
            <w:vAlign w:val="bottom"/>
            <w:hideMark/>
          </w:tcPr>
          <w:p w14:paraId="03509FEE"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3,489</w:t>
            </w:r>
          </w:p>
        </w:tc>
        <w:tc>
          <w:tcPr>
            <w:tcW w:w="1071" w:type="dxa"/>
            <w:tcBorders>
              <w:top w:val="single" w:sz="4" w:space="0" w:color="8EA9DB"/>
              <w:left w:val="nil"/>
              <w:bottom w:val="single" w:sz="4" w:space="0" w:color="8EA9DB"/>
              <w:right w:val="nil"/>
            </w:tcBorders>
            <w:shd w:val="clear" w:color="D9E1F2" w:fill="D9E1F2"/>
            <w:noWrap/>
            <w:vAlign w:val="bottom"/>
            <w:hideMark/>
          </w:tcPr>
          <w:p w14:paraId="47141938"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3,672</w:t>
            </w:r>
          </w:p>
        </w:tc>
        <w:tc>
          <w:tcPr>
            <w:tcW w:w="2098" w:type="dxa"/>
            <w:tcBorders>
              <w:top w:val="single" w:sz="4" w:space="0" w:color="8EA9DB"/>
              <w:left w:val="nil"/>
              <w:bottom w:val="single" w:sz="4" w:space="0" w:color="8EA9DB"/>
              <w:right w:val="single" w:sz="4" w:space="0" w:color="8EA9DB"/>
            </w:tcBorders>
            <w:shd w:val="clear" w:color="D9E1F2" w:fill="D9E1F2"/>
            <w:noWrap/>
            <w:vAlign w:val="bottom"/>
            <w:hideMark/>
          </w:tcPr>
          <w:p w14:paraId="6918562E" w14:textId="77777777" w:rsidR="00307C5F" w:rsidRPr="00783FAD" w:rsidRDefault="00307C5F" w:rsidP="006C0B7F">
            <w:pPr>
              <w:spacing w:after="0" w:line="240" w:lineRule="auto"/>
              <w:jc w:val="center"/>
              <w:rPr>
                <w:rFonts w:ascii="Calibri" w:eastAsia="Times New Roman" w:hAnsi="Calibri" w:cs="Calibri"/>
                <w:color w:val="000000"/>
                <w:lang w:eastAsia="en-GB"/>
              </w:rPr>
            </w:pPr>
            <w:r w:rsidRPr="00783FAD">
              <w:rPr>
                <w:rFonts w:ascii="Calibri" w:eastAsia="Times New Roman" w:hAnsi="Calibri" w:cs="Calibri"/>
                <w:color w:val="000000"/>
                <w:lang w:eastAsia="en-GB"/>
              </w:rPr>
              <w:t>14,04</w:t>
            </w:r>
            <w:r>
              <w:rPr>
                <w:rFonts w:ascii="Calibri" w:eastAsia="Times New Roman" w:hAnsi="Calibri" w:cs="Calibri"/>
                <w:color w:val="000000"/>
                <w:lang w:eastAsia="en-GB"/>
              </w:rPr>
              <w:t>4</w:t>
            </w:r>
          </w:p>
        </w:tc>
      </w:tr>
    </w:tbl>
    <w:p w14:paraId="08DB93B4" w14:textId="7D72A2DE" w:rsidR="00307C5F" w:rsidRDefault="00BE1901" w:rsidP="00307C5F">
      <w:r>
        <w:t>Source</w:t>
      </w:r>
      <w:r w:rsidRPr="00772647">
        <w:rPr>
          <w:i/>
        </w:rPr>
        <w:t>: Annual Financial Reports of GSK and AstraZeneca</w:t>
      </w:r>
      <w:r>
        <w:rPr>
          <w:i/>
        </w:rPr>
        <w:t>.</w:t>
      </w:r>
    </w:p>
    <w:p w14:paraId="6ABE180F" w14:textId="78234DF5" w:rsidR="00307C5F" w:rsidRPr="00BE1901" w:rsidRDefault="00BE1901" w:rsidP="00307C5F">
      <w:pPr>
        <w:rPr>
          <w:b/>
        </w:rPr>
      </w:pPr>
      <w:r w:rsidRPr="00772647">
        <w:rPr>
          <w:b/>
          <w:u w:val="single"/>
        </w:rPr>
        <w:t xml:space="preserve">Tab. </w:t>
      </w:r>
      <w:r>
        <w:rPr>
          <w:b/>
          <w:u w:val="single"/>
        </w:rPr>
        <w:t>6</w:t>
      </w:r>
      <w:r w:rsidRPr="00772647">
        <w:rPr>
          <w:b/>
        </w:rPr>
        <w:t xml:space="preserve">: </w:t>
      </w:r>
      <w:r>
        <w:rPr>
          <w:b/>
        </w:rPr>
        <w:t xml:space="preserve">Leverage ratios </w:t>
      </w:r>
      <w:r w:rsidRPr="00772647">
        <w:rPr>
          <w:b/>
        </w:rPr>
        <w:t xml:space="preserve">of GSK (2014-2018) and AstraZeneca (2018). </w:t>
      </w:r>
    </w:p>
    <w:tbl>
      <w:tblPr>
        <w:tblW w:w="10040" w:type="dxa"/>
        <w:tblLook w:val="04A0" w:firstRow="1" w:lastRow="0" w:firstColumn="1" w:lastColumn="0" w:noHBand="0" w:noVBand="1"/>
      </w:tblPr>
      <w:tblGrid>
        <w:gridCol w:w="2660"/>
        <w:gridCol w:w="960"/>
        <w:gridCol w:w="960"/>
        <w:gridCol w:w="960"/>
        <w:gridCol w:w="960"/>
        <w:gridCol w:w="960"/>
        <w:gridCol w:w="1620"/>
        <w:gridCol w:w="960"/>
      </w:tblGrid>
      <w:tr w:rsidR="00307C5F" w:rsidRPr="00F137FD" w14:paraId="74D40DB6" w14:textId="77777777" w:rsidTr="006C0B7F">
        <w:trPr>
          <w:trHeight w:val="288"/>
        </w:trPr>
        <w:tc>
          <w:tcPr>
            <w:tcW w:w="2660" w:type="dxa"/>
            <w:tcBorders>
              <w:top w:val="single" w:sz="4" w:space="0" w:color="8EA9DB"/>
              <w:left w:val="single" w:sz="4" w:space="0" w:color="8EA9DB"/>
              <w:bottom w:val="single" w:sz="4" w:space="0" w:color="8EA9DB"/>
              <w:right w:val="nil"/>
            </w:tcBorders>
            <w:shd w:val="clear" w:color="4472C4" w:fill="4472C4"/>
            <w:noWrap/>
            <w:vAlign w:val="bottom"/>
            <w:hideMark/>
          </w:tcPr>
          <w:p w14:paraId="19ADF615" w14:textId="77777777" w:rsidR="00307C5F" w:rsidRPr="00F137FD" w:rsidRDefault="00307C5F" w:rsidP="006C0B7F">
            <w:pPr>
              <w:spacing w:after="0" w:line="240" w:lineRule="auto"/>
              <w:jc w:val="center"/>
              <w:rPr>
                <w:rFonts w:ascii="Calibri" w:eastAsia="Times New Roman" w:hAnsi="Calibri" w:cs="Calibri"/>
                <w:b/>
                <w:bCs/>
                <w:color w:val="FFFFFF"/>
                <w:lang w:eastAsia="en-GB"/>
              </w:rPr>
            </w:pPr>
            <w:r w:rsidRPr="00F137FD">
              <w:rPr>
                <w:rFonts w:ascii="Calibri" w:eastAsia="Times New Roman" w:hAnsi="Calibri" w:cs="Calibri"/>
                <w:b/>
                <w:bCs/>
                <w:color w:val="FFFFFF"/>
                <w:lang w:eastAsia="en-GB"/>
              </w:rPr>
              <w:t>GSK</w:t>
            </w:r>
          </w:p>
        </w:tc>
        <w:tc>
          <w:tcPr>
            <w:tcW w:w="960" w:type="dxa"/>
            <w:tcBorders>
              <w:top w:val="single" w:sz="4" w:space="0" w:color="8EA9DB"/>
              <w:left w:val="nil"/>
              <w:bottom w:val="single" w:sz="4" w:space="0" w:color="8EA9DB"/>
              <w:right w:val="nil"/>
            </w:tcBorders>
            <w:shd w:val="clear" w:color="4472C4" w:fill="4472C4"/>
            <w:noWrap/>
            <w:vAlign w:val="bottom"/>
            <w:hideMark/>
          </w:tcPr>
          <w:p w14:paraId="41C6360E" w14:textId="77777777" w:rsidR="00307C5F" w:rsidRPr="00F137FD" w:rsidRDefault="00307C5F" w:rsidP="006C0B7F">
            <w:pPr>
              <w:spacing w:after="0" w:line="240" w:lineRule="auto"/>
              <w:jc w:val="center"/>
              <w:rPr>
                <w:rFonts w:ascii="Calibri" w:eastAsia="Times New Roman" w:hAnsi="Calibri" w:cs="Calibri"/>
                <w:b/>
                <w:bCs/>
                <w:color w:val="FFFFFF"/>
                <w:lang w:eastAsia="en-GB"/>
              </w:rPr>
            </w:pPr>
            <w:r w:rsidRPr="00F137FD">
              <w:rPr>
                <w:rFonts w:ascii="Calibri" w:eastAsia="Times New Roman" w:hAnsi="Calibri" w:cs="Calibri"/>
                <w:b/>
                <w:bCs/>
                <w:color w:val="FFFFFF"/>
                <w:lang w:eastAsia="en-GB"/>
              </w:rPr>
              <w:t>2014</w:t>
            </w:r>
          </w:p>
        </w:tc>
        <w:tc>
          <w:tcPr>
            <w:tcW w:w="960" w:type="dxa"/>
            <w:tcBorders>
              <w:top w:val="single" w:sz="4" w:space="0" w:color="8EA9DB"/>
              <w:left w:val="nil"/>
              <w:bottom w:val="single" w:sz="4" w:space="0" w:color="8EA9DB"/>
              <w:right w:val="nil"/>
            </w:tcBorders>
            <w:shd w:val="clear" w:color="4472C4" w:fill="4472C4"/>
            <w:noWrap/>
            <w:vAlign w:val="bottom"/>
            <w:hideMark/>
          </w:tcPr>
          <w:p w14:paraId="6C149A4A" w14:textId="77777777" w:rsidR="00307C5F" w:rsidRPr="00F137FD" w:rsidRDefault="00307C5F" w:rsidP="006C0B7F">
            <w:pPr>
              <w:spacing w:after="0" w:line="240" w:lineRule="auto"/>
              <w:jc w:val="center"/>
              <w:rPr>
                <w:rFonts w:ascii="Calibri" w:eastAsia="Times New Roman" w:hAnsi="Calibri" w:cs="Calibri"/>
                <w:b/>
                <w:bCs/>
                <w:color w:val="FFFFFF"/>
                <w:lang w:eastAsia="en-GB"/>
              </w:rPr>
            </w:pPr>
            <w:r w:rsidRPr="00F137FD">
              <w:rPr>
                <w:rFonts w:ascii="Calibri" w:eastAsia="Times New Roman" w:hAnsi="Calibri" w:cs="Calibri"/>
                <w:b/>
                <w:bCs/>
                <w:color w:val="FFFFFF"/>
                <w:lang w:eastAsia="en-GB"/>
              </w:rPr>
              <w:t>2015</w:t>
            </w:r>
          </w:p>
        </w:tc>
        <w:tc>
          <w:tcPr>
            <w:tcW w:w="960" w:type="dxa"/>
            <w:tcBorders>
              <w:top w:val="single" w:sz="4" w:space="0" w:color="8EA9DB"/>
              <w:left w:val="nil"/>
              <w:bottom w:val="single" w:sz="4" w:space="0" w:color="8EA9DB"/>
              <w:right w:val="nil"/>
            </w:tcBorders>
            <w:shd w:val="clear" w:color="4472C4" w:fill="4472C4"/>
            <w:noWrap/>
            <w:vAlign w:val="bottom"/>
            <w:hideMark/>
          </w:tcPr>
          <w:p w14:paraId="6D6FF59A" w14:textId="77777777" w:rsidR="00307C5F" w:rsidRPr="00F137FD" w:rsidRDefault="00307C5F" w:rsidP="006C0B7F">
            <w:pPr>
              <w:spacing w:after="0" w:line="240" w:lineRule="auto"/>
              <w:jc w:val="center"/>
              <w:rPr>
                <w:rFonts w:ascii="Calibri" w:eastAsia="Times New Roman" w:hAnsi="Calibri" w:cs="Calibri"/>
                <w:b/>
                <w:bCs/>
                <w:color w:val="FFFFFF"/>
                <w:lang w:eastAsia="en-GB"/>
              </w:rPr>
            </w:pPr>
            <w:r w:rsidRPr="00F137FD">
              <w:rPr>
                <w:rFonts w:ascii="Calibri" w:eastAsia="Times New Roman" w:hAnsi="Calibri" w:cs="Calibri"/>
                <w:b/>
                <w:bCs/>
                <w:color w:val="FFFFFF"/>
                <w:lang w:eastAsia="en-GB"/>
              </w:rPr>
              <w:t>2016</w:t>
            </w:r>
          </w:p>
        </w:tc>
        <w:tc>
          <w:tcPr>
            <w:tcW w:w="960" w:type="dxa"/>
            <w:tcBorders>
              <w:top w:val="single" w:sz="4" w:space="0" w:color="8EA9DB"/>
              <w:left w:val="nil"/>
              <w:bottom w:val="single" w:sz="4" w:space="0" w:color="8EA9DB"/>
              <w:right w:val="nil"/>
            </w:tcBorders>
            <w:shd w:val="clear" w:color="4472C4" w:fill="4472C4"/>
            <w:noWrap/>
            <w:vAlign w:val="bottom"/>
            <w:hideMark/>
          </w:tcPr>
          <w:p w14:paraId="7B2E045C" w14:textId="77777777" w:rsidR="00307C5F" w:rsidRPr="00F137FD" w:rsidRDefault="00307C5F" w:rsidP="006C0B7F">
            <w:pPr>
              <w:spacing w:after="0" w:line="240" w:lineRule="auto"/>
              <w:jc w:val="center"/>
              <w:rPr>
                <w:rFonts w:ascii="Calibri" w:eastAsia="Times New Roman" w:hAnsi="Calibri" w:cs="Calibri"/>
                <w:b/>
                <w:bCs/>
                <w:color w:val="FFFFFF"/>
                <w:lang w:eastAsia="en-GB"/>
              </w:rPr>
            </w:pPr>
            <w:r w:rsidRPr="00F137FD">
              <w:rPr>
                <w:rFonts w:ascii="Calibri" w:eastAsia="Times New Roman" w:hAnsi="Calibri" w:cs="Calibri"/>
                <w:b/>
                <w:bCs/>
                <w:color w:val="FFFFFF"/>
                <w:lang w:eastAsia="en-GB"/>
              </w:rPr>
              <w:t>2017</w:t>
            </w:r>
          </w:p>
        </w:tc>
        <w:tc>
          <w:tcPr>
            <w:tcW w:w="960" w:type="dxa"/>
            <w:tcBorders>
              <w:top w:val="single" w:sz="4" w:space="0" w:color="8EA9DB"/>
              <w:left w:val="nil"/>
              <w:bottom w:val="single" w:sz="4" w:space="0" w:color="8EA9DB"/>
              <w:right w:val="nil"/>
            </w:tcBorders>
            <w:shd w:val="clear" w:color="4472C4" w:fill="4472C4"/>
            <w:noWrap/>
            <w:vAlign w:val="bottom"/>
            <w:hideMark/>
          </w:tcPr>
          <w:p w14:paraId="2F6A4186" w14:textId="77777777" w:rsidR="00307C5F" w:rsidRPr="00F137FD" w:rsidRDefault="00307C5F" w:rsidP="006C0B7F">
            <w:pPr>
              <w:spacing w:after="0" w:line="240" w:lineRule="auto"/>
              <w:jc w:val="center"/>
              <w:rPr>
                <w:rFonts w:ascii="Calibri" w:eastAsia="Times New Roman" w:hAnsi="Calibri" w:cs="Calibri"/>
                <w:b/>
                <w:bCs/>
                <w:color w:val="FFFFFF"/>
                <w:lang w:eastAsia="en-GB"/>
              </w:rPr>
            </w:pPr>
            <w:r w:rsidRPr="00F137FD">
              <w:rPr>
                <w:rFonts w:ascii="Calibri" w:eastAsia="Times New Roman" w:hAnsi="Calibri" w:cs="Calibri"/>
                <w:b/>
                <w:bCs/>
                <w:color w:val="FFFFFF"/>
                <w:lang w:eastAsia="en-GB"/>
              </w:rPr>
              <w:t>2018</w:t>
            </w:r>
          </w:p>
        </w:tc>
        <w:tc>
          <w:tcPr>
            <w:tcW w:w="1620" w:type="dxa"/>
            <w:tcBorders>
              <w:top w:val="single" w:sz="4" w:space="0" w:color="8EA9DB"/>
              <w:left w:val="nil"/>
              <w:bottom w:val="single" w:sz="4" w:space="0" w:color="8EA9DB"/>
              <w:right w:val="single" w:sz="4" w:space="0" w:color="8EA9DB"/>
            </w:tcBorders>
            <w:shd w:val="clear" w:color="4472C4" w:fill="4472C4"/>
            <w:noWrap/>
            <w:vAlign w:val="bottom"/>
            <w:hideMark/>
          </w:tcPr>
          <w:p w14:paraId="1A606E26" w14:textId="77777777" w:rsidR="00307C5F" w:rsidRDefault="00307C5F" w:rsidP="006C0B7F">
            <w:pPr>
              <w:spacing w:after="0" w:line="240" w:lineRule="auto"/>
              <w:jc w:val="center"/>
              <w:rPr>
                <w:rFonts w:ascii="Calibri" w:eastAsia="Times New Roman" w:hAnsi="Calibri" w:cs="Calibri"/>
                <w:b/>
                <w:bCs/>
                <w:color w:val="FFFFFF"/>
                <w:lang w:eastAsia="en-GB"/>
              </w:rPr>
            </w:pPr>
            <w:r w:rsidRPr="00F137FD">
              <w:rPr>
                <w:rFonts w:ascii="Calibri" w:eastAsia="Times New Roman" w:hAnsi="Calibri" w:cs="Calibri"/>
                <w:b/>
                <w:bCs/>
                <w:color w:val="FFFFFF"/>
                <w:lang w:eastAsia="en-GB"/>
              </w:rPr>
              <w:t>AstraZeneca</w:t>
            </w:r>
          </w:p>
          <w:p w14:paraId="006E71B0" w14:textId="77777777" w:rsidR="00307C5F" w:rsidRPr="00F137FD" w:rsidRDefault="00307C5F" w:rsidP="006C0B7F">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2018</w:t>
            </w:r>
          </w:p>
        </w:tc>
        <w:tc>
          <w:tcPr>
            <w:tcW w:w="960" w:type="dxa"/>
            <w:tcBorders>
              <w:top w:val="nil"/>
              <w:left w:val="nil"/>
              <w:bottom w:val="nil"/>
              <w:right w:val="nil"/>
            </w:tcBorders>
            <w:shd w:val="clear" w:color="auto" w:fill="auto"/>
            <w:noWrap/>
            <w:vAlign w:val="bottom"/>
            <w:hideMark/>
          </w:tcPr>
          <w:p w14:paraId="280C2429" w14:textId="77777777" w:rsidR="00307C5F" w:rsidRPr="00F137FD" w:rsidRDefault="00307C5F" w:rsidP="006C0B7F">
            <w:pPr>
              <w:spacing w:after="0" w:line="240" w:lineRule="auto"/>
              <w:jc w:val="center"/>
              <w:rPr>
                <w:rFonts w:ascii="Calibri" w:eastAsia="Times New Roman" w:hAnsi="Calibri" w:cs="Calibri"/>
                <w:b/>
                <w:bCs/>
                <w:color w:val="FFFFFF"/>
                <w:lang w:eastAsia="en-GB"/>
              </w:rPr>
            </w:pPr>
          </w:p>
        </w:tc>
      </w:tr>
      <w:tr w:rsidR="00307C5F" w:rsidRPr="00F137FD" w14:paraId="567069DC" w14:textId="77777777" w:rsidTr="006C0B7F">
        <w:trPr>
          <w:trHeight w:val="288"/>
        </w:trPr>
        <w:tc>
          <w:tcPr>
            <w:tcW w:w="2660" w:type="dxa"/>
            <w:tcBorders>
              <w:top w:val="single" w:sz="4" w:space="0" w:color="8EA9DB"/>
              <w:left w:val="single" w:sz="4" w:space="0" w:color="8EA9DB"/>
              <w:bottom w:val="single" w:sz="4" w:space="0" w:color="8EA9DB"/>
              <w:right w:val="nil"/>
            </w:tcBorders>
            <w:shd w:val="clear" w:color="D9E1F2" w:fill="D9E1F2"/>
            <w:noWrap/>
            <w:vAlign w:val="bottom"/>
            <w:hideMark/>
          </w:tcPr>
          <w:p w14:paraId="061EFC24" w14:textId="77777777" w:rsidR="00307C5F" w:rsidRPr="00F137FD" w:rsidRDefault="00307C5F" w:rsidP="006C0B7F">
            <w:pPr>
              <w:spacing w:after="0" w:line="240" w:lineRule="auto"/>
              <w:jc w:val="center"/>
              <w:rPr>
                <w:rFonts w:ascii="Calibri" w:eastAsia="Times New Roman" w:hAnsi="Calibri" w:cs="Calibri"/>
                <w:color w:val="000000"/>
                <w:lang w:eastAsia="en-GB"/>
              </w:rPr>
            </w:pPr>
            <w:r w:rsidRPr="00F137FD">
              <w:rPr>
                <w:rFonts w:ascii="Calibri" w:eastAsia="Times New Roman" w:hAnsi="Calibri" w:cs="Calibri"/>
                <w:color w:val="000000"/>
                <w:lang w:eastAsia="en-GB"/>
              </w:rPr>
              <w:t>Debt-equity ratio</w:t>
            </w:r>
          </w:p>
        </w:tc>
        <w:tc>
          <w:tcPr>
            <w:tcW w:w="960" w:type="dxa"/>
            <w:tcBorders>
              <w:top w:val="single" w:sz="4" w:space="0" w:color="8EA9DB"/>
              <w:left w:val="nil"/>
              <w:bottom w:val="single" w:sz="4" w:space="0" w:color="8EA9DB"/>
              <w:right w:val="nil"/>
            </w:tcBorders>
            <w:shd w:val="clear" w:color="D9E1F2" w:fill="D9E1F2"/>
            <w:noWrap/>
            <w:vAlign w:val="bottom"/>
            <w:hideMark/>
          </w:tcPr>
          <w:p w14:paraId="6DBB9411" w14:textId="77777777" w:rsidR="00307C5F" w:rsidRPr="00BE1901" w:rsidRDefault="00307C5F" w:rsidP="006C0B7F">
            <w:pPr>
              <w:spacing w:after="0" w:line="240" w:lineRule="auto"/>
              <w:jc w:val="center"/>
              <w:rPr>
                <w:rFonts w:ascii="Calibri" w:eastAsia="Times New Roman" w:hAnsi="Calibri" w:cs="Calibri"/>
                <w:color w:val="000000"/>
                <w:lang w:eastAsia="en-GB"/>
              </w:rPr>
            </w:pPr>
            <w:r w:rsidRPr="00BE1901">
              <w:rPr>
                <w:rFonts w:ascii="Calibri" w:eastAsia="Times New Roman" w:hAnsi="Calibri" w:cs="Calibri"/>
                <w:color w:val="000000"/>
                <w:lang w:eastAsia="en-GB"/>
              </w:rPr>
              <w:t>3.8</w:t>
            </w:r>
          </w:p>
        </w:tc>
        <w:tc>
          <w:tcPr>
            <w:tcW w:w="960" w:type="dxa"/>
            <w:tcBorders>
              <w:top w:val="single" w:sz="4" w:space="0" w:color="8EA9DB"/>
              <w:left w:val="nil"/>
              <w:bottom w:val="single" w:sz="4" w:space="0" w:color="8EA9DB"/>
              <w:right w:val="nil"/>
            </w:tcBorders>
            <w:shd w:val="clear" w:color="D9E1F2" w:fill="D9E1F2"/>
            <w:noWrap/>
            <w:vAlign w:val="bottom"/>
            <w:hideMark/>
          </w:tcPr>
          <w:p w14:paraId="502C49B5" w14:textId="77777777" w:rsidR="00307C5F" w:rsidRPr="00F137FD" w:rsidRDefault="00307C5F" w:rsidP="006C0B7F">
            <w:pPr>
              <w:spacing w:after="0" w:line="240" w:lineRule="auto"/>
              <w:jc w:val="center"/>
              <w:rPr>
                <w:rFonts w:ascii="Calibri" w:eastAsia="Times New Roman" w:hAnsi="Calibri" w:cs="Calibri"/>
                <w:color w:val="000000"/>
                <w:lang w:eastAsia="en-GB"/>
              </w:rPr>
            </w:pPr>
            <w:r w:rsidRPr="00F137FD">
              <w:rPr>
                <w:rFonts w:ascii="Calibri" w:eastAsia="Times New Roman" w:hAnsi="Calibri" w:cs="Calibri"/>
                <w:color w:val="000000"/>
                <w:lang w:eastAsia="en-GB"/>
              </w:rPr>
              <w:t>1.87</w:t>
            </w:r>
          </w:p>
        </w:tc>
        <w:tc>
          <w:tcPr>
            <w:tcW w:w="960" w:type="dxa"/>
            <w:tcBorders>
              <w:top w:val="single" w:sz="4" w:space="0" w:color="8EA9DB"/>
              <w:left w:val="nil"/>
              <w:bottom w:val="single" w:sz="4" w:space="0" w:color="8EA9DB"/>
              <w:right w:val="nil"/>
            </w:tcBorders>
            <w:shd w:val="clear" w:color="D9E1F2" w:fill="D9E1F2"/>
            <w:noWrap/>
            <w:vAlign w:val="bottom"/>
            <w:hideMark/>
          </w:tcPr>
          <w:p w14:paraId="4E149692" w14:textId="77777777" w:rsidR="00307C5F" w:rsidRPr="00F137FD" w:rsidRDefault="00307C5F" w:rsidP="006C0B7F">
            <w:pPr>
              <w:spacing w:after="0" w:line="240" w:lineRule="auto"/>
              <w:jc w:val="center"/>
              <w:rPr>
                <w:rFonts w:ascii="Calibri" w:eastAsia="Times New Roman" w:hAnsi="Calibri" w:cs="Calibri"/>
                <w:color w:val="000000"/>
                <w:lang w:eastAsia="en-GB"/>
              </w:rPr>
            </w:pPr>
            <w:r w:rsidRPr="00F137FD">
              <w:rPr>
                <w:rFonts w:ascii="Calibri" w:eastAsia="Times New Roman" w:hAnsi="Calibri" w:cs="Calibri"/>
                <w:color w:val="000000"/>
                <w:lang w:eastAsia="en-GB"/>
              </w:rPr>
              <w:t>3.78</w:t>
            </w:r>
          </w:p>
        </w:tc>
        <w:tc>
          <w:tcPr>
            <w:tcW w:w="960" w:type="dxa"/>
            <w:tcBorders>
              <w:top w:val="single" w:sz="4" w:space="0" w:color="8EA9DB"/>
              <w:left w:val="nil"/>
              <w:bottom w:val="single" w:sz="4" w:space="0" w:color="8EA9DB"/>
              <w:right w:val="nil"/>
            </w:tcBorders>
            <w:shd w:val="clear" w:color="D9E1F2" w:fill="D9E1F2"/>
            <w:noWrap/>
            <w:vAlign w:val="bottom"/>
            <w:hideMark/>
          </w:tcPr>
          <w:p w14:paraId="06E13583" w14:textId="77777777" w:rsidR="00307C5F" w:rsidRPr="00F137FD" w:rsidRDefault="00307C5F" w:rsidP="006C0B7F">
            <w:pPr>
              <w:spacing w:after="0" w:line="240" w:lineRule="auto"/>
              <w:jc w:val="center"/>
              <w:rPr>
                <w:rFonts w:ascii="Calibri" w:eastAsia="Times New Roman" w:hAnsi="Calibri" w:cs="Calibri"/>
                <w:color w:val="000000"/>
                <w:lang w:eastAsia="en-GB"/>
              </w:rPr>
            </w:pPr>
            <w:r w:rsidRPr="00BE1901">
              <w:rPr>
                <w:rFonts w:ascii="Calibri" w:eastAsia="Times New Roman" w:hAnsi="Calibri" w:cs="Calibri"/>
                <w:color w:val="000000"/>
                <w:lang w:eastAsia="en-GB"/>
              </w:rPr>
              <w:t>4.9</w:t>
            </w:r>
          </w:p>
        </w:tc>
        <w:tc>
          <w:tcPr>
            <w:tcW w:w="960" w:type="dxa"/>
            <w:tcBorders>
              <w:top w:val="single" w:sz="4" w:space="0" w:color="8EA9DB"/>
              <w:left w:val="nil"/>
              <w:bottom w:val="single" w:sz="4" w:space="0" w:color="8EA9DB"/>
              <w:right w:val="nil"/>
            </w:tcBorders>
            <w:shd w:val="clear" w:color="D9E1F2" w:fill="D9E1F2"/>
            <w:noWrap/>
            <w:vAlign w:val="bottom"/>
            <w:hideMark/>
          </w:tcPr>
          <w:p w14:paraId="08CE873C" w14:textId="77777777" w:rsidR="00307C5F" w:rsidRPr="00F137FD" w:rsidRDefault="00307C5F" w:rsidP="006C0B7F">
            <w:pPr>
              <w:spacing w:after="0" w:line="240" w:lineRule="auto"/>
              <w:jc w:val="center"/>
              <w:rPr>
                <w:rFonts w:ascii="Calibri" w:eastAsia="Times New Roman" w:hAnsi="Calibri" w:cs="Calibri"/>
                <w:color w:val="000000"/>
                <w:lang w:eastAsia="en-GB"/>
              </w:rPr>
            </w:pPr>
            <w:r w:rsidRPr="00BE1901">
              <w:rPr>
                <w:rFonts w:ascii="Calibri" w:eastAsia="Times New Roman" w:hAnsi="Calibri" w:cs="Calibri"/>
                <w:color w:val="000000"/>
                <w:lang w:eastAsia="en-GB"/>
              </w:rPr>
              <w:t>7.1</w:t>
            </w:r>
          </w:p>
        </w:tc>
        <w:tc>
          <w:tcPr>
            <w:tcW w:w="1620" w:type="dxa"/>
            <w:tcBorders>
              <w:top w:val="single" w:sz="4" w:space="0" w:color="8EA9DB"/>
              <w:left w:val="nil"/>
              <w:bottom w:val="single" w:sz="4" w:space="0" w:color="8EA9DB"/>
              <w:right w:val="single" w:sz="4" w:space="0" w:color="8EA9DB"/>
            </w:tcBorders>
            <w:shd w:val="clear" w:color="D9E1F2" w:fill="D9E1F2"/>
            <w:noWrap/>
            <w:vAlign w:val="bottom"/>
            <w:hideMark/>
          </w:tcPr>
          <w:p w14:paraId="7626B573" w14:textId="77777777" w:rsidR="00307C5F" w:rsidRPr="00F137FD" w:rsidRDefault="00307C5F" w:rsidP="006C0B7F">
            <w:pPr>
              <w:spacing w:after="0" w:line="240" w:lineRule="auto"/>
              <w:jc w:val="center"/>
              <w:rPr>
                <w:rFonts w:ascii="Calibri" w:eastAsia="Times New Roman" w:hAnsi="Calibri" w:cs="Calibri"/>
                <w:color w:val="000000"/>
                <w:lang w:eastAsia="en-GB"/>
              </w:rPr>
            </w:pPr>
            <w:r w:rsidRPr="00F137FD">
              <w:rPr>
                <w:rFonts w:ascii="Calibri" w:eastAsia="Times New Roman" w:hAnsi="Calibri" w:cs="Calibri"/>
                <w:color w:val="000000"/>
                <w:lang w:eastAsia="en-GB"/>
              </w:rPr>
              <w:t>1.36</w:t>
            </w:r>
          </w:p>
        </w:tc>
        <w:tc>
          <w:tcPr>
            <w:tcW w:w="960" w:type="dxa"/>
            <w:tcBorders>
              <w:top w:val="nil"/>
              <w:left w:val="nil"/>
              <w:bottom w:val="nil"/>
              <w:right w:val="nil"/>
            </w:tcBorders>
            <w:shd w:val="clear" w:color="auto" w:fill="auto"/>
            <w:noWrap/>
            <w:vAlign w:val="bottom"/>
            <w:hideMark/>
          </w:tcPr>
          <w:p w14:paraId="460C06DF" w14:textId="77777777" w:rsidR="00307C5F" w:rsidRPr="00F137FD" w:rsidRDefault="00307C5F" w:rsidP="006C0B7F">
            <w:pPr>
              <w:spacing w:after="0" w:line="240" w:lineRule="auto"/>
              <w:jc w:val="center"/>
              <w:rPr>
                <w:rFonts w:ascii="Calibri" w:eastAsia="Times New Roman" w:hAnsi="Calibri" w:cs="Calibri"/>
                <w:color w:val="000000"/>
                <w:lang w:eastAsia="en-GB"/>
              </w:rPr>
            </w:pPr>
          </w:p>
        </w:tc>
      </w:tr>
      <w:tr w:rsidR="00307C5F" w:rsidRPr="00F137FD" w14:paraId="635469F6" w14:textId="77777777" w:rsidTr="006C0B7F">
        <w:trPr>
          <w:trHeight w:val="288"/>
        </w:trPr>
        <w:tc>
          <w:tcPr>
            <w:tcW w:w="2660" w:type="dxa"/>
            <w:tcBorders>
              <w:top w:val="single" w:sz="4" w:space="0" w:color="8EA9DB"/>
              <w:left w:val="single" w:sz="4" w:space="0" w:color="8EA9DB"/>
              <w:bottom w:val="single" w:sz="4" w:space="0" w:color="8EA9DB"/>
              <w:right w:val="nil"/>
            </w:tcBorders>
            <w:shd w:val="clear" w:color="auto" w:fill="auto"/>
            <w:noWrap/>
            <w:vAlign w:val="bottom"/>
            <w:hideMark/>
          </w:tcPr>
          <w:p w14:paraId="3199F663" w14:textId="77777777" w:rsidR="00307C5F" w:rsidRPr="00F137FD" w:rsidRDefault="00307C5F" w:rsidP="006C0B7F">
            <w:pPr>
              <w:spacing w:after="0" w:line="240" w:lineRule="auto"/>
              <w:jc w:val="center"/>
              <w:rPr>
                <w:rFonts w:ascii="Calibri" w:eastAsia="Times New Roman" w:hAnsi="Calibri" w:cs="Calibri"/>
                <w:color w:val="000000"/>
                <w:lang w:eastAsia="en-GB"/>
              </w:rPr>
            </w:pPr>
            <w:r w:rsidRPr="00F137FD">
              <w:rPr>
                <w:rFonts w:ascii="Calibri" w:eastAsia="Times New Roman" w:hAnsi="Calibri" w:cs="Calibri"/>
                <w:color w:val="000000"/>
                <w:lang w:eastAsia="en-GB"/>
              </w:rPr>
              <w:lastRenderedPageBreak/>
              <w:t xml:space="preserve">Debt-to-capital ratio </w:t>
            </w:r>
          </w:p>
        </w:tc>
        <w:tc>
          <w:tcPr>
            <w:tcW w:w="960" w:type="dxa"/>
            <w:tcBorders>
              <w:top w:val="single" w:sz="4" w:space="0" w:color="8EA9DB"/>
              <w:left w:val="nil"/>
              <w:bottom w:val="single" w:sz="4" w:space="0" w:color="8EA9DB"/>
              <w:right w:val="nil"/>
            </w:tcBorders>
            <w:shd w:val="clear" w:color="auto" w:fill="auto"/>
            <w:noWrap/>
            <w:vAlign w:val="bottom"/>
            <w:hideMark/>
          </w:tcPr>
          <w:p w14:paraId="7A8E0928" w14:textId="77777777" w:rsidR="00307C5F" w:rsidRPr="00F137FD" w:rsidRDefault="00307C5F" w:rsidP="006C0B7F">
            <w:pPr>
              <w:spacing w:after="0" w:line="240" w:lineRule="auto"/>
              <w:jc w:val="center"/>
              <w:rPr>
                <w:rFonts w:ascii="Calibri" w:eastAsia="Times New Roman" w:hAnsi="Calibri" w:cs="Calibri"/>
                <w:color w:val="000000"/>
                <w:lang w:eastAsia="en-GB"/>
              </w:rPr>
            </w:pPr>
            <w:r w:rsidRPr="00F137FD">
              <w:rPr>
                <w:rFonts w:ascii="Calibri" w:eastAsia="Times New Roman" w:hAnsi="Calibri" w:cs="Calibri"/>
                <w:color w:val="000000"/>
                <w:lang w:eastAsia="en-GB"/>
              </w:rPr>
              <w:t>0.79</w:t>
            </w:r>
          </w:p>
        </w:tc>
        <w:tc>
          <w:tcPr>
            <w:tcW w:w="960" w:type="dxa"/>
            <w:tcBorders>
              <w:top w:val="single" w:sz="4" w:space="0" w:color="8EA9DB"/>
              <w:left w:val="nil"/>
              <w:bottom w:val="single" w:sz="4" w:space="0" w:color="8EA9DB"/>
              <w:right w:val="nil"/>
            </w:tcBorders>
            <w:shd w:val="clear" w:color="auto" w:fill="auto"/>
            <w:noWrap/>
            <w:vAlign w:val="bottom"/>
            <w:hideMark/>
          </w:tcPr>
          <w:p w14:paraId="36023187" w14:textId="77777777" w:rsidR="00307C5F" w:rsidRPr="00F137FD" w:rsidRDefault="00307C5F" w:rsidP="006C0B7F">
            <w:pPr>
              <w:spacing w:after="0" w:line="240" w:lineRule="auto"/>
              <w:jc w:val="center"/>
              <w:rPr>
                <w:rFonts w:ascii="Calibri" w:eastAsia="Times New Roman" w:hAnsi="Calibri" w:cs="Calibri"/>
                <w:color w:val="000000"/>
                <w:lang w:eastAsia="en-GB"/>
              </w:rPr>
            </w:pPr>
            <w:r w:rsidRPr="00F137FD">
              <w:rPr>
                <w:rFonts w:ascii="Calibri" w:eastAsia="Times New Roman" w:hAnsi="Calibri" w:cs="Calibri"/>
                <w:color w:val="000000"/>
                <w:lang w:eastAsia="en-GB"/>
              </w:rPr>
              <w:t>0.65</w:t>
            </w:r>
          </w:p>
        </w:tc>
        <w:tc>
          <w:tcPr>
            <w:tcW w:w="960" w:type="dxa"/>
            <w:tcBorders>
              <w:top w:val="single" w:sz="4" w:space="0" w:color="8EA9DB"/>
              <w:left w:val="nil"/>
              <w:bottom w:val="single" w:sz="4" w:space="0" w:color="8EA9DB"/>
              <w:right w:val="nil"/>
            </w:tcBorders>
            <w:shd w:val="clear" w:color="auto" w:fill="auto"/>
            <w:noWrap/>
            <w:vAlign w:val="bottom"/>
            <w:hideMark/>
          </w:tcPr>
          <w:p w14:paraId="0D32D466" w14:textId="77777777" w:rsidR="00307C5F" w:rsidRPr="00F137FD" w:rsidRDefault="00307C5F" w:rsidP="006C0B7F">
            <w:pPr>
              <w:spacing w:after="0" w:line="240" w:lineRule="auto"/>
              <w:jc w:val="center"/>
              <w:rPr>
                <w:rFonts w:ascii="Calibri" w:eastAsia="Times New Roman" w:hAnsi="Calibri" w:cs="Calibri"/>
                <w:color w:val="000000"/>
                <w:lang w:eastAsia="en-GB"/>
              </w:rPr>
            </w:pPr>
            <w:r w:rsidRPr="00F137FD">
              <w:rPr>
                <w:rFonts w:ascii="Calibri" w:eastAsia="Times New Roman" w:hAnsi="Calibri" w:cs="Calibri"/>
                <w:color w:val="000000"/>
                <w:lang w:eastAsia="en-GB"/>
              </w:rPr>
              <w:t>0.79</w:t>
            </w:r>
          </w:p>
        </w:tc>
        <w:tc>
          <w:tcPr>
            <w:tcW w:w="960" w:type="dxa"/>
            <w:tcBorders>
              <w:top w:val="single" w:sz="4" w:space="0" w:color="8EA9DB"/>
              <w:left w:val="nil"/>
              <w:bottom w:val="single" w:sz="4" w:space="0" w:color="8EA9DB"/>
              <w:right w:val="nil"/>
            </w:tcBorders>
            <w:shd w:val="clear" w:color="auto" w:fill="auto"/>
            <w:noWrap/>
            <w:vAlign w:val="bottom"/>
            <w:hideMark/>
          </w:tcPr>
          <w:p w14:paraId="720B040D" w14:textId="77777777" w:rsidR="00307C5F" w:rsidRPr="00F137FD" w:rsidRDefault="00307C5F" w:rsidP="006C0B7F">
            <w:pPr>
              <w:spacing w:after="0" w:line="240" w:lineRule="auto"/>
              <w:jc w:val="center"/>
              <w:rPr>
                <w:rFonts w:ascii="Calibri" w:eastAsia="Times New Roman" w:hAnsi="Calibri" w:cs="Calibri"/>
                <w:color w:val="000000"/>
                <w:lang w:eastAsia="en-GB"/>
              </w:rPr>
            </w:pPr>
            <w:r w:rsidRPr="00F137FD">
              <w:rPr>
                <w:rFonts w:ascii="Calibri" w:eastAsia="Times New Roman" w:hAnsi="Calibri" w:cs="Calibri"/>
                <w:color w:val="000000"/>
                <w:lang w:eastAsia="en-GB"/>
              </w:rPr>
              <w:t>0.83</w:t>
            </w:r>
          </w:p>
        </w:tc>
        <w:tc>
          <w:tcPr>
            <w:tcW w:w="960" w:type="dxa"/>
            <w:tcBorders>
              <w:top w:val="single" w:sz="4" w:space="0" w:color="8EA9DB"/>
              <w:left w:val="nil"/>
              <w:bottom w:val="single" w:sz="4" w:space="0" w:color="8EA9DB"/>
              <w:right w:val="nil"/>
            </w:tcBorders>
            <w:shd w:val="clear" w:color="auto" w:fill="auto"/>
            <w:noWrap/>
            <w:vAlign w:val="bottom"/>
            <w:hideMark/>
          </w:tcPr>
          <w:p w14:paraId="2BA74D00" w14:textId="77777777" w:rsidR="00307C5F" w:rsidRPr="00BE1901" w:rsidRDefault="00307C5F" w:rsidP="006C0B7F">
            <w:pPr>
              <w:spacing w:after="0" w:line="240" w:lineRule="auto"/>
              <w:jc w:val="center"/>
              <w:rPr>
                <w:rFonts w:ascii="Calibri" w:eastAsia="Times New Roman" w:hAnsi="Calibri" w:cs="Calibri"/>
                <w:color w:val="000000"/>
                <w:lang w:eastAsia="en-GB"/>
              </w:rPr>
            </w:pPr>
            <w:r w:rsidRPr="00BE1901">
              <w:rPr>
                <w:rFonts w:ascii="Calibri" w:eastAsia="Times New Roman" w:hAnsi="Calibri" w:cs="Calibri"/>
                <w:color w:val="000000"/>
                <w:lang w:eastAsia="en-GB"/>
              </w:rPr>
              <w:t>0.88</w:t>
            </w:r>
          </w:p>
        </w:tc>
        <w:tc>
          <w:tcPr>
            <w:tcW w:w="1620" w:type="dxa"/>
            <w:tcBorders>
              <w:top w:val="single" w:sz="4" w:space="0" w:color="8EA9DB"/>
              <w:left w:val="nil"/>
              <w:bottom w:val="single" w:sz="4" w:space="0" w:color="8EA9DB"/>
              <w:right w:val="single" w:sz="4" w:space="0" w:color="8EA9DB"/>
            </w:tcBorders>
            <w:shd w:val="clear" w:color="auto" w:fill="auto"/>
            <w:noWrap/>
            <w:vAlign w:val="bottom"/>
            <w:hideMark/>
          </w:tcPr>
          <w:p w14:paraId="4C41D097" w14:textId="77777777" w:rsidR="00307C5F" w:rsidRPr="00F137FD" w:rsidRDefault="00307C5F" w:rsidP="006C0B7F">
            <w:pPr>
              <w:spacing w:after="0" w:line="240" w:lineRule="auto"/>
              <w:jc w:val="center"/>
              <w:rPr>
                <w:rFonts w:ascii="Calibri" w:eastAsia="Times New Roman" w:hAnsi="Calibri" w:cs="Calibri"/>
                <w:color w:val="000000"/>
                <w:lang w:eastAsia="en-GB"/>
              </w:rPr>
            </w:pPr>
            <w:r w:rsidRPr="00F137FD">
              <w:rPr>
                <w:rFonts w:ascii="Calibri" w:eastAsia="Times New Roman" w:hAnsi="Calibri" w:cs="Calibri"/>
                <w:color w:val="000000"/>
                <w:lang w:eastAsia="en-GB"/>
              </w:rPr>
              <w:t>0.57</w:t>
            </w:r>
          </w:p>
        </w:tc>
        <w:tc>
          <w:tcPr>
            <w:tcW w:w="960" w:type="dxa"/>
            <w:tcBorders>
              <w:top w:val="nil"/>
              <w:left w:val="nil"/>
              <w:bottom w:val="nil"/>
              <w:right w:val="nil"/>
            </w:tcBorders>
            <w:shd w:val="clear" w:color="auto" w:fill="auto"/>
            <w:noWrap/>
            <w:vAlign w:val="bottom"/>
            <w:hideMark/>
          </w:tcPr>
          <w:p w14:paraId="13EC17A9" w14:textId="77777777" w:rsidR="00307C5F" w:rsidRPr="00F137FD" w:rsidRDefault="00307C5F" w:rsidP="006C0B7F">
            <w:pPr>
              <w:spacing w:after="0" w:line="240" w:lineRule="auto"/>
              <w:jc w:val="center"/>
              <w:rPr>
                <w:rFonts w:ascii="Calibri" w:eastAsia="Times New Roman" w:hAnsi="Calibri" w:cs="Calibri"/>
                <w:color w:val="000000"/>
                <w:lang w:eastAsia="en-GB"/>
              </w:rPr>
            </w:pPr>
          </w:p>
        </w:tc>
      </w:tr>
    </w:tbl>
    <w:p w14:paraId="549046E5" w14:textId="3DFC9A4E" w:rsidR="00BE1901" w:rsidRDefault="00BE1901" w:rsidP="00BE1901">
      <w:r>
        <w:t>Source</w:t>
      </w:r>
      <w:r w:rsidRPr="00772647">
        <w:rPr>
          <w:i/>
        </w:rPr>
        <w:t>:</w:t>
      </w:r>
      <w:r>
        <w:rPr>
          <w:i/>
        </w:rPr>
        <w:t xml:space="preserve"> Author’s calculations and</w:t>
      </w:r>
      <w:r w:rsidRPr="00772647">
        <w:rPr>
          <w:i/>
        </w:rPr>
        <w:t xml:space="preserve"> Annual Financial Reports of GSK and AstraZeneca.</w:t>
      </w:r>
      <w:r>
        <w:t xml:space="preserve"> </w:t>
      </w:r>
    </w:p>
    <w:p w14:paraId="1EB87762" w14:textId="4B1274AC" w:rsidR="00BE1901" w:rsidRDefault="00E837ED" w:rsidP="00BE1901">
      <w:r>
        <w:rPr>
          <w:noProof/>
        </w:rPr>
        <w:drawing>
          <wp:inline distT="0" distB="0" distL="0" distR="0" wp14:anchorId="2E2317FB" wp14:editId="08FBCEE3">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E12B557" w14:textId="4EC38FB0" w:rsidR="002A7052" w:rsidRDefault="002A7052" w:rsidP="00BE1901"/>
    <w:p w14:paraId="04476A7F" w14:textId="000406F6" w:rsidR="00914DBC" w:rsidRDefault="00914DBC" w:rsidP="00914DBC">
      <w:bookmarkStart w:id="15" w:name="_Toc7774452"/>
      <w:r w:rsidRPr="00266A81">
        <w:rPr>
          <w:rStyle w:val="Heading3Char"/>
        </w:rPr>
        <w:t>Debt-equity ratio</w:t>
      </w:r>
      <w:bookmarkEnd w:id="15"/>
      <w:r>
        <w:sym w:font="Wingdings" w:char="F0E0"/>
      </w:r>
      <w:r>
        <w:t xml:space="preserve"> </w:t>
      </w:r>
      <w:r w:rsidR="003862A2" w:rsidRPr="00E21993">
        <w:rPr>
          <w:rFonts w:asciiTheme="majorHAnsi" w:hAnsiTheme="majorHAnsi" w:cstheme="majorHAnsi"/>
        </w:rPr>
        <w:t>I</w:t>
      </w:r>
      <w:r w:rsidRPr="00E21993">
        <w:rPr>
          <w:rFonts w:asciiTheme="majorHAnsi" w:hAnsiTheme="majorHAnsi" w:cstheme="majorHAnsi"/>
        </w:rPr>
        <w:t>t measures a shareholder</w:t>
      </w:r>
      <w:r w:rsidR="007A55EB" w:rsidRPr="00E21993">
        <w:rPr>
          <w:rFonts w:asciiTheme="majorHAnsi" w:hAnsiTheme="majorHAnsi" w:cstheme="majorHAnsi"/>
        </w:rPr>
        <w:t>’s</w:t>
      </w:r>
      <w:r w:rsidRPr="00E21993">
        <w:rPr>
          <w:rFonts w:asciiTheme="majorHAnsi" w:hAnsiTheme="majorHAnsi" w:cstheme="majorHAnsi"/>
        </w:rPr>
        <w:t xml:space="preserve"> ability to cover all outstanding debts in the event of a business downturn. A high amount of this ratio means high risk because a company has been aggressive in financing its growth with debt</w:t>
      </w:r>
      <w:r>
        <w:t xml:space="preserve">. </w:t>
      </w:r>
    </w:p>
    <w:p w14:paraId="7B38D327" w14:textId="509D3C76" w:rsidR="003F1710" w:rsidRPr="00487D9E" w:rsidRDefault="00E44BD3" w:rsidP="00914DBC">
      <w:pPr>
        <w:rPr>
          <w:b/>
        </w:rPr>
      </w:pPr>
      <w:r w:rsidRPr="00487D9E">
        <w:rPr>
          <w:b/>
        </w:rPr>
        <w:t>GSK</w:t>
      </w:r>
    </w:p>
    <w:p w14:paraId="5D95C109" w14:textId="0C749A37" w:rsidR="002351D5" w:rsidRDefault="00E44BD3" w:rsidP="002351D5">
      <w:r>
        <w:t xml:space="preserve">The trend in debt-equity ratio has been </w:t>
      </w:r>
      <w:r w:rsidR="00710AA5">
        <w:t>climbed except in 2015</w:t>
      </w:r>
      <w:r w:rsidR="00A328EA">
        <w:t>;</w:t>
      </w:r>
      <w:r w:rsidR="00F43ECA">
        <w:t xml:space="preserve"> </w:t>
      </w:r>
      <w:r w:rsidR="00A328EA">
        <w:t>t</w:t>
      </w:r>
      <w:r w:rsidR="002351D5">
        <w:t xml:space="preserve">his is due to GSK has £6.8 billion US commercial paper programme which was undrawn at 31 December 2015. GSK also has £1.9 billion </w:t>
      </w:r>
      <w:r w:rsidR="008303C3">
        <w:t xml:space="preserve">five year committed medium-term facilities and £1.7 billion of 346 day committed facilities. These facilities were put in place in September 2015 and were undrawn at 31 December 2015 (Annual report GSK, 2015). </w:t>
      </w:r>
    </w:p>
    <w:p w14:paraId="2A3E4712" w14:textId="473E772C" w:rsidR="00D47032" w:rsidRDefault="007C03CD" w:rsidP="002351D5">
      <w:r>
        <w:t xml:space="preserve">The highest amount </w:t>
      </w:r>
      <w:r w:rsidR="00082F3F">
        <w:t>occurred</w:t>
      </w:r>
      <w:r w:rsidR="00F15448">
        <w:t xml:space="preserve"> in 2018. </w:t>
      </w:r>
      <w:r w:rsidR="005D5EEF">
        <w:t xml:space="preserve">In 2018, </w:t>
      </w:r>
      <w:r w:rsidR="00A2522D">
        <w:t xml:space="preserve">in other words, </w:t>
      </w:r>
      <w:r w:rsidR="003D7230">
        <w:t xml:space="preserve">more assets </w:t>
      </w:r>
      <w:r w:rsidR="00F02654">
        <w:t>have</w:t>
      </w:r>
      <w:r w:rsidR="003D7230">
        <w:t xml:space="preserve"> been fi</w:t>
      </w:r>
      <w:r w:rsidR="00F02654">
        <w:t xml:space="preserve">nanced by debt. </w:t>
      </w:r>
      <w:r w:rsidR="00956E28">
        <w:t>C</w:t>
      </w:r>
      <w:r w:rsidR="00F15448">
        <w:t>ompared to the previous year (2017), short-term borrowing has</w:t>
      </w:r>
      <w:r w:rsidR="00D47032">
        <w:t xml:space="preserve"> increased by </w:t>
      </w:r>
      <w:r w:rsidR="00DC5B02">
        <w:t xml:space="preserve">105% and long-term borrowing by </w:t>
      </w:r>
      <w:r w:rsidR="00490772">
        <w:t>4</w:t>
      </w:r>
      <w:r w:rsidR="007E5DBB">
        <w:t>2%.</w:t>
      </w:r>
    </w:p>
    <w:p w14:paraId="7876E83A" w14:textId="77777777" w:rsidR="00570FB2" w:rsidRDefault="008C0779" w:rsidP="002351D5">
      <w:r>
        <w:t>In June 2018, £3.5 billion was draw</w:t>
      </w:r>
      <w:r w:rsidR="00F759CF">
        <w:t>n</w:t>
      </w:r>
      <w:r>
        <w:t xml:space="preserve"> to support the acquisition from Novartis of the remaining </w:t>
      </w:r>
      <w:r w:rsidR="00F759CF">
        <w:t xml:space="preserve">stake in the Consumer Healthcare Joint Venture. In addition, a </w:t>
      </w:r>
      <w:r w:rsidR="004B55B2">
        <w:t xml:space="preserve">$5.0 billion bank facility was agreed in December 2018 to support the acquisition of </w:t>
      </w:r>
      <w:proofErr w:type="spellStart"/>
      <w:r w:rsidR="004B55B2">
        <w:t>Tesaro</w:t>
      </w:r>
      <w:proofErr w:type="spellEnd"/>
      <w:r w:rsidR="00982003">
        <w:t xml:space="preserve"> and was undrawn at 31 December 2018</w:t>
      </w:r>
      <w:r w:rsidR="00DA10A1">
        <w:t xml:space="preserve"> (Annual report GSK, 2018). </w:t>
      </w:r>
    </w:p>
    <w:p w14:paraId="7C06DC54" w14:textId="358BB5B4" w:rsidR="00667862" w:rsidRDefault="006711F0" w:rsidP="002351D5">
      <w:pPr>
        <w:rPr>
          <w:b/>
        </w:rPr>
      </w:pPr>
      <w:r w:rsidRPr="00487D9E">
        <w:rPr>
          <w:b/>
        </w:rPr>
        <w:t>GSK v</w:t>
      </w:r>
      <w:r w:rsidR="00E02D2E" w:rsidRPr="00487D9E">
        <w:rPr>
          <w:b/>
        </w:rPr>
        <w:t>s. AstraZeneca</w:t>
      </w:r>
    </w:p>
    <w:p w14:paraId="4BC685EB" w14:textId="515DFB5B" w:rsidR="007A55EB" w:rsidRDefault="00022E36" w:rsidP="002351D5">
      <w:r w:rsidRPr="001C2F1E">
        <w:t xml:space="preserve">D/E ratio </w:t>
      </w:r>
      <w:r w:rsidR="00341B1F" w:rsidRPr="001C2F1E">
        <w:t xml:space="preserve">for </w:t>
      </w:r>
      <w:r w:rsidR="001C2F1E" w:rsidRPr="001C2F1E">
        <w:t>AstraZeneca in 2018 has</w:t>
      </w:r>
      <w:r w:rsidR="001C2F1E">
        <w:t xml:space="preserve"> been 1.36</w:t>
      </w:r>
      <w:r w:rsidR="00A117C4">
        <w:t>$</w:t>
      </w:r>
      <w:r w:rsidR="001C2F1E">
        <w:t xml:space="preserve">. </w:t>
      </w:r>
      <w:r w:rsidR="00A117C4">
        <w:t xml:space="preserve">This means </w:t>
      </w:r>
      <w:r w:rsidR="000B720B">
        <w:t>that AstraZeneca has</w:t>
      </w:r>
      <w:r w:rsidR="00880F80">
        <w:t xml:space="preserve"> a lower ri</w:t>
      </w:r>
      <w:r w:rsidR="00A63813">
        <w:t>s</w:t>
      </w:r>
      <w:r w:rsidR="00880F80">
        <w:t xml:space="preserve">k than GSK, and it have done </w:t>
      </w:r>
      <w:r w:rsidR="00A63813">
        <w:t xml:space="preserve">better investment. </w:t>
      </w:r>
    </w:p>
    <w:p w14:paraId="1D80BC89" w14:textId="77777777" w:rsidR="00E73DD2" w:rsidRDefault="00E73DD2" w:rsidP="002351D5"/>
    <w:p w14:paraId="72CDA8D2" w14:textId="184D0AE5" w:rsidR="00914DBC" w:rsidRDefault="00914DBC" w:rsidP="00914DBC">
      <w:bookmarkStart w:id="16" w:name="_Toc7774453"/>
      <w:r w:rsidRPr="00266A81">
        <w:rPr>
          <w:rStyle w:val="Heading3Char"/>
        </w:rPr>
        <w:t>Debt-to-capital ratio</w:t>
      </w:r>
      <w:bookmarkEnd w:id="16"/>
      <w:r>
        <w:sym w:font="Wingdings" w:char="F0E0"/>
      </w:r>
      <w:r>
        <w:t xml:space="preserve"> </w:t>
      </w:r>
      <w:r w:rsidR="00D67809" w:rsidRPr="00E21993">
        <w:rPr>
          <w:rFonts w:asciiTheme="majorHAnsi" w:hAnsiTheme="majorHAnsi" w:cstheme="majorHAnsi"/>
        </w:rPr>
        <w:t>I</w:t>
      </w:r>
      <w:r w:rsidRPr="00E21993">
        <w:rPr>
          <w:rFonts w:asciiTheme="majorHAnsi" w:hAnsiTheme="majorHAnsi" w:cstheme="majorHAnsi"/>
        </w:rPr>
        <w:t>t is used to understand a company’s financial structure. The higher the debt-capital ratio, the risker the company.</w:t>
      </w:r>
      <w:r>
        <w:t xml:space="preserve"> </w:t>
      </w:r>
    </w:p>
    <w:p w14:paraId="62ED7378" w14:textId="168E6CD4" w:rsidR="00003CD0" w:rsidRDefault="00003CD0" w:rsidP="00914DBC">
      <w:pPr>
        <w:rPr>
          <w:b/>
        </w:rPr>
      </w:pPr>
      <w:r w:rsidRPr="00003CD0">
        <w:rPr>
          <w:b/>
        </w:rPr>
        <w:t xml:space="preserve">GSK </w:t>
      </w:r>
    </w:p>
    <w:p w14:paraId="79DDB339" w14:textId="3C88B7F0" w:rsidR="00D95ED3" w:rsidRDefault="007F3FC8" w:rsidP="00914DBC">
      <w:r>
        <w:lastRenderedPageBreak/>
        <w:t>Respect to the D</w:t>
      </w:r>
      <w:r w:rsidR="000C6EC7">
        <w:t>/E ratio, Debt-to-capital ratio has been more stable</w:t>
      </w:r>
      <w:r w:rsidR="00E358D5">
        <w:t xml:space="preserve"> over the past five years. </w:t>
      </w:r>
      <w:r w:rsidR="00776B7D">
        <w:t>Again, the lowest amount has</w:t>
      </w:r>
      <w:r w:rsidR="000973E7">
        <w:t xml:space="preserve"> been</w:t>
      </w:r>
      <w:r w:rsidR="00776B7D">
        <w:t xml:space="preserve"> f</w:t>
      </w:r>
      <w:r w:rsidR="00901C28">
        <w:t>ound</w:t>
      </w:r>
      <w:r w:rsidR="00776B7D">
        <w:t xml:space="preserve"> in 2015</w:t>
      </w:r>
      <w:r w:rsidR="005A3B26">
        <w:t xml:space="preserve">; and the highest one </w:t>
      </w:r>
      <w:r w:rsidR="00426EF5">
        <w:t xml:space="preserve">occurred </w:t>
      </w:r>
      <w:r w:rsidR="005A3B26">
        <w:t xml:space="preserve">in 2018. </w:t>
      </w:r>
      <w:r w:rsidR="003A62FB">
        <w:t>Hence, over the years GSK ha</w:t>
      </w:r>
      <w:r w:rsidR="00C164CD">
        <w:t xml:space="preserve">s become </w:t>
      </w:r>
      <w:r w:rsidR="00221F5A">
        <w:t>riskier</w:t>
      </w:r>
      <w:r w:rsidR="00C450AA">
        <w:t xml:space="preserve"> because </w:t>
      </w:r>
      <w:r w:rsidR="00396198">
        <w:t xml:space="preserve">GSK must maintain a high level of sales in order to meet </w:t>
      </w:r>
      <w:r w:rsidR="00C93D67">
        <w:t>its debt ser</w:t>
      </w:r>
      <w:r w:rsidR="00546A92">
        <w:t xml:space="preserve">vicing obligations. </w:t>
      </w:r>
      <w:r w:rsidR="00997AB0">
        <w:t xml:space="preserve">This means that a down turn in sales could spell solvency issues for the company. </w:t>
      </w:r>
      <w:r w:rsidR="00BD16D0">
        <w:t>I</w:t>
      </w:r>
      <w:r w:rsidR="00417408">
        <w:t>t needs to be noticed that in s</w:t>
      </w:r>
      <w:r w:rsidR="00BD16D0">
        <w:t>o</w:t>
      </w:r>
      <w:r w:rsidR="00417408">
        <w:t xml:space="preserve">me case, </w:t>
      </w:r>
      <w:r w:rsidR="00AD2D15">
        <w:t xml:space="preserve">high level of </w:t>
      </w:r>
      <w:r w:rsidR="00473E10">
        <w:t>debt loan financing</w:t>
      </w:r>
      <w:r w:rsidR="00CB6BC8">
        <w:t xml:space="preserve"> could</w:t>
      </w:r>
      <w:r w:rsidR="00473E10">
        <w:t xml:space="preserve"> </w:t>
      </w:r>
      <w:r w:rsidR="00DD2950">
        <w:t>present</w:t>
      </w:r>
      <w:r w:rsidR="00473E10">
        <w:t xml:space="preserve"> an opportunity for abnormal return to </w:t>
      </w:r>
      <w:r w:rsidR="008236A2">
        <w:t>shareholders. But in the GSK’s case this is not valid</w:t>
      </w:r>
      <w:r w:rsidR="009A4C98">
        <w:t>: the loan has used in</w:t>
      </w:r>
      <w:r w:rsidR="005C3E3F">
        <w:t xml:space="preserve"> an</w:t>
      </w:r>
      <w:r w:rsidR="009A4C98">
        <w:t xml:space="preserve"> </w:t>
      </w:r>
      <w:r w:rsidR="005520F8">
        <w:t>inefficient</w:t>
      </w:r>
      <w:r w:rsidR="009A4C98">
        <w:t xml:space="preserve"> manner</w:t>
      </w:r>
      <w:r w:rsidR="00EA67A0">
        <w:t xml:space="preserve"> inasmuch the trend in shareholders equity has deceased over the past </w:t>
      </w:r>
      <w:r w:rsidR="005520F8">
        <w:t>years (except in 2015).</w:t>
      </w:r>
    </w:p>
    <w:p w14:paraId="22D34531" w14:textId="4DF81975" w:rsidR="005520F8" w:rsidRPr="005C3E3F" w:rsidRDefault="005C3E3F" w:rsidP="00914DBC">
      <w:pPr>
        <w:rPr>
          <w:b/>
        </w:rPr>
      </w:pPr>
      <w:r w:rsidRPr="005C3E3F">
        <w:rPr>
          <w:b/>
        </w:rPr>
        <w:t xml:space="preserve">GSK vs AstraZeneca </w:t>
      </w:r>
    </w:p>
    <w:p w14:paraId="41F5802F" w14:textId="19872098" w:rsidR="005C3E3F" w:rsidRDefault="00446E42" w:rsidP="00914DBC">
      <w:r>
        <w:t xml:space="preserve">AstraZeneca in 2018 performed better than GSK. </w:t>
      </w:r>
    </w:p>
    <w:p w14:paraId="159DEC98" w14:textId="77777777" w:rsidR="00003CD0" w:rsidRDefault="00003CD0" w:rsidP="00CC189F">
      <w:pPr>
        <w:pStyle w:val="Heading2"/>
        <w:tabs>
          <w:tab w:val="left" w:pos="2220"/>
        </w:tabs>
      </w:pPr>
    </w:p>
    <w:p w14:paraId="2C425787" w14:textId="2567AE7E" w:rsidR="00CC189F" w:rsidRDefault="00CC189F" w:rsidP="00CC189F">
      <w:pPr>
        <w:pStyle w:val="Heading2"/>
        <w:tabs>
          <w:tab w:val="left" w:pos="2220"/>
        </w:tabs>
      </w:pPr>
      <w:bookmarkStart w:id="17" w:name="_Toc7774454"/>
      <w:r>
        <w:t>Efficiently ratios</w:t>
      </w:r>
      <w:bookmarkEnd w:id="17"/>
      <w:r>
        <w:t xml:space="preserve"> </w:t>
      </w:r>
      <w:r>
        <w:tab/>
      </w:r>
    </w:p>
    <w:p w14:paraId="0824A77E" w14:textId="5BDCA2B5" w:rsidR="00CC189F" w:rsidRDefault="00DA622D" w:rsidP="00CC189F">
      <w:r>
        <w:t>Efficiently ratios</w:t>
      </w:r>
      <w:r w:rsidR="00CC189F">
        <w:t xml:space="preserve"> measure a company’s ability to use its assets to generate income. </w:t>
      </w:r>
      <w:r w:rsidR="001F206E">
        <w:t xml:space="preserve">They are </w:t>
      </w:r>
      <w:r w:rsidR="00CC189F">
        <w:t xml:space="preserve">often used by analysts to understand and measure a current company’s performance. </w:t>
      </w:r>
    </w:p>
    <w:p w14:paraId="716A0E20" w14:textId="2E6CDEE9" w:rsidR="00CC189F" w:rsidRPr="00CC189F" w:rsidRDefault="00CC189F" w:rsidP="00CC189F">
      <w:pPr>
        <w:rPr>
          <w:b/>
        </w:rPr>
      </w:pPr>
      <w:r w:rsidRPr="00772647">
        <w:rPr>
          <w:b/>
          <w:u w:val="single"/>
        </w:rPr>
        <w:t xml:space="preserve">Tab. </w:t>
      </w:r>
      <w:r>
        <w:rPr>
          <w:b/>
          <w:u w:val="single"/>
        </w:rPr>
        <w:t>7</w:t>
      </w:r>
      <w:r w:rsidRPr="00772647">
        <w:rPr>
          <w:b/>
        </w:rPr>
        <w:t xml:space="preserve">: </w:t>
      </w:r>
      <w:r>
        <w:rPr>
          <w:b/>
        </w:rPr>
        <w:t xml:space="preserve">Sales, Total asset and Fixed asset </w:t>
      </w:r>
      <w:r w:rsidRPr="00772647">
        <w:rPr>
          <w:b/>
        </w:rPr>
        <w:t xml:space="preserve">of GSK (2014-2018) and AstraZeneca (2018). </w:t>
      </w:r>
    </w:p>
    <w:tbl>
      <w:tblPr>
        <w:tblW w:w="9105" w:type="dxa"/>
        <w:tblLook w:val="04A0" w:firstRow="1" w:lastRow="0" w:firstColumn="1" w:lastColumn="0" w:noHBand="0" w:noVBand="1"/>
      </w:tblPr>
      <w:tblGrid>
        <w:gridCol w:w="1966"/>
        <w:gridCol w:w="1026"/>
        <w:gridCol w:w="1026"/>
        <w:gridCol w:w="1026"/>
        <w:gridCol w:w="1026"/>
        <w:gridCol w:w="1026"/>
        <w:gridCol w:w="2009"/>
      </w:tblGrid>
      <w:tr w:rsidR="00CC189F" w:rsidRPr="002A5C7A" w14:paraId="1788D372" w14:textId="77777777" w:rsidTr="006C0B7F">
        <w:trPr>
          <w:trHeight w:val="289"/>
        </w:trPr>
        <w:tc>
          <w:tcPr>
            <w:tcW w:w="1966" w:type="dxa"/>
            <w:tcBorders>
              <w:top w:val="single" w:sz="4" w:space="0" w:color="8EA9DB"/>
              <w:left w:val="single" w:sz="4" w:space="0" w:color="8EA9DB"/>
              <w:bottom w:val="single" w:sz="4" w:space="0" w:color="8EA9DB"/>
              <w:right w:val="nil"/>
            </w:tcBorders>
            <w:shd w:val="clear" w:color="4472C4" w:fill="4472C4"/>
            <w:noWrap/>
            <w:vAlign w:val="bottom"/>
            <w:hideMark/>
          </w:tcPr>
          <w:p w14:paraId="013A5143" w14:textId="77777777" w:rsidR="00CC189F" w:rsidRPr="002A5C7A" w:rsidRDefault="00CC189F" w:rsidP="006C0B7F">
            <w:pPr>
              <w:spacing w:after="0" w:line="240" w:lineRule="auto"/>
              <w:jc w:val="center"/>
              <w:rPr>
                <w:rFonts w:ascii="Calibri" w:eastAsia="Times New Roman" w:hAnsi="Calibri" w:cs="Calibri"/>
                <w:b/>
                <w:bCs/>
                <w:color w:val="FFFFFF"/>
                <w:lang w:eastAsia="en-GB"/>
              </w:rPr>
            </w:pPr>
            <w:r w:rsidRPr="002A5C7A">
              <w:rPr>
                <w:rFonts w:ascii="Calibri" w:eastAsia="Times New Roman" w:hAnsi="Calibri" w:cs="Calibri"/>
                <w:b/>
                <w:bCs/>
                <w:color w:val="FFFFFF"/>
                <w:lang w:eastAsia="en-GB"/>
              </w:rPr>
              <w:t>GSK £</w:t>
            </w:r>
            <w:r>
              <w:rPr>
                <w:rFonts w:ascii="Calibri" w:eastAsia="Times New Roman" w:hAnsi="Calibri" w:cs="Calibri"/>
                <w:b/>
                <w:bCs/>
                <w:color w:val="FFFFFF"/>
                <w:lang w:eastAsia="en-GB"/>
              </w:rPr>
              <w:t>m</w:t>
            </w:r>
          </w:p>
        </w:tc>
        <w:tc>
          <w:tcPr>
            <w:tcW w:w="1026" w:type="dxa"/>
            <w:tcBorders>
              <w:top w:val="single" w:sz="4" w:space="0" w:color="8EA9DB"/>
              <w:left w:val="nil"/>
              <w:bottom w:val="single" w:sz="4" w:space="0" w:color="8EA9DB"/>
              <w:right w:val="nil"/>
            </w:tcBorders>
            <w:shd w:val="clear" w:color="4472C4" w:fill="4472C4"/>
            <w:noWrap/>
            <w:vAlign w:val="bottom"/>
            <w:hideMark/>
          </w:tcPr>
          <w:p w14:paraId="354C2B91" w14:textId="77777777" w:rsidR="00CC189F" w:rsidRPr="002A5C7A" w:rsidRDefault="00CC189F" w:rsidP="006C0B7F">
            <w:pPr>
              <w:spacing w:after="0" w:line="240" w:lineRule="auto"/>
              <w:jc w:val="center"/>
              <w:rPr>
                <w:rFonts w:ascii="Calibri" w:eastAsia="Times New Roman" w:hAnsi="Calibri" w:cs="Calibri"/>
                <w:b/>
                <w:bCs/>
                <w:color w:val="FFFFFF"/>
                <w:lang w:eastAsia="en-GB"/>
              </w:rPr>
            </w:pPr>
            <w:r w:rsidRPr="002A5C7A">
              <w:rPr>
                <w:rFonts w:ascii="Calibri" w:eastAsia="Times New Roman" w:hAnsi="Calibri" w:cs="Calibri"/>
                <w:b/>
                <w:bCs/>
                <w:color w:val="FFFFFF"/>
                <w:lang w:eastAsia="en-GB"/>
              </w:rPr>
              <w:t>2014</w:t>
            </w:r>
          </w:p>
        </w:tc>
        <w:tc>
          <w:tcPr>
            <w:tcW w:w="1026" w:type="dxa"/>
            <w:tcBorders>
              <w:top w:val="single" w:sz="4" w:space="0" w:color="8EA9DB"/>
              <w:left w:val="nil"/>
              <w:bottom w:val="single" w:sz="4" w:space="0" w:color="8EA9DB"/>
              <w:right w:val="nil"/>
            </w:tcBorders>
            <w:shd w:val="clear" w:color="4472C4" w:fill="4472C4"/>
            <w:noWrap/>
            <w:vAlign w:val="bottom"/>
            <w:hideMark/>
          </w:tcPr>
          <w:p w14:paraId="4630244E" w14:textId="77777777" w:rsidR="00CC189F" w:rsidRPr="002A5C7A" w:rsidRDefault="00CC189F" w:rsidP="006C0B7F">
            <w:pPr>
              <w:spacing w:after="0" w:line="240" w:lineRule="auto"/>
              <w:jc w:val="center"/>
              <w:rPr>
                <w:rFonts w:ascii="Calibri" w:eastAsia="Times New Roman" w:hAnsi="Calibri" w:cs="Calibri"/>
                <w:b/>
                <w:bCs/>
                <w:color w:val="FFFFFF"/>
                <w:lang w:eastAsia="en-GB"/>
              </w:rPr>
            </w:pPr>
            <w:r w:rsidRPr="002A5C7A">
              <w:rPr>
                <w:rFonts w:ascii="Calibri" w:eastAsia="Times New Roman" w:hAnsi="Calibri" w:cs="Calibri"/>
                <w:b/>
                <w:bCs/>
                <w:color w:val="FFFFFF"/>
                <w:lang w:eastAsia="en-GB"/>
              </w:rPr>
              <w:t>2015</w:t>
            </w:r>
          </w:p>
        </w:tc>
        <w:tc>
          <w:tcPr>
            <w:tcW w:w="1026" w:type="dxa"/>
            <w:tcBorders>
              <w:top w:val="single" w:sz="4" w:space="0" w:color="8EA9DB"/>
              <w:left w:val="nil"/>
              <w:bottom w:val="single" w:sz="4" w:space="0" w:color="8EA9DB"/>
              <w:right w:val="nil"/>
            </w:tcBorders>
            <w:shd w:val="clear" w:color="4472C4" w:fill="4472C4"/>
            <w:noWrap/>
            <w:vAlign w:val="bottom"/>
            <w:hideMark/>
          </w:tcPr>
          <w:p w14:paraId="3FEDA661" w14:textId="77777777" w:rsidR="00CC189F" w:rsidRPr="002A5C7A" w:rsidRDefault="00CC189F" w:rsidP="006C0B7F">
            <w:pPr>
              <w:spacing w:after="0" w:line="240" w:lineRule="auto"/>
              <w:jc w:val="center"/>
              <w:rPr>
                <w:rFonts w:ascii="Calibri" w:eastAsia="Times New Roman" w:hAnsi="Calibri" w:cs="Calibri"/>
                <w:b/>
                <w:bCs/>
                <w:color w:val="FFFFFF"/>
                <w:lang w:eastAsia="en-GB"/>
              </w:rPr>
            </w:pPr>
            <w:r w:rsidRPr="002A5C7A">
              <w:rPr>
                <w:rFonts w:ascii="Calibri" w:eastAsia="Times New Roman" w:hAnsi="Calibri" w:cs="Calibri"/>
                <w:b/>
                <w:bCs/>
                <w:color w:val="FFFFFF"/>
                <w:lang w:eastAsia="en-GB"/>
              </w:rPr>
              <w:t>2016</w:t>
            </w:r>
          </w:p>
        </w:tc>
        <w:tc>
          <w:tcPr>
            <w:tcW w:w="1026" w:type="dxa"/>
            <w:tcBorders>
              <w:top w:val="single" w:sz="4" w:space="0" w:color="8EA9DB"/>
              <w:left w:val="nil"/>
              <w:bottom w:val="single" w:sz="4" w:space="0" w:color="8EA9DB"/>
              <w:right w:val="nil"/>
            </w:tcBorders>
            <w:shd w:val="clear" w:color="4472C4" w:fill="4472C4"/>
            <w:noWrap/>
            <w:vAlign w:val="bottom"/>
            <w:hideMark/>
          </w:tcPr>
          <w:p w14:paraId="1B14B7E6" w14:textId="77777777" w:rsidR="00CC189F" w:rsidRPr="002A5C7A" w:rsidRDefault="00CC189F" w:rsidP="006C0B7F">
            <w:pPr>
              <w:spacing w:after="0" w:line="240" w:lineRule="auto"/>
              <w:jc w:val="center"/>
              <w:rPr>
                <w:rFonts w:ascii="Calibri" w:eastAsia="Times New Roman" w:hAnsi="Calibri" w:cs="Calibri"/>
                <w:b/>
                <w:bCs/>
                <w:color w:val="FFFFFF"/>
                <w:lang w:eastAsia="en-GB"/>
              </w:rPr>
            </w:pPr>
            <w:r w:rsidRPr="002A5C7A">
              <w:rPr>
                <w:rFonts w:ascii="Calibri" w:eastAsia="Times New Roman" w:hAnsi="Calibri" w:cs="Calibri"/>
                <w:b/>
                <w:bCs/>
                <w:color w:val="FFFFFF"/>
                <w:lang w:eastAsia="en-GB"/>
              </w:rPr>
              <w:t>2017</w:t>
            </w:r>
          </w:p>
        </w:tc>
        <w:tc>
          <w:tcPr>
            <w:tcW w:w="1026" w:type="dxa"/>
            <w:tcBorders>
              <w:top w:val="single" w:sz="4" w:space="0" w:color="8EA9DB"/>
              <w:left w:val="nil"/>
              <w:bottom w:val="single" w:sz="4" w:space="0" w:color="8EA9DB"/>
              <w:right w:val="nil"/>
            </w:tcBorders>
            <w:shd w:val="clear" w:color="4472C4" w:fill="4472C4"/>
            <w:noWrap/>
            <w:vAlign w:val="bottom"/>
            <w:hideMark/>
          </w:tcPr>
          <w:p w14:paraId="04DFB22C" w14:textId="77777777" w:rsidR="00CC189F" w:rsidRPr="002A5C7A" w:rsidRDefault="00CC189F" w:rsidP="006C0B7F">
            <w:pPr>
              <w:spacing w:after="0" w:line="240" w:lineRule="auto"/>
              <w:jc w:val="center"/>
              <w:rPr>
                <w:rFonts w:ascii="Calibri" w:eastAsia="Times New Roman" w:hAnsi="Calibri" w:cs="Calibri"/>
                <w:b/>
                <w:bCs/>
                <w:color w:val="FFFFFF"/>
                <w:lang w:eastAsia="en-GB"/>
              </w:rPr>
            </w:pPr>
            <w:r w:rsidRPr="002A5C7A">
              <w:rPr>
                <w:rFonts w:ascii="Calibri" w:eastAsia="Times New Roman" w:hAnsi="Calibri" w:cs="Calibri"/>
                <w:b/>
                <w:bCs/>
                <w:color w:val="FFFFFF"/>
                <w:lang w:eastAsia="en-GB"/>
              </w:rPr>
              <w:t>2018</w:t>
            </w:r>
          </w:p>
        </w:tc>
        <w:tc>
          <w:tcPr>
            <w:tcW w:w="2009" w:type="dxa"/>
            <w:tcBorders>
              <w:top w:val="single" w:sz="4" w:space="0" w:color="8EA9DB"/>
              <w:left w:val="nil"/>
              <w:bottom w:val="single" w:sz="4" w:space="0" w:color="8EA9DB"/>
              <w:right w:val="single" w:sz="4" w:space="0" w:color="8EA9DB"/>
            </w:tcBorders>
            <w:shd w:val="clear" w:color="4472C4" w:fill="4472C4"/>
            <w:noWrap/>
            <w:vAlign w:val="bottom"/>
            <w:hideMark/>
          </w:tcPr>
          <w:p w14:paraId="14C2FDA1" w14:textId="77777777" w:rsidR="00CC189F" w:rsidRPr="002A5C7A" w:rsidRDefault="00CC189F" w:rsidP="006C0B7F">
            <w:pPr>
              <w:spacing w:after="0" w:line="240" w:lineRule="auto"/>
              <w:jc w:val="center"/>
              <w:rPr>
                <w:rFonts w:ascii="Calibri" w:eastAsia="Times New Roman" w:hAnsi="Calibri" w:cs="Calibri"/>
                <w:b/>
                <w:bCs/>
                <w:color w:val="FFFFFF"/>
                <w:lang w:eastAsia="en-GB"/>
              </w:rPr>
            </w:pPr>
            <w:r w:rsidRPr="002A5C7A">
              <w:rPr>
                <w:rFonts w:ascii="Calibri" w:eastAsia="Times New Roman" w:hAnsi="Calibri" w:cs="Calibri"/>
                <w:b/>
                <w:bCs/>
                <w:color w:val="FFFFFF"/>
                <w:lang w:eastAsia="en-GB"/>
              </w:rPr>
              <w:t>AstraZeneca</w:t>
            </w:r>
            <w:r>
              <w:rPr>
                <w:rFonts w:ascii="Calibri" w:eastAsia="Times New Roman" w:hAnsi="Calibri" w:cs="Calibri"/>
                <w:b/>
                <w:bCs/>
                <w:color w:val="FFFFFF"/>
                <w:lang w:eastAsia="en-GB"/>
              </w:rPr>
              <w:t xml:space="preserve"> 2018 $m</w:t>
            </w:r>
          </w:p>
        </w:tc>
      </w:tr>
      <w:tr w:rsidR="00CC189F" w:rsidRPr="002A5C7A" w14:paraId="0AA251C4" w14:textId="77777777" w:rsidTr="006C0B7F">
        <w:trPr>
          <w:trHeight w:val="289"/>
        </w:trPr>
        <w:tc>
          <w:tcPr>
            <w:tcW w:w="1966" w:type="dxa"/>
            <w:tcBorders>
              <w:top w:val="single" w:sz="4" w:space="0" w:color="8EA9DB"/>
              <w:left w:val="single" w:sz="4" w:space="0" w:color="8EA9DB"/>
              <w:bottom w:val="single" w:sz="4" w:space="0" w:color="8EA9DB"/>
              <w:right w:val="nil"/>
            </w:tcBorders>
            <w:shd w:val="clear" w:color="D9E1F2" w:fill="D9E1F2"/>
            <w:noWrap/>
            <w:vAlign w:val="bottom"/>
            <w:hideMark/>
          </w:tcPr>
          <w:p w14:paraId="77247A9A"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Sales</w:t>
            </w:r>
          </w:p>
        </w:tc>
        <w:tc>
          <w:tcPr>
            <w:tcW w:w="1026" w:type="dxa"/>
            <w:tcBorders>
              <w:top w:val="single" w:sz="4" w:space="0" w:color="8EA9DB"/>
              <w:left w:val="nil"/>
              <w:bottom w:val="single" w:sz="4" w:space="0" w:color="8EA9DB"/>
              <w:right w:val="nil"/>
            </w:tcBorders>
            <w:shd w:val="clear" w:color="D9E1F2" w:fill="D9E1F2"/>
            <w:noWrap/>
            <w:vAlign w:val="bottom"/>
            <w:hideMark/>
          </w:tcPr>
          <w:p w14:paraId="4D805D02"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23,006</w:t>
            </w:r>
          </w:p>
        </w:tc>
        <w:tc>
          <w:tcPr>
            <w:tcW w:w="1026" w:type="dxa"/>
            <w:tcBorders>
              <w:top w:val="single" w:sz="4" w:space="0" w:color="8EA9DB"/>
              <w:left w:val="nil"/>
              <w:bottom w:val="single" w:sz="4" w:space="0" w:color="8EA9DB"/>
              <w:right w:val="nil"/>
            </w:tcBorders>
            <w:shd w:val="clear" w:color="D9E1F2" w:fill="D9E1F2"/>
            <w:noWrap/>
            <w:vAlign w:val="bottom"/>
            <w:hideMark/>
          </w:tcPr>
          <w:p w14:paraId="507CE154"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23,923</w:t>
            </w:r>
          </w:p>
        </w:tc>
        <w:tc>
          <w:tcPr>
            <w:tcW w:w="1026" w:type="dxa"/>
            <w:tcBorders>
              <w:top w:val="single" w:sz="4" w:space="0" w:color="8EA9DB"/>
              <w:left w:val="nil"/>
              <w:bottom w:val="single" w:sz="4" w:space="0" w:color="8EA9DB"/>
              <w:right w:val="nil"/>
            </w:tcBorders>
            <w:shd w:val="clear" w:color="D9E1F2" w:fill="D9E1F2"/>
            <w:noWrap/>
            <w:vAlign w:val="bottom"/>
            <w:hideMark/>
          </w:tcPr>
          <w:p w14:paraId="61DD37EB"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27,889</w:t>
            </w:r>
          </w:p>
        </w:tc>
        <w:tc>
          <w:tcPr>
            <w:tcW w:w="1026" w:type="dxa"/>
            <w:tcBorders>
              <w:top w:val="single" w:sz="4" w:space="0" w:color="8EA9DB"/>
              <w:left w:val="nil"/>
              <w:bottom w:val="single" w:sz="4" w:space="0" w:color="8EA9DB"/>
              <w:right w:val="nil"/>
            </w:tcBorders>
            <w:shd w:val="clear" w:color="D9E1F2" w:fill="D9E1F2"/>
            <w:noWrap/>
            <w:vAlign w:val="bottom"/>
            <w:hideMark/>
          </w:tcPr>
          <w:p w14:paraId="7EB71B7E"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30,186</w:t>
            </w:r>
          </w:p>
        </w:tc>
        <w:tc>
          <w:tcPr>
            <w:tcW w:w="1026" w:type="dxa"/>
            <w:tcBorders>
              <w:top w:val="single" w:sz="4" w:space="0" w:color="8EA9DB"/>
              <w:left w:val="nil"/>
              <w:bottom w:val="single" w:sz="4" w:space="0" w:color="8EA9DB"/>
              <w:right w:val="nil"/>
            </w:tcBorders>
            <w:shd w:val="clear" w:color="D9E1F2" w:fill="D9E1F2"/>
            <w:noWrap/>
            <w:vAlign w:val="bottom"/>
            <w:hideMark/>
          </w:tcPr>
          <w:p w14:paraId="51A6AAE8"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30,821</w:t>
            </w:r>
          </w:p>
        </w:tc>
        <w:tc>
          <w:tcPr>
            <w:tcW w:w="2009" w:type="dxa"/>
            <w:tcBorders>
              <w:top w:val="single" w:sz="4" w:space="0" w:color="8EA9DB"/>
              <w:left w:val="nil"/>
              <w:bottom w:val="single" w:sz="4" w:space="0" w:color="8EA9DB"/>
              <w:right w:val="single" w:sz="4" w:space="0" w:color="8EA9DB"/>
            </w:tcBorders>
            <w:shd w:val="clear" w:color="D9E1F2" w:fill="D9E1F2"/>
            <w:noWrap/>
            <w:vAlign w:val="bottom"/>
            <w:hideMark/>
          </w:tcPr>
          <w:p w14:paraId="01F7631F"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22,090</w:t>
            </w:r>
          </w:p>
        </w:tc>
      </w:tr>
      <w:tr w:rsidR="00CC189F" w:rsidRPr="002A5C7A" w14:paraId="35CA6A05" w14:textId="77777777" w:rsidTr="006C0B7F">
        <w:trPr>
          <w:trHeight w:val="289"/>
        </w:trPr>
        <w:tc>
          <w:tcPr>
            <w:tcW w:w="1966" w:type="dxa"/>
            <w:tcBorders>
              <w:top w:val="single" w:sz="4" w:space="0" w:color="8EA9DB"/>
              <w:left w:val="single" w:sz="4" w:space="0" w:color="8EA9DB"/>
              <w:bottom w:val="single" w:sz="4" w:space="0" w:color="8EA9DB"/>
              <w:right w:val="nil"/>
            </w:tcBorders>
            <w:shd w:val="clear" w:color="auto" w:fill="auto"/>
            <w:noWrap/>
            <w:vAlign w:val="bottom"/>
            <w:hideMark/>
          </w:tcPr>
          <w:p w14:paraId="102773D9"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Total asset</w:t>
            </w:r>
          </w:p>
        </w:tc>
        <w:tc>
          <w:tcPr>
            <w:tcW w:w="1026" w:type="dxa"/>
            <w:tcBorders>
              <w:top w:val="single" w:sz="4" w:space="0" w:color="8EA9DB"/>
              <w:left w:val="nil"/>
              <w:bottom w:val="single" w:sz="4" w:space="0" w:color="8EA9DB"/>
              <w:right w:val="nil"/>
            </w:tcBorders>
            <w:shd w:val="clear" w:color="auto" w:fill="auto"/>
            <w:noWrap/>
            <w:vAlign w:val="bottom"/>
            <w:hideMark/>
          </w:tcPr>
          <w:p w14:paraId="5493F34F"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40,651</w:t>
            </w:r>
          </w:p>
        </w:tc>
        <w:tc>
          <w:tcPr>
            <w:tcW w:w="1026" w:type="dxa"/>
            <w:tcBorders>
              <w:top w:val="single" w:sz="4" w:space="0" w:color="8EA9DB"/>
              <w:left w:val="nil"/>
              <w:bottom w:val="single" w:sz="4" w:space="0" w:color="8EA9DB"/>
              <w:right w:val="nil"/>
            </w:tcBorders>
            <w:shd w:val="clear" w:color="auto" w:fill="auto"/>
            <w:noWrap/>
            <w:vAlign w:val="bottom"/>
            <w:hideMark/>
          </w:tcPr>
          <w:p w14:paraId="4AEA0417"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53,446</w:t>
            </w:r>
          </w:p>
        </w:tc>
        <w:tc>
          <w:tcPr>
            <w:tcW w:w="1026" w:type="dxa"/>
            <w:tcBorders>
              <w:top w:val="single" w:sz="4" w:space="0" w:color="8EA9DB"/>
              <w:left w:val="nil"/>
              <w:bottom w:val="single" w:sz="4" w:space="0" w:color="8EA9DB"/>
              <w:right w:val="nil"/>
            </w:tcBorders>
            <w:shd w:val="clear" w:color="auto" w:fill="auto"/>
            <w:noWrap/>
            <w:vAlign w:val="bottom"/>
            <w:hideMark/>
          </w:tcPr>
          <w:p w14:paraId="0EABB52F"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59,081</w:t>
            </w:r>
          </w:p>
        </w:tc>
        <w:tc>
          <w:tcPr>
            <w:tcW w:w="1026" w:type="dxa"/>
            <w:tcBorders>
              <w:top w:val="single" w:sz="4" w:space="0" w:color="8EA9DB"/>
              <w:left w:val="nil"/>
              <w:bottom w:val="single" w:sz="4" w:space="0" w:color="8EA9DB"/>
              <w:right w:val="nil"/>
            </w:tcBorders>
            <w:shd w:val="clear" w:color="auto" w:fill="auto"/>
            <w:noWrap/>
            <w:vAlign w:val="bottom"/>
            <w:hideMark/>
          </w:tcPr>
          <w:p w14:paraId="6C5282D8"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56,381</w:t>
            </w:r>
          </w:p>
        </w:tc>
        <w:tc>
          <w:tcPr>
            <w:tcW w:w="1026" w:type="dxa"/>
            <w:tcBorders>
              <w:top w:val="single" w:sz="4" w:space="0" w:color="8EA9DB"/>
              <w:left w:val="nil"/>
              <w:bottom w:val="single" w:sz="4" w:space="0" w:color="8EA9DB"/>
              <w:right w:val="nil"/>
            </w:tcBorders>
            <w:shd w:val="clear" w:color="auto" w:fill="auto"/>
            <w:noWrap/>
            <w:vAlign w:val="bottom"/>
            <w:hideMark/>
          </w:tcPr>
          <w:p w14:paraId="34729035"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58,066</w:t>
            </w:r>
          </w:p>
        </w:tc>
        <w:tc>
          <w:tcPr>
            <w:tcW w:w="2009" w:type="dxa"/>
            <w:tcBorders>
              <w:top w:val="single" w:sz="4" w:space="0" w:color="8EA9DB"/>
              <w:left w:val="nil"/>
              <w:bottom w:val="single" w:sz="4" w:space="0" w:color="8EA9DB"/>
              <w:right w:val="single" w:sz="4" w:space="0" w:color="8EA9DB"/>
            </w:tcBorders>
            <w:shd w:val="clear" w:color="auto" w:fill="auto"/>
            <w:noWrap/>
            <w:vAlign w:val="bottom"/>
            <w:hideMark/>
          </w:tcPr>
          <w:p w14:paraId="2A12FEEC"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60,651</w:t>
            </w:r>
          </w:p>
        </w:tc>
      </w:tr>
      <w:tr w:rsidR="00CC189F" w:rsidRPr="002A5C7A" w14:paraId="3ABC7CA4" w14:textId="77777777" w:rsidTr="006C0B7F">
        <w:trPr>
          <w:trHeight w:val="289"/>
        </w:trPr>
        <w:tc>
          <w:tcPr>
            <w:tcW w:w="1966" w:type="dxa"/>
            <w:tcBorders>
              <w:top w:val="single" w:sz="4" w:space="0" w:color="8EA9DB"/>
              <w:left w:val="single" w:sz="4" w:space="0" w:color="8EA9DB"/>
              <w:bottom w:val="single" w:sz="4" w:space="0" w:color="8EA9DB"/>
              <w:right w:val="nil"/>
            </w:tcBorders>
            <w:shd w:val="clear" w:color="D9E1F2" w:fill="D9E1F2"/>
            <w:noWrap/>
            <w:vAlign w:val="bottom"/>
            <w:hideMark/>
          </w:tcPr>
          <w:p w14:paraId="315203D4" w14:textId="77777777" w:rsidR="00CC189F" w:rsidRPr="002A5C7A" w:rsidRDefault="00CC189F" w:rsidP="006C0B7F">
            <w:pPr>
              <w:spacing w:after="0" w:line="240" w:lineRule="auto"/>
              <w:jc w:val="center"/>
              <w:rPr>
                <w:rFonts w:ascii="Calibri" w:eastAsia="Times New Roman" w:hAnsi="Calibri" w:cs="Calibri"/>
                <w:color w:val="000000"/>
                <w:lang w:eastAsia="en-GB"/>
              </w:rPr>
            </w:pPr>
            <w:r w:rsidRPr="002A5C7A">
              <w:rPr>
                <w:rFonts w:ascii="Calibri" w:eastAsia="Times New Roman" w:hAnsi="Calibri" w:cs="Calibri"/>
                <w:color w:val="000000"/>
                <w:lang w:eastAsia="en-GB"/>
              </w:rPr>
              <w:t>Fixed asset</w:t>
            </w:r>
          </w:p>
        </w:tc>
        <w:tc>
          <w:tcPr>
            <w:tcW w:w="1026" w:type="dxa"/>
            <w:tcBorders>
              <w:top w:val="single" w:sz="4" w:space="0" w:color="8EA9DB"/>
              <w:left w:val="nil"/>
              <w:bottom w:val="single" w:sz="4" w:space="0" w:color="8EA9DB"/>
              <w:right w:val="nil"/>
            </w:tcBorders>
            <w:shd w:val="clear" w:color="D9E1F2" w:fill="D9E1F2"/>
            <w:noWrap/>
            <w:vAlign w:val="bottom"/>
            <w:hideMark/>
          </w:tcPr>
          <w:p w14:paraId="3269B6D4" w14:textId="77777777" w:rsidR="00CC189F" w:rsidRPr="002A5C7A" w:rsidRDefault="00CC189F"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9,052</w:t>
            </w:r>
          </w:p>
        </w:tc>
        <w:tc>
          <w:tcPr>
            <w:tcW w:w="1026" w:type="dxa"/>
            <w:tcBorders>
              <w:top w:val="single" w:sz="4" w:space="0" w:color="8EA9DB"/>
              <w:left w:val="nil"/>
              <w:bottom w:val="single" w:sz="4" w:space="0" w:color="8EA9DB"/>
              <w:right w:val="nil"/>
            </w:tcBorders>
            <w:shd w:val="clear" w:color="D9E1F2" w:fill="D9E1F2"/>
            <w:noWrap/>
            <w:vAlign w:val="bottom"/>
            <w:hideMark/>
          </w:tcPr>
          <w:p w14:paraId="1C97C28D" w14:textId="77777777" w:rsidR="00CC189F" w:rsidRPr="002A5C7A" w:rsidRDefault="00CC189F"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9,668</w:t>
            </w:r>
          </w:p>
        </w:tc>
        <w:tc>
          <w:tcPr>
            <w:tcW w:w="1026" w:type="dxa"/>
            <w:tcBorders>
              <w:top w:val="single" w:sz="4" w:space="0" w:color="8EA9DB"/>
              <w:left w:val="nil"/>
              <w:bottom w:val="single" w:sz="4" w:space="0" w:color="8EA9DB"/>
              <w:right w:val="nil"/>
            </w:tcBorders>
            <w:shd w:val="clear" w:color="D9E1F2" w:fill="D9E1F2"/>
            <w:noWrap/>
            <w:vAlign w:val="bottom"/>
            <w:hideMark/>
          </w:tcPr>
          <w:p w14:paraId="050F6568" w14:textId="77777777" w:rsidR="00CC189F" w:rsidRPr="002A5C7A" w:rsidRDefault="00CC189F"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10,808</w:t>
            </w:r>
          </w:p>
        </w:tc>
        <w:tc>
          <w:tcPr>
            <w:tcW w:w="1026" w:type="dxa"/>
            <w:tcBorders>
              <w:top w:val="single" w:sz="4" w:space="0" w:color="8EA9DB"/>
              <w:left w:val="nil"/>
              <w:bottom w:val="single" w:sz="4" w:space="0" w:color="8EA9DB"/>
              <w:right w:val="nil"/>
            </w:tcBorders>
            <w:shd w:val="clear" w:color="D9E1F2" w:fill="D9E1F2"/>
            <w:noWrap/>
            <w:vAlign w:val="bottom"/>
            <w:hideMark/>
          </w:tcPr>
          <w:p w14:paraId="3AB1F384" w14:textId="77777777" w:rsidR="00CC189F" w:rsidRPr="002A5C7A" w:rsidRDefault="00CC189F"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10,860</w:t>
            </w:r>
          </w:p>
        </w:tc>
        <w:tc>
          <w:tcPr>
            <w:tcW w:w="1026" w:type="dxa"/>
            <w:tcBorders>
              <w:top w:val="single" w:sz="4" w:space="0" w:color="8EA9DB"/>
              <w:left w:val="nil"/>
              <w:bottom w:val="single" w:sz="4" w:space="0" w:color="8EA9DB"/>
              <w:right w:val="nil"/>
            </w:tcBorders>
            <w:shd w:val="clear" w:color="D9E1F2" w:fill="D9E1F2"/>
            <w:noWrap/>
            <w:vAlign w:val="bottom"/>
            <w:hideMark/>
          </w:tcPr>
          <w:p w14:paraId="57D7D349" w14:textId="77777777" w:rsidR="00CC189F" w:rsidRPr="002A5C7A" w:rsidRDefault="00CC189F"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11,058</w:t>
            </w:r>
          </w:p>
        </w:tc>
        <w:tc>
          <w:tcPr>
            <w:tcW w:w="2009" w:type="dxa"/>
            <w:tcBorders>
              <w:top w:val="single" w:sz="4" w:space="0" w:color="8EA9DB"/>
              <w:left w:val="nil"/>
              <w:bottom w:val="single" w:sz="4" w:space="0" w:color="8EA9DB"/>
              <w:right w:val="single" w:sz="4" w:space="0" w:color="8EA9DB"/>
            </w:tcBorders>
            <w:shd w:val="clear" w:color="D9E1F2" w:fill="D9E1F2"/>
            <w:noWrap/>
            <w:vAlign w:val="bottom"/>
            <w:hideMark/>
          </w:tcPr>
          <w:p w14:paraId="0DD18A8A" w14:textId="77777777" w:rsidR="00CC189F" w:rsidRPr="002A5C7A" w:rsidRDefault="00CC189F"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7,421</w:t>
            </w:r>
          </w:p>
        </w:tc>
      </w:tr>
    </w:tbl>
    <w:p w14:paraId="03D8B7ED" w14:textId="06734D85" w:rsidR="00CC189F" w:rsidRDefault="00CC189F" w:rsidP="00CC189F">
      <w:pPr>
        <w:rPr>
          <w:i/>
        </w:rPr>
      </w:pPr>
      <w:r>
        <w:t>Source</w:t>
      </w:r>
      <w:r w:rsidRPr="00772647">
        <w:rPr>
          <w:i/>
        </w:rPr>
        <w:t>: Annual Financial Reports of GSK and AstraZeneca</w:t>
      </w:r>
      <w:r>
        <w:rPr>
          <w:i/>
        </w:rPr>
        <w:t>.</w:t>
      </w:r>
    </w:p>
    <w:p w14:paraId="107198D9" w14:textId="5F9D341A" w:rsidR="00990E54" w:rsidRDefault="00990E54" w:rsidP="00CC189F"/>
    <w:p w14:paraId="2CE4B45F" w14:textId="76994B01" w:rsidR="00990E54" w:rsidRPr="00990E54" w:rsidRDefault="00990E54" w:rsidP="00CC189F">
      <w:pPr>
        <w:rPr>
          <w:b/>
        </w:rPr>
      </w:pPr>
      <w:r w:rsidRPr="00772647">
        <w:rPr>
          <w:b/>
          <w:u w:val="single"/>
        </w:rPr>
        <w:t xml:space="preserve">Tab. </w:t>
      </w:r>
      <w:r>
        <w:rPr>
          <w:b/>
          <w:u w:val="single"/>
        </w:rPr>
        <w:t>8</w:t>
      </w:r>
      <w:r w:rsidRPr="00772647">
        <w:rPr>
          <w:b/>
        </w:rPr>
        <w:t xml:space="preserve">: </w:t>
      </w:r>
      <w:r>
        <w:rPr>
          <w:b/>
        </w:rPr>
        <w:t xml:space="preserve">Efficiently ratios </w:t>
      </w:r>
      <w:r w:rsidRPr="00772647">
        <w:rPr>
          <w:b/>
        </w:rPr>
        <w:t xml:space="preserve">of GSK (2014-2018) and AstraZeneca (2018). </w:t>
      </w:r>
    </w:p>
    <w:tbl>
      <w:tblPr>
        <w:tblW w:w="9080" w:type="dxa"/>
        <w:tblLook w:val="04A0" w:firstRow="1" w:lastRow="0" w:firstColumn="1" w:lastColumn="0" w:noHBand="0" w:noVBand="1"/>
      </w:tblPr>
      <w:tblGrid>
        <w:gridCol w:w="2660"/>
        <w:gridCol w:w="960"/>
        <w:gridCol w:w="960"/>
        <w:gridCol w:w="960"/>
        <w:gridCol w:w="960"/>
        <w:gridCol w:w="960"/>
        <w:gridCol w:w="1620"/>
      </w:tblGrid>
      <w:tr w:rsidR="00990E54" w:rsidRPr="000C107F" w14:paraId="416B21A6" w14:textId="77777777" w:rsidTr="006C0B7F">
        <w:trPr>
          <w:trHeight w:val="288"/>
        </w:trPr>
        <w:tc>
          <w:tcPr>
            <w:tcW w:w="2660" w:type="dxa"/>
            <w:tcBorders>
              <w:top w:val="single" w:sz="4" w:space="0" w:color="8EA9DB"/>
              <w:left w:val="single" w:sz="4" w:space="0" w:color="8EA9DB"/>
              <w:bottom w:val="single" w:sz="4" w:space="0" w:color="8EA9DB"/>
              <w:right w:val="nil"/>
            </w:tcBorders>
            <w:shd w:val="clear" w:color="4472C4" w:fill="4472C4"/>
            <w:noWrap/>
            <w:vAlign w:val="bottom"/>
            <w:hideMark/>
          </w:tcPr>
          <w:p w14:paraId="795CA705" w14:textId="77777777" w:rsidR="00990E54" w:rsidRPr="000C107F" w:rsidRDefault="00990E54" w:rsidP="006C0B7F">
            <w:pPr>
              <w:spacing w:after="0" w:line="240" w:lineRule="auto"/>
              <w:jc w:val="center"/>
              <w:rPr>
                <w:rFonts w:ascii="Calibri" w:eastAsia="Times New Roman" w:hAnsi="Calibri" w:cs="Calibri"/>
                <w:b/>
                <w:bCs/>
                <w:color w:val="FFFFFF"/>
                <w:lang w:eastAsia="en-GB"/>
              </w:rPr>
            </w:pPr>
            <w:r w:rsidRPr="000C107F">
              <w:rPr>
                <w:rFonts w:ascii="Calibri" w:eastAsia="Times New Roman" w:hAnsi="Calibri" w:cs="Calibri"/>
                <w:b/>
                <w:bCs/>
                <w:color w:val="FFFFFF"/>
                <w:lang w:eastAsia="en-GB"/>
              </w:rPr>
              <w:t>GSK</w:t>
            </w:r>
          </w:p>
        </w:tc>
        <w:tc>
          <w:tcPr>
            <w:tcW w:w="960" w:type="dxa"/>
            <w:tcBorders>
              <w:top w:val="single" w:sz="4" w:space="0" w:color="8EA9DB"/>
              <w:left w:val="nil"/>
              <w:bottom w:val="single" w:sz="4" w:space="0" w:color="8EA9DB"/>
              <w:right w:val="nil"/>
            </w:tcBorders>
            <w:shd w:val="clear" w:color="4472C4" w:fill="4472C4"/>
            <w:noWrap/>
            <w:vAlign w:val="bottom"/>
            <w:hideMark/>
          </w:tcPr>
          <w:p w14:paraId="728075F5" w14:textId="77777777" w:rsidR="00990E54" w:rsidRPr="000C107F" w:rsidRDefault="00990E54" w:rsidP="006C0B7F">
            <w:pPr>
              <w:spacing w:after="0" w:line="240" w:lineRule="auto"/>
              <w:jc w:val="center"/>
              <w:rPr>
                <w:rFonts w:ascii="Calibri" w:eastAsia="Times New Roman" w:hAnsi="Calibri" w:cs="Calibri"/>
                <w:b/>
                <w:bCs/>
                <w:color w:val="FFFFFF"/>
                <w:lang w:eastAsia="en-GB"/>
              </w:rPr>
            </w:pPr>
            <w:r w:rsidRPr="000C107F">
              <w:rPr>
                <w:rFonts w:ascii="Calibri" w:eastAsia="Times New Roman" w:hAnsi="Calibri" w:cs="Calibri"/>
                <w:b/>
                <w:bCs/>
                <w:color w:val="FFFFFF"/>
                <w:lang w:eastAsia="en-GB"/>
              </w:rPr>
              <w:t>2014</w:t>
            </w:r>
          </w:p>
        </w:tc>
        <w:tc>
          <w:tcPr>
            <w:tcW w:w="960" w:type="dxa"/>
            <w:tcBorders>
              <w:top w:val="single" w:sz="4" w:space="0" w:color="8EA9DB"/>
              <w:left w:val="nil"/>
              <w:bottom w:val="single" w:sz="4" w:space="0" w:color="8EA9DB"/>
              <w:right w:val="nil"/>
            </w:tcBorders>
            <w:shd w:val="clear" w:color="4472C4" w:fill="4472C4"/>
            <w:noWrap/>
            <w:vAlign w:val="bottom"/>
            <w:hideMark/>
          </w:tcPr>
          <w:p w14:paraId="453A1DAE" w14:textId="77777777" w:rsidR="00990E54" w:rsidRPr="000C107F" w:rsidRDefault="00990E54" w:rsidP="006C0B7F">
            <w:pPr>
              <w:spacing w:after="0" w:line="240" w:lineRule="auto"/>
              <w:jc w:val="center"/>
              <w:rPr>
                <w:rFonts w:ascii="Calibri" w:eastAsia="Times New Roman" w:hAnsi="Calibri" w:cs="Calibri"/>
                <w:b/>
                <w:bCs/>
                <w:color w:val="FFFFFF"/>
                <w:lang w:eastAsia="en-GB"/>
              </w:rPr>
            </w:pPr>
            <w:r w:rsidRPr="000C107F">
              <w:rPr>
                <w:rFonts w:ascii="Calibri" w:eastAsia="Times New Roman" w:hAnsi="Calibri" w:cs="Calibri"/>
                <w:b/>
                <w:bCs/>
                <w:color w:val="FFFFFF"/>
                <w:lang w:eastAsia="en-GB"/>
              </w:rPr>
              <w:t>2015</w:t>
            </w:r>
          </w:p>
        </w:tc>
        <w:tc>
          <w:tcPr>
            <w:tcW w:w="960" w:type="dxa"/>
            <w:tcBorders>
              <w:top w:val="single" w:sz="4" w:space="0" w:color="8EA9DB"/>
              <w:left w:val="nil"/>
              <w:bottom w:val="single" w:sz="4" w:space="0" w:color="8EA9DB"/>
              <w:right w:val="nil"/>
            </w:tcBorders>
            <w:shd w:val="clear" w:color="4472C4" w:fill="4472C4"/>
            <w:noWrap/>
            <w:vAlign w:val="bottom"/>
            <w:hideMark/>
          </w:tcPr>
          <w:p w14:paraId="619188C8" w14:textId="77777777" w:rsidR="00990E54" w:rsidRPr="000C107F" w:rsidRDefault="00990E54" w:rsidP="006C0B7F">
            <w:pPr>
              <w:spacing w:after="0" w:line="240" w:lineRule="auto"/>
              <w:jc w:val="center"/>
              <w:rPr>
                <w:rFonts w:ascii="Calibri" w:eastAsia="Times New Roman" w:hAnsi="Calibri" w:cs="Calibri"/>
                <w:b/>
                <w:bCs/>
                <w:color w:val="FFFFFF"/>
                <w:lang w:eastAsia="en-GB"/>
              </w:rPr>
            </w:pPr>
            <w:r w:rsidRPr="000C107F">
              <w:rPr>
                <w:rFonts w:ascii="Calibri" w:eastAsia="Times New Roman" w:hAnsi="Calibri" w:cs="Calibri"/>
                <w:b/>
                <w:bCs/>
                <w:color w:val="FFFFFF"/>
                <w:lang w:eastAsia="en-GB"/>
              </w:rPr>
              <w:t>2016</w:t>
            </w:r>
          </w:p>
        </w:tc>
        <w:tc>
          <w:tcPr>
            <w:tcW w:w="960" w:type="dxa"/>
            <w:tcBorders>
              <w:top w:val="single" w:sz="4" w:space="0" w:color="8EA9DB"/>
              <w:left w:val="nil"/>
              <w:bottom w:val="single" w:sz="4" w:space="0" w:color="8EA9DB"/>
              <w:right w:val="nil"/>
            </w:tcBorders>
            <w:shd w:val="clear" w:color="4472C4" w:fill="4472C4"/>
            <w:noWrap/>
            <w:vAlign w:val="bottom"/>
            <w:hideMark/>
          </w:tcPr>
          <w:p w14:paraId="27394211" w14:textId="77777777" w:rsidR="00990E54" w:rsidRPr="000C107F" w:rsidRDefault="00990E54" w:rsidP="006C0B7F">
            <w:pPr>
              <w:spacing w:after="0" w:line="240" w:lineRule="auto"/>
              <w:jc w:val="center"/>
              <w:rPr>
                <w:rFonts w:ascii="Calibri" w:eastAsia="Times New Roman" w:hAnsi="Calibri" w:cs="Calibri"/>
                <w:b/>
                <w:bCs/>
                <w:color w:val="FFFFFF"/>
                <w:lang w:eastAsia="en-GB"/>
              </w:rPr>
            </w:pPr>
            <w:r w:rsidRPr="000C107F">
              <w:rPr>
                <w:rFonts w:ascii="Calibri" w:eastAsia="Times New Roman" w:hAnsi="Calibri" w:cs="Calibri"/>
                <w:b/>
                <w:bCs/>
                <w:color w:val="FFFFFF"/>
                <w:lang w:eastAsia="en-GB"/>
              </w:rPr>
              <w:t>2017</w:t>
            </w:r>
          </w:p>
        </w:tc>
        <w:tc>
          <w:tcPr>
            <w:tcW w:w="960" w:type="dxa"/>
            <w:tcBorders>
              <w:top w:val="single" w:sz="4" w:space="0" w:color="8EA9DB"/>
              <w:left w:val="nil"/>
              <w:bottom w:val="single" w:sz="4" w:space="0" w:color="8EA9DB"/>
              <w:right w:val="nil"/>
            </w:tcBorders>
            <w:shd w:val="clear" w:color="4472C4" w:fill="4472C4"/>
            <w:noWrap/>
            <w:vAlign w:val="bottom"/>
            <w:hideMark/>
          </w:tcPr>
          <w:p w14:paraId="5AA83EBF" w14:textId="77777777" w:rsidR="00990E54" w:rsidRPr="000C107F" w:rsidRDefault="00990E54" w:rsidP="006C0B7F">
            <w:pPr>
              <w:spacing w:after="0" w:line="240" w:lineRule="auto"/>
              <w:jc w:val="center"/>
              <w:rPr>
                <w:rFonts w:ascii="Calibri" w:eastAsia="Times New Roman" w:hAnsi="Calibri" w:cs="Calibri"/>
                <w:b/>
                <w:bCs/>
                <w:color w:val="FFFFFF"/>
                <w:lang w:eastAsia="en-GB"/>
              </w:rPr>
            </w:pPr>
            <w:r w:rsidRPr="000C107F">
              <w:rPr>
                <w:rFonts w:ascii="Calibri" w:eastAsia="Times New Roman" w:hAnsi="Calibri" w:cs="Calibri"/>
                <w:b/>
                <w:bCs/>
                <w:color w:val="FFFFFF"/>
                <w:lang w:eastAsia="en-GB"/>
              </w:rPr>
              <w:t>2018</w:t>
            </w:r>
          </w:p>
        </w:tc>
        <w:tc>
          <w:tcPr>
            <w:tcW w:w="1620" w:type="dxa"/>
            <w:tcBorders>
              <w:top w:val="single" w:sz="4" w:space="0" w:color="8EA9DB"/>
              <w:left w:val="nil"/>
              <w:bottom w:val="single" w:sz="4" w:space="0" w:color="8EA9DB"/>
              <w:right w:val="single" w:sz="4" w:space="0" w:color="8EA9DB"/>
            </w:tcBorders>
            <w:shd w:val="clear" w:color="4472C4" w:fill="4472C4"/>
            <w:noWrap/>
            <w:vAlign w:val="bottom"/>
            <w:hideMark/>
          </w:tcPr>
          <w:p w14:paraId="037C048D" w14:textId="77777777" w:rsidR="00990E54" w:rsidRDefault="00990E54" w:rsidP="006C0B7F">
            <w:pPr>
              <w:spacing w:after="0" w:line="240" w:lineRule="auto"/>
              <w:jc w:val="center"/>
              <w:rPr>
                <w:rFonts w:ascii="Calibri" w:eastAsia="Times New Roman" w:hAnsi="Calibri" w:cs="Calibri"/>
                <w:b/>
                <w:bCs/>
                <w:color w:val="FFFFFF"/>
                <w:lang w:eastAsia="en-GB"/>
              </w:rPr>
            </w:pPr>
            <w:r w:rsidRPr="000C107F">
              <w:rPr>
                <w:rFonts w:ascii="Calibri" w:eastAsia="Times New Roman" w:hAnsi="Calibri" w:cs="Calibri"/>
                <w:b/>
                <w:bCs/>
                <w:color w:val="FFFFFF"/>
                <w:lang w:eastAsia="en-GB"/>
              </w:rPr>
              <w:t>AstraZeneca</w:t>
            </w:r>
          </w:p>
          <w:p w14:paraId="47C73C8F" w14:textId="77777777" w:rsidR="00990E54" w:rsidRPr="000C107F" w:rsidRDefault="00990E54" w:rsidP="006C0B7F">
            <w:pPr>
              <w:spacing w:after="0" w:line="240" w:lineRule="auto"/>
              <w:jc w:val="center"/>
              <w:rPr>
                <w:rFonts w:ascii="Calibri" w:eastAsia="Times New Roman" w:hAnsi="Calibri" w:cs="Calibri"/>
                <w:b/>
                <w:bCs/>
                <w:color w:val="FFFFFF"/>
                <w:lang w:eastAsia="en-GB"/>
              </w:rPr>
            </w:pPr>
            <w:r>
              <w:rPr>
                <w:rFonts w:ascii="Calibri" w:eastAsia="Times New Roman" w:hAnsi="Calibri" w:cs="Calibri"/>
                <w:b/>
                <w:bCs/>
                <w:color w:val="FFFFFF"/>
                <w:lang w:eastAsia="en-GB"/>
              </w:rPr>
              <w:t>2018</w:t>
            </w:r>
          </w:p>
        </w:tc>
      </w:tr>
      <w:tr w:rsidR="00990E54" w:rsidRPr="000C107F" w14:paraId="5D70B70F" w14:textId="77777777" w:rsidTr="006C0B7F">
        <w:trPr>
          <w:trHeight w:val="288"/>
        </w:trPr>
        <w:tc>
          <w:tcPr>
            <w:tcW w:w="2660" w:type="dxa"/>
            <w:tcBorders>
              <w:top w:val="nil"/>
              <w:left w:val="single" w:sz="4" w:space="0" w:color="8EA9DB"/>
              <w:bottom w:val="single" w:sz="4" w:space="0" w:color="8EA9DB"/>
              <w:right w:val="nil"/>
            </w:tcBorders>
            <w:shd w:val="clear" w:color="D9E1F2" w:fill="D9E1F2"/>
            <w:noWrap/>
            <w:vAlign w:val="bottom"/>
            <w:hideMark/>
          </w:tcPr>
          <w:p w14:paraId="45F6C621"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Asset turnover</w:t>
            </w:r>
          </w:p>
        </w:tc>
        <w:tc>
          <w:tcPr>
            <w:tcW w:w="960" w:type="dxa"/>
            <w:tcBorders>
              <w:top w:val="nil"/>
              <w:left w:val="nil"/>
              <w:bottom w:val="single" w:sz="4" w:space="0" w:color="8EA9DB"/>
              <w:right w:val="nil"/>
            </w:tcBorders>
            <w:shd w:val="clear" w:color="D9E1F2" w:fill="D9E1F2"/>
            <w:noWrap/>
            <w:vAlign w:val="bottom"/>
            <w:hideMark/>
          </w:tcPr>
          <w:p w14:paraId="271BBE40"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0.57</w:t>
            </w:r>
          </w:p>
        </w:tc>
        <w:tc>
          <w:tcPr>
            <w:tcW w:w="960" w:type="dxa"/>
            <w:tcBorders>
              <w:top w:val="nil"/>
              <w:left w:val="nil"/>
              <w:bottom w:val="single" w:sz="4" w:space="0" w:color="8EA9DB"/>
              <w:right w:val="nil"/>
            </w:tcBorders>
            <w:shd w:val="clear" w:color="D9E1F2" w:fill="D9E1F2"/>
            <w:noWrap/>
            <w:vAlign w:val="bottom"/>
            <w:hideMark/>
          </w:tcPr>
          <w:p w14:paraId="6E5E640E"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0.45</w:t>
            </w:r>
          </w:p>
        </w:tc>
        <w:tc>
          <w:tcPr>
            <w:tcW w:w="960" w:type="dxa"/>
            <w:tcBorders>
              <w:top w:val="nil"/>
              <w:left w:val="nil"/>
              <w:bottom w:val="single" w:sz="4" w:space="0" w:color="8EA9DB"/>
              <w:right w:val="nil"/>
            </w:tcBorders>
            <w:shd w:val="clear" w:color="D9E1F2" w:fill="D9E1F2"/>
            <w:noWrap/>
            <w:vAlign w:val="bottom"/>
            <w:hideMark/>
          </w:tcPr>
          <w:p w14:paraId="36315FE1"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0.47</w:t>
            </w:r>
          </w:p>
        </w:tc>
        <w:tc>
          <w:tcPr>
            <w:tcW w:w="960" w:type="dxa"/>
            <w:tcBorders>
              <w:top w:val="nil"/>
              <w:left w:val="nil"/>
              <w:bottom w:val="single" w:sz="4" w:space="0" w:color="8EA9DB"/>
              <w:right w:val="nil"/>
            </w:tcBorders>
            <w:shd w:val="clear" w:color="D9E1F2" w:fill="D9E1F2"/>
            <w:noWrap/>
            <w:vAlign w:val="bottom"/>
            <w:hideMark/>
          </w:tcPr>
          <w:p w14:paraId="1F37F8B5"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0.53</w:t>
            </w:r>
          </w:p>
        </w:tc>
        <w:tc>
          <w:tcPr>
            <w:tcW w:w="960" w:type="dxa"/>
            <w:tcBorders>
              <w:top w:val="nil"/>
              <w:left w:val="nil"/>
              <w:bottom w:val="single" w:sz="4" w:space="0" w:color="8EA9DB"/>
              <w:right w:val="nil"/>
            </w:tcBorders>
            <w:shd w:val="clear" w:color="D9E1F2" w:fill="D9E1F2"/>
            <w:noWrap/>
            <w:vAlign w:val="bottom"/>
            <w:hideMark/>
          </w:tcPr>
          <w:p w14:paraId="414CF38C"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0.53</w:t>
            </w:r>
          </w:p>
        </w:tc>
        <w:tc>
          <w:tcPr>
            <w:tcW w:w="1620" w:type="dxa"/>
            <w:tcBorders>
              <w:top w:val="nil"/>
              <w:left w:val="nil"/>
              <w:bottom w:val="single" w:sz="4" w:space="0" w:color="8EA9DB"/>
              <w:right w:val="single" w:sz="4" w:space="0" w:color="8EA9DB"/>
            </w:tcBorders>
            <w:shd w:val="clear" w:color="D9E1F2" w:fill="D9E1F2"/>
            <w:noWrap/>
            <w:vAlign w:val="bottom"/>
            <w:hideMark/>
          </w:tcPr>
          <w:p w14:paraId="402819C0"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0.36</w:t>
            </w:r>
          </w:p>
        </w:tc>
      </w:tr>
      <w:tr w:rsidR="00990E54" w:rsidRPr="000C107F" w14:paraId="7FC45EB7" w14:textId="77777777" w:rsidTr="006C0B7F">
        <w:trPr>
          <w:trHeight w:val="288"/>
        </w:trPr>
        <w:tc>
          <w:tcPr>
            <w:tcW w:w="2660" w:type="dxa"/>
            <w:tcBorders>
              <w:top w:val="nil"/>
              <w:left w:val="single" w:sz="4" w:space="0" w:color="8EA9DB"/>
              <w:bottom w:val="single" w:sz="4" w:space="0" w:color="8EA9DB"/>
              <w:right w:val="nil"/>
            </w:tcBorders>
            <w:shd w:val="clear" w:color="auto" w:fill="auto"/>
            <w:noWrap/>
            <w:vAlign w:val="bottom"/>
            <w:hideMark/>
          </w:tcPr>
          <w:p w14:paraId="482BB242"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Fixed asset turnover</w:t>
            </w:r>
          </w:p>
        </w:tc>
        <w:tc>
          <w:tcPr>
            <w:tcW w:w="960" w:type="dxa"/>
            <w:tcBorders>
              <w:top w:val="nil"/>
              <w:left w:val="nil"/>
              <w:bottom w:val="single" w:sz="4" w:space="0" w:color="8EA9DB"/>
              <w:right w:val="nil"/>
            </w:tcBorders>
            <w:shd w:val="clear" w:color="auto" w:fill="auto"/>
            <w:noWrap/>
            <w:vAlign w:val="bottom"/>
            <w:hideMark/>
          </w:tcPr>
          <w:p w14:paraId="4F6278D3"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2.54</w:t>
            </w:r>
          </w:p>
        </w:tc>
        <w:tc>
          <w:tcPr>
            <w:tcW w:w="960" w:type="dxa"/>
            <w:tcBorders>
              <w:top w:val="nil"/>
              <w:left w:val="nil"/>
              <w:bottom w:val="single" w:sz="4" w:space="0" w:color="8EA9DB"/>
              <w:right w:val="nil"/>
            </w:tcBorders>
            <w:shd w:val="clear" w:color="auto" w:fill="auto"/>
            <w:noWrap/>
            <w:vAlign w:val="bottom"/>
            <w:hideMark/>
          </w:tcPr>
          <w:p w14:paraId="0FC2113E"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2.47</w:t>
            </w:r>
          </w:p>
        </w:tc>
        <w:tc>
          <w:tcPr>
            <w:tcW w:w="960" w:type="dxa"/>
            <w:tcBorders>
              <w:top w:val="nil"/>
              <w:left w:val="nil"/>
              <w:bottom w:val="single" w:sz="4" w:space="0" w:color="8EA9DB"/>
              <w:right w:val="nil"/>
            </w:tcBorders>
            <w:shd w:val="clear" w:color="auto" w:fill="auto"/>
            <w:noWrap/>
            <w:vAlign w:val="bottom"/>
            <w:hideMark/>
          </w:tcPr>
          <w:p w14:paraId="231C4227"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2.58</w:t>
            </w:r>
          </w:p>
        </w:tc>
        <w:tc>
          <w:tcPr>
            <w:tcW w:w="960" w:type="dxa"/>
            <w:tcBorders>
              <w:top w:val="nil"/>
              <w:left w:val="nil"/>
              <w:bottom w:val="single" w:sz="4" w:space="0" w:color="8EA9DB"/>
              <w:right w:val="nil"/>
            </w:tcBorders>
            <w:shd w:val="clear" w:color="auto" w:fill="auto"/>
            <w:noWrap/>
            <w:vAlign w:val="bottom"/>
            <w:hideMark/>
          </w:tcPr>
          <w:p w14:paraId="0E22A8B7"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2.78</w:t>
            </w:r>
          </w:p>
        </w:tc>
        <w:tc>
          <w:tcPr>
            <w:tcW w:w="960" w:type="dxa"/>
            <w:tcBorders>
              <w:top w:val="nil"/>
              <w:left w:val="nil"/>
              <w:bottom w:val="single" w:sz="4" w:space="0" w:color="8EA9DB"/>
              <w:right w:val="nil"/>
            </w:tcBorders>
            <w:shd w:val="clear" w:color="auto" w:fill="auto"/>
            <w:noWrap/>
            <w:vAlign w:val="bottom"/>
            <w:hideMark/>
          </w:tcPr>
          <w:p w14:paraId="62AF2016"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2.78</w:t>
            </w:r>
          </w:p>
        </w:tc>
        <w:tc>
          <w:tcPr>
            <w:tcW w:w="1620" w:type="dxa"/>
            <w:tcBorders>
              <w:top w:val="nil"/>
              <w:left w:val="nil"/>
              <w:bottom w:val="single" w:sz="4" w:space="0" w:color="8EA9DB"/>
              <w:right w:val="single" w:sz="4" w:space="0" w:color="8EA9DB"/>
            </w:tcBorders>
            <w:shd w:val="clear" w:color="auto" w:fill="auto"/>
            <w:noWrap/>
            <w:vAlign w:val="bottom"/>
            <w:hideMark/>
          </w:tcPr>
          <w:p w14:paraId="736EE141" w14:textId="77777777" w:rsidR="00990E54" w:rsidRPr="000C107F" w:rsidRDefault="00990E54" w:rsidP="006C0B7F">
            <w:pPr>
              <w:spacing w:after="0" w:line="240" w:lineRule="auto"/>
              <w:jc w:val="center"/>
              <w:rPr>
                <w:rFonts w:ascii="Calibri" w:eastAsia="Times New Roman" w:hAnsi="Calibri" w:cs="Calibri"/>
                <w:color w:val="000000"/>
                <w:lang w:eastAsia="en-GB"/>
              </w:rPr>
            </w:pPr>
            <w:r w:rsidRPr="000C107F">
              <w:rPr>
                <w:rFonts w:ascii="Calibri" w:eastAsia="Times New Roman" w:hAnsi="Calibri" w:cs="Calibri"/>
                <w:color w:val="000000"/>
                <w:lang w:eastAsia="en-GB"/>
              </w:rPr>
              <w:t>2.98</w:t>
            </w:r>
          </w:p>
        </w:tc>
      </w:tr>
    </w:tbl>
    <w:p w14:paraId="21036C1D" w14:textId="02A6EF40" w:rsidR="00990E54" w:rsidRDefault="00990E54" w:rsidP="00990E54">
      <w:r>
        <w:t>Source</w:t>
      </w:r>
      <w:r w:rsidRPr="00772647">
        <w:rPr>
          <w:i/>
        </w:rPr>
        <w:t>:</w:t>
      </w:r>
      <w:r>
        <w:rPr>
          <w:i/>
        </w:rPr>
        <w:t xml:space="preserve"> Author’s calculations and</w:t>
      </w:r>
      <w:r w:rsidRPr="00772647">
        <w:rPr>
          <w:i/>
        </w:rPr>
        <w:t xml:space="preserve"> Annual Financial Reports of GSK and AstraZeneca.</w:t>
      </w:r>
      <w:r>
        <w:t xml:space="preserve"> </w:t>
      </w:r>
    </w:p>
    <w:p w14:paraId="59350E5D" w14:textId="6374F4C1" w:rsidR="008A6BDB" w:rsidRDefault="008A6BDB" w:rsidP="00990E54"/>
    <w:p w14:paraId="18DE8155" w14:textId="2B145EF7" w:rsidR="008A6BDB" w:rsidRDefault="008A6BDB" w:rsidP="00990E54"/>
    <w:p w14:paraId="478BEF57" w14:textId="77777777" w:rsidR="008A6BDB" w:rsidRDefault="008A6BDB" w:rsidP="00990E54"/>
    <w:p w14:paraId="3F6C3EE9" w14:textId="0146CC2D" w:rsidR="002A7052" w:rsidRDefault="00990E54" w:rsidP="00BE1901">
      <w:r>
        <w:rPr>
          <w:noProof/>
        </w:rPr>
        <w:lastRenderedPageBreak/>
        <w:drawing>
          <wp:inline distT="0" distB="0" distL="0" distR="0" wp14:anchorId="14138AAE" wp14:editId="45FC118C">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80E1584" w14:textId="5C06229A" w:rsidR="00307C5F" w:rsidRPr="00E21993" w:rsidRDefault="00F84939" w:rsidP="0023349B">
      <w:pPr>
        <w:rPr>
          <w:rFonts w:asciiTheme="majorHAnsi" w:hAnsiTheme="majorHAnsi" w:cstheme="majorHAnsi"/>
        </w:rPr>
      </w:pPr>
      <w:bookmarkStart w:id="18" w:name="_Toc7774455"/>
      <w:r w:rsidRPr="00266A81">
        <w:rPr>
          <w:rStyle w:val="Heading3Char"/>
        </w:rPr>
        <w:t>Asset turnover</w:t>
      </w:r>
      <w:bookmarkEnd w:id="18"/>
      <w:r w:rsidR="004B1DDB" w:rsidRPr="0003495A">
        <w:rPr>
          <w:color w:val="4472C4" w:themeColor="accent1"/>
        </w:rPr>
        <w:t xml:space="preserve"> </w:t>
      </w:r>
      <w:r w:rsidR="004B1DDB">
        <w:sym w:font="Wingdings" w:char="F0E0"/>
      </w:r>
      <w:r w:rsidR="004B1DDB">
        <w:t xml:space="preserve"> </w:t>
      </w:r>
      <w:r w:rsidR="00116291" w:rsidRPr="00E21993">
        <w:rPr>
          <w:rFonts w:asciiTheme="majorHAnsi" w:hAnsiTheme="majorHAnsi" w:cstheme="majorHAnsi"/>
        </w:rPr>
        <w:t xml:space="preserve">Measures the value of a company’s sales or revenue </w:t>
      </w:r>
      <w:r w:rsidR="00455BDD" w:rsidRPr="00E21993">
        <w:rPr>
          <w:rFonts w:asciiTheme="majorHAnsi" w:hAnsiTheme="majorHAnsi" w:cstheme="majorHAnsi"/>
        </w:rPr>
        <w:t>relative to the value of its assets</w:t>
      </w:r>
      <w:r w:rsidR="007151DA" w:rsidRPr="00E21993">
        <w:rPr>
          <w:rFonts w:asciiTheme="majorHAnsi" w:hAnsiTheme="majorHAnsi" w:cstheme="majorHAnsi"/>
        </w:rPr>
        <w:t>. Hence, in other words i</w:t>
      </w:r>
      <w:r w:rsidR="004B1DDB" w:rsidRPr="00E21993">
        <w:rPr>
          <w:rFonts w:asciiTheme="majorHAnsi" w:hAnsiTheme="majorHAnsi" w:cstheme="majorHAnsi"/>
        </w:rPr>
        <w:t>t represents a company’s efficiency to use its asset to generate revenue</w:t>
      </w:r>
      <w:r w:rsidR="00A257EE" w:rsidRPr="00E21993">
        <w:rPr>
          <w:rFonts w:asciiTheme="majorHAnsi" w:hAnsiTheme="majorHAnsi" w:cstheme="majorHAnsi"/>
        </w:rPr>
        <w:t xml:space="preserve"> (Investopedia). </w:t>
      </w:r>
      <w:r w:rsidR="007151DA" w:rsidRPr="00E21993">
        <w:rPr>
          <w:rFonts w:asciiTheme="majorHAnsi" w:hAnsiTheme="majorHAnsi" w:cstheme="majorHAnsi"/>
        </w:rPr>
        <w:t xml:space="preserve"> </w:t>
      </w:r>
    </w:p>
    <w:p w14:paraId="6E44A005" w14:textId="34DBB78F" w:rsidR="007151DA" w:rsidRPr="009D18C9" w:rsidRDefault="00434236" w:rsidP="0023349B">
      <w:pPr>
        <w:rPr>
          <w:b/>
        </w:rPr>
      </w:pPr>
      <w:r w:rsidRPr="009D18C9">
        <w:rPr>
          <w:b/>
        </w:rPr>
        <w:t>GSK</w:t>
      </w:r>
    </w:p>
    <w:p w14:paraId="69C1DA9F" w14:textId="68A96E1F" w:rsidR="00B72906" w:rsidRDefault="00434236" w:rsidP="00917C57">
      <w:r>
        <w:t>In 2015, the asset turnover has b</w:t>
      </w:r>
      <w:r w:rsidR="00084CA3">
        <w:t>een the lowest one (0.45)</w:t>
      </w:r>
      <w:r w:rsidR="0084116A">
        <w:t>, because</w:t>
      </w:r>
      <w:r w:rsidR="00945131">
        <w:t xml:space="preserve"> sale has increase by </w:t>
      </w:r>
      <w:r w:rsidR="00832866">
        <w:t>3.9</w:t>
      </w:r>
      <w:r w:rsidR="00885CC8">
        <w:t xml:space="preserve">9% and total asset has increase by </w:t>
      </w:r>
      <w:r w:rsidR="00505036">
        <w:t>31.47%</w:t>
      </w:r>
      <w:r w:rsidR="000F6356">
        <w:t xml:space="preserve"> (</w:t>
      </w:r>
      <w:r w:rsidR="007A29C4">
        <w:t>compared to the previous year).</w:t>
      </w:r>
      <w:r w:rsidR="009D7FB5">
        <w:t xml:space="preserve"> </w:t>
      </w:r>
      <w:r w:rsidR="00997890">
        <w:t>T</w:t>
      </w:r>
      <w:r w:rsidR="006946CC">
        <w:t>his is due to “</w:t>
      </w:r>
      <w:r w:rsidR="00917C57">
        <w:t>in 2015, we made subs</w:t>
      </w:r>
      <w:r w:rsidR="00B72906">
        <w:t>tantial</w:t>
      </w:r>
      <w:r w:rsidR="00917C57">
        <w:t xml:space="preserve"> progress to accelerate new </w:t>
      </w:r>
      <w:r w:rsidR="00B72906">
        <w:t>product gro</w:t>
      </w:r>
      <w:r w:rsidR="00FD30A3">
        <w:t>wth, integrate new business in Vaccine and Consumer He</w:t>
      </w:r>
      <w:r w:rsidR="00C17366">
        <w:t>althcare and restructure our global Pharmaceutical business. This progress means the Group is well positioned to return to core ear</w:t>
      </w:r>
      <w:r w:rsidR="00BE2114">
        <w:t xml:space="preserve">nings growth in 2016” (Annual </w:t>
      </w:r>
      <w:r w:rsidR="00CF33EF">
        <w:t>R</w:t>
      </w:r>
      <w:r w:rsidR="00BE2114">
        <w:t>eport GSK, 2015</w:t>
      </w:r>
      <w:r w:rsidR="00017202">
        <w:t xml:space="preserve">). </w:t>
      </w:r>
      <w:r w:rsidR="00C31EFA">
        <w:t xml:space="preserve">Indeed, </w:t>
      </w:r>
      <w:r w:rsidR="003A664C">
        <w:t>in 2016</w:t>
      </w:r>
      <w:r w:rsidR="004B2237">
        <w:t xml:space="preserve"> sale has increased by </w:t>
      </w:r>
      <w:r w:rsidR="00754874">
        <w:t>16.</w:t>
      </w:r>
      <w:r w:rsidR="000F6356">
        <w:t xml:space="preserve">58%. </w:t>
      </w:r>
    </w:p>
    <w:p w14:paraId="77A602C8" w14:textId="755E9300" w:rsidR="00016AC0" w:rsidRDefault="00753808" w:rsidP="00917C57">
      <w:r>
        <w:t xml:space="preserve">However, the </w:t>
      </w:r>
      <w:r w:rsidR="00341CBD">
        <w:t xml:space="preserve">trend of Assets </w:t>
      </w:r>
      <w:r w:rsidR="00016AC0">
        <w:t>has</w:t>
      </w:r>
      <w:r w:rsidR="00341CBD">
        <w:t xml:space="preserve"> been stable. </w:t>
      </w:r>
      <w:r w:rsidR="008734D2">
        <w:t xml:space="preserve">On average </w:t>
      </w:r>
      <w:r w:rsidR="003840B3">
        <w:t>this metric ha</w:t>
      </w:r>
      <w:r w:rsidR="007D116D">
        <w:t>s</w:t>
      </w:r>
      <w:r w:rsidR="003840B3">
        <w:t xml:space="preserve"> been 0.51. This means that </w:t>
      </w:r>
      <w:r w:rsidR="00092F9C">
        <w:t xml:space="preserve">each pound of assets </w:t>
      </w:r>
      <w:r w:rsidR="00F70DDD">
        <w:t>generates</w:t>
      </w:r>
      <w:r w:rsidR="00092F9C">
        <w:t xml:space="preserve"> 0.51</w:t>
      </w:r>
      <w:r w:rsidR="00F70DDD">
        <w:t>p</w:t>
      </w:r>
      <w:r w:rsidR="00911DAB">
        <w:t xml:space="preserve"> of sales. </w:t>
      </w:r>
    </w:p>
    <w:p w14:paraId="784E2E3D" w14:textId="1CFB0BD1" w:rsidR="00DA63A6" w:rsidRPr="009D18C9" w:rsidRDefault="00DA63A6" w:rsidP="00917C57">
      <w:pPr>
        <w:rPr>
          <w:b/>
        </w:rPr>
      </w:pPr>
      <w:r w:rsidRPr="009D18C9">
        <w:rPr>
          <w:b/>
        </w:rPr>
        <w:t xml:space="preserve">GSK vs AstraZeneca </w:t>
      </w:r>
    </w:p>
    <w:p w14:paraId="66010500" w14:textId="770FA771" w:rsidR="00DA63A6" w:rsidRDefault="00DA63A6" w:rsidP="00917C57">
      <w:r>
        <w:t xml:space="preserve">AstraZeneca </w:t>
      </w:r>
      <w:r w:rsidR="002D590A">
        <w:t>has lower</w:t>
      </w:r>
      <w:r w:rsidR="00B568E3">
        <w:t xml:space="preserve"> efficiency </w:t>
      </w:r>
      <w:r w:rsidR="00A20349">
        <w:t>compared to GSK</w:t>
      </w:r>
      <w:r w:rsidR="008D6A07">
        <w:t xml:space="preserve">, at least in 2018. </w:t>
      </w:r>
    </w:p>
    <w:p w14:paraId="1F3B3EDB" w14:textId="3EE72077" w:rsidR="00EF321B" w:rsidRDefault="00EF321B" w:rsidP="00917C57"/>
    <w:p w14:paraId="43D544F4" w14:textId="05DAE5D5" w:rsidR="00EF321B" w:rsidRDefault="00EF321B" w:rsidP="00917C57">
      <w:bookmarkStart w:id="19" w:name="_Toc7774456"/>
      <w:r w:rsidRPr="00266A81">
        <w:rPr>
          <w:rStyle w:val="Heading3Char"/>
        </w:rPr>
        <w:t>Fixed asset turnover</w:t>
      </w:r>
      <w:bookmarkEnd w:id="19"/>
      <w:r w:rsidRPr="0003495A">
        <w:rPr>
          <w:color w:val="ED7D31" w:themeColor="accent2"/>
        </w:rPr>
        <w:t xml:space="preserve"> </w:t>
      </w:r>
      <w:r>
        <w:sym w:font="Wingdings" w:char="F0E0"/>
      </w:r>
      <w:r>
        <w:t xml:space="preserve"> </w:t>
      </w:r>
      <w:r w:rsidR="008D6A07" w:rsidRPr="00E21993">
        <w:rPr>
          <w:rFonts w:asciiTheme="majorHAnsi" w:hAnsiTheme="majorHAnsi" w:cstheme="majorHAnsi"/>
        </w:rPr>
        <w:t>I</w:t>
      </w:r>
      <w:r w:rsidR="00796296" w:rsidRPr="00E21993">
        <w:rPr>
          <w:rFonts w:asciiTheme="majorHAnsi" w:hAnsiTheme="majorHAnsi" w:cstheme="majorHAnsi"/>
        </w:rPr>
        <w:t>t measures the operating performance of a company. Hence, it represents the ability of a company to generate net sales</w:t>
      </w:r>
      <w:r w:rsidR="00E56963" w:rsidRPr="00E21993">
        <w:rPr>
          <w:rFonts w:asciiTheme="majorHAnsi" w:hAnsiTheme="majorHAnsi" w:cstheme="majorHAnsi"/>
        </w:rPr>
        <w:t xml:space="preserve"> from</w:t>
      </w:r>
      <w:r w:rsidR="00796296" w:rsidRPr="00E21993">
        <w:rPr>
          <w:rFonts w:asciiTheme="majorHAnsi" w:hAnsiTheme="majorHAnsi" w:cstheme="majorHAnsi"/>
          <w:color w:val="000000" w:themeColor="text1"/>
        </w:rPr>
        <w:t xml:space="preserve"> </w:t>
      </w:r>
      <w:r w:rsidR="00E56963" w:rsidRPr="00E21993">
        <w:rPr>
          <w:rFonts w:asciiTheme="majorHAnsi" w:hAnsiTheme="majorHAnsi" w:cstheme="majorHAnsi"/>
          <w:color w:val="000000" w:themeColor="text1"/>
        </w:rPr>
        <w:t>its</w:t>
      </w:r>
      <w:r w:rsidR="00796296" w:rsidRPr="00E21993">
        <w:rPr>
          <w:rFonts w:asciiTheme="majorHAnsi" w:hAnsiTheme="majorHAnsi" w:cstheme="majorHAnsi"/>
          <w:color w:val="000000" w:themeColor="text1"/>
        </w:rPr>
        <w:t xml:space="preserve"> </w:t>
      </w:r>
      <w:r w:rsidR="00796296" w:rsidRPr="00E21993">
        <w:rPr>
          <w:rFonts w:asciiTheme="majorHAnsi" w:hAnsiTheme="majorHAnsi" w:cstheme="majorHAnsi"/>
        </w:rPr>
        <w:t>fixed-asset investment PPE.</w:t>
      </w:r>
      <w:r w:rsidR="00796296">
        <w:t xml:space="preserve"> </w:t>
      </w:r>
    </w:p>
    <w:p w14:paraId="1F38B883" w14:textId="03852366" w:rsidR="00657BD9" w:rsidRPr="009D18C9" w:rsidRDefault="00657BD9" w:rsidP="00917C57">
      <w:pPr>
        <w:rPr>
          <w:b/>
        </w:rPr>
      </w:pPr>
      <w:r w:rsidRPr="009D18C9">
        <w:rPr>
          <w:b/>
        </w:rPr>
        <w:t xml:space="preserve">GSK </w:t>
      </w:r>
    </w:p>
    <w:p w14:paraId="25ABAD77" w14:textId="25EC6F16" w:rsidR="00575B01" w:rsidRDefault="00885738" w:rsidP="00917C57">
      <w:r>
        <w:t xml:space="preserve">As </w:t>
      </w:r>
      <w:r w:rsidR="008E4EC7">
        <w:t xml:space="preserve">Asset turnover ratios, Fixed asset turnover has been stable. </w:t>
      </w:r>
      <w:r w:rsidR="00B554C7">
        <w:t xml:space="preserve">PP&amp;E has increased over the past five years, but sales have increase as well. </w:t>
      </w:r>
      <w:r w:rsidR="0079310C">
        <w:t xml:space="preserve">This means that GSK has </w:t>
      </w:r>
      <w:r w:rsidR="0007671D">
        <w:t>increased the sales because has incr</w:t>
      </w:r>
      <w:r w:rsidR="00393F4E">
        <w:t xml:space="preserve">eased its fixed assets. </w:t>
      </w:r>
    </w:p>
    <w:p w14:paraId="7A6E534A" w14:textId="539B0B0C" w:rsidR="00393F4E" w:rsidRPr="009D18C9" w:rsidRDefault="0023651C" w:rsidP="00917C57">
      <w:pPr>
        <w:rPr>
          <w:b/>
        </w:rPr>
      </w:pPr>
      <w:r w:rsidRPr="009D18C9">
        <w:rPr>
          <w:b/>
        </w:rPr>
        <w:t xml:space="preserve">GSK vs AstraZeneca </w:t>
      </w:r>
    </w:p>
    <w:p w14:paraId="7E03A977" w14:textId="6ED59C3B" w:rsidR="0023651C" w:rsidRDefault="008C343F" w:rsidP="00917C57">
      <w:r>
        <w:t xml:space="preserve">In this case, AstraZeneca has </w:t>
      </w:r>
      <w:r w:rsidR="008C5A9F">
        <w:t xml:space="preserve">used its fixed assets more efficiency than GSK. </w:t>
      </w:r>
    </w:p>
    <w:p w14:paraId="13D7818A" w14:textId="233875DA" w:rsidR="009C72A8" w:rsidRDefault="009C72A8" w:rsidP="009C72A8">
      <w:pPr>
        <w:pStyle w:val="Heading2"/>
      </w:pPr>
      <w:bookmarkStart w:id="20" w:name="_Toc7774457"/>
      <w:r>
        <w:lastRenderedPageBreak/>
        <w:t>Recommendations – how to improve GSK’s performa</w:t>
      </w:r>
      <w:r w:rsidR="00E379FD">
        <w:t>n</w:t>
      </w:r>
      <w:r>
        <w:t>ce</w:t>
      </w:r>
      <w:bookmarkEnd w:id="20"/>
    </w:p>
    <w:p w14:paraId="7D720977" w14:textId="77777777" w:rsidR="00B16A70" w:rsidRDefault="00B16A70" w:rsidP="00B16A70">
      <w:r>
        <w:t xml:space="preserve">All in all, overall the past years GSK has done a good performance. But as it known, there is always somethings that could/should be improved. As it shown in Tab.1 the GSK’s sales have increased by 25% from 2014 to 2018. This is due to a strong distribution network done by the company. GSK’s products are available in over 100 countries all over the word. In order to continue to increase its growth GSK should extend (even more) its distribution network. GSK would be able to benefit from the advantages of economies of scale. </w:t>
      </w:r>
    </w:p>
    <w:p w14:paraId="1AE2175D" w14:textId="77777777" w:rsidR="00B16A70" w:rsidRDefault="00B16A70" w:rsidP="00B16A70">
      <w:r>
        <w:t xml:space="preserve">Also, in order to continue its growth GSK could increase the prices of drugs, but it needs to be considered that in many countries the prices of drugs are controlling by law. </w:t>
      </w:r>
    </w:p>
    <w:p w14:paraId="6EA70B72" w14:textId="77777777" w:rsidR="00B16A70" w:rsidRDefault="00B16A70" w:rsidP="00B16A70">
      <w:r>
        <w:t xml:space="preserve">The intensive competition in the pharmaceutical industry limits market share and rise to price wars, but transaction and acquisition GSK helped GSK to “solve” this issue. Indeed, the transaction with Novartis and the acquisition of </w:t>
      </w:r>
      <w:proofErr w:type="spellStart"/>
      <w:r>
        <w:t>Tesaro</w:t>
      </w:r>
      <w:proofErr w:type="spellEnd"/>
      <w:r>
        <w:t xml:space="preserve"> helped the company to expand its portfolio and increase market share. Therefore, GSK should follow this way. </w:t>
      </w:r>
    </w:p>
    <w:p w14:paraId="196F0B41" w14:textId="407E4FCA" w:rsidR="00B16A70" w:rsidRDefault="00B16A70" w:rsidP="00B16A70">
      <w:pPr>
        <w:rPr>
          <w:color w:val="000000" w:themeColor="text1"/>
        </w:rPr>
      </w:pPr>
      <w:r>
        <w:t xml:space="preserve">Many GSK’s drugs and vaccines are now exposed to competition from generic medicines </w:t>
      </w:r>
      <w:proofErr w:type="gramStart"/>
      <w:r>
        <w:t>and also</w:t>
      </w:r>
      <w:proofErr w:type="gramEnd"/>
      <w:r>
        <w:t xml:space="preserve"> some of the blockbuster products are reaching maturity. GSK has done big investments in the R&amp;D and these investments helped the company to launch new products and to strengthen its brand image. </w:t>
      </w:r>
      <w:r w:rsidRPr="009C72A8">
        <w:rPr>
          <w:color w:val="000000" w:themeColor="text1"/>
        </w:rPr>
        <w:t>Investing in R&amp;D means develop future innovation capabilities. Analysts and investors will monitor R&amp;D levels in order to gauge future competitiveness. Therefore, an investor, more likely, will be more incline to invest in GSK</w:t>
      </w:r>
      <w:r>
        <w:rPr>
          <w:color w:val="000000" w:themeColor="text1"/>
        </w:rPr>
        <w:t xml:space="preserve"> (compared to AstraZeneca). </w:t>
      </w:r>
      <w:r w:rsidRPr="009C72A8">
        <w:rPr>
          <w:color w:val="000000" w:themeColor="text1"/>
        </w:rPr>
        <w:t>Research and development are difficult to manage since the defining future of research is that the researchers do not know in advance exactly its cash flows. As a result, higher R&amp;D spending does not guarantee more market share or more profit.</w:t>
      </w:r>
      <w:r>
        <w:rPr>
          <w:color w:val="000000" w:themeColor="text1"/>
        </w:rPr>
        <w:t xml:space="preserve"> Despite investment in the pharmaceutical industry are risky, </w:t>
      </w:r>
      <w:r w:rsidRPr="00763081">
        <w:rPr>
          <w:color w:val="000000" w:themeColor="text1"/>
        </w:rPr>
        <w:t xml:space="preserve">GSK should continue to invest in R&amp;D in order to precede its competitor/s. Indeed, “speed” in the pharmaceutical industry is the major resource for creating a competitive advantage. </w:t>
      </w:r>
    </w:p>
    <w:p w14:paraId="48C7BFA4" w14:textId="320FC674" w:rsidR="00852435" w:rsidRDefault="00852435" w:rsidP="00B16A70">
      <w:pPr>
        <w:rPr>
          <w:color w:val="000000" w:themeColor="text1"/>
        </w:rPr>
      </w:pPr>
    </w:p>
    <w:p w14:paraId="223D1BBF" w14:textId="5682B1B1" w:rsidR="00852435" w:rsidRDefault="00852435" w:rsidP="00266A81">
      <w:pPr>
        <w:pStyle w:val="Heading2"/>
      </w:pPr>
      <w:bookmarkStart w:id="21" w:name="_Toc7774458"/>
      <w:r>
        <w:t>Limitation</w:t>
      </w:r>
      <w:r w:rsidR="009D2643">
        <w:t>s</w:t>
      </w:r>
      <w:r w:rsidR="00266A81">
        <w:t xml:space="preserve"> of financial analysis</w:t>
      </w:r>
      <w:bookmarkEnd w:id="21"/>
    </w:p>
    <w:p w14:paraId="715148C7" w14:textId="016BA7E0" w:rsidR="009D2643" w:rsidRDefault="009D2643" w:rsidP="009D2643">
      <w:r>
        <w:t xml:space="preserve">The financial ratios studied above has </w:t>
      </w:r>
      <w:r w:rsidR="00266A81">
        <w:t>the following</w:t>
      </w:r>
      <w:r>
        <w:t xml:space="preserve"> limitations</w:t>
      </w:r>
      <w:r w:rsidR="00266A81">
        <w:t>:</w:t>
      </w:r>
    </w:p>
    <w:p w14:paraId="142A0DDD" w14:textId="32939C5B" w:rsidR="009D2643" w:rsidRDefault="00A918F5" w:rsidP="009D2643">
      <w:pPr>
        <w:pStyle w:val="ListParagraph"/>
        <w:numPr>
          <w:ilvl w:val="0"/>
          <w:numId w:val="4"/>
        </w:numPr>
      </w:pPr>
      <w:r>
        <w:t>AstraZeneca and GSK used different standard and different currency;</w:t>
      </w:r>
    </w:p>
    <w:p w14:paraId="7B9D29C0" w14:textId="63CBC3A7" w:rsidR="00FC1147" w:rsidRDefault="00A918F5" w:rsidP="00FC1147">
      <w:pPr>
        <w:pStyle w:val="ListParagraph"/>
        <w:numPr>
          <w:ilvl w:val="0"/>
          <w:numId w:val="4"/>
        </w:numPr>
      </w:pPr>
      <w:r>
        <w:t>GSK ha</w:t>
      </w:r>
      <w:r w:rsidR="00345167">
        <w:t>s been studied for 5 years and AstraZeneca for 1</w:t>
      </w:r>
      <w:r w:rsidR="00FC1147">
        <w:t>;</w:t>
      </w:r>
    </w:p>
    <w:p w14:paraId="1B1DC4FF" w14:textId="70657071" w:rsidR="00FC1147" w:rsidRDefault="00FC1147" w:rsidP="00FC1147">
      <w:pPr>
        <w:pStyle w:val="ListParagraph"/>
        <w:numPr>
          <w:ilvl w:val="0"/>
          <w:numId w:val="4"/>
        </w:numPr>
      </w:pPr>
      <w:r>
        <w:t>GSK</w:t>
      </w:r>
      <w:r w:rsidR="005E0711">
        <w:t>’s financial analysis</w:t>
      </w:r>
      <w:r>
        <w:t xml:space="preserve"> </w:t>
      </w:r>
      <w:r w:rsidR="006E00E3">
        <w:t>was</w:t>
      </w:r>
      <w:r>
        <w:t xml:space="preserve"> not compared to the </w:t>
      </w:r>
      <w:r w:rsidR="005E0711">
        <w:t xml:space="preserve">pharmaceutical industry. </w:t>
      </w:r>
    </w:p>
    <w:p w14:paraId="678892BB" w14:textId="77777777" w:rsidR="00B16A70" w:rsidRPr="00B16A70" w:rsidRDefault="00B16A70" w:rsidP="00B16A70"/>
    <w:p w14:paraId="76C875B5" w14:textId="77777777" w:rsidR="00D74AFE" w:rsidRPr="009C72A8" w:rsidRDefault="00D74AFE" w:rsidP="009C72A8">
      <w:pPr>
        <w:rPr>
          <w:color w:val="000000" w:themeColor="text1"/>
        </w:rPr>
      </w:pPr>
    </w:p>
    <w:p w14:paraId="4ECD8D19" w14:textId="33862BA2" w:rsidR="00C57777" w:rsidRDefault="00B16A70" w:rsidP="00B16A70">
      <w:pPr>
        <w:pStyle w:val="Heading1"/>
      </w:pPr>
      <w:bookmarkStart w:id="22" w:name="_Toc7774459"/>
      <w:r>
        <w:t>Capital Budgeting</w:t>
      </w:r>
      <w:bookmarkEnd w:id="22"/>
      <w:r>
        <w:t xml:space="preserve"> </w:t>
      </w:r>
    </w:p>
    <w:p w14:paraId="350BA766" w14:textId="7360AE7A" w:rsidR="00AF48E1" w:rsidRDefault="00171A90" w:rsidP="00171A90">
      <w:r>
        <w:t>Payback period, accounting r</w:t>
      </w:r>
      <w:r w:rsidR="00654008">
        <w:t>a</w:t>
      </w:r>
      <w:r>
        <w:t xml:space="preserve">te of return, net present value and internal rate of return of two different projects are calculated in order to choose one of these two projects. </w:t>
      </w:r>
    </w:p>
    <w:tbl>
      <w:tblPr>
        <w:tblW w:w="6720" w:type="dxa"/>
        <w:tblLook w:val="04A0" w:firstRow="1" w:lastRow="0" w:firstColumn="1" w:lastColumn="0" w:noHBand="0" w:noVBand="1"/>
      </w:tblPr>
      <w:tblGrid>
        <w:gridCol w:w="1120"/>
        <w:gridCol w:w="620"/>
        <w:gridCol w:w="1700"/>
        <w:gridCol w:w="960"/>
        <w:gridCol w:w="620"/>
        <w:gridCol w:w="1700"/>
      </w:tblGrid>
      <w:tr w:rsidR="00171A90" w:rsidRPr="00BE79D0" w14:paraId="1E523963" w14:textId="77777777" w:rsidTr="006C0B7F">
        <w:trPr>
          <w:trHeight w:val="288"/>
        </w:trPr>
        <w:tc>
          <w:tcPr>
            <w:tcW w:w="1120" w:type="dxa"/>
            <w:tcBorders>
              <w:top w:val="nil"/>
              <w:left w:val="nil"/>
              <w:bottom w:val="nil"/>
              <w:right w:val="nil"/>
            </w:tcBorders>
            <w:shd w:val="clear" w:color="auto" w:fill="auto"/>
            <w:noWrap/>
            <w:vAlign w:val="bottom"/>
            <w:hideMark/>
          </w:tcPr>
          <w:p w14:paraId="71867EFE" w14:textId="77777777" w:rsidR="00171A90" w:rsidRPr="00BE79D0" w:rsidRDefault="00171A90" w:rsidP="006C0B7F">
            <w:pPr>
              <w:spacing w:after="0" w:line="240" w:lineRule="auto"/>
              <w:rPr>
                <w:rFonts w:ascii="Times New Roman" w:eastAsia="Times New Roman" w:hAnsi="Times New Roman" w:cs="Times New Roman"/>
                <w:sz w:val="24"/>
                <w:szCs w:val="24"/>
                <w:lang w:eastAsia="en-GB"/>
              </w:rPr>
            </w:pPr>
          </w:p>
        </w:tc>
        <w:tc>
          <w:tcPr>
            <w:tcW w:w="620" w:type="dxa"/>
            <w:tcBorders>
              <w:top w:val="nil"/>
              <w:left w:val="nil"/>
              <w:bottom w:val="nil"/>
              <w:right w:val="nil"/>
            </w:tcBorders>
            <w:shd w:val="clear" w:color="auto" w:fill="auto"/>
            <w:noWrap/>
            <w:vAlign w:val="bottom"/>
            <w:hideMark/>
          </w:tcPr>
          <w:p w14:paraId="4FC2C1B8" w14:textId="77777777" w:rsidR="00171A90" w:rsidRPr="00BE79D0" w:rsidRDefault="00171A90" w:rsidP="006C0B7F">
            <w:pPr>
              <w:spacing w:after="0" w:line="240" w:lineRule="auto"/>
              <w:rPr>
                <w:rFonts w:ascii="Times New Roman" w:eastAsia="Times New Roman" w:hAnsi="Times New Roman" w:cs="Times New Roman"/>
                <w:sz w:val="20"/>
                <w:szCs w:val="20"/>
                <w:lang w:eastAsia="en-GB"/>
              </w:rPr>
            </w:pPr>
          </w:p>
        </w:tc>
        <w:tc>
          <w:tcPr>
            <w:tcW w:w="1700" w:type="dxa"/>
            <w:tcBorders>
              <w:top w:val="nil"/>
              <w:left w:val="nil"/>
              <w:bottom w:val="nil"/>
              <w:right w:val="nil"/>
            </w:tcBorders>
            <w:shd w:val="clear" w:color="auto" w:fill="auto"/>
            <w:noWrap/>
            <w:vAlign w:val="bottom"/>
            <w:hideMark/>
          </w:tcPr>
          <w:p w14:paraId="7D8E9BF6" w14:textId="77777777" w:rsidR="00171A90" w:rsidRPr="00BE79D0" w:rsidRDefault="00171A90" w:rsidP="006C0B7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30230B0" w14:textId="77777777" w:rsidR="00171A90" w:rsidRPr="00BE79D0" w:rsidRDefault="00171A90" w:rsidP="006C0B7F">
            <w:pPr>
              <w:spacing w:after="0" w:line="240" w:lineRule="auto"/>
              <w:rPr>
                <w:rFonts w:ascii="Calibri" w:eastAsia="Times New Roman" w:hAnsi="Calibri" w:cs="Calibri"/>
                <w:color w:val="000000"/>
                <w:lang w:eastAsia="en-GB"/>
              </w:rPr>
            </w:pPr>
          </w:p>
        </w:tc>
        <w:tc>
          <w:tcPr>
            <w:tcW w:w="620" w:type="dxa"/>
            <w:tcBorders>
              <w:top w:val="nil"/>
              <w:left w:val="nil"/>
              <w:bottom w:val="nil"/>
              <w:right w:val="nil"/>
            </w:tcBorders>
            <w:shd w:val="clear" w:color="auto" w:fill="auto"/>
            <w:noWrap/>
            <w:vAlign w:val="bottom"/>
            <w:hideMark/>
          </w:tcPr>
          <w:p w14:paraId="6612C7BF" w14:textId="77777777" w:rsidR="00171A90" w:rsidRPr="00BE79D0" w:rsidRDefault="00171A90" w:rsidP="006C0B7F">
            <w:pPr>
              <w:spacing w:after="0" w:line="240" w:lineRule="auto"/>
              <w:jc w:val="center"/>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7985D53B" w14:textId="77777777" w:rsidR="00171A90" w:rsidRPr="00BE79D0" w:rsidRDefault="00171A90" w:rsidP="006C0B7F">
            <w:pPr>
              <w:spacing w:after="0" w:line="240" w:lineRule="auto"/>
              <w:rPr>
                <w:rFonts w:ascii="Times New Roman" w:eastAsia="Times New Roman" w:hAnsi="Times New Roman" w:cs="Times New Roman"/>
                <w:sz w:val="20"/>
                <w:szCs w:val="20"/>
                <w:lang w:eastAsia="en-GB"/>
              </w:rPr>
            </w:pPr>
          </w:p>
        </w:tc>
      </w:tr>
    </w:tbl>
    <w:p w14:paraId="537055AB" w14:textId="77777777" w:rsidR="00171A90" w:rsidRPr="00EF34B0" w:rsidRDefault="00171A90" w:rsidP="00266A81">
      <w:pPr>
        <w:pStyle w:val="Heading2"/>
      </w:pPr>
      <w:bookmarkStart w:id="23" w:name="_Toc7774460"/>
      <w:r w:rsidRPr="00EF34B0">
        <w:t>Payback per</w:t>
      </w:r>
      <w:r w:rsidR="00B16A70">
        <w:t>i</w:t>
      </w:r>
      <w:r w:rsidRPr="00EF34B0">
        <w:t>od</w:t>
      </w:r>
      <w:bookmarkEnd w:id="23"/>
    </w:p>
    <w:p w14:paraId="17935EA2" w14:textId="77777777" w:rsidR="00171A90" w:rsidRPr="005E0543" w:rsidRDefault="00171A90" w:rsidP="00171A90">
      <w:pPr>
        <w:rPr>
          <w:rFonts w:cstheme="minorHAnsi"/>
          <w:sz w:val="32"/>
          <w:szCs w:val="32"/>
        </w:rPr>
      </w:pPr>
      <w:r w:rsidRPr="005E0543">
        <w:rPr>
          <w:rFonts w:cstheme="minorHAnsi"/>
        </w:rPr>
        <w:t xml:space="preserve">The Pay-back period calculates the time for a project to repay in cash terms its initial investment. It is expressed in terms of time.  </w:t>
      </w:r>
    </w:p>
    <w:tbl>
      <w:tblPr>
        <w:tblW w:w="9364" w:type="dxa"/>
        <w:tblLook w:val="04A0" w:firstRow="1" w:lastRow="0" w:firstColumn="1" w:lastColumn="0" w:noHBand="0" w:noVBand="1"/>
      </w:tblPr>
      <w:tblGrid>
        <w:gridCol w:w="1120"/>
        <w:gridCol w:w="620"/>
        <w:gridCol w:w="2546"/>
        <w:gridCol w:w="960"/>
        <w:gridCol w:w="620"/>
        <w:gridCol w:w="2538"/>
        <w:gridCol w:w="960"/>
      </w:tblGrid>
      <w:tr w:rsidR="00171A90" w:rsidRPr="00583B78" w14:paraId="29C4853B" w14:textId="77777777" w:rsidTr="006C0B7F">
        <w:trPr>
          <w:trHeight w:val="288"/>
        </w:trPr>
        <w:tc>
          <w:tcPr>
            <w:tcW w:w="1120" w:type="dxa"/>
            <w:tcBorders>
              <w:top w:val="nil"/>
              <w:left w:val="nil"/>
              <w:bottom w:val="nil"/>
              <w:right w:val="nil"/>
            </w:tcBorders>
            <w:shd w:val="clear" w:color="auto" w:fill="auto"/>
            <w:noWrap/>
            <w:vAlign w:val="bottom"/>
            <w:hideMark/>
          </w:tcPr>
          <w:p w14:paraId="0BA23AB5" w14:textId="77777777" w:rsidR="00171A90" w:rsidRPr="00583B78" w:rsidRDefault="00171A90" w:rsidP="006C0B7F">
            <w:pPr>
              <w:spacing w:after="0" w:line="240" w:lineRule="auto"/>
              <w:rPr>
                <w:rFonts w:ascii="Times New Roman" w:eastAsia="Times New Roman" w:hAnsi="Times New Roman" w:cs="Times New Roman"/>
                <w:sz w:val="24"/>
                <w:szCs w:val="24"/>
                <w:lang w:eastAsia="en-GB"/>
              </w:rPr>
            </w:pPr>
          </w:p>
        </w:tc>
        <w:tc>
          <w:tcPr>
            <w:tcW w:w="620" w:type="dxa"/>
            <w:tcBorders>
              <w:top w:val="nil"/>
              <w:left w:val="nil"/>
              <w:bottom w:val="nil"/>
              <w:right w:val="nil"/>
            </w:tcBorders>
            <w:shd w:val="clear" w:color="auto" w:fill="auto"/>
            <w:noWrap/>
            <w:vAlign w:val="bottom"/>
            <w:hideMark/>
          </w:tcPr>
          <w:p w14:paraId="69B2DAAA" w14:textId="77777777" w:rsidR="00171A90" w:rsidRPr="00583B78" w:rsidRDefault="00171A90" w:rsidP="006C0B7F">
            <w:pPr>
              <w:spacing w:after="0" w:line="240" w:lineRule="auto"/>
              <w:rPr>
                <w:rFonts w:ascii="Times New Roman" w:eastAsia="Times New Roman" w:hAnsi="Times New Roman" w:cs="Times New Roman"/>
                <w:sz w:val="20"/>
                <w:szCs w:val="20"/>
                <w:lang w:eastAsia="en-GB"/>
              </w:rPr>
            </w:pPr>
          </w:p>
        </w:tc>
        <w:tc>
          <w:tcPr>
            <w:tcW w:w="2546" w:type="dxa"/>
            <w:tcBorders>
              <w:top w:val="nil"/>
              <w:left w:val="nil"/>
              <w:bottom w:val="nil"/>
              <w:right w:val="nil"/>
            </w:tcBorders>
            <w:shd w:val="clear" w:color="auto" w:fill="auto"/>
            <w:noWrap/>
            <w:vAlign w:val="bottom"/>
            <w:hideMark/>
          </w:tcPr>
          <w:p w14:paraId="0D7B8C58" w14:textId="77777777" w:rsidR="00171A90" w:rsidRPr="00583B78" w:rsidRDefault="00171A90" w:rsidP="006C0B7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7C3C49D"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A</w:t>
            </w:r>
          </w:p>
        </w:tc>
        <w:tc>
          <w:tcPr>
            <w:tcW w:w="620" w:type="dxa"/>
            <w:tcBorders>
              <w:top w:val="nil"/>
              <w:left w:val="nil"/>
              <w:bottom w:val="nil"/>
              <w:right w:val="nil"/>
            </w:tcBorders>
            <w:shd w:val="clear" w:color="auto" w:fill="auto"/>
            <w:noWrap/>
            <w:vAlign w:val="bottom"/>
            <w:hideMark/>
          </w:tcPr>
          <w:p w14:paraId="0C5AA12A"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c>
          <w:tcPr>
            <w:tcW w:w="2538" w:type="dxa"/>
            <w:tcBorders>
              <w:top w:val="nil"/>
              <w:left w:val="nil"/>
              <w:bottom w:val="nil"/>
              <w:right w:val="nil"/>
            </w:tcBorders>
            <w:shd w:val="clear" w:color="auto" w:fill="auto"/>
            <w:noWrap/>
            <w:vAlign w:val="bottom"/>
            <w:hideMark/>
          </w:tcPr>
          <w:p w14:paraId="0BE591D7" w14:textId="77777777" w:rsidR="00171A90" w:rsidRPr="00583B78" w:rsidRDefault="00171A90" w:rsidP="006C0B7F">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18A6D2"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B</w:t>
            </w:r>
          </w:p>
        </w:tc>
      </w:tr>
      <w:tr w:rsidR="00171A90" w:rsidRPr="00583B78" w14:paraId="0B2668EC" w14:textId="77777777" w:rsidTr="006C0B7F">
        <w:trPr>
          <w:trHeight w:val="288"/>
        </w:trPr>
        <w:tc>
          <w:tcPr>
            <w:tcW w:w="1120" w:type="dxa"/>
            <w:tcBorders>
              <w:top w:val="single" w:sz="4" w:space="0" w:color="8EA9DB"/>
              <w:left w:val="single" w:sz="4" w:space="0" w:color="8EA9DB"/>
              <w:bottom w:val="single" w:sz="4" w:space="0" w:color="8EA9DB"/>
              <w:right w:val="nil"/>
            </w:tcBorders>
            <w:shd w:val="clear" w:color="D9E1F2" w:fill="D9E1F2"/>
            <w:noWrap/>
            <w:vAlign w:val="bottom"/>
            <w:hideMark/>
          </w:tcPr>
          <w:p w14:paraId="7337F216"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Year</w:t>
            </w:r>
          </w:p>
        </w:tc>
        <w:tc>
          <w:tcPr>
            <w:tcW w:w="620" w:type="dxa"/>
            <w:tcBorders>
              <w:top w:val="single" w:sz="4" w:space="0" w:color="8EA9DB"/>
              <w:left w:val="nil"/>
              <w:bottom w:val="single" w:sz="4" w:space="0" w:color="8EA9DB"/>
              <w:right w:val="nil"/>
            </w:tcBorders>
            <w:shd w:val="clear" w:color="D9E1F2" w:fill="D9E1F2"/>
            <w:noWrap/>
            <w:vAlign w:val="bottom"/>
            <w:hideMark/>
          </w:tcPr>
          <w:p w14:paraId="444F308A"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c>
          <w:tcPr>
            <w:tcW w:w="2546" w:type="dxa"/>
            <w:tcBorders>
              <w:top w:val="single" w:sz="4" w:space="0" w:color="8EA9DB"/>
              <w:left w:val="nil"/>
              <w:bottom w:val="single" w:sz="4" w:space="0" w:color="8EA9DB"/>
              <w:right w:val="nil"/>
            </w:tcBorders>
            <w:shd w:val="clear" w:color="D9E1F2" w:fill="D9E1F2"/>
            <w:noWrap/>
            <w:vAlign w:val="bottom"/>
            <w:hideMark/>
          </w:tcPr>
          <w:p w14:paraId="2D05E7A4"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Cumulative net cash flows A</w:t>
            </w:r>
            <w:r>
              <w:rPr>
                <w:rFonts w:ascii="Calibri" w:eastAsia="Times New Roman" w:hAnsi="Calibri" w:cs="Calibri"/>
                <w:color w:val="000000"/>
                <w:lang w:eastAsia="en-GB"/>
              </w:rPr>
              <w:t xml:space="preserve"> (£)</w:t>
            </w:r>
          </w:p>
        </w:tc>
        <w:tc>
          <w:tcPr>
            <w:tcW w:w="960" w:type="dxa"/>
            <w:tcBorders>
              <w:top w:val="single" w:sz="4" w:space="0" w:color="8EA9DB"/>
              <w:left w:val="nil"/>
              <w:bottom w:val="single" w:sz="4" w:space="0" w:color="8EA9DB"/>
              <w:right w:val="nil"/>
            </w:tcBorders>
            <w:shd w:val="clear" w:color="D9E1F2" w:fill="D9E1F2"/>
            <w:noWrap/>
            <w:vAlign w:val="bottom"/>
            <w:hideMark/>
          </w:tcPr>
          <w:p w14:paraId="56943952"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c>
          <w:tcPr>
            <w:tcW w:w="620" w:type="dxa"/>
            <w:tcBorders>
              <w:top w:val="single" w:sz="4" w:space="0" w:color="8EA9DB"/>
              <w:left w:val="nil"/>
              <w:bottom w:val="single" w:sz="4" w:space="0" w:color="8EA9DB"/>
              <w:right w:val="nil"/>
            </w:tcBorders>
            <w:shd w:val="clear" w:color="D9E1F2" w:fill="D9E1F2"/>
            <w:noWrap/>
            <w:vAlign w:val="bottom"/>
            <w:hideMark/>
          </w:tcPr>
          <w:p w14:paraId="0F67E837" w14:textId="77777777" w:rsidR="00171A90" w:rsidRPr="00583B78" w:rsidRDefault="00171A90" w:rsidP="006C0B7F">
            <w:pPr>
              <w:spacing w:after="0" w:line="240" w:lineRule="auto"/>
              <w:jc w:val="center"/>
              <w:rPr>
                <w:rFonts w:ascii="Times New Roman" w:eastAsia="Times New Roman" w:hAnsi="Times New Roman" w:cs="Times New Roman"/>
                <w:sz w:val="20"/>
                <w:szCs w:val="20"/>
                <w:lang w:eastAsia="en-GB"/>
              </w:rPr>
            </w:pPr>
          </w:p>
        </w:tc>
        <w:tc>
          <w:tcPr>
            <w:tcW w:w="2538" w:type="dxa"/>
            <w:tcBorders>
              <w:top w:val="single" w:sz="4" w:space="0" w:color="8EA9DB"/>
              <w:left w:val="nil"/>
              <w:bottom w:val="single" w:sz="4" w:space="0" w:color="8EA9DB"/>
              <w:right w:val="nil"/>
            </w:tcBorders>
            <w:shd w:val="clear" w:color="D9E1F2" w:fill="D9E1F2"/>
            <w:noWrap/>
            <w:vAlign w:val="bottom"/>
            <w:hideMark/>
          </w:tcPr>
          <w:p w14:paraId="20444F43"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Cumulative net cash flows B</w:t>
            </w:r>
            <w:r>
              <w:rPr>
                <w:rFonts w:ascii="Calibri" w:eastAsia="Times New Roman" w:hAnsi="Calibri" w:cs="Calibri"/>
                <w:color w:val="000000"/>
                <w:lang w:eastAsia="en-GB"/>
              </w:rPr>
              <w:t xml:space="preserve"> (£)</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77A1898A"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r>
      <w:tr w:rsidR="00171A90" w:rsidRPr="00583B78" w14:paraId="2AFF179D" w14:textId="77777777" w:rsidTr="006C0B7F">
        <w:trPr>
          <w:trHeight w:val="288"/>
        </w:trPr>
        <w:tc>
          <w:tcPr>
            <w:tcW w:w="1120" w:type="dxa"/>
            <w:tcBorders>
              <w:top w:val="single" w:sz="4" w:space="0" w:color="8EA9DB"/>
              <w:left w:val="single" w:sz="4" w:space="0" w:color="8EA9DB"/>
              <w:bottom w:val="single" w:sz="4" w:space="0" w:color="8EA9DB"/>
              <w:right w:val="nil"/>
            </w:tcBorders>
            <w:shd w:val="clear" w:color="auto" w:fill="auto"/>
            <w:noWrap/>
            <w:vAlign w:val="bottom"/>
            <w:hideMark/>
          </w:tcPr>
          <w:p w14:paraId="5B93EDE4"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lastRenderedPageBreak/>
              <w:t>0</w:t>
            </w:r>
          </w:p>
        </w:tc>
        <w:tc>
          <w:tcPr>
            <w:tcW w:w="620" w:type="dxa"/>
            <w:tcBorders>
              <w:top w:val="single" w:sz="4" w:space="0" w:color="8EA9DB"/>
              <w:left w:val="nil"/>
              <w:bottom w:val="single" w:sz="4" w:space="0" w:color="8EA9DB"/>
              <w:right w:val="nil"/>
            </w:tcBorders>
            <w:shd w:val="clear" w:color="auto" w:fill="auto"/>
            <w:noWrap/>
            <w:vAlign w:val="bottom"/>
            <w:hideMark/>
          </w:tcPr>
          <w:p w14:paraId="551A1A98"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c>
          <w:tcPr>
            <w:tcW w:w="2546" w:type="dxa"/>
            <w:tcBorders>
              <w:top w:val="single" w:sz="4" w:space="0" w:color="8EA9DB"/>
              <w:left w:val="nil"/>
              <w:bottom w:val="single" w:sz="4" w:space="0" w:color="8EA9DB"/>
              <w:right w:val="nil"/>
            </w:tcBorders>
            <w:shd w:val="clear" w:color="auto" w:fill="auto"/>
            <w:noWrap/>
            <w:vAlign w:val="bottom"/>
            <w:hideMark/>
          </w:tcPr>
          <w:p w14:paraId="657B2018"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-85</w:t>
            </w:r>
          </w:p>
        </w:tc>
        <w:tc>
          <w:tcPr>
            <w:tcW w:w="960" w:type="dxa"/>
            <w:tcBorders>
              <w:top w:val="single" w:sz="4" w:space="0" w:color="8EA9DB"/>
              <w:left w:val="nil"/>
              <w:bottom w:val="single" w:sz="4" w:space="0" w:color="8EA9DB"/>
              <w:right w:val="nil"/>
            </w:tcBorders>
            <w:shd w:val="clear" w:color="auto" w:fill="auto"/>
            <w:noWrap/>
            <w:vAlign w:val="bottom"/>
            <w:hideMark/>
          </w:tcPr>
          <w:p w14:paraId="3F8B219E"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-85</w:t>
            </w:r>
          </w:p>
        </w:tc>
        <w:tc>
          <w:tcPr>
            <w:tcW w:w="620" w:type="dxa"/>
            <w:tcBorders>
              <w:top w:val="single" w:sz="4" w:space="0" w:color="8EA9DB"/>
              <w:left w:val="nil"/>
              <w:bottom w:val="single" w:sz="4" w:space="0" w:color="8EA9DB"/>
              <w:right w:val="nil"/>
            </w:tcBorders>
            <w:shd w:val="clear" w:color="auto" w:fill="auto"/>
            <w:noWrap/>
            <w:vAlign w:val="bottom"/>
            <w:hideMark/>
          </w:tcPr>
          <w:p w14:paraId="57958FA0"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c>
          <w:tcPr>
            <w:tcW w:w="2538" w:type="dxa"/>
            <w:tcBorders>
              <w:top w:val="single" w:sz="4" w:space="0" w:color="8EA9DB"/>
              <w:left w:val="nil"/>
              <w:bottom w:val="single" w:sz="4" w:space="0" w:color="8EA9DB"/>
              <w:right w:val="nil"/>
            </w:tcBorders>
            <w:shd w:val="clear" w:color="auto" w:fill="auto"/>
            <w:noWrap/>
            <w:vAlign w:val="bottom"/>
            <w:hideMark/>
          </w:tcPr>
          <w:p w14:paraId="1FB3D62D"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-90</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512C4926"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-90</w:t>
            </w:r>
          </w:p>
        </w:tc>
      </w:tr>
      <w:tr w:rsidR="00171A90" w:rsidRPr="00583B78" w14:paraId="4CA1AF35" w14:textId="77777777" w:rsidTr="006C0B7F">
        <w:trPr>
          <w:trHeight w:val="288"/>
        </w:trPr>
        <w:tc>
          <w:tcPr>
            <w:tcW w:w="1120" w:type="dxa"/>
            <w:tcBorders>
              <w:top w:val="single" w:sz="4" w:space="0" w:color="8EA9DB"/>
              <w:left w:val="single" w:sz="4" w:space="0" w:color="8EA9DB"/>
              <w:bottom w:val="single" w:sz="4" w:space="0" w:color="8EA9DB"/>
              <w:right w:val="nil"/>
            </w:tcBorders>
            <w:shd w:val="clear" w:color="D9E1F2" w:fill="D9E1F2"/>
            <w:noWrap/>
            <w:vAlign w:val="bottom"/>
            <w:hideMark/>
          </w:tcPr>
          <w:p w14:paraId="1739AF97"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1</w:t>
            </w:r>
          </w:p>
        </w:tc>
        <w:tc>
          <w:tcPr>
            <w:tcW w:w="620" w:type="dxa"/>
            <w:tcBorders>
              <w:top w:val="single" w:sz="4" w:space="0" w:color="8EA9DB"/>
              <w:left w:val="nil"/>
              <w:bottom w:val="single" w:sz="4" w:space="0" w:color="8EA9DB"/>
              <w:right w:val="nil"/>
            </w:tcBorders>
            <w:shd w:val="clear" w:color="D9E1F2" w:fill="D9E1F2"/>
            <w:noWrap/>
            <w:vAlign w:val="bottom"/>
            <w:hideMark/>
          </w:tcPr>
          <w:p w14:paraId="1B11E742"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c>
          <w:tcPr>
            <w:tcW w:w="2546" w:type="dxa"/>
            <w:tcBorders>
              <w:top w:val="single" w:sz="4" w:space="0" w:color="8EA9DB"/>
              <w:left w:val="nil"/>
              <w:bottom w:val="single" w:sz="4" w:space="0" w:color="8EA9DB"/>
              <w:right w:val="nil"/>
            </w:tcBorders>
            <w:shd w:val="clear" w:color="D9E1F2" w:fill="D9E1F2"/>
            <w:noWrap/>
            <w:vAlign w:val="bottom"/>
            <w:hideMark/>
          </w:tcPr>
          <w:p w14:paraId="18E199AF"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-75</w:t>
            </w:r>
          </w:p>
        </w:tc>
        <w:tc>
          <w:tcPr>
            <w:tcW w:w="960" w:type="dxa"/>
            <w:tcBorders>
              <w:top w:val="single" w:sz="4" w:space="0" w:color="8EA9DB"/>
              <w:left w:val="nil"/>
              <w:bottom w:val="single" w:sz="4" w:space="0" w:color="8EA9DB"/>
              <w:right w:val="nil"/>
            </w:tcBorders>
            <w:shd w:val="clear" w:color="D9E1F2" w:fill="D9E1F2"/>
            <w:noWrap/>
            <w:vAlign w:val="bottom"/>
            <w:hideMark/>
          </w:tcPr>
          <w:p w14:paraId="21D185B9"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10</w:t>
            </w:r>
          </w:p>
        </w:tc>
        <w:tc>
          <w:tcPr>
            <w:tcW w:w="620" w:type="dxa"/>
            <w:tcBorders>
              <w:top w:val="single" w:sz="4" w:space="0" w:color="8EA9DB"/>
              <w:left w:val="nil"/>
              <w:bottom w:val="single" w:sz="4" w:space="0" w:color="8EA9DB"/>
              <w:right w:val="nil"/>
            </w:tcBorders>
            <w:shd w:val="clear" w:color="D9E1F2" w:fill="D9E1F2"/>
            <w:noWrap/>
            <w:vAlign w:val="bottom"/>
            <w:hideMark/>
          </w:tcPr>
          <w:p w14:paraId="7E03D80E"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c>
          <w:tcPr>
            <w:tcW w:w="2538" w:type="dxa"/>
            <w:tcBorders>
              <w:top w:val="single" w:sz="4" w:space="0" w:color="8EA9DB"/>
              <w:left w:val="nil"/>
              <w:bottom w:val="single" w:sz="4" w:space="0" w:color="8EA9DB"/>
              <w:right w:val="nil"/>
            </w:tcBorders>
            <w:shd w:val="clear" w:color="D9E1F2" w:fill="D9E1F2"/>
            <w:noWrap/>
            <w:vAlign w:val="bottom"/>
            <w:hideMark/>
          </w:tcPr>
          <w:p w14:paraId="748486B8"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-65</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1B3147F1"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25</w:t>
            </w:r>
          </w:p>
        </w:tc>
      </w:tr>
      <w:tr w:rsidR="00171A90" w:rsidRPr="00583B78" w14:paraId="3B815446" w14:textId="77777777" w:rsidTr="006C0B7F">
        <w:trPr>
          <w:trHeight w:val="288"/>
        </w:trPr>
        <w:tc>
          <w:tcPr>
            <w:tcW w:w="1120" w:type="dxa"/>
            <w:tcBorders>
              <w:top w:val="single" w:sz="4" w:space="0" w:color="8EA9DB"/>
              <w:left w:val="single" w:sz="4" w:space="0" w:color="8EA9DB"/>
              <w:bottom w:val="single" w:sz="4" w:space="0" w:color="8EA9DB"/>
              <w:right w:val="nil"/>
            </w:tcBorders>
            <w:shd w:val="clear" w:color="auto" w:fill="auto"/>
            <w:noWrap/>
            <w:vAlign w:val="bottom"/>
            <w:hideMark/>
          </w:tcPr>
          <w:p w14:paraId="71CB691B"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2</w:t>
            </w:r>
          </w:p>
        </w:tc>
        <w:tc>
          <w:tcPr>
            <w:tcW w:w="620" w:type="dxa"/>
            <w:tcBorders>
              <w:top w:val="single" w:sz="4" w:space="0" w:color="8EA9DB"/>
              <w:left w:val="nil"/>
              <w:bottom w:val="single" w:sz="4" w:space="0" w:color="8EA9DB"/>
              <w:right w:val="nil"/>
            </w:tcBorders>
            <w:shd w:val="clear" w:color="auto" w:fill="auto"/>
            <w:noWrap/>
            <w:vAlign w:val="bottom"/>
            <w:hideMark/>
          </w:tcPr>
          <w:p w14:paraId="238C1D62"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c>
          <w:tcPr>
            <w:tcW w:w="2546" w:type="dxa"/>
            <w:tcBorders>
              <w:top w:val="single" w:sz="4" w:space="0" w:color="8EA9DB"/>
              <w:left w:val="nil"/>
              <w:bottom w:val="single" w:sz="4" w:space="0" w:color="8EA9DB"/>
              <w:right w:val="nil"/>
            </w:tcBorders>
            <w:shd w:val="clear" w:color="auto" w:fill="auto"/>
            <w:noWrap/>
            <w:vAlign w:val="bottom"/>
            <w:hideMark/>
          </w:tcPr>
          <w:p w14:paraId="514FF3B8"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-55</w:t>
            </w:r>
          </w:p>
        </w:tc>
        <w:tc>
          <w:tcPr>
            <w:tcW w:w="960" w:type="dxa"/>
            <w:tcBorders>
              <w:top w:val="single" w:sz="4" w:space="0" w:color="8EA9DB"/>
              <w:left w:val="nil"/>
              <w:bottom w:val="single" w:sz="4" w:space="0" w:color="8EA9DB"/>
              <w:right w:val="nil"/>
            </w:tcBorders>
            <w:shd w:val="clear" w:color="auto" w:fill="auto"/>
            <w:noWrap/>
            <w:vAlign w:val="bottom"/>
            <w:hideMark/>
          </w:tcPr>
          <w:p w14:paraId="0345BFC0"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20</w:t>
            </w:r>
          </w:p>
        </w:tc>
        <w:tc>
          <w:tcPr>
            <w:tcW w:w="620" w:type="dxa"/>
            <w:tcBorders>
              <w:top w:val="single" w:sz="4" w:space="0" w:color="8EA9DB"/>
              <w:left w:val="nil"/>
              <w:bottom w:val="single" w:sz="4" w:space="0" w:color="8EA9DB"/>
              <w:right w:val="nil"/>
            </w:tcBorders>
            <w:shd w:val="clear" w:color="auto" w:fill="auto"/>
            <w:noWrap/>
            <w:vAlign w:val="bottom"/>
            <w:hideMark/>
          </w:tcPr>
          <w:p w14:paraId="25D9DD6D"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c>
          <w:tcPr>
            <w:tcW w:w="2538" w:type="dxa"/>
            <w:tcBorders>
              <w:top w:val="single" w:sz="4" w:space="0" w:color="8EA9DB"/>
              <w:left w:val="nil"/>
              <w:bottom w:val="single" w:sz="4" w:space="0" w:color="8EA9DB"/>
              <w:right w:val="nil"/>
            </w:tcBorders>
            <w:shd w:val="clear" w:color="auto" w:fill="auto"/>
            <w:noWrap/>
            <w:vAlign w:val="bottom"/>
            <w:hideMark/>
          </w:tcPr>
          <w:p w14:paraId="32106CAD"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-35</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3B25FDAB"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30</w:t>
            </w:r>
          </w:p>
        </w:tc>
      </w:tr>
      <w:tr w:rsidR="00171A90" w:rsidRPr="00583B78" w14:paraId="58B5E3AB" w14:textId="77777777" w:rsidTr="006C0B7F">
        <w:trPr>
          <w:trHeight w:val="288"/>
        </w:trPr>
        <w:tc>
          <w:tcPr>
            <w:tcW w:w="1120" w:type="dxa"/>
            <w:tcBorders>
              <w:top w:val="single" w:sz="4" w:space="0" w:color="8EA9DB"/>
              <w:left w:val="single" w:sz="4" w:space="0" w:color="8EA9DB"/>
              <w:bottom w:val="single" w:sz="4" w:space="0" w:color="8EA9DB"/>
              <w:right w:val="nil"/>
            </w:tcBorders>
            <w:shd w:val="clear" w:color="D9E1F2" w:fill="D9E1F2"/>
            <w:noWrap/>
            <w:vAlign w:val="bottom"/>
            <w:hideMark/>
          </w:tcPr>
          <w:p w14:paraId="6B8AE262"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3</w:t>
            </w:r>
          </w:p>
        </w:tc>
        <w:tc>
          <w:tcPr>
            <w:tcW w:w="620" w:type="dxa"/>
            <w:tcBorders>
              <w:top w:val="single" w:sz="4" w:space="0" w:color="8EA9DB"/>
              <w:left w:val="nil"/>
              <w:bottom w:val="single" w:sz="4" w:space="0" w:color="8EA9DB"/>
              <w:right w:val="nil"/>
            </w:tcBorders>
            <w:shd w:val="clear" w:color="D9E1F2" w:fill="D9E1F2"/>
            <w:noWrap/>
            <w:vAlign w:val="bottom"/>
            <w:hideMark/>
          </w:tcPr>
          <w:p w14:paraId="4A1BCB74"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c>
          <w:tcPr>
            <w:tcW w:w="2546" w:type="dxa"/>
            <w:tcBorders>
              <w:top w:val="single" w:sz="4" w:space="0" w:color="8EA9DB"/>
              <w:left w:val="nil"/>
              <w:bottom w:val="single" w:sz="4" w:space="0" w:color="8EA9DB"/>
              <w:right w:val="nil"/>
            </w:tcBorders>
            <w:shd w:val="clear" w:color="D9E1F2" w:fill="D9E1F2"/>
            <w:noWrap/>
            <w:vAlign w:val="bottom"/>
            <w:hideMark/>
          </w:tcPr>
          <w:p w14:paraId="2758F2BD"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-15</w:t>
            </w:r>
          </w:p>
        </w:tc>
        <w:tc>
          <w:tcPr>
            <w:tcW w:w="960" w:type="dxa"/>
            <w:tcBorders>
              <w:top w:val="single" w:sz="4" w:space="0" w:color="8EA9DB"/>
              <w:left w:val="nil"/>
              <w:bottom w:val="single" w:sz="4" w:space="0" w:color="8EA9DB"/>
              <w:right w:val="nil"/>
            </w:tcBorders>
            <w:shd w:val="clear" w:color="D9E1F2" w:fill="D9E1F2"/>
            <w:noWrap/>
            <w:vAlign w:val="bottom"/>
            <w:hideMark/>
          </w:tcPr>
          <w:p w14:paraId="1A650F15"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40</w:t>
            </w:r>
          </w:p>
        </w:tc>
        <w:tc>
          <w:tcPr>
            <w:tcW w:w="620" w:type="dxa"/>
            <w:tcBorders>
              <w:top w:val="single" w:sz="4" w:space="0" w:color="8EA9DB"/>
              <w:left w:val="nil"/>
              <w:bottom w:val="single" w:sz="4" w:space="0" w:color="8EA9DB"/>
              <w:right w:val="nil"/>
            </w:tcBorders>
            <w:shd w:val="clear" w:color="D9E1F2" w:fill="D9E1F2"/>
            <w:noWrap/>
            <w:vAlign w:val="bottom"/>
            <w:hideMark/>
          </w:tcPr>
          <w:p w14:paraId="32006AFA"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c>
          <w:tcPr>
            <w:tcW w:w="2538" w:type="dxa"/>
            <w:tcBorders>
              <w:top w:val="single" w:sz="4" w:space="0" w:color="8EA9DB"/>
              <w:left w:val="nil"/>
              <w:bottom w:val="single" w:sz="4" w:space="0" w:color="8EA9DB"/>
              <w:right w:val="nil"/>
            </w:tcBorders>
            <w:shd w:val="clear" w:color="D9E1F2" w:fill="D9E1F2"/>
            <w:noWrap/>
            <w:vAlign w:val="bottom"/>
            <w:hideMark/>
          </w:tcPr>
          <w:p w14:paraId="5514C432"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0</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18B7A807"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35</w:t>
            </w:r>
          </w:p>
        </w:tc>
      </w:tr>
      <w:tr w:rsidR="00171A90" w:rsidRPr="00583B78" w14:paraId="65B32A8A" w14:textId="77777777" w:rsidTr="006C0B7F">
        <w:trPr>
          <w:trHeight w:val="288"/>
        </w:trPr>
        <w:tc>
          <w:tcPr>
            <w:tcW w:w="1120" w:type="dxa"/>
            <w:tcBorders>
              <w:top w:val="single" w:sz="4" w:space="0" w:color="8EA9DB"/>
              <w:left w:val="single" w:sz="4" w:space="0" w:color="8EA9DB"/>
              <w:bottom w:val="single" w:sz="4" w:space="0" w:color="8EA9DB"/>
              <w:right w:val="nil"/>
            </w:tcBorders>
            <w:shd w:val="clear" w:color="auto" w:fill="auto"/>
            <w:noWrap/>
            <w:vAlign w:val="bottom"/>
            <w:hideMark/>
          </w:tcPr>
          <w:p w14:paraId="54EBE9C4"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4</w:t>
            </w:r>
          </w:p>
        </w:tc>
        <w:tc>
          <w:tcPr>
            <w:tcW w:w="620" w:type="dxa"/>
            <w:tcBorders>
              <w:top w:val="single" w:sz="4" w:space="0" w:color="8EA9DB"/>
              <w:left w:val="nil"/>
              <w:bottom w:val="single" w:sz="4" w:space="0" w:color="8EA9DB"/>
              <w:right w:val="nil"/>
            </w:tcBorders>
            <w:shd w:val="clear" w:color="auto" w:fill="auto"/>
            <w:noWrap/>
            <w:vAlign w:val="bottom"/>
            <w:hideMark/>
          </w:tcPr>
          <w:p w14:paraId="7973EB73"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c>
          <w:tcPr>
            <w:tcW w:w="2546" w:type="dxa"/>
            <w:tcBorders>
              <w:top w:val="single" w:sz="4" w:space="0" w:color="8EA9DB"/>
              <w:left w:val="nil"/>
              <w:bottom w:val="single" w:sz="4" w:space="0" w:color="8EA9DB"/>
              <w:right w:val="nil"/>
            </w:tcBorders>
            <w:shd w:val="clear" w:color="auto" w:fill="auto"/>
            <w:noWrap/>
            <w:vAlign w:val="bottom"/>
            <w:hideMark/>
          </w:tcPr>
          <w:p w14:paraId="6F1CA684"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40</w:t>
            </w:r>
          </w:p>
        </w:tc>
        <w:tc>
          <w:tcPr>
            <w:tcW w:w="960" w:type="dxa"/>
            <w:tcBorders>
              <w:top w:val="single" w:sz="4" w:space="0" w:color="8EA9DB"/>
              <w:left w:val="nil"/>
              <w:bottom w:val="single" w:sz="4" w:space="0" w:color="8EA9DB"/>
              <w:right w:val="nil"/>
            </w:tcBorders>
            <w:shd w:val="clear" w:color="auto" w:fill="auto"/>
            <w:noWrap/>
            <w:vAlign w:val="bottom"/>
            <w:hideMark/>
          </w:tcPr>
          <w:p w14:paraId="392D0D04"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55</w:t>
            </w:r>
          </w:p>
        </w:tc>
        <w:tc>
          <w:tcPr>
            <w:tcW w:w="620" w:type="dxa"/>
            <w:tcBorders>
              <w:top w:val="single" w:sz="4" w:space="0" w:color="8EA9DB"/>
              <w:left w:val="nil"/>
              <w:bottom w:val="single" w:sz="4" w:space="0" w:color="8EA9DB"/>
              <w:right w:val="nil"/>
            </w:tcBorders>
            <w:shd w:val="clear" w:color="auto" w:fill="auto"/>
            <w:noWrap/>
            <w:vAlign w:val="bottom"/>
            <w:hideMark/>
          </w:tcPr>
          <w:p w14:paraId="10591E0F" w14:textId="77777777" w:rsidR="00171A90" w:rsidRPr="00583B78" w:rsidRDefault="00171A90" w:rsidP="006C0B7F">
            <w:pPr>
              <w:spacing w:after="0" w:line="240" w:lineRule="auto"/>
              <w:jc w:val="center"/>
              <w:rPr>
                <w:rFonts w:ascii="Calibri" w:eastAsia="Times New Roman" w:hAnsi="Calibri" w:cs="Calibri"/>
                <w:color w:val="000000"/>
                <w:lang w:eastAsia="en-GB"/>
              </w:rPr>
            </w:pPr>
          </w:p>
        </w:tc>
        <w:tc>
          <w:tcPr>
            <w:tcW w:w="2538" w:type="dxa"/>
            <w:tcBorders>
              <w:top w:val="single" w:sz="4" w:space="0" w:color="8EA9DB"/>
              <w:left w:val="nil"/>
              <w:bottom w:val="single" w:sz="4" w:space="0" w:color="8EA9DB"/>
              <w:right w:val="nil"/>
            </w:tcBorders>
            <w:shd w:val="clear" w:color="auto" w:fill="auto"/>
            <w:noWrap/>
            <w:vAlign w:val="bottom"/>
            <w:hideMark/>
          </w:tcPr>
          <w:p w14:paraId="45E2E37D"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40</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2C3E1B89" w14:textId="77777777" w:rsidR="00171A90" w:rsidRPr="00583B78" w:rsidRDefault="00171A90" w:rsidP="006C0B7F">
            <w:pPr>
              <w:spacing w:after="0" w:line="240" w:lineRule="auto"/>
              <w:jc w:val="center"/>
              <w:rPr>
                <w:rFonts w:ascii="Calibri" w:eastAsia="Times New Roman" w:hAnsi="Calibri" w:cs="Calibri"/>
                <w:color w:val="000000"/>
                <w:lang w:eastAsia="en-GB"/>
              </w:rPr>
            </w:pPr>
            <w:r w:rsidRPr="00583B78">
              <w:rPr>
                <w:rFonts w:ascii="Calibri" w:eastAsia="Times New Roman" w:hAnsi="Calibri" w:cs="Calibri"/>
                <w:color w:val="000000"/>
                <w:lang w:eastAsia="en-GB"/>
              </w:rPr>
              <w:t>40</w:t>
            </w:r>
          </w:p>
        </w:tc>
      </w:tr>
    </w:tbl>
    <w:p w14:paraId="2573CCD2" w14:textId="77777777" w:rsidR="00171A90" w:rsidRDefault="00171A90" w:rsidP="00171A90"/>
    <w:p w14:paraId="2615AE3A" w14:textId="77777777" w:rsidR="00171A90" w:rsidRPr="005E0543" w:rsidRDefault="00171A90" w:rsidP="00171A90">
      <w:pPr>
        <w:rPr>
          <w:rFonts w:cstheme="minorHAnsi"/>
        </w:rPr>
      </w:pPr>
      <w:r w:rsidRPr="005E0543">
        <w:rPr>
          <w:rFonts w:cstheme="minorHAnsi"/>
        </w:rPr>
        <w:t xml:space="preserve">PBP </w:t>
      </w:r>
      <w:r w:rsidRPr="005E0543">
        <w:rPr>
          <w:rFonts w:cstheme="minorHAnsi"/>
          <w:vertAlign w:val="subscript"/>
        </w:rPr>
        <w:t>A</w:t>
      </w:r>
      <w:r w:rsidRPr="005E0543">
        <w:rPr>
          <w:rFonts w:cstheme="minorHAnsi"/>
        </w:rPr>
        <w:t xml:space="preserve"> </w:t>
      </w:r>
      <w:r w:rsidRPr="005E0543">
        <w:rPr>
          <w:rFonts w:cstheme="minorHAnsi"/>
        </w:rPr>
        <w:sym w:font="Wingdings" w:char="F0E0"/>
      </w:r>
      <w:r w:rsidRPr="005E0543">
        <w:rPr>
          <w:rFonts w:cstheme="minorHAnsi"/>
        </w:rPr>
        <w:t xml:space="preserve"> The PBP for project A is between 3</w:t>
      </w:r>
      <w:r w:rsidRPr="005E0543">
        <w:rPr>
          <w:rFonts w:cstheme="minorHAnsi"/>
          <w:vertAlign w:val="superscript"/>
        </w:rPr>
        <w:t>rd</w:t>
      </w:r>
      <w:r w:rsidRPr="005E0543">
        <w:rPr>
          <w:rFonts w:cstheme="minorHAnsi"/>
        </w:rPr>
        <w:t xml:space="preserve"> and 4</w:t>
      </w:r>
      <w:r w:rsidRPr="005E0543">
        <w:rPr>
          <w:rFonts w:cstheme="minorHAnsi"/>
          <w:vertAlign w:val="superscript"/>
        </w:rPr>
        <w:t>th</w:t>
      </w:r>
      <w:r w:rsidRPr="005E0543">
        <w:rPr>
          <w:rFonts w:cstheme="minorHAnsi"/>
        </w:rPr>
        <w:t xml:space="preserve"> years:  </w:t>
      </w:r>
      <m:oMath>
        <m:r>
          <w:rPr>
            <w:rFonts w:ascii="Cambria Math" w:hAnsi="Cambria Math" w:cstheme="minorHAnsi"/>
          </w:rPr>
          <m:t>3+</m:t>
        </m:r>
        <m:d>
          <m:dPr>
            <m:ctrlPr>
              <w:rPr>
                <w:rFonts w:ascii="Cambria Math" w:hAnsi="Cambria Math" w:cstheme="minorHAnsi"/>
              </w:rPr>
            </m:ctrlPr>
          </m:dPr>
          <m:e>
            <m:f>
              <m:fPr>
                <m:ctrlPr>
                  <w:rPr>
                    <w:rFonts w:ascii="Cambria Math" w:hAnsi="Cambria Math" w:cstheme="minorHAnsi"/>
                  </w:rPr>
                </m:ctrlPr>
              </m:fPr>
              <m:num>
                <m:r>
                  <w:rPr>
                    <w:rFonts w:ascii="Cambria Math" w:hAnsi="Cambria Math" w:cstheme="minorHAnsi"/>
                  </w:rPr>
                  <m:t>15</m:t>
                </m:r>
              </m:num>
              <m:den>
                <m:r>
                  <w:rPr>
                    <w:rFonts w:ascii="Cambria Math" w:hAnsi="Cambria Math" w:cstheme="minorHAnsi"/>
                  </w:rPr>
                  <m:t>15+40</m:t>
                </m:r>
              </m:den>
            </m:f>
            <m:ctrlPr>
              <w:rPr>
                <w:rFonts w:ascii="Cambria Math" w:hAnsi="Cambria Math" w:cstheme="minorHAnsi"/>
                <w:i/>
              </w:rPr>
            </m:ctrlPr>
          </m:e>
        </m:d>
        <m:r>
          <w:rPr>
            <w:rFonts w:ascii="Cambria Math" w:hAnsi="Cambria Math" w:cstheme="minorHAnsi"/>
          </w:rPr>
          <m:t>=3.2</m:t>
        </m:r>
      </m:oMath>
      <w:r w:rsidRPr="005E0543">
        <w:rPr>
          <w:rFonts w:cstheme="minorHAnsi"/>
        </w:rPr>
        <w:t xml:space="preserve"> years.</w:t>
      </w:r>
    </w:p>
    <w:p w14:paraId="28C99D2C" w14:textId="77777777" w:rsidR="00171A90" w:rsidRPr="005E0543" w:rsidRDefault="00171A90" w:rsidP="00171A90">
      <w:pPr>
        <w:rPr>
          <w:rFonts w:cstheme="minorHAnsi"/>
        </w:rPr>
      </w:pPr>
      <w:r w:rsidRPr="005E0543">
        <w:rPr>
          <w:rFonts w:cstheme="minorHAnsi"/>
        </w:rPr>
        <w:t xml:space="preserve">PBP </w:t>
      </w:r>
      <w:r w:rsidRPr="005E0543">
        <w:rPr>
          <w:rFonts w:cstheme="minorHAnsi"/>
          <w:vertAlign w:val="subscript"/>
        </w:rPr>
        <w:t>B</w:t>
      </w:r>
      <w:r w:rsidRPr="005E0543">
        <w:rPr>
          <w:rFonts w:cstheme="minorHAnsi"/>
        </w:rPr>
        <w:sym w:font="Wingdings" w:char="F0E0"/>
      </w:r>
      <w:r w:rsidRPr="005E0543">
        <w:rPr>
          <w:rFonts w:cstheme="minorHAnsi"/>
        </w:rPr>
        <w:t xml:space="preserve"> The PBP for project B is 3 years. </w:t>
      </w:r>
    </w:p>
    <w:p w14:paraId="599F5A01" w14:textId="77777777" w:rsidR="00171A90" w:rsidRPr="005E0543" w:rsidRDefault="00171A90" w:rsidP="00171A90">
      <w:pPr>
        <w:rPr>
          <w:rFonts w:eastAsiaTheme="minorEastAsia" w:cstheme="minorHAnsi"/>
        </w:rPr>
      </w:pPr>
      <w:r w:rsidRPr="005E0543">
        <w:rPr>
          <w:rFonts w:cstheme="minorHAnsi"/>
        </w:rPr>
        <w:t xml:space="preserve">Decision roles: a project with shorter payback period will be adopted, </w:t>
      </w:r>
      <w:r w:rsidRPr="005E0543">
        <w:rPr>
          <w:rFonts w:eastAsiaTheme="minorEastAsia" w:cstheme="minorHAnsi"/>
        </w:rPr>
        <w:t>since the investment initial outlay is put at risk for shorter period.</w:t>
      </w:r>
    </w:p>
    <w:p w14:paraId="514CBAF8" w14:textId="77777777" w:rsidR="00171A90" w:rsidRPr="005E0543" w:rsidRDefault="00171A90" w:rsidP="00171A90">
      <w:pPr>
        <w:rPr>
          <w:rFonts w:eastAsiaTheme="minorEastAsia" w:cstheme="minorHAnsi"/>
        </w:rPr>
      </w:pPr>
      <w:r w:rsidRPr="005E0543">
        <w:rPr>
          <w:rFonts w:cstheme="minorHAnsi"/>
        </w:rPr>
        <w:t xml:space="preserve">GSK should adopt project B because at the end of the third year the initial investment will be cover </w:t>
      </w:r>
      <m:oMath>
        <m:d>
          <m:dPr>
            <m:ctrlPr>
              <w:rPr>
                <w:rFonts w:ascii="Cambria Math" w:hAnsi="Cambria Math" w:cstheme="minorHAnsi"/>
                <w:i/>
              </w:rPr>
            </m:ctrlPr>
          </m:dPr>
          <m:e>
            <m:r>
              <w:rPr>
                <w:rFonts w:ascii="Cambria Math" w:hAnsi="Cambria Math" w:cstheme="minorHAnsi"/>
              </w:rPr>
              <m:t>3&lt;3.2</m:t>
            </m:r>
          </m:e>
        </m:d>
      </m:oMath>
      <w:r w:rsidRPr="005E0543">
        <w:rPr>
          <w:rFonts w:eastAsiaTheme="minorEastAsia" w:cstheme="minorHAnsi"/>
        </w:rPr>
        <w:t>.</w:t>
      </w:r>
    </w:p>
    <w:p w14:paraId="07AD976F" w14:textId="77777777" w:rsidR="00171A90" w:rsidRPr="008B1559" w:rsidRDefault="00171A90" w:rsidP="00266A81">
      <w:pPr>
        <w:pStyle w:val="Heading3"/>
        <w:rPr>
          <w:rFonts w:eastAsiaTheme="minorEastAsia"/>
        </w:rPr>
      </w:pPr>
      <w:bookmarkStart w:id="24" w:name="_Toc7774461"/>
      <w:r w:rsidRPr="008B1559">
        <w:rPr>
          <w:rFonts w:eastAsiaTheme="minorEastAsia"/>
        </w:rPr>
        <w:t>Advantages and disadvantages of PBP period.</w:t>
      </w:r>
      <w:bookmarkEnd w:id="24"/>
      <w:r w:rsidRPr="008B1559">
        <w:rPr>
          <w:rFonts w:eastAsiaTheme="minorEastAsia"/>
        </w:rPr>
        <w:t xml:space="preserve"> </w:t>
      </w:r>
    </w:p>
    <w:p w14:paraId="299740E9" w14:textId="77777777" w:rsidR="00171A90" w:rsidRPr="00282AA3" w:rsidRDefault="00171A90" w:rsidP="00171A90">
      <w:pPr>
        <w:rPr>
          <w:rFonts w:eastAsiaTheme="minorEastAsia"/>
        </w:rPr>
      </w:pPr>
      <w:r>
        <w:rPr>
          <w:rFonts w:eastAsiaTheme="minorEastAsia"/>
        </w:rPr>
        <w:t xml:space="preserve">For small business the PBP could be the best method among the other budgeting methods.  Indeed, small company with limited liquidity need to quickly recover their cost in order to reinvest it in new opportunities. Also, it is useful for industries that are uncertain or witness rapid technological changes.   Moreover, its calculation is the easier one and its understanding is simple. </w:t>
      </w:r>
    </w:p>
    <w:p w14:paraId="2AA1FE57" w14:textId="77777777" w:rsidR="00171A90" w:rsidRDefault="00171A90" w:rsidP="00171A90">
      <w:pPr>
        <w:rPr>
          <w:rFonts w:eastAsiaTheme="minorEastAsia"/>
        </w:rPr>
      </w:pPr>
      <w:r>
        <w:rPr>
          <w:rFonts w:eastAsiaTheme="minorEastAsia"/>
        </w:rPr>
        <w:t xml:space="preserve">It needs to be noted that it ignores cash flows after the payback period, it takes no account of the “time value of money” and it ignores project’s profitability. </w:t>
      </w:r>
    </w:p>
    <w:p w14:paraId="23A72553" w14:textId="77777777" w:rsidR="00171A90" w:rsidRDefault="00171A90" w:rsidP="00171A90">
      <w:pPr>
        <w:rPr>
          <w:rFonts w:eastAsiaTheme="minorEastAsia"/>
        </w:rPr>
      </w:pPr>
    </w:p>
    <w:p w14:paraId="5E4FB333" w14:textId="77777777" w:rsidR="00171A90" w:rsidRPr="00AC062C" w:rsidRDefault="00171A90" w:rsidP="00171A90">
      <w:pPr>
        <w:rPr>
          <w:rFonts w:eastAsiaTheme="minorEastAsia"/>
        </w:rPr>
      </w:pPr>
    </w:p>
    <w:p w14:paraId="329A8165" w14:textId="77777777" w:rsidR="00171A90" w:rsidRDefault="00171A90" w:rsidP="00266A81">
      <w:pPr>
        <w:pStyle w:val="Heading2"/>
      </w:pPr>
      <w:bookmarkStart w:id="25" w:name="_Toc7774462"/>
      <w:r w:rsidRPr="0077514D">
        <w:t>Accounting rate of return</w:t>
      </w:r>
      <w:bookmarkEnd w:id="25"/>
    </w:p>
    <w:p w14:paraId="6C62DFAC" w14:textId="77777777" w:rsidR="00171A90" w:rsidRDefault="00171A90" w:rsidP="00171A90">
      <w:r w:rsidRPr="00D7412D">
        <w:t xml:space="preserve">The accounting rate of return ARR is also known as Return on capital employed ROCE and return on investment ROI. </w:t>
      </w:r>
      <w:r>
        <w:t xml:space="preserve">ARR calculates the profit of an investment as a percentage of the original cost. </w:t>
      </w:r>
    </w:p>
    <w:p w14:paraId="3110ABB1" w14:textId="77777777" w:rsidR="00171A90" w:rsidRPr="0065528E" w:rsidRDefault="00171A90" w:rsidP="00171A90">
      <w:pPr>
        <w:rPr>
          <w:rFonts w:eastAsiaTheme="minorEastAsia"/>
          <w:lang w:val="it-IT"/>
        </w:rPr>
      </w:pPr>
      <w:r w:rsidRPr="0065528E">
        <w:rPr>
          <w:lang w:val="it-IT"/>
        </w:rPr>
        <w:t xml:space="preserve">ROI </w:t>
      </w:r>
      <w:r w:rsidRPr="0065528E">
        <w:rPr>
          <w:vertAlign w:val="subscript"/>
          <w:lang w:val="it-IT"/>
        </w:rPr>
        <w:t>A</w:t>
      </w:r>
      <w:r>
        <w:sym w:font="Wingdings" w:char="F0E0"/>
      </w:r>
      <w:r w:rsidRPr="0065528E">
        <w:rPr>
          <w:lang w:val="it-IT"/>
        </w:rPr>
        <w:t xml:space="preserve"> </w:t>
      </w:r>
      <m:oMath>
        <m:f>
          <m:fPr>
            <m:ctrlPr>
              <w:rPr>
                <w:rFonts w:ascii="Cambria Math" w:eastAsiaTheme="minorEastAsia" w:hAnsi="Cambria Math"/>
                <w:i/>
                <w:lang w:val="it-IT"/>
              </w:rPr>
            </m:ctrlPr>
          </m:fPr>
          <m:num>
            <m:f>
              <m:fPr>
                <m:ctrlPr>
                  <w:rPr>
                    <w:rFonts w:ascii="Cambria Math" w:eastAsiaTheme="minorEastAsia" w:hAnsi="Cambria Math"/>
                    <w:i/>
                    <w:lang w:val="it-IT"/>
                  </w:rPr>
                </m:ctrlPr>
              </m:fPr>
              <m:num>
                <m:r>
                  <w:rPr>
                    <w:rFonts w:ascii="Cambria Math" w:eastAsiaTheme="minorEastAsia" w:hAnsi="Cambria Math"/>
                    <w:lang w:val="it-IT"/>
                  </w:rPr>
                  <m:t>125000-85000</m:t>
                </m:r>
              </m:num>
              <m:den>
                <m:r>
                  <w:rPr>
                    <w:rFonts w:ascii="Cambria Math" w:eastAsiaTheme="minorEastAsia" w:hAnsi="Cambria Math"/>
                    <w:lang w:val="it-IT"/>
                  </w:rPr>
                  <m:t>4</m:t>
                </m:r>
              </m:den>
            </m:f>
          </m:num>
          <m:den>
            <m:f>
              <m:fPr>
                <m:ctrlPr>
                  <w:rPr>
                    <w:rFonts w:ascii="Cambria Math" w:eastAsiaTheme="minorEastAsia" w:hAnsi="Cambria Math"/>
                    <w:i/>
                    <w:lang w:val="it-IT"/>
                  </w:rPr>
                </m:ctrlPr>
              </m:fPr>
              <m:num>
                <m:r>
                  <w:rPr>
                    <w:rFonts w:ascii="Cambria Math" w:eastAsiaTheme="minorEastAsia" w:hAnsi="Cambria Math"/>
                    <w:lang w:val="it-IT"/>
                  </w:rPr>
                  <m:t>85000</m:t>
                </m:r>
              </m:num>
              <m:den>
                <m:r>
                  <w:rPr>
                    <w:rFonts w:ascii="Cambria Math" w:eastAsiaTheme="minorEastAsia" w:hAnsi="Cambria Math"/>
                    <w:lang w:val="it-IT"/>
                  </w:rPr>
                  <m:t>2</m:t>
                </m:r>
              </m:den>
            </m:f>
          </m:den>
        </m:f>
        <m:r>
          <w:rPr>
            <w:rFonts w:ascii="Cambria Math" w:eastAsiaTheme="minorEastAsia" w:hAnsi="Cambria Math"/>
            <w:lang w:val="it-IT"/>
          </w:rPr>
          <m:t xml:space="preserve"> </m:t>
        </m:r>
        <m:r>
          <w:rPr>
            <w:rFonts w:ascii="Cambria Math" w:eastAsiaTheme="minorEastAsia" w:hAnsi="Cambria Math"/>
          </w:rPr>
          <m:t>x</m:t>
        </m:r>
        <m:r>
          <w:rPr>
            <w:rFonts w:ascii="Cambria Math" w:eastAsiaTheme="minorEastAsia" w:hAnsi="Cambria Math"/>
            <w:lang w:val="it-IT"/>
          </w:rPr>
          <m:t>100=23.5%</m:t>
        </m:r>
      </m:oMath>
      <w:r w:rsidRPr="0065528E">
        <w:rPr>
          <w:rFonts w:eastAsiaTheme="minorEastAsia"/>
          <w:lang w:val="it-IT"/>
        </w:rPr>
        <w:t xml:space="preserve"> </w:t>
      </w:r>
    </w:p>
    <w:p w14:paraId="67976BE2" w14:textId="77777777" w:rsidR="00171A90" w:rsidRPr="0065528E" w:rsidRDefault="00171A90" w:rsidP="00171A90">
      <w:pPr>
        <w:rPr>
          <w:rFonts w:eastAsiaTheme="minorEastAsia"/>
          <w:lang w:val="it-IT"/>
        </w:rPr>
      </w:pPr>
      <w:r w:rsidRPr="0065528E">
        <w:rPr>
          <w:rFonts w:eastAsiaTheme="minorEastAsia"/>
          <w:lang w:val="it-IT"/>
        </w:rPr>
        <w:t xml:space="preserve">ROI </w:t>
      </w:r>
      <w:r w:rsidRPr="0065528E">
        <w:rPr>
          <w:rFonts w:eastAsiaTheme="minorEastAsia"/>
          <w:vertAlign w:val="subscript"/>
          <w:lang w:val="it-IT"/>
        </w:rPr>
        <w:t>B</w:t>
      </w:r>
      <w:r w:rsidRPr="00EE6798">
        <w:rPr>
          <w:rFonts w:eastAsiaTheme="minorEastAsia"/>
        </w:rPr>
        <w:sym w:font="Wingdings" w:char="F0E0"/>
      </w:r>
      <w:r w:rsidRPr="0065528E">
        <w:rPr>
          <w:rFonts w:eastAsiaTheme="minorEastAsia"/>
          <w:lang w:val="it-IT"/>
        </w:rPr>
        <w:t xml:space="preserve"> </w:t>
      </w:r>
      <m:oMath>
        <m:f>
          <m:fPr>
            <m:ctrlPr>
              <w:rPr>
                <w:rFonts w:ascii="Cambria Math" w:eastAsiaTheme="minorEastAsia" w:hAnsi="Cambria Math"/>
                <w:i/>
                <w:lang w:val="it-IT"/>
              </w:rPr>
            </m:ctrlPr>
          </m:fPr>
          <m:num>
            <m:f>
              <m:fPr>
                <m:ctrlPr>
                  <w:rPr>
                    <w:rFonts w:ascii="Cambria Math" w:eastAsiaTheme="minorEastAsia" w:hAnsi="Cambria Math"/>
                    <w:i/>
                    <w:lang w:val="it-IT"/>
                  </w:rPr>
                </m:ctrlPr>
              </m:fPr>
              <m:num>
                <m:r>
                  <w:rPr>
                    <w:rFonts w:ascii="Cambria Math" w:eastAsiaTheme="minorEastAsia" w:hAnsi="Cambria Math"/>
                    <w:lang w:val="it-IT"/>
                  </w:rPr>
                  <m:t>130000-90000</m:t>
                </m:r>
              </m:num>
              <m:den>
                <m:r>
                  <w:rPr>
                    <w:rFonts w:ascii="Cambria Math" w:eastAsiaTheme="minorEastAsia" w:hAnsi="Cambria Math"/>
                    <w:lang w:val="it-IT"/>
                  </w:rPr>
                  <m:t>4</m:t>
                </m:r>
              </m:den>
            </m:f>
          </m:num>
          <m:den>
            <m:d>
              <m:dPr>
                <m:ctrlPr>
                  <w:rPr>
                    <w:rFonts w:ascii="Cambria Math" w:eastAsiaTheme="minorEastAsia" w:hAnsi="Cambria Math"/>
                    <w:i/>
                    <w:lang w:val="it-IT"/>
                  </w:rPr>
                </m:ctrlPr>
              </m:dPr>
              <m:e>
                <m:f>
                  <m:fPr>
                    <m:ctrlPr>
                      <w:rPr>
                        <w:rFonts w:ascii="Cambria Math" w:eastAsiaTheme="minorEastAsia" w:hAnsi="Cambria Math"/>
                        <w:i/>
                        <w:lang w:val="it-IT"/>
                      </w:rPr>
                    </m:ctrlPr>
                  </m:fPr>
                  <m:num>
                    <m:r>
                      <w:rPr>
                        <w:rFonts w:ascii="Cambria Math" w:eastAsiaTheme="minorEastAsia" w:hAnsi="Cambria Math"/>
                        <w:lang w:val="it-IT"/>
                      </w:rPr>
                      <m:t>90000</m:t>
                    </m:r>
                  </m:num>
                  <m:den>
                    <m:r>
                      <w:rPr>
                        <w:rFonts w:ascii="Cambria Math" w:eastAsiaTheme="minorEastAsia" w:hAnsi="Cambria Math"/>
                        <w:lang w:val="it-IT"/>
                      </w:rPr>
                      <m:t>2</m:t>
                    </m:r>
                  </m:den>
                </m:f>
              </m:e>
            </m:d>
          </m:den>
        </m:f>
        <m:r>
          <w:rPr>
            <w:rFonts w:ascii="Cambria Math" w:eastAsiaTheme="minorEastAsia" w:hAnsi="Cambria Math"/>
          </w:rPr>
          <m:t>x</m:t>
        </m:r>
        <m:r>
          <w:rPr>
            <w:rFonts w:ascii="Cambria Math" w:eastAsiaTheme="minorEastAsia" w:hAnsi="Cambria Math"/>
            <w:lang w:val="it-IT"/>
          </w:rPr>
          <m:t>100=22.2%</m:t>
        </m:r>
      </m:oMath>
      <w:r w:rsidRPr="0065528E">
        <w:rPr>
          <w:rFonts w:eastAsiaTheme="minorEastAsia"/>
          <w:lang w:val="it-IT"/>
        </w:rPr>
        <w:t xml:space="preserve"> </w:t>
      </w:r>
    </w:p>
    <w:p w14:paraId="37129AFD" w14:textId="77777777" w:rsidR="00171A90" w:rsidRPr="00167B11" w:rsidRDefault="00171A90" w:rsidP="00171A90">
      <w:pPr>
        <w:rPr>
          <w:rFonts w:eastAsiaTheme="minorEastAsia"/>
        </w:rPr>
      </w:pPr>
      <w:r>
        <w:t xml:space="preserve">Decision role: the project with highest ROCE will be accepted. </w:t>
      </w:r>
    </w:p>
    <w:p w14:paraId="5FD0A63D" w14:textId="77777777" w:rsidR="00171A90" w:rsidRDefault="00171A90" w:rsidP="00171A90">
      <w:r>
        <w:t xml:space="preserve">GSK should adopt project A because (ROI </w:t>
      </w:r>
      <w:r>
        <w:rPr>
          <w:vertAlign w:val="subscript"/>
        </w:rPr>
        <w:t xml:space="preserve">A </w:t>
      </w:r>
      <w:r>
        <w:t xml:space="preserve">&gt; ROI </w:t>
      </w:r>
      <w:r>
        <w:rPr>
          <w:vertAlign w:val="subscript"/>
        </w:rPr>
        <w:t>B</w:t>
      </w:r>
      <w:r>
        <w:t>).</w:t>
      </w:r>
    </w:p>
    <w:p w14:paraId="62865331" w14:textId="13FF2907" w:rsidR="00171A90" w:rsidRPr="008B1559" w:rsidRDefault="00171A90" w:rsidP="00266A81">
      <w:pPr>
        <w:pStyle w:val="Heading3"/>
      </w:pPr>
      <w:bookmarkStart w:id="26" w:name="_Toc7774463"/>
      <w:r w:rsidRPr="008B1559">
        <w:t>Advantages and disadvantages of ARR</w:t>
      </w:r>
      <w:bookmarkEnd w:id="26"/>
    </w:p>
    <w:p w14:paraId="56326141" w14:textId="77777777" w:rsidR="00171A90" w:rsidRDefault="00171A90" w:rsidP="00171A90">
      <w:r>
        <w:t xml:space="preserve">The ARR method measures the whole profitability of the project. Indeed, this method is useful for the shareholders since they are interested in return on investment. Also, like the PBP, it is easy to calculate and to understand the results. </w:t>
      </w:r>
    </w:p>
    <w:p w14:paraId="65C9EE60" w14:textId="77777777" w:rsidR="00171A90" w:rsidRDefault="00171A90" w:rsidP="00171A90">
      <w:r>
        <w:t xml:space="preserve">However, it does not consider both the cash flows and the “time value of the money”. </w:t>
      </w:r>
    </w:p>
    <w:p w14:paraId="0ECACB12" w14:textId="77777777" w:rsidR="00171A90" w:rsidRPr="00B43356" w:rsidRDefault="00171A90" w:rsidP="00171A90"/>
    <w:p w14:paraId="14DD1E20" w14:textId="77777777" w:rsidR="00171A90" w:rsidRDefault="00171A90" w:rsidP="00266A81">
      <w:pPr>
        <w:pStyle w:val="Heading2"/>
      </w:pPr>
      <w:bookmarkStart w:id="27" w:name="_Toc7774464"/>
      <w:r>
        <w:lastRenderedPageBreak/>
        <w:t>Net present value</w:t>
      </w:r>
      <w:bookmarkEnd w:id="27"/>
      <w:r>
        <w:t xml:space="preserve"> </w:t>
      </w:r>
    </w:p>
    <w:p w14:paraId="01D96807" w14:textId="77777777" w:rsidR="00171A90" w:rsidRDefault="00171A90" w:rsidP="00171A90">
      <w:r>
        <w:t xml:space="preserve">The net present value calculates the monetary value now of a project’s future cash flows. It is expressed in terms of monetary value. </w:t>
      </w:r>
    </w:p>
    <w:tbl>
      <w:tblPr>
        <w:tblW w:w="10771" w:type="dxa"/>
        <w:tblInd w:w="5" w:type="dxa"/>
        <w:tblLook w:val="04A0" w:firstRow="1" w:lastRow="0" w:firstColumn="1" w:lastColumn="0" w:noHBand="0" w:noVBand="1"/>
      </w:tblPr>
      <w:tblGrid>
        <w:gridCol w:w="1091"/>
        <w:gridCol w:w="1091"/>
        <w:gridCol w:w="507"/>
        <w:gridCol w:w="584"/>
        <w:gridCol w:w="1091"/>
        <w:gridCol w:w="1091"/>
        <w:gridCol w:w="1091"/>
        <w:gridCol w:w="1091"/>
        <w:gridCol w:w="1091"/>
        <w:gridCol w:w="1091"/>
        <w:gridCol w:w="952"/>
      </w:tblGrid>
      <w:tr w:rsidR="00171A90" w:rsidRPr="007D5EA0" w14:paraId="06494208" w14:textId="77777777" w:rsidTr="006C0B7F">
        <w:trPr>
          <w:gridAfter w:val="8"/>
          <w:wAfter w:w="8082" w:type="dxa"/>
          <w:trHeight w:val="282"/>
        </w:trPr>
        <w:tc>
          <w:tcPr>
            <w:tcW w:w="2689" w:type="dxa"/>
            <w:gridSpan w:val="3"/>
            <w:tcBorders>
              <w:top w:val="nil"/>
              <w:left w:val="nil"/>
              <w:bottom w:val="nil"/>
              <w:right w:val="nil"/>
            </w:tcBorders>
            <w:shd w:val="clear" w:color="auto" w:fill="auto"/>
            <w:noWrap/>
            <w:vAlign w:val="bottom"/>
            <w:hideMark/>
          </w:tcPr>
          <w:p w14:paraId="0C788314" w14:textId="77777777" w:rsidR="00171A90" w:rsidRPr="007D5EA0" w:rsidRDefault="00171A90" w:rsidP="006C0B7F">
            <w:pPr>
              <w:spacing w:after="0" w:line="240" w:lineRule="auto"/>
              <w:jc w:val="center"/>
              <w:rPr>
                <w:rFonts w:ascii="Calibri" w:eastAsia="Times New Roman" w:hAnsi="Calibri" w:cs="Calibri"/>
                <w:b/>
                <w:bCs/>
                <w:color w:val="FFFFFF"/>
                <w:lang w:eastAsia="en-GB"/>
              </w:rPr>
            </w:pPr>
          </w:p>
        </w:tc>
      </w:tr>
      <w:tr w:rsidR="00171A90" w:rsidRPr="007D5EA0" w14:paraId="49B475E4" w14:textId="77777777" w:rsidTr="006C0B7F">
        <w:trPr>
          <w:trHeight w:val="282"/>
        </w:trPr>
        <w:tc>
          <w:tcPr>
            <w:tcW w:w="1091" w:type="dxa"/>
            <w:tcBorders>
              <w:top w:val="single" w:sz="4" w:space="0" w:color="8EA9DB"/>
              <w:left w:val="single" w:sz="4" w:space="0" w:color="8EA9DB"/>
              <w:bottom w:val="single" w:sz="4" w:space="0" w:color="8EA9DB"/>
              <w:right w:val="nil"/>
            </w:tcBorders>
            <w:shd w:val="clear" w:color="D9E1F2" w:fill="D9E1F2"/>
            <w:noWrap/>
            <w:vAlign w:val="bottom"/>
            <w:hideMark/>
          </w:tcPr>
          <w:p w14:paraId="4376D402"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Year</w:t>
            </w:r>
          </w:p>
        </w:tc>
        <w:tc>
          <w:tcPr>
            <w:tcW w:w="1091" w:type="dxa"/>
            <w:tcBorders>
              <w:top w:val="single" w:sz="4" w:space="0" w:color="8EA9DB"/>
              <w:left w:val="nil"/>
              <w:bottom w:val="single" w:sz="4" w:space="0" w:color="8EA9DB"/>
              <w:right w:val="nil"/>
            </w:tcBorders>
            <w:shd w:val="clear" w:color="D9E1F2" w:fill="D9E1F2"/>
            <w:noWrap/>
            <w:vAlign w:val="bottom"/>
            <w:hideMark/>
          </w:tcPr>
          <w:p w14:paraId="40B03AA1"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c>
          <w:tcPr>
            <w:tcW w:w="1091" w:type="dxa"/>
            <w:gridSpan w:val="2"/>
            <w:tcBorders>
              <w:top w:val="single" w:sz="4" w:space="0" w:color="8EA9DB"/>
              <w:left w:val="nil"/>
              <w:bottom w:val="single" w:sz="4" w:space="0" w:color="8EA9DB"/>
              <w:right w:val="nil"/>
            </w:tcBorders>
            <w:shd w:val="clear" w:color="D9E1F2" w:fill="D9E1F2"/>
            <w:noWrap/>
            <w:vAlign w:val="bottom"/>
            <w:hideMark/>
          </w:tcPr>
          <w:p w14:paraId="43C606A2" w14:textId="77777777" w:rsidR="00171A90" w:rsidRPr="007D5EA0" w:rsidRDefault="00171A90" w:rsidP="006C0B7F">
            <w:pPr>
              <w:spacing w:after="0" w:line="240" w:lineRule="auto"/>
              <w:jc w:val="center"/>
              <w:rPr>
                <w:rFonts w:ascii="Calibri" w:eastAsia="Times New Roman" w:hAnsi="Calibri" w:cs="Calibri"/>
                <w:color w:val="000000"/>
                <w:vertAlign w:val="subscript"/>
                <w:lang w:eastAsia="en-GB"/>
              </w:rPr>
            </w:pPr>
            <w:r w:rsidRPr="007D5EA0">
              <w:rPr>
                <w:rFonts w:ascii="Calibri" w:eastAsia="Times New Roman" w:hAnsi="Calibri" w:cs="Calibri"/>
                <w:color w:val="000000"/>
                <w:lang w:eastAsia="en-GB"/>
              </w:rPr>
              <w:t>DF</w:t>
            </w:r>
            <w:r>
              <w:rPr>
                <w:rFonts w:ascii="Calibri" w:eastAsia="Times New Roman" w:hAnsi="Calibri" w:cs="Calibri"/>
                <w:color w:val="000000"/>
                <w:lang w:eastAsia="en-GB"/>
              </w:rPr>
              <w:t xml:space="preserve"> </w:t>
            </w:r>
            <w:r>
              <w:rPr>
                <w:rFonts w:ascii="Calibri" w:eastAsia="Times New Roman" w:hAnsi="Calibri" w:cs="Calibri"/>
                <w:color w:val="000000"/>
                <w:vertAlign w:val="subscript"/>
                <w:lang w:eastAsia="en-GB"/>
              </w:rPr>
              <w:t>A</w:t>
            </w:r>
          </w:p>
        </w:tc>
        <w:tc>
          <w:tcPr>
            <w:tcW w:w="1091" w:type="dxa"/>
            <w:tcBorders>
              <w:top w:val="single" w:sz="4" w:space="0" w:color="8EA9DB"/>
              <w:left w:val="nil"/>
              <w:bottom w:val="single" w:sz="4" w:space="0" w:color="8EA9DB"/>
              <w:right w:val="nil"/>
            </w:tcBorders>
            <w:shd w:val="clear" w:color="D9E1F2" w:fill="D9E1F2"/>
            <w:noWrap/>
            <w:vAlign w:val="bottom"/>
            <w:hideMark/>
          </w:tcPr>
          <w:p w14:paraId="1EF94E05"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NCF</w:t>
            </w:r>
            <w:r>
              <w:rPr>
                <w:rFonts w:ascii="Calibri" w:eastAsia="Times New Roman" w:hAnsi="Calibri" w:cs="Calibri"/>
                <w:color w:val="000000"/>
                <w:lang w:eastAsia="en-GB"/>
              </w:rPr>
              <w:t xml:space="preserve"> </w:t>
            </w:r>
            <w:r>
              <w:rPr>
                <w:rFonts w:ascii="Calibri" w:eastAsia="Times New Roman" w:hAnsi="Calibri" w:cs="Calibri"/>
                <w:color w:val="000000"/>
                <w:vertAlign w:val="subscript"/>
                <w:lang w:eastAsia="en-GB"/>
              </w:rPr>
              <w:t>A</w:t>
            </w:r>
            <w:r w:rsidRPr="007D5EA0">
              <w:rPr>
                <w:rFonts w:ascii="Calibri" w:eastAsia="Times New Roman" w:hAnsi="Calibri" w:cs="Calibri"/>
                <w:color w:val="000000"/>
                <w:lang w:eastAsia="en-GB"/>
              </w:rPr>
              <w:t xml:space="preserve"> (£)</w:t>
            </w:r>
          </w:p>
        </w:tc>
        <w:tc>
          <w:tcPr>
            <w:tcW w:w="1091" w:type="dxa"/>
            <w:tcBorders>
              <w:top w:val="single" w:sz="4" w:space="0" w:color="8EA9DB"/>
              <w:left w:val="nil"/>
              <w:bottom w:val="single" w:sz="4" w:space="0" w:color="8EA9DB"/>
              <w:right w:val="nil"/>
            </w:tcBorders>
            <w:shd w:val="clear" w:color="D9E1F2" w:fill="D9E1F2"/>
            <w:noWrap/>
            <w:vAlign w:val="bottom"/>
            <w:hideMark/>
          </w:tcPr>
          <w:p w14:paraId="5D32CF23"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PV</w:t>
            </w:r>
            <w:r>
              <w:rPr>
                <w:rFonts w:ascii="Calibri" w:eastAsia="Times New Roman" w:hAnsi="Calibri" w:cs="Calibri"/>
                <w:color w:val="000000"/>
                <w:lang w:eastAsia="en-GB"/>
              </w:rPr>
              <w:t xml:space="preserve"> </w:t>
            </w:r>
            <w:r>
              <w:rPr>
                <w:rFonts w:ascii="Calibri" w:eastAsia="Times New Roman" w:hAnsi="Calibri" w:cs="Calibri"/>
                <w:color w:val="000000"/>
                <w:vertAlign w:val="subscript"/>
                <w:lang w:eastAsia="en-GB"/>
              </w:rPr>
              <w:t xml:space="preserve">A </w:t>
            </w:r>
            <w:r w:rsidRPr="007D5EA0">
              <w:rPr>
                <w:rFonts w:ascii="Calibri" w:eastAsia="Times New Roman" w:hAnsi="Calibri" w:cs="Calibri"/>
                <w:color w:val="000000"/>
                <w:lang w:eastAsia="en-GB"/>
              </w:rPr>
              <w:t>(£)</w:t>
            </w:r>
          </w:p>
        </w:tc>
        <w:tc>
          <w:tcPr>
            <w:tcW w:w="1091" w:type="dxa"/>
            <w:tcBorders>
              <w:top w:val="single" w:sz="4" w:space="0" w:color="8EA9DB"/>
              <w:left w:val="nil"/>
              <w:bottom w:val="single" w:sz="4" w:space="0" w:color="8EA9DB"/>
              <w:right w:val="nil"/>
            </w:tcBorders>
            <w:shd w:val="clear" w:color="D9E1F2" w:fill="D9E1F2"/>
            <w:noWrap/>
            <w:vAlign w:val="bottom"/>
            <w:hideMark/>
          </w:tcPr>
          <w:p w14:paraId="014149D6"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40BA3B3C" w14:textId="77777777" w:rsidR="00171A90" w:rsidRPr="007D5EA0" w:rsidRDefault="00171A90" w:rsidP="006C0B7F">
            <w:pPr>
              <w:spacing w:after="0" w:line="240" w:lineRule="auto"/>
              <w:jc w:val="center"/>
              <w:rPr>
                <w:rFonts w:ascii="Calibri" w:eastAsia="Times New Roman" w:hAnsi="Calibri" w:cs="Calibri"/>
                <w:color w:val="000000"/>
                <w:vertAlign w:val="subscript"/>
                <w:lang w:eastAsia="en-GB"/>
              </w:rPr>
            </w:pPr>
            <w:r w:rsidRPr="007D5EA0">
              <w:rPr>
                <w:rFonts w:ascii="Calibri" w:eastAsia="Times New Roman" w:hAnsi="Calibri" w:cs="Calibri"/>
                <w:color w:val="000000"/>
                <w:lang w:eastAsia="en-GB"/>
              </w:rPr>
              <w:t>DF</w:t>
            </w:r>
            <w:r>
              <w:rPr>
                <w:rFonts w:ascii="Calibri" w:eastAsia="Times New Roman" w:hAnsi="Calibri" w:cs="Calibri"/>
                <w:color w:val="000000"/>
                <w:lang w:eastAsia="en-GB"/>
              </w:rPr>
              <w:t xml:space="preserve"> </w:t>
            </w:r>
            <w:r>
              <w:rPr>
                <w:rFonts w:ascii="Calibri" w:eastAsia="Times New Roman" w:hAnsi="Calibri" w:cs="Calibri"/>
                <w:color w:val="000000"/>
                <w:vertAlign w:val="subscript"/>
                <w:lang w:eastAsia="en-GB"/>
              </w:rPr>
              <w:t>A</w:t>
            </w:r>
          </w:p>
        </w:tc>
        <w:tc>
          <w:tcPr>
            <w:tcW w:w="1091" w:type="dxa"/>
            <w:tcBorders>
              <w:top w:val="single" w:sz="4" w:space="0" w:color="8EA9DB"/>
              <w:left w:val="nil"/>
              <w:bottom w:val="single" w:sz="4" w:space="0" w:color="8EA9DB"/>
              <w:right w:val="nil"/>
            </w:tcBorders>
            <w:shd w:val="clear" w:color="D9E1F2" w:fill="D9E1F2"/>
            <w:noWrap/>
            <w:vAlign w:val="bottom"/>
            <w:hideMark/>
          </w:tcPr>
          <w:p w14:paraId="437F31E2"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 xml:space="preserve">NCF </w:t>
            </w:r>
            <w:r>
              <w:rPr>
                <w:rFonts w:ascii="Calibri" w:eastAsia="Times New Roman" w:hAnsi="Calibri" w:cs="Calibri"/>
                <w:color w:val="000000"/>
                <w:vertAlign w:val="subscript"/>
                <w:lang w:eastAsia="en-GB"/>
              </w:rPr>
              <w:t xml:space="preserve">B </w:t>
            </w:r>
            <w:r w:rsidRPr="007D5EA0">
              <w:rPr>
                <w:rFonts w:ascii="Calibri" w:eastAsia="Times New Roman" w:hAnsi="Calibri" w:cs="Calibri"/>
                <w:color w:val="000000"/>
                <w:lang w:eastAsia="en-GB"/>
              </w:rPr>
              <w:t>(£)</w:t>
            </w:r>
          </w:p>
        </w:tc>
        <w:tc>
          <w:tcPr>
            <w:tcW w:w="1091" w:type="dxa"/>
            <w:tcBorders>
              <w:top w:val="single" w:sz="4" w:space="0" w:color="8EA9DB"/>
              <w:left w:val="nil"/>
              <w:bottom w:val="single" w:sz="4" w:space="0" w:color="8EA9DB"/>
              <w:right w:val="single" w:sz="4" w:space="0" w:color="8EA9DB"/>
            </w:tcBorders>
            <w:shd w:val="clear" w:color="D9E1F2" w:fill="D9E1F2"/>
            <w:noWrap/>
            <w:vAlign w:val="bottom"/>
            <w:hideMark/>
          </w:tcPr>
          <w:p w14:paraId="01A97C2E"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PV</w:t>
            </w:r>
            <w:r>
              <w:rPr>
                <w:rFonts w:ascii="Calibri" w:eastAsia="Times New Roman" w:hAnsi="Calibri" w:cs="Calibri"/>
                <w:color w:val="000000"/>
                <w:lang w:eastAsia="en-GB"/>
              </w:rPr>
              <w:t xml:space="preserve"> </w:t>
            </w:r>
            <w:r>
              <w:rPr>
                <w:rFonts w:ascii="Calibri" w:eastAsia="Times New Roman" w:hAnsi="Calibri" w:cs="Calibri"/>
                <w:color w:val="000000"/>
                <w:vertAlign w:val="subscript"/>
                <w:lang w:eastAsia="en-GB"/>
              </w:rPr>
              <w:t>B</w:t>
            </w:r>
            <w:r w:rsidRPr="007D5EA0">
              <w:rPr>
                <w:rFonts w:ascii="Calibri" w:eastAsia="Times New Roman" w:hAnsi="Calibri" w:cs="Calibri"/>
                <w:color w:val="000000"/>
                <w:lang w:eastAsia="en-GB"/>
              </w:rPr>
              <w:t xml:space="preserve"> (£)</w:t>
            </w:r>
          </w:p>
        </w:tc>
        <w:tc>
          <w:tcPr>
            <w:tcW w:w="952" w:type="dxa"/>
            <w:tcBorders>
              <w:top w:val="nil"/>
              <w:left w:val="nil"/>
              <w:bottom w:val="nil"/>
              <w:right w:val="nil"/>
            </w:tcBorders>
            <w:shd w:val="clear" w:color="auto" w:fill="auto"/>
            <w:noWrap/>
            <w:vAlign w:val="bottom"/>
            <w:hideMark/>
          </w:tcPr>
          <w:p w14:paraId="5E0D925A"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r>
      <w:tr w:rsidR="00171A90" w:rsidRPr="007D5EA0" w14:paraId="494B5B83" w14:textId="77777777" w:rsidTr="006C0B7F">
        <w:trPr>
          <w:trHeight w:val="282"/>
        </w:trPr>
        <w:tc>
          <w:tcPr>
            <w:tcW w:w="1091" w:type="dxa"/>
            <w:tcBorders>
              <w:top w:val="single" w:sz="4" w:space="0" w:color="8EA9DB"/>
              <w:left w:val="single" w:sz="4" w:space="0" w:color="8EA9DB"/>
              <w:bottom w:val="single" w:sz="4" w:space="0" w:color="8EA9DB"/>
              <w:right w:val="nil"/>
            </w:tcBorders>
            <w:shd w:val="clear" w:color="auto" w:fill="auto"/>
            <w:noWrap/>
            <w:vAlign w:val="bottom"/>
            <w:hideMark/>
          </w:tcPr>
          <w:p w14:paraId="2B1B800D"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0</w:t>
            </w:r>
          </w:p>
        </w:tc>
        <w:tc>
          <w:tcPr>
            <w:tcW w:w="1091" w:type="dxa"/>
            <w:tcBorders>
              <w:top w:val="single" w:sz="4" w:space="0" w:color="8EA9DB"/>
              <w:left w:val="nil"/>
              <w:bottom w:val="single" w:sz="4" w:space="0" w:color="8EA9DB"/>
              <w:right w:val="nil"/>
            </w:tcBorders>
            <w:shd w:val="clear" w:color="auto" w:fill="auto"/>
            <w:noWrap/>
            <w:vAlign w:val="bottom"/>
            <w:hideMark/>
          </w:tcPr>
          <w:p w14:paraId="590C2C7E"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c>
          <w:tcPr>
            <w:tcW w:w="1091" w:type="dxa"/>
            <w:gridSpan w:val="2"/>
            <w:tcBorders>
              <w:top w:val="single" w:sz="4" w:space="0" w:color="8EA9DB"/>
              <w:left w:val="nil"/>
              <w:bottom w:val="single" w:sz="4" w:space="0" w:color="8EA9DB"/>
              <w:right w:val="nil"/>
            </w:tcBorders>
            <w:shd w:val="clear" w:color="auto" w:fill="auto"/>
            <w:noWrap/>
            <w:vAlign w:val="bottom"/>
            <w:hideMark/>
          </w:tcPr>
          <w:p w14:paraId="4313B956"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1.000</w:t>
            </w:r>
          </w:p>
        </w:tc>
        <w:tc>
          <w:tcPr>
            <w:tcW w:w="1091" w:type="dxa"/>
            <w:tcBorders>
              <w:top w:val="single" w:sz="4" w:space="0" w:color="8EA9DB"/>
              <w:left w:val="nil"/>
              <w:bottom w:val="single" w:sz="4" w:space="0" w:color="8EA9DB"/>
              <w:right w:val="nil"/>
            </w:tcBorders>
            <w:shd w:val="clear" w:color="auto" w:fill="auto"/>
            <w:noWrap/>
            <w:vAlign w:val="bottom"/>
            <w:hideMark/>
          </w:tcPr>
          <w:p w14:paraId="66B9F0BB"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-85</w:t>
            </w:r>
          </w:p>
        </w:tc>
        <w:tc>
          <w:tcPr>
            <w:tcW w:w="1091" w:type="dxa"/>
            <w:tcBorders>
              <w:top w:val="single" w:sz="4" w:space="0" w:color="8EA9DB"/>
              <w:left w:val="nil"/>
              <w:bottom w:val="single" w:sz="4" w:space="0" w:color="8EA9DB"/>
              <w:right w:val="nil"/>
            </w:tcBorders>
            <w:shd w:val="clear" w:color="auto" w:fill="auto"/>
            <w:noWrap/>
            <w:vAlign w:val="bottom"/>
            <w:hideMark/>
          </w:tcPr>
          <w:p w14:paraId="065523A2"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-85</w:t>
            </w:r>
          </w:p>
        </w:tc>
        <w:tc>
          <w:tcPr>
            <w:tcW w:w="1091" w:type="dxa"/>
            <w:tcBorders>
              <w:top w:val="single" w:sz="4" w:space="0" w:color="8EA9DB"/>
              <w:left w:val="nil"/>
              <w:bottom w:val="single" w:sz="4" w:space="0" w:color="8EA9DB"/>
              <w:right w:val="nil"/>
            </w:tcBorders>
            <w:shd w:val="clear" w:color="auto" w:fill="auto"/>
            <w:noWrap/>
            <w:vAlign w:val="bottom"/>
            <w:hideMark/>
          </w:tcPr>
          <w:p w14:paraId="0B44AE55"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c>
          <w:tcPr>
            <w:tcW w:w="1091" w:type="dxa"/>
            <w:tcBorders>
              <w:top w:val="single" w:sz="4" w:space="0" w:color="8EA9DB"/>
              <w:left w:val="nil"/>
              <w:bottom w:val="single" w:sz="4" w:space="0" w:color="8EA9DB"/>
              <w:right w:val="nil"/>
            </w:tcBorders>
            <w:shd w:val="clear" w:color="auto" w:fill="auto"/>
            <w:noWrap/>
            <w:vAlign w:val="bottom"/>
            <w:hideMark/>
          </w:tcPr>
          <w:p w14:paraId="64E0BA5C"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1.000</w:t>
            </w:r>
          </w:p>
        </w:tc>
        <w:tc>
          <w:tcPr>
            <w:tcW w:w="1091" w:type="dxa"/>
            <w:tcBorders>
              <w:top w:val="single" w:sz="4" w:space="0" w:color="8EA9DB"/>
              <w:left w:val="nil"/>
              <w:bottom w:val="single" w:sz="4" w:space="0" w:color="8EA9DB"/>
              <w:right w:val="nil"/>
            </w:tcBorders>
            <w:shd w:val="clear" w:color="auto" w:fill="auto"/>
            <w:noWrap/>
            <w:vAlign w:val="bottom"/>
            <w:hideMark/>
          </w:tcPr>
          <w:p w14:paraId="1C5A4034"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-90</w:t>
            </w:r>
          </w:p>
        </w:tc>
        <w:tc>
          <w:tcPr>
            <w:tcW w:w="1091" w:type="dxa"/>
            <w:tcBorders>
              <w:top w:val="single" w:sz="4" w:space="0" w:color="8EA9DB"/>
              <w:left w:val="nil"/>
              <w:bottom w:val="single" w:sz="4" w:space="0" w:color="8EA9DB"/>
              <w:right w:val="single" w:sz="4" w:space="0" w:color="8EA9DB"/>
            </w:tcBorders>
            <w:shd w:val="clear" w:color="auto" w:fill="auto"/>
            <w:noWrap/>
            <w:vAlign w:val="bottom"/>
            <w:hideMark/>
          </w:tcPr>
          <w:p w14:paraId="4D5DCA21"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-90</w:t>
            </w:r>
          </w:p>
        </w:tc>
        <w:tc>
          <w:tcPr>
            <w:tcW w:w="952" w:type="dxa"/>
            <w:tcBorders>
              <w:top w:val="nil"/>
              <w:left w:val="nil"/>
              <w:bottom w:val="nil"/>
              <w:right w:val="nil"/>
            </w:tcBorders>
            <w:shd w:val="clear" w:color="auto" w:fill="auto"/>
            <w:noWrap/>
            <w:vAlign w:val="bottom"/>
            <w:hideMark/>
          </w:tcPr>
          <w:p w14:paraId="22203985"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r>
      <w:tr w:rsidR="00171A90" w:rsidRPr="007D5EA0" w14:paraId="053902FE" w14:textId="77777777" w:rsidTr="006C0B7F">
        <w:trPr>
          <w:trHeight w:val="282"/>
        </w:trPr>
        <w:tc>
          <w:tcPr>
            <w:tcW w:w="1091" w:type="dxa"/>
            <w:tcBorders>
              <w:top w:val="single" w:sz="4" w:space="0" w:color="8EA9DB"/>
              <w:left w:val="single" w:sz="4" w:space="0" w:color="8EA9DB"/>
              <w:bottom w:val="single" w:sz="4" w:space="0" w:color="8EA9DB"/>
              <w:right w:val="nil"/>
            </w:tcBorders>
            <w:shd w:val="clear" w:color="D9E1F2" w:fill="D9E1F2"/>
            <w:noWrap/>
            <w:vAlign w:val="bottom"/>
            <w:hideMark/>
          </w:tcPr>
          <w:p w14:paraId="6B029345"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1</w:t>
            </w:r>
          </w:p>
        </w:tc>
        <w:tc>
          <w:tcPr>
            <w:tcW w:w="1091" w:type="dxa"/>
            <w:tcBorders>
              <w:top w:val="single" w:sz="4" w:space="0" w:color="8EA9DB"/>
              <w:left w:val="nil"/>
              <w:bottom w:val="single" w:sz="4" w:space="0" w:color="8EA9DB"/>
              <w:right w:val="nil"/>
            </w:tcBorders>
            <w:shd w:val="clear" w:color="D9E1F2" w:fill="D9E1F2"/>
            <w:noWrap/>
            <w:vAlign w:val="bottom"/>
            <w:hideMark/>
          </w:tcPr>
          <w:p w14:paraId="5CD8A05F"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c>
          <w:tcPr>
            <w:tcW w:w="1091" w:type="dxa"/>
            <w:gridSpan w:val="2"/>
            <w:tcBorders>
              <w:top w:val="single" w:sz="4" w:space="0" w:color="8EA9DB"/>
              <w:left w:val="nil"/>
              <w:bottom w:val="single" w:sz="4" w:space="0" w:color="8EA9DB"/>
              <w:right w:val="nil"/>
            </w:tcBorders>
            <w:shd w:val="clear" w:color="D9E1F2" w:fill="D9E1F2"/>
            <w:noWrap/>
            <w:vAlign w:val="bottom"/>
            <w:hideMark/>
          </w:tcPr>
          <w:p w14:paraId="7D8D4256"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0.905</w:t>
            </w:r>
          </w:p>
        </w:tc>
        <w:tc>
          <w:tcPr>
            <w:tcW w:w="1091" w:type="dxa"/>
            <w:tcBorders>
              <w:top w:val="single" w:sz="4" w:space="0" w:color="8EA9DB"/>
              <w:left w:val="nil"/>
              <w:bottom w:val="single" w:sz="4" w:space="0" w:color="8EA9DB"/>
              <w:right w:val="nil"/>
            </w:tcBorders>
            <w:shd w:val="clear" w:color="D9E1F2" w:fill="D9E1F2"/>
            <w:noWrap/>
            <w:vAlign w:val="bottom"/>
            <w:hideMark/>
          </w:tcPr>
          <w:p w14:paraId="2F36D7AD"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10</w:t>
            </w:r>
          </w:p>
        </w:tc>
        <w:tc>
          <w:tcPr>
            <w:tcW w:w="1091" w:type="dxa"/>
            <w:tcBorders>
              <w:top w:val="single" w:sz="4" w:space="0" w:color="8EA9DB"/>
              <w:left w:val="nil"/>
              <w:bottom w:val="single" w:sz="4" w:space="0" w:color="8EA9DB"/>
              <w:right w:val="nil"/>
            </w:tcBorders>
            <w:shd w:val="clear" w:color="D9E1F2" w:fill="D9E1F2"/>
            <w:noWrap/>
            <w:vAlign w:val="bottom"/>
            <w:hideMark/>
          </w:tcPr>
          <w:p w14:paraId="65FCDA31"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9.05</w:t>
            </w:r>
          </w:p>
        </w:tc>
        <w:tc>
          <w:tcPr>
            <w:tcW w:w="1091" w:type="dxa"/>
            <w:tcBorders>
              <w:top w:val="single" w:sz="4" w:space="0" w:color="8EA9DB"/>
              <w:left w:val="nil"/>
              <w:bottom w:val="single" w:sz="4" w:space="0" w:color="8EA9DB"/>
              <w:right w:val="nil"/>
            </w:tcBorders>
            <w:shd w:val="clear" w:color="D9E1F2" w:fill="D9E1F2"/>
            <w:noWrap/>
            <w:vAlign w:val="bottom"/>
            <w:hideMark/>
          </w:tcPr>
          <w:p w14:paraId="304B7B8B"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5ACF52FE"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0</w:t>
            </w:r>
            <w:r>
              <w:rPr>
                <w:rFonts w:ascii="Calibri" w:eastAsia="Times New Roman" w:hAnsi="Calibri" w:cs="Calibri"/>
                <w:color w:val="000000"/>
                <w:lang w:eastAsia="en-GB"/>
              </w:rPr>
              <w:t>.905</w:t>
            </w:r>
          </w:p>
        </w:tc>
        <w:tc>
          <w:tcPr>
            <w:tcW w:w="1091" w:type="dxa"/>
            <w:tcBorders>
              <w:top w:val="single" w:sz="4" w:space="0" w:color="8EA9DB"/>
              <w:left w:val="nil"/>
              <w:bottom w:val="single" w:sz="4" w:space="0" w:color="8EA9DB"/>
              <w:right w:val="nil"/>
            </w:tcBorders>
            <w:shd w:val="clear" w:color="D9E1F2" w:fill="D9E1F2"/>
            <w:noWrap/>
            <w:vAlign w:val="bottom"/>
            <w:hideMark/>
          </w:tcPr>
          <w:p w14:paraId="5EAFCFC2"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25</w:t>
            </w:r>
          </w:p>
        </w:tc>
        <w:tc>
          <w:tcPr>
            <w:tcW w:w="1091" w:type="dxa"/>
            <w:tcBorders>
              <w:top w:val="single" w:sz="4" w:space="0" w:color="8EA9DB"/>
              <w:left w:val="nil"/>
              <w:bottom w:val="single" w:sz="4" w:space="0" w:color="8EA9DB"/>
              <w:right w:val="single" w:sz="4" w:space="0" w:color="8EA9DB"/>
            </w:tcBorders>
            <w:shd w:val="clear" w:color="D9E1F2" w:fill="D9E1F2"/>
            <w:noWrap/>
            <w:vAlign w:val="bottom"/>
            <w:hideMark/>
          </w:tcPr>
          <w:p w14:paraId="19C23E7D"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2</w:t>
            </w:r>
            <w:r>
              <w:rPr>
                <w:rFonts w:ascii="Calibri" w:eastAsia="Times New Roman" w:hAnsi="Calibri" w:cs="Calibri"/>
                <w:color w:val="000000"/>
                <w:lang w:eastAsia="en-GB"/>
              </w:rPr>
              <w:t>2.62</w:t>
            </w:r>
          </w:p>
        </w:tc>
        <w:tc>
          <w:tcPr>
            <w:tcW w:w="952" w:type="dxa"/>
            <w:tcBorders>
              <w:top w:val="nil"/>
              <w:left w:val="nil"/>
              <w:bottom w:val="nil"/>
              <w:right w:val="nil"/>
            </w:tcBorders>
            <w:shd w:val="clear" w:color="auto" w:fill="auto"/>
            <w:noWrap/>
            <w:vAlign w:val="bottom"/>
            <w:hideMark/>
          </w:tcPr>
          <w:p w14:paraId="4BE4024C"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r>
      <w:tr w:rsidR="00171A90" w:rsidRPr="007D5EA0" w14:paraId="413940A1" w14:textId="77777777" w:rsidTr="006C0B7F">
        <w:trPr>
          <w:trHeight w:val="282"/>
        </w:trPr>
        <w:tc>
          <w:tcPr>
            <w:tcW w:w="1091" w:type="dxa"/>
            <w:tcBorders>
              <w:top w:val="single" w:sz="4" w:space="0" w:color="8EA9DB"/>
              <w:left w:val="single" w:sz="4" w:space="0" w:color="8EA9DB"/>
              <w:bottom w:val="single" w:sz="4" w:space="0" w:color="8EA9DB"/>
              <w:right w:val="nil"/>
            </w:tcBorders>
            <w:shd w:val="clear" w:color="auto" w:fill="auto"/>
            <w:noWrap/>
            <w:vAlign w:val="bottom"/>
            <w:hideMark/>
          </w:tcPr>
          <w:p w14:paraId="77347488"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2</w:t>
            </w:r>
          </w:p>
        </w:tc>
        <w:tc>
          <w:tcPr>
            <w:tcW w:w="1091" w:type="dxa"/>
            <w:tcBorders>
              <w:top w:val="single" w:sz="4" w:space="0" w:color="8EA9DB"/>
              <w:left w:val="nil"/>
              <w:bottom w:val="single" w:sz="4" w:space="0" w:color="8EA9DB"/>
              <w:right w:val="nil"/>
            </w:tcBorders>
            <w:shd w:val="clear" w:color="auto" w:fill="auto"/>
            <w:noWrap/>
            <w:vAlign w:val="bottom"/>
            <w:hideMark/>
          </w:tcPr>
          <w:p w14:paraId="32677055"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c>
          <w:tcPr>
            <w:tcW w:w="1091" w:type="dxa"/>
            <w:gridSpan w:val="2"/>
            <w:tcBorders>
              <w:top w:val="single" w:sz="4" w:space="0" w:color="8EA9DB"/>
              <w:left w:val="nil"/>
              <w:bottom w:val="single" w:sz="4" w:space="0" w:color="8EA9DB"/>
              <w:right w:val="nil"/>
            </w:tcBorders>
            <w:shd w:val="clear" w:color="auto" w:fill="auto"/>
            <w:noWrap/>
            <w:vAlign w:val="bottom"/>
            <w:hideMark/>
          </w:tcPr>
          <w:p w14:paraId="454D2826"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0.819</w:t>
            </w:r>
          </w:p>
        </w:tc>
        <w:tc>
          <w:tcPr>
            <w:tcW w:w="1091" w:type="dxa"/>
            <w:tcBorders>
              <w:top w:val="single" w:sz="4" w:space="0" w:color="8EA9DB"/>
              <w:left w:val="nil"/>
              <w:bottom w:val="single" w:sz="4" w:space="0" w:color="8EA9DB"/>
              <w:right w:val="nil"/>
            </w:tcBorders>
            <w:shd w:val="clear" w:color="auto" w:fill="auto"/>
            <w:noWrap/>
            <w:vAlign w:val="bottom"/>
            <w:hideMark/>
          </w:tcPr>
          <w:p w14:paraId="3C0A0748"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20</w:t>
            </w:r>
          </w:p>
        </w:tc>
        <w:tc>
          <w:tcPr>
            <w:tcW w:w="1091" w:type="dxa"/>
            <w:tcBorders>
              <w:top w:val="single" w:sz="4" w:space="0" w:color="8EA9DB"/>
              <w:left w:val="nil"/>
              <w:bottom w:val="single" w:sz="4" w:space="0" w:color="8EA9DB"/>
              <w:right w:val="nil"/>
            </w:tcBorders>
            <w:shd w:val="clear" w:color="auto" w:fill="auto"/>
            <w:noWrap/>
            <w:vAlign w:val="bottom"/>
            <w:hideMark/>
          </w:tcPr>
          <w:p w14:paraId="67C627F3"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16.38</w:t>
            </w:r>
          </w:p>
        </w:tc>
        <w:tc>
          <w:tcPr>
            <w:tcW w:w="1091" w:type="dxa"/>
            <w:tcBorders>
              <w:top w:val="single" w:sz="4" w:space="0" w:color="8EA9DB"/>
              <w:left w:val="nil"/>
              <w:bottom w:val="single" w:sz="4" w:space="0" w:color="8EA9DB"/>
              <w:right w:val="nil"/>
            </w:tcBorders>
            <w:shd w:val="clear" w:color="auto" w:fill="auto"/>
            <w:noWrap/>
            <w:vAlign w:val="bottom"/>
            <w:hideMark/>
          </w:tcPr>
          <w:p w14:paraId="37F78A77"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c>
          <w:tcPr>
            <w:tcW w:w="1091" w:type="dxa"/>
            <w:tcBorders>
              <w:top w:val="single" w:sz="4" w:space="0" w:color="8EA9DB"/>
              <w:left w:val="nil"/>
              <w:bottom w:val="single" w:sz="4" w:space="0" w:color="8EA9DB"/>
              <w:right w:val="nil"/>
            </w:tcBorders>
            <w:shd w:val="clear" w:color="auto" w:fill="auto"/>
            <w:noWrap/>
            <w:vAlign w:val="bottom"/>
            <w:hideMark/>
          </w:tcPr>
          <w:p w14:paraId="2E87D45E"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0.819</w:t>
            </w:r>
          </w:p>
        </w:tc>
        <w:tc>
          <w:tcPr>
            <w:tcW w:w="1091" w:type="dxa"/>
            <w:tcBorders>
              <w:top w:val="single" w:sz="4" w:space="0" w:color="8EA9DB"/>
              <w:left w:val="nil"/>
              <w:bottom w:val="single" w:sz="4" w:space="0" w:color="8EA9DB"/>
              <w:right w:val="nil"/>
            </w:tcBorders>
            <w:shd w:val="clear" w:color="auto" w:fill="auto"/>
            <w:noWrap/>
            <w:vAlign w:val="bottom"/>
            <w:hideMark/>
          </w:tcPr>
          <w:p w14:paraId="2BEAEB86"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30</w:t>
            </w:r>
          </w:p>
        </w:tc>
        <w:tc>
          <w:tcPr>
            <w:tcW w:w="1091" w:type="dxa"/>
            <w:tcBorders>
              <w:top w:val="single" w:sz="4" w:space="0" w:color="8EA9DB"/>
              <w:left w:val="nil"/>
              <w:bottom w:val="single" w:sz="4" w:space="0" w:color="8EA9DB"/>
              <w:right w:val="single" w:sz="4" w:space="0" w:color="8EA9DB"/>
            </w:tcBorders>
            <w:shd w:val="clear" w:color="auto" w:fill="auto"/>
            <w:noWrap/>
            <w:vAlign w:val="bottom"/>
            <w:hideMark/>
          </w:tcPr>
          <w:p w14:paraId="6E5A3131"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24.57</w:t>
            </w:r>
          </w:p>
        </w:tc>
        <w:tc>
          <w:tcPr>
            <w:tcW w:w="952" w:type="dxa"/>
            <w:tcBorders>
              <w:top w:val="nil"/>
              <w:left w:val="nil"/>
              <w:bottom w:val="nil"/>
              <w:right w:val="nil"/>
            </w:tcBorders>
            <w:shd w:val="clear" w:color="auto" w:fill="auto"/>
            <w:noWrap/>
            <w:vAlign w:val="bottom"/>
            <w:hideMark/>
          </w:tcPr>
          <w:p w14:paraId="151E29E0"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r>
      <w:tr w:rsidR="00171A90" w:rsidRPr="007D5EA0" w14:paraId="5B8CD5AD" w14:textId="77777777" w:rsidTr="006C0B7F">
        <w:trPr>
          <w:trHeight w:val="282"/>
        </w:trPr>
        <w:tc>
          <w:tcPr>
            <w:tcW w:w="1091" w:type="dxa"/>
            <w:tcBorders>
              <w:top w:val="single" w:sz="4" w:space="0" w:color="8EA9DB"/>
              <w:left w:val="single" w:sz="4" w:space="0" w:color="8EA9DB"/>
              <w:bottom w:val="single" w:sz="4" w:space="0" w:color="8EA9DB"/>
              <w:right w:val="nil"/>
            </w:tcBorders>
            <w:shd w:val="clear" w:color="D9E1F2" w:fill="D9E1F2"/>
            <w:noWrap/>
            <w:vAlign w:val="bottom"/>
            <w:hideMark/>
          </w:tcPr>
          <w:p w14:paraId="4C713A8D"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3</w:t>
            </w:r>
          </w:p>
        </w:tc>
        <w:tc>
          <w:tcPr>
            <w:tcW w:w="1091" w:type="dxa"/>
            <w:tcBorders>
              <w:top w:val="single" w:sz="4" w:space="0" w:color="8EA9DB"/>
              <w:left w:val="nil"/>
              <w:bottom w:val="single" w:sz="4" w:space="0" w:color="8EA9DB"/>
              <w:right w:val="nil"/>
            </w:tcBorders>
            <w:shd w:val="clear" w:color="D9E1F2" w:fill="D9E1F2"/>
            <w:noWrap/>
            <w:vAlign w:val="bottom"/>
            <w:hideMark/>
          </w:tcPr>
          <w:p w14:paraId="2EE019CD"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c>
          <w:tcPr>
            <w:tcW w:w="1091" w:type="dxa"/>
            <w:gridSpan w:val="2"/>
            <w:tcBorders>
              <w:top w:val="single" w:sz="4" w:space="0" w:color="8EA9DB"/>
              <w:left w:val="nil"/>
              <w:bottom w:val="single" w:sz="4" w:space="0" w:color="8EA9DB"/>
              <w:right w:val="nil"/>
            </w:tcBorders>
            <w:shd w:val="clear" w:color="D9E1F2" w:fill="D9E1F2"/>
            <w:noWrap/>
            <w:vAlign w:val="bottom"/>
            <w:hideMark/>
          </w:tcPr>
          <w:p w14:paraId="664A9A7F"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0.741</w:t>
            </w:r>
          </w:p>
        </w:tc>
        <w:tc>
          <w:tcPr>
            <w:tcW w:w="1091" w:type="dxa"/>
            <w:tcBorders>
              <w:top w:val="single" w:sz="4" w:space="0" w:color="8EA9DB"/>
              <w:left w:val="nil"/>
              <w:bottom w:val="single" w:sz="4" w:space="0" w:color="8EA9DB"/>
              <w:right w:val="nil"/>
            </w:tcBorders>
            <w:shd w:val="clear" w:color="D9E1F2" w:fill="D9E1F2"/>
            <w:noWrap/>
            <w:vAlign w:val="bottom"/>
            <w:hideMark/>
          </w:tcPr>
          <w:p w14:paraId="5715EFD9"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40</w:t>
            </w:r>
          </w:p>
        </w:tc>
        <w:tc>
          <w:tcPr>
            <w:tcW w:w="1091" w:type="dxa"/>
            <w:tcBorders>
              <w:top w:val="single" w:sz="4" w:space="0" w:color="8EA9DB"/>
              <w:left w:val="nil"/>
              <w:bottom w:val="single" w:sz="4" w:space="0" w:color="8EA9DB"/>
              <w:right w:val="nil"/>
            </w:tcBorders>
            <w:shd w:val="clear" w:color="D9E1F2" w:fill="D9E1F2"/>
            <w:noWrap/>
            <w:vAlign w:val="bottom"/>
            <w:hideMark/>
          </w:tcPr>
          <w:p w14:paraId="7F9F3F61"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29.64</w:t>
            </w:r>
          </w:p>
        </w:tc>
        <w:tc>
          <w:tcPr>
            <w:tcW w:w="1091" w:type="dxa"/>
            <w:tcBorders>
              <w:top w:val="single" w:sz="4" w:space="0" w:color="8EA9DB"/>
              <w:left w:val="nil"/>
              <w:bottom w:val="single" w:sz="4" w:space="0" w:color="8EA9DB"/>
              <w:right w:val="nil"/>
            </w:tcBorders>
            <w:shd w:val="clear" w:color="D9E1F2" w:fill="D9E1F2"/>
            <w:noWrap/>
            <w:vAlign w:val="bottom"/>
            <w:hideMark/>
          </w:tcPr>
          <w:p w14:paraId="1B4F6D7E"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51283AFC"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0.741</w:t>
            </w:r>
          </w:p>
        </w:tc>
        <w:tc>
          <w:tcPr>
            <w:tcW w:w="1091" w:type="dxa"/>
            <w:tcBorders>
              <w:top w:val="single" w:sz="4" w:space="0" w:color="8EA9DB"/>
              <w:left w:val="nil"/>
              <w:bottom w:val="single" w:sz="4" w:space="0" w:color="8EA9DB"/>
              <w:right w:val="nil"/>
            </w:tcBorders>
            <w:shd w:val="clear" w:color="D9E1F2" w:fill="D9E1F2"/>
            <w:noWrap/>
            <w:vAlign w:val="bottom"/>
            <w:hideMark/>
          </w:tcPr>
          <w:p w14:paraId="0F6BC8F1"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35</w:t>
            </w:r>
          </w:p>
        </w:tc>
        <w:tc>
          <w:tcPr>
            <w:tcW w:w="1091" w:type="dxa"/>
            <w:tcBorders>
              <w:top w:val="single" w:sz="4" w:space="0" w:color="8EA9DB"/>
              <w:left w:val="nil"/>
              <w:bottom w:val="single" w:sz="4" w:space="0" w:color="8EA9DB"/>
              <w:right w:val="single" w:sz="4" w:space="0" w:color="8EA9DB"/>
            </w:tcBorders>
            <w:shd w:val="clear" w:color="D9E1F2" w:fill="D9E1F2"/>
            <w:noWrap/>
            <w:vAlign w:val="bottom"/>
            <w:hideMark/>
          </w:tcPr>
          <w:p w14:paraId="35086E8A"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2</w:t>
            </w:r>
            <w:r>
              <w:rPr>
                <w:rFonts w:ascii="Calibri" w:eastAsia="Times New Roman" w:hAnsi="Calibri" w:cs="Calibri"/>
                <w:color w:val="000000"/>
                <w:lang w:eastAsia="en-GB"/>
              </w:rPr>
              <w:t>5.94</w:t>
            </w:r>
          </w:p>
        </w:tc>
        <w:tc>
          <w:tcPr>
            <w:tcW w:w="952" w:type="dxa"/>
            <w:tcBorders>
              <w:top w:val="nil"/>
              <w:left w:val="nil"/>
              <w:bottom w:val="nil"/>
              <w:right w:val="nil"/>
            </w:tcBorders>
            <w:shd w:val="clear" w:color="auto" w:fill="auto"/>
            <w:noWrap/>
            <w:vAlign w:val="bottom"/>
            <w:hideMark/>
          </w:tcPr>
          <w:p w14:paraId="1F856553"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r>
      <w:tr w:rsidR="00171A90" w:rsidRPr="007D5EA0" w14:paraId="1C217A52" w14:textId="77777777" w:rsidTr="006C0B7F">
        <w:trPr>
          <w:trHeight w:val="282"/>
        </w:trPr>
        <w:tc>
          <w:tcPr>
            <w:tcW w:w="1091" w:type="dxa"/>
            <w:tcBorders>
              <w:top w:val="single" w:sz="4" w:space="0" w:color="8EA9DB"/>
              <w:left w:val="single" w:sz="4" w:space="0" w:color="8EA9DB"/>
              <w:bottom w:val="single" w:sz="4" w:space="0" w:color="8EA9DB"/>
              <w:right w:val="nil"/>
            </w:tcBorders>
            <w:shd w:val="clear" w:color="auto" w:fill="auto"/>
            <w:noWrap/>
            <w:vAlign w:val="bottom"/>
            <w:hideMark/>
          </w:tcPr>
          <w:p w14:paraId="44EE3459"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4</w:t>
            </w:r>
          </w:p>
        </w:tc>
        <w:tc>
          <w:tcPr>
            <w:tcW w:w="1091" w:type="dxa"/>
            <w:tcBorders>
              <w:top w:val="single" w:sz="4" w:space="0" w:color="8EA9DB"/>
              <w:left w:val="nil"/>
              <w:bottom w:val="single" w:sz="4" w:space="0" w:color="8EA9DB"/>
              <w:right w:val="nil"/>
            </w:tcBorders>
            <w:shd w:val="clear" w:color="auto" w:fill="auto"/>
            <w:noWrap/>
            <w:vAlign w:val="bottom"/>
            <w:hideMark/>
          </w:tcPr>
          <w:p w14:paraId="015B26C2"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c>
          <w:tcPr>
            <w:tcW w:w="1091" w:type="dxa"/>
            <w:gridSpan w:val="2"/>
            <w:tcBorders>
              <w:top w:val="single" w:sz="4" w:space="0" w:color="8EA9DB"/>
              <w:left w:val="nil"/>
              <w:bottom w:val="single" w:sz="4" w:space="0" w:color="8EA9DB"/>
              <w:right w:val="nil"/>
            </w:tcBorders>
            <w:shd w:val="clear" w:color="auto" w:fill="auto"/>
            <w:noWrap/>
            <w:vAlign w:val="bottom"/>
            <w:hideMark/>
          </w:tcPr>
          <w:p w14:paraId="20EA8D96"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0.671</w:t>
            </w:r>
          </w:p>
        </w:tc>
        <w:tc>
          <w:tcPr>
            <w:tcW w:w="1091" w:type="dxa"/>
            <w:tcBorders>
              <w:top w:val="single" w:sz="4" w:space="0" w:color="8EA9DB"/>
              <w:left w:val="nil"/>
              <w:bottom w:val="single" w:sz="4" w:space="0" w:color="8EA9DB"/>
              <w:right w:val="nil"/>
            </w:tcBorders>
            <w:shd w:val="clear" w:color="auto" w:fill="auto"/>
            <w:noWrap/>
            <w:vAlign w:val="bottom"/>
            <w:hideMark/>
          </w:tcPr>
          <w:p w14:paraId="6146744E"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55</w:t>
            </w:r>
          </w:p>
        </w:tc>
        <w:tc>
          <w:tcPr>
            <w:tcW w:w="1091" w:type="dxa"/>
            <w:tcBorders>
              <w:top w:val="single" w:sz="4" w:space="0" w:color="8EA9DB"/>
              <w:left w:val="nil"/>
              <w:bottom w:val="single" w:sz="4" w:space="0" w:color="8EA9DB"/>
              <w:right w:val="nil"/>
            </w:tcBorders>
            <w:shd w:val="clear" w:color="auto" w:fill="auto"/>
            <w:noWrap/>
            <w:vAlign w:val="bottom"/>
            <w:hideMark/>
          </w:tcPr>
          <w:p w14:paraId="66E8BE3F"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36.90</w:t>
            </w:r>
          </w:p>
        </w:tc>
        <w:tc>
          <w:tcPr>
            <w:tcW w:w="1091" w:type="dxa"/>
            <w:tcBorders>
              <w:top w:val="single" w:sz="4" w:space="0" w:color="8EA9DB"/>
              <w:left w:val="nil"/>
              <w:bottom w:val="single" w:sz="4" w:space="0" w:color="8EA9DB"/>
              <w:right w:val="nil"/>
            </w:tcBorders>
            <w:shd w:val="clear" w:color="auto" w:fill="auto"/>
            <w:noWrap/>
            <w:vAlign w:val="bottom"/>
            <w:hideMark/>
          </w:tcPr>
          <w:p w14:paraId="09D75A3F"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c>
          <w:tcPr>
            <w:tcW w:w="1091" w:type="dxa"/>
            <w:tcBorders>
              <w:top w:val="single" w:sz="4" w:space="0" w:color="8EA9DB"/>
              <w:left w:val="nil"/>
              <w:bottom w:val="single" w:sz="4" w:space="0" w:color="8EA9DB"/>
              <w:right w:val="nil"/>
            </w:tcBorders>
            <w:shd w:val="clear" w:color="auto" w:fill="auto"/>
            <w:noWrap/>
            <w:vAlign w:val="bottom"/>
            <w:hideMark/>
          </w:tcPr>
          <w:p w14:paraId="25ADD0D2"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0.671</w:t>
            </w:r>
          </w:p>
        </w:tc>
        <w:tc>
          <w:tcPr>
            <w:tcW w:w="1091" w:type="dxa"/>
            <w:tcBorders>
              <w:top w:val="single" w:sz="4" w:space="0" w:color="8EA9DB"/>
              <w:left w:val="nil"/>
              <w:bottom w:val="single" w:sz="4" w:space="0" w:color="8EA9DB"/>
              <w:right w:val="nil"/>
            </w:tcBorders>
            <w:shd w:val="clear" w:color="auto" w:fill="auto"/>
            <w:noWrap/>
            <w:vAlign w:val="bottom"/>
            <w:hideMark/>
          </w:tcPr>
          <w:p w14:paraId="1830C908"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40</w:t>
            </w:r>
          </w:p>
        </w:tc>
        <w:tc>
          <w:tcPr>
            <w:tcW w:w="1091" w:type="dxa"/>
            <w:tcBorders>
              <w:top w:val="single" w:sz="4" w:space="0" w:color="8EA9DB"/>
              <w:left w:val="nil"/>
              <w:bottom w:val="single" w:sz="4" w:space="0" w:color="8EA9DB"/>
              <w:right w:val="single" w:sz="4" w:space="0" w:color="8EA9DB"/>
            </w:tcBorders>
            <w:shd w:val="clear" w:color="auto" w:fill="auto"/>
            <w:noWrap/>
            <w:vAlign w:val="bottom"/>
            <w:hideMark/>
          </w:tcPr>
          <w:p w14:paraId="229CE8FD" w14:textId="77777777" w:rsidR="00171A90" w:rsidRPr="007D5EA0" w:rsidRDefault="00171A90" w:rsidP="006C0B7F">
            <w:pPr>
              <w:spacing w:after="0" w:line="240" w:lineRule="auto"/>
              <w:jc w:val="center"/>
              <w:rPr>
                <w:rFonts w:ascii="Calibri" w:eastAsia="Times New Roman" w:hAnsi="Calibri" w:cs="Calibri"/>
                <w:color w:val="000000"/>
                <w:lang w:eastAsia="en-GB"/>
              </w:rPr>
            </w:pPr>
            <w:r w:rsidRPr="007D5EA0">
              <w:rPr>
                <w:rFonts w:ascii="Calibri" w:eastAsia="Times New Roman" w:hAnsi="Calibri" w:cs="Calibri"/>
                <w:color w:val="000000"/>
                <w:lang w:eastAsia="en-GB"/>
              </w:rPr>
              <w:t>2</w:t>
            </w:r>
            <w:r>
              <w:rPr>
                <w:rFonts w:ascii="Calibri" w:eastAsia="Times New Roman" w:hAnsi="Calibri" w:cs="Calibri"/>
                <w:color w:val="000000"/>
                <w:lang w:eastAsia="en-GB"/>
              </w:rPr>
              <w:t>6.84</w:t>
            </w:r>
          </w:p>
        </w:tc>
        <w:tc>
          <w:tcPr>
            <w:tcW w:w="952" w:type="dxa"/>
            <w:tcBorders>
              <w:top w:val="nil"/>
              <w:left w:val="nil"/>
              <w:bottom w:val="nil"/>
              <w:right w:val="nil"/>
            </w:tcBorders>
            <w:shd w:val="clear" w:color="auto" w:fill="auto"/>
            <w:noWrap/>
            <w:vAlign w:val="bottom"/>
            <w:hideMark/>
          </w:tcPr>
          <w:p w14:paraId="78A2E469" w14:textId="77777777" w:rsidR="00171A90" w:rsidRPr="007D5EA0" w:rsidRDefault="00171A90" w:rsidP="006C0B7F">
            <w:pPr>
              <w:spacing w:after="0" w:line="240" w:lineRule="auto"/>
              <w:jc w:val="center"/>
              <w:rPr>
                <w:rFonts w:ascii="Calibri" w:eastAsia="Times New Roman" w:hAnsi="Calibri" w:cs="Calibri"/>
                <w:color w:val="000000"/>
                <w:lang w:eastAsia="en-GB"/>
              </w:rPr>
            </w:pPr>
          </w:p>
        </w:tc>
      </w:tr>
      <w:tr w:rsidR="00171A90" w:rsidRPr="007D5EA0" w14:paraId="14B5DDDF" w14:textId="77777777" w:rsidTr="006C0B7F">
        <w:trPr>
          <w:trHeight w:val="282"/>
        </w:trPr>
        <w:tc>
          <w:tcPr>
            <w:tcW w:w="1091" w:type="dxa"/>
            <w:tcBorders>
              <w:top w:val="single" w:sz="4" w:space="0" w:color="8EA9DB"/>
              <w:left w:val="single" w:sz="4" w:space="0" w:color="8EA9DB"/>
              <w:bottom w:val="single" w:sz="4" w:space="0" w:color="8EA9DB"/>
              <w:right w:val="nil"/>
            </w:tcBorders>
            <w:shd w:val="clear" w:color="D9E1F2" w:fill="D9E1F2"/>
            <w:noWrap/>
            <w:vAlign w:val="bottom"/>
            <w:hideMark/>
          </w:tcPr>
          <w:p w14:paraId="4B5E5E1A"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7E4CDBC4"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gridSpan w:val="2"/>
            <w:tcBorders>
              <w:top w:val="single" w:sz="4" w:space="0" w:color="8EA9DB"/>
              <w:left w:val="nil"/>
              <w:bottom w:val="single" w:sz="4" w:space="0" w:color="8EA9DB"/>
              <w:right w:val="nil"/>
            </w:tcBorders>
            <w:shd w:val="clear" w:color="D9E1F2" w:fill="D9E1F2"/>
            <w:noWrap/>
            <w:vAlign w:val="bottom"/>
            <w:hideMark/>
          </w:tcPr>
          <w:p w14:paraId="6597E39D"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0F03F027"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2520D426"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77777052"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3C1CF4AC"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3DE34021"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single" w:sz="4" w:space="0" w:color="8EA9DB"/>
            </w:tcBorders>
            <w:shd w:val="clear" w:color="D9E1F2" w:fill="D9E1F2"/>
            <w:noWrap/>
            <w:vAlign w:val="bottom"/>
            <w:hideMark/>
          </w:tcPr>
          <w:p w14:paraId="521FFD11"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952" w:type="dxa"/>
            <w:tcBorders>
              <w:top w:val="nil"/>
              <w:left w:val="nil"/>
              <w:bottom w:val="nil"/>
              <w:right w:val="nil"/>
            </w:tcBorders>
            <w:shd w:val="clear" w:color="auto" w:fill="auto"/>
            <w:noWrap/>
            <w:vAlign w:val="bottom"/>
            <w:hideMark/>
          </w:tcPr>
          <w:p w14:paraId="303C4F2A"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r>
      <w:tr w:rsidR="00171A90" w:rsidRPr="007D5EA0" w14:paraId="45520F8B" w14:textId="77777777" w:rsidTr="006C0B7F">
        <w:trPr>
          <w:trHeight w:val="282"/>
        </w:trPr>
        <w:tc>
          <w:tcPr>
            <w:tcW w:w="1091" w:type="dxa"/>
            <w:tcBorders>
              <w:top w:val="single" w:sz="4" w:space="0" w:color="8EA9DB"/>
              <w:left w:val="single" w:sz="4" w:space="0" w:color="8EA9DB"/>
              <w:bottom w:val="single" w:sz="4" w:space="0" w:color="8EA9DB"/>
              <w:right w:val="nil"/>
            </w:tcBorders>
            <w:shd w:val="clear" w:color="auto" w:fill="auto"/>
            <w:noWrap/>
            <w:vAlign w:val="bottom"/>
            <w:hideMark/>
          </w:tcPr>
          <w:p w14:paraId="200D5ECC"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auto" w:fill="auto"/>
            <w:noWrap/>
            <w:vAlign w:val="bottom"/>
            <w:hideMark/>
          </w:tcPr>
          <w:p w14:paraId="3BFA8716"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gridSpan w:val="2"/>
            <w:tcBorders>
              <w:top w:val="single" w:sz="4" w:space="0" w:color="8EA9DB"/>
              <w:left w:val="nil"/>
              <w:bottom w:val="single" w:sz="4" w:space="0" w:color="8EA9DB"/>
              <w:right w:val="nil"/>
            </w:tcBorders>
            <w:shd w:val="clear" w:color="auto" w:fill="auto"/>
            <w:noWrap/>
            <w:vAlign w:val="bottom"/>
            <w:hideMark/>
          </w:tcPr>
          <w:p w14:paraId="151D1BB4"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auto" w:fill="auto"/>
            <w:noWrap/>
            <w:vAlign w:val="bottom"/>
            <w:hideMark/>
          </w:tcPr>
          <w:p w14:paraId="18BC9186"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auto" w:fill="auto"/>
            <w:noWrap/>
            <w:vAlign w:val="bottom"/>
            <w:hideMark/>
          </w:tcPr>
          <w:p w14:paraId="15277FF3"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6.97</w:t>
            </w:r>
          </w:p>
        </w:tc>
        <w:tc>
          <w:tcPr>
            <w:tcW w:w="1091" w:type="dxa"/>
            <w:tcBorders>
              <w:top w:val="single" w:sz="4" w:space="0" w:color="8EA9DB"/>
              <w:left w:val="nil"/>
              <w:bottom w:val="single" w:sz="4" w:space="0" w:color="8EA9DB"/>
              <w:right w:val="nil"/>
            </w:tcBorders>
            <w:shd w:val="clear" w:color="auto" w:fill="auto"/>
            <w:noWrap/>
            <w:vAlign w:val="bottom"/>
            <w:hideMark/>
          </w:tcPr>
          <w:p w14:paraId="27643E95" w14:textId="77777777" w:rsidR="00171A90" w:rsidRPr="007D5EA0" w:rsidRDefault="00171A90" w:rsidP="006C0B7F">
            <w:pPr>
              <w:spacing w:after="0" w:line="240" w:lineRule="auto"/>
              <w:jc w:val="right"/>
              <w:rPr>
                <w:rFonts w:ascii="Calibri" w:eastAsia="Times New Roman" w:hAnsi="Calibri" w:cs="Calibri"/>
                <w:color w:val="000000"/>
                <w:lang w:eastAsia="en-GB"/>
              </w:rPr>
            </w:pPr>
          </w:p>
        </w:tc>
        <w:tc>
          <w:tcPr>
            <w:tcW w:w="1091" w:type="dxa"/>
            <w:tcBorders>
              <w:top w:val="single" w:sz="4" w:space="0" w:color="8EA9DB"/>
              <w:left w:val="nil"/>
              <w:bottom w:val="single" w:sz="4" w:space="0" w:color="8EA9DB"/>
              <w:right w:val="nil"/>
            </w:tcBorders>
            <w:shd w:val="clear" w:color="auto" w:fill="auto"/>
            <w:noWrap/>
            <w:vAlign w:val="bottom"/>
            <w:hideMark/>
          </w:tcPr>
          <w:p w14:paraId="4BC1A189"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auto" w:fill="auto"/>
            <w:noWrap/>
            <w:vAlign w:val="bottom"/>
            <w:hideMark/>
          </w:tcPr>
          <w:p w14:paraId="5E5EE294"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single" w:sz="4" w:space="0" w:color="8EA9DB"/>
            </w:tcBorders>
            <w:shd w:val="clear" w:color="auto" w:fill="auto"/>
            <w:noWrap/>
            <w:vAlign w:val="bottom"/>
            <w:hideMark/>
          </w:tcPr>
          <w:p w14:paraId="7927317C" w14:textId="77777777" w:rsidR="00171A90" w:rsidRPr="007D5EA0" w:rsidRDefault="00171A90" w:rsidP="006C0B7F">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9.96</w:t>
            </w:r>
          </w:p>
        </w:tc>
        <w:tc>
          <w:tcPr>
            <w:tcW w:w="952" w:type="dxa"/>
            <w:tcBorders>
              <w:top w:val="nil"/>
              <w:left w:val="nil"/>
              <w:bottom w:val="nil"/>
              <w:right w:val="nil"/>
            </w:tcBorders>
            <w:shd w:val="clear" w:color="auto" w:fill="auto"/>
            <w:noWrap/>
            <w:vAlign w:val="bottom"/>
            <w:hideMark/>
          </w:tcPr>
          <w:p w14:paraId="6FA26D90" w14:textId="77777777" w:rsidR="00171A90" w:rsidRPr="007D5EA0" w:rsidRDefault="00171A90" w:rsidP="006C0B7F">
            <w:pPr>
              <w:spacing w:after="0" w:line="240" w:lineRule="auto"/>
              <w:jc w:val="right"/>
              <w:rPr>
                <w:rFonts w:ascii="Calibri" w:eastAsia="Times New Roman" w:hAnsi="Calibri" w:cs="Calibri"/>
                <w:color w:val="000000"/>
                <w:lang w:eastAsia="en-GB"/>
              </w:rPr>
            </w:pPr>
          </w:p>
        </w:tc>
      </w:tr>
      <w:tr w:rsidR="00171A90" w:rsidRPr="007D5EA0" w14:paraId="7668E8FE" w14:textId="77777777" w:rsidTr="006C0B7F">
        <w:trPr>
          <w:trHeight w:val="282"/>
        </w:trPr>
        <w:tc>
          <w:tcPr>
            <w:tcW w:w="1091" w:type="dxa"/>
            <w:tcBorders>
              <w:top w:val="single" w:sz="4" w:space="0" w:color="8EA9DB"/>
              <w:left w:val="single" w:sz="4" w:space="0" w:color="8EA9DB"/>
              <w:bottom w:val="single" w:sz="4" w:space="0" w:color="8EA9DB"/>
              <w:right w:val="nil"/>
            </w:tcBorders>
            <w:shd w:val="clear" w:color="D9E1F2" w:fill="D9E1F2"/>
            <w:noWrap/>
            <w:vAlign w:val="bottom"/>
            <w:hideMark/>
          </w:tcPr>
          <w:p w14:paraId="782B266D"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2A6E291F"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gridSpan w:val="2"/>
            <w:tcBorders>
              <w:top w:val="single" w:sz="4" w:space="0" w:color="8EA9DB"/>
              <w:left w:val="nil"/>
              <w:bottom w:val="single" w:sz="4" w:space="0" w:color="8EA9DB"/>
              <w:right w:val="nil"/>
            </w:tcBorders>
            <w:shd w:val="clear" w:color="D9E1F2" w:fill="D9E1F2"/>
            <w:noWrap/>
            <w:vAlign w:val="bottom"/>
            <w:hideMark/>
          </w:tcPr>
          <w:p w14:paraId="5F2C581C"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433D1FCF"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1AFA28C9"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09FB5FAB"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0B91E2E3"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nil"/>
            </w:tcBorders>
            <w:shd w:val="clear" w:color="D9E1F2" w:fill="D9E1F2"/>
            <w:noWrap/>
            <w:vAlign w:val="bottom"/>
            <w:hideMark/>
          </w:tcPr>
          <w:p w14:paraId="76B9E80B"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1091" w:type="dxa"/>
            <w:tcBorders>
              <w:top w:val="single" w:sz="4" w:space="0" w:color="8EA9DB"/>
              <w:left w:val="nil"/>
              <w:bottom w:val="single" w:sz="4" w:space="0" w:color="8EA9DB"/>
              <w:right w:val="single" w:sz="4" w:space="0" w:color="8EA9DB"/>
            </w:tcBorders>
            <w:shd w:val="clear" w:color="D9E1F2" w:fill="D9E1F2"/>
            <w:noWrap/>
            <w:vAlign w:val="bottom"/>
            <w:hideMark/>
          </w:tcPr>
          <w:p w14:paraId="5507D612"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c>
          <w:tcPr>
            <w:tcW w:w="952" w:type="dxa"/>
            <w:tcBorders>
              <w:top w:val="nil"/>
              <w:left w:val="nil"/>
              <w:bottom w:val="nil"/>
              <w:right w:val="nil"/>
            </w:tcBorders>
            <w:shd w:val="clear" w:color="auto" w:fill="auto"/>
            <w:noWrap/>
            <w:vAlign w:val="bottom"/>
            <w:hideMark/>
          </w:tcPr>
          <w:p w14:paraId="28AC55EB" w14:textId="77777777" w:rsidR="00171A90" w:rsidRPr="007D5EA0" w:rsidRDefault="00171A90" w:rsidP="006C0B7F">
            <w:pPr>
              <w:spacing w:after="0" w:line="240" w:lineRule="auto"/>
              <w:rPr>
                <w:rFonts w:ascii="Times New Roman" w:eastAsia="Times New Roman" w:hAnsi="Times New Roman" w:cs="Times New Roman"/>
                <w:sz w:val="20"/>
                <w:szCs w:val="20"/>
                <w:lang w:eastAsia="en-GB"/>
              </w:rPr>
            </w:pPr>
          </w:p>
        </w:tc>
      </w:tr>
      <w:tr w:rsidR="00171A90" w:rsidRPr="007D5EA0" w14:paraId="3634B64A" w14:textId="77777777" w:rsidTr="006C0B7F">
        <w:trPr>
          <w:gridAfter w:val="8"/>
          <w:wAfter w:w="8082" w:type="dxa"/>
          <w:trHeight w:val="282"/>
        </w:trPr>
        <w:tc>
          <w:tcPr>
            <w:tcW w:w="2689" w:type="dxa"/>
            <w:gridSpan w:val="3"/>
            <w:tcBorders>
              <w:top w:val="nil"/>
              <w:left w:val="nil"/>
              <w:bottom w:val="nil"/>
              <w:right w:val="nil"/>
            </w:tcBorders>
            <w:shd w:val="clear" w:color="auto" w:fill="auto"/>
            <w:noWrap/>
            <w:vAlign w:val="bottom"/>
            <w:hideMark/>
          </w:tcPr>
          <w:p w14:paraId="31BF4333" w14:textId="77777777" w:rsidR="00171A90" w:rsidRPr="00521CF1" w:rsidRDefault="00171A90" w:rsidP="006C0B7F">
            <w:pPr>
              <w:spacing w:after="0" w:line="240" w:lineRule="auto"/>
              <w:jc w:val="both"/>
              <w:rPr>
                <w:rFonts w:ascii="Times New Roman" w:eastAsia="Times New Roman" w:hAnsi="Times New Roman" w:cs="Times New Roman"/>
                <w:sz w:val="20"/>
                <w:szCs w:val="20"/>
                <w:lang w:val="it-IT" w:eastAsia="en-GB"/>
              </w:rPr>
            </w:pPr>
          </w:p>
          <w:p w14:paraId="1181B6CC" w14:textId="77777777" w:rsidR="00171A90" w:rsidRPr="00521CF1" w:rsidRDefault="00171A90" w:rsidP="006C0B7F">
            <w:pPr>
              <w:spacing w:after="0" w:line="240" w:lineRule="auto"/>
              <w:jc w:val="both"/>
              <w:rPr>
                <w:rFonts w:ascii="Times New Roman" w:eastAsia="Times New Roman" w:hAnsi="Times New Roman" w:cs="Times New Roman"/>
                <w:sz w:val="20"/>
                <w:szCs w:val="20"/>
                <w:lang w:val="it-IT" w:eastAsia="en-GB"/>
              </w:rPr>
            </w:pPr>
          </w:p>
          <w:p w14:paraId="384E7D96" w14:textId="77777777" w:rsidR="00171A90" w:rsidRPr="007D5EA0" w:rsidRDefault="00171A90" w:rsidP="006C0B7F">
            <w:pPr>
              <w:spacing w:after="0" w:line="240" w:lineRule="auto"/>
              <w:jc w:val="both"/>
              <w:rPr>
                <w:rFonts w:ascii="Times New Roman" w:eastAsia="Times New Roman" w:hAnsi="Times New Roman" w:cs="Times New Roman"/>
                <w:sz w:val="20"/>
                <w:szCs w:val="20"/>
                <w:lang w:val="it-IT" w:eastAsia="en-GB"/>
              </w:rPr>
            </w:pPr>
          </w:p>
        </w:tc>
      </w:tr>
    </w:tbl>
    <w:p w14:paraId="429513E4" w14:textId="77777777" w:rsidR="00171A90" w:rsidRDefault="00171A90" w:rsidP="00171A90">
      <w:r>
        <w:t xml:space="preserve">R=10.5% </w:t>
      </w:r>
    </w:p>
    <w:p w14:paraId="6C28E333" w14:textId="77777777" w:rsidR="00171A90" w:rsidRDefault="00171A90" w:rsidP="00171A90">
      <w:pPr>
        <w:rPr>
          <w:rFonts w:eastAsiaTheme="minorEastAsia"/>
        </w:rPr>
      </w:pPr>
      <w:r>
        <w:t xml:space="preserve">NPV </w:t>
      </w:r>
      <w:r>
        <w:rPr>
          <w:vertAlign w:val="subscript"/>
        </w:rPr>
        <w:t xml:space="preserve">A </w:t>
      </w:r>
      <w:r>
        <w:t xml:space="preserve">= - 85 + </w:t>
      </w:r>
      <m:oMath>
        <m:f>
          <m:fPr>
            <m:ctrlPr>
              <w:rPr>
                <w:rFonts w:ascii="Cambria Math" w:hAnsi="Cambria Math"/>
                <w:i/>
              </w:rPr>
            </m:ctrlPr>
          </m:fPr>
          <m:num>
            <m:r>
              <w:rPr>
                <w:rFonts w:ascii="Cambria Math" w:hAnsi="Cambria Math"/>
              </w:rPr>
              <m:t>10</m:t>
            </m:r>
          </m:num>
          <m:den>
            <m:r>
              <w:rPr>
                <w:rFonts w:ascii="Cambria Math" w:hAnsi="Cambria Math"/>
              </w:rPr>
              <m:t>1+10,5%</m:t>
            </m:r>
          </m:den>
        </m:f>
      </m:oMath>
      <w:r>
        <w:t xml:space="preserve"> +</w:t>
      </w:r>
      <m:oMath>
        <m:f>
          <m:fPr>
            <m:ctrlPr>
              <w:rPr>
                <w:rFonts w:ascii="Cambria Math" w:hAnsi="Cambria Math"/>
                <w:i/>
              </w:rPr>
            </m:ctrlPr>
          </m:fPr>
          <m:num>
            <m:r>
              <w:rPr>
                <w:rFonts w:ascii="Cambria Math" w:hAnsi="Cambria Math"/>
              </w:rPr>
              <m:t>20</m:t>
            </m:r>
          </m:num>
          <m:den>
            <m:sSup>
              <m:sSupPr>
                <m:ctrlPr>
                  <w:rPr>
                    <w:rFonts w:ascii="Cambria Math" w:hAnsi="Cambria Math"/>
                    <w:i/>
                  </w:rPr>
                </m:ctrlPr>
              </m:sSupPr>
              <m:e>
                <m:d>
                  <m:dPr>
                    <m:ctrlPr>
                      <w:rPr>
                        <w:rFonts w:ascii="Cambria Math" w:hAnsi="Cambria Math"/>
                        <w:i/>
                      </w:rPr>
                    </m:ctrlPr>
                  </m:dPr>
                  <m:e>
                    <m:r>
                      <w:rPr>
                        <w:rFonts w:ascii="Cambria Math" w:hAnsi="Cambria Math"/>
                      </w:rPr>
                      <m:t>1+10,5%</m:t>
                    </m:r>
                  </m:e>
                </m:d>
              </m:e>
              <m:sup>
                <m:r>
                  <w:rPr>
                    <w:rFonts w:ascii="Cambria Math" w:hAnsi="Cambria Math"/>
                  </w:rPr>
                  <m:t>2</m:t>
                </m:r>
              </m:sup>
            </m:sSup>
          </m:den>
        </m:f>
      </m:oMath>
      <w:r>
        <w:t xml:space="preserve"> +</w:t>
      </w:r>
      <m:oMath>
        <m:r>
          <w:rPr>
            <w:rFonts w:ascii="Cambria Math" w:hAnsi="Cambria Math"/>
          </w:rPr>
          <m:t xml:space="preserve"> </m:t>
        </m:r>
        <m:f>
          <m:fPr>
            <m:ctrlPr>
              <w:rPr>
                <w:rFonts w:ascii="Cambria Math" w:hAnsi="Cambria Math"/>
                <w:i/>
              </w:rPr>
            </m:ctrlPr>
          </m:fPr>
          <m:num>
            <m:r>
              <w:rPr>
                <w:rFonts w:ascii="Cambria Math" w:hAnsi="Cambria Math"/>
              </w:rPr>
              <m:t>40</m:t>
            </m:r>
          </m:num>
          <m:den>
            <m:sSup>
              <m:sSupPr>
                <m:ctrlPr>
                  <w:rPr>
                    <w:rFonts w:ascii="Cambria Math" w:hAnsi="Cambria Math"/>
                    <w:i/>
                  </w:rPr>
                </m:ctrlPr>
              </m:sSupPr>
              <m:e>
                <m:d>
                  <m:dPr>
                    <m:ctrlPr>
                      <w:rPr>
                        <w:rFonts w:ascii="Cambria Math" w:hAnsi="Cambria Math"/>
                        <w:i/>
                      </w:rPr>
                    </m:ctrlPr>
                  </m:dPr>
                  <m:e>
                    <m:r>
                      <w:rPr>
                        <w:rFonts w:ascii="Cambria Math" w:hAnsi="Cambria Math"/>
                      </w:rPr>
                      <m:t>1+10,5%</m:t>
                    </m:r>
                  </m:e>
                </m:d>
              </m:e>
              <m:sup>
                <m:r>
                  <w:rPr>
                    <w:rFonts w:ascii="Cambria Math" w:hAnsi="Cambria Math"/>
                  </w:rPr>
                  <m:t>3</m:t>
                </m:r>
              </m:sup>
            </m:sSup>
          </m:den>
        </m:f>
      </m:oMath>
      <w:r>
        <w:t xml:space="preserve"> + </w:t>
      </w:r>
      <m:oMath>
        <m:f>
          <m:fPr>
            <m:ctrlPr>
              <w:rPr>
                <w:rFonts w:ascii="Cambria Math" w:hAnsi="Cambria Math"/>
                <w:i/>
              </w:rPr>
            </m:ctrlPr>
          </m:fPr>
          <m:num>
            <m:r>
              <w:rPr>
                <w:rFonts w:ascii="Cambria Math" w:hAnsi="Cambria Math"/>
              </w:rPr>
              <m:t>55</m:t>
            </m:r>
          </m:num>
          <m:den>
            <m:sSup>
              <m:sSupPr>
                <m:ctrlPr>
                  <w:rPr>
                    <w:rFonts w:ascii="Cambria Math" w:hAnsi="Cambria Math"/>
                    <w:i/>
                  </w:rPr>
                </m:ctrlPr>
              </m:sSupPr>
              <m:e>
                <m:d>
                  <m:dPr>
                    <m:ctrlPr>
                      <w:rPr>
                        <w:rFonts w:ascii="Cambria Math" w:hAnsi="Cambria Math"/>
                        <w:i/>
                      </w:rPr>
                    </m:ctrlPr>
                  </m:dPr>
                  <m:e>
                    <m:r>
                      <w:rPr>
                        <w:rFonts w:ascii="Cambria Math" w:hAnsi="Cambria Math"/>
                      </w:rPr>
                      <m:t>1+10,5%</m:t>
                    </m:r>
                  </m:e>
                </m:d>
              </m:e>
              <m:sup>
                <m:r>
                  <w:rPr>
                    <w:rFonts w:ascii="Cambria Math" w:hAnsi="Cambria Math"/>
                  </w:rPr>
                  <m:t>4</m:t>
                </m:r>
              </m:sup>
            </m:sSup>
          </m:den>
        </m:f>
      </m:oMath>
      <w:r>
        <w:rPr>
          <w:rFonts w:eastAsiaTheme="minorEastAsia"/>
        </w:rPr>
        <w:t xml:space="preserve"> = 6.97; </w:t>
      </w:r>
    </w:p>
    <w:p w14:paraId="77A0FF67" w14:textId="77777777" w:rsidR="00171A90" w:rsidRDefault="00171A90" w:rsidP="00171A90">
      <w:pPr>
        <w:rPr>
          <w:rFonts w:eastAsiaTheme="minorEastAsia"/>
        </w:rPr>
      </w:pPr>
      <w:r>
        <w:rPr>
          <w:rFonts w:eastAsiaTheme="minorEastAsia"/>
        </w:rPr>
        <w:t xml:space="preserve">NPV </w:t>
      </w:r>
      <w:r>
        <w:rPr>
          <w:rFonts w:eastAsiaTheme="minorEastAsia"/>
          <w:vertAlign w:val="subscript"/>
        </w:rPr>
        <w:t xml:space="preserve">B </w:t>
      </w:r>
      <w:r>
        <w:rPr>
          <w:rFonts w:eastAsiaTheme="minorEastAsia"/>
        </w:rPr>
        <w:t xml:space="preserve">= -90 + </w:t>
      </w:r>
      <m:oMath>
        <m:f>
          <m:fPr>
            <m:ctrlPr>
              <w:rPr>
                <w:rFonts w:ascii="Cambria Math" w:eastAsiaTheme="minorEastAsia" w:hAnsi="Cambria Math"/>
                <w:i/>
              </w:rPr>
            </m:ctrlPr>
          </m:fPr>
          <m:num>
            <m:r>
              <w:rPr>
                <w:rFonts w:ascii="Cambria Math" w:eastAsiaTheme="minorEastAsia" w:hAnsi="Cambria Math"/>
              </w:rPr>
              <m:t>25</m:t>
            </m:r>
          </m:num>
          <m:den>
            <m:r>
              <w:rPr>
                <w:rFonts w:ascii="Cambria Math" w:eastAsiaTheme="minorEastAsia" w:hAnsi="Cambria Math"/>
              </w:rPr>
              <m:t>1+10,5%</m:t>
            </m:r>
          </m:den>
        </m:f>
      </m:oMath>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30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1+10.5%</m:t>
                    </m:r>
                  </m:e>
                </m:d>
              </m:e>
              <m:sup>
                <m:r>
                  <w:rPr>
                    <w:rFonts w:ascii="Cambria Math" w:eastAsiaTheme="minorEastAsia" w:hAnsi="Cambria Math"/>
                  </w:rPr>
                  <m:t>2</m:t>
                </m:r>
              </m:sup>
            </m:sSup>
          </m:den>
        </m:f>
      </m:oMath>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35</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1+10.5%</m:t>
                    </m:r>
                  </m:e>
                </m:d>
              </m:e>
              <m:sup>
                <m:r>
                  <w:rPr>
                    <w:rFonts w:ascii="Cambria Math" w:eastAsiaTheme="minorEastAsia" w:hAnsi="Cambria Math"/>
                  </w:rPr>
                  <m:t>3</m:t>
                </m:r>
              </m:sup>
            </m:sSup>
          </m:den>
        </m:f>
      </m:oMath>
      <w:r>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40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1+10.5%</m:t>
                    </m:r>
                  </m:e>
                </m:d>
              </m:e>
              <m:sup>
                <m:r>
                  <w:rPr>
                    <w:rFonts w:ascii="Cambria Math" w:eastAsiaTheme="minorEastAsia" w:hAnsi="Cambria Math"/>
                  </w:rPr>
                  <m:t>4</m:t>
                </m:r>
              </m:sup>
            </m:sSup>
          </m:den>
        </m:f>
      </m:oMath>
      <w:r>
        <w:rPr>
          <w:rFonts w:eastAsiaTheme="minorEastAsia"/>
        </w:rPr>
        <w:t xml:space="preserve"> = 9.96. </w:t>
      </w:r>
    </w:p>
    <w:p w14:paraId="76731790" w14:textId="77777777" w:rsidR="00171A90" w:rsidRPr="007133F6" w:rsidRDefault="00171A90" w:rsidP="00171A90">
      <w:r>
        <w:t xml:space="preserve">Decision role: the project with positive NPV will be accepted. If both projects have a positive NPV, managers should adopt a project with the higher NPV. </w:t>
      </w:r>
    </w:p>
    <w:p w14:paraId="385BE6F9" w14:textId="77777777" w:rsidR="00171A90" w:rsidRPr="004B25A8" w:rsidRDefault="00171A90" w:rsidP="00171A90">
      <w:pPr>
        <w:rPr>
          <w:rFonts w:eastAsiaTheme="minorEastAsia"/>
        </w:rPr>
      </w:pPr>
      <w:r>
        <w:rPr>
          <w:rFonts w:eastAsiaTheme="minorEastAsia"/>
        </w:rPr>
        <w:t>Both project are considered to be acceptable, but GSK should adopt project B because NPV</w:t>
      </w:r>
      <w:r>
        <w:rPr>
          <w:rFonts w:eastAsiaTheme="minorEastAsia"/>
          <w:vertAlign w:val="subscript"/>
        </w:rPr>
        <w:t xml:space="preserve">B </w:t>
      </w:r>
      <w:r>
        <w:rPr>
          <w:rFonts w:eastAsiaTheme="minorEastAsia"/>
        </w:rPr>
        <w:t xml:space="preserve">&gt; NPV </w:t>
      </w:r>
      <w:proofErr w:type="gramStart"/>
      <w:r>
        <w:rPr>
          <w:rFonts w:eastAsiaTheme="minorEastAsia"/>
          <w:vertAlign w:val="subscript"/>
        </w:rPr>
        <w:t xml:space="preserve">A </w:t>
      </w:r>
      <w:r>
        <w:rPr>
          <w:rFonts w:eastAsiaTheme="minorEastAsia"/>
        </w:rPr>
        <w:t>.</w:t>
      </w:r>
      <w:proofErr w:type="gramEnd"/>
      <w:r>
        <w:rPr>
          <w:rFonts w:eastAsiaTheme="minorEastAsia"/>
        </w:rPr>
        <w:t xml:space="preserve"> </w:t>
      </w:r>
    </w:p>
    <w:p w14:paraId="38B8BB72" w14:textId="3ED5B74D" w:rsidR="00171A90" w:rsidRPr="008B1559" w:rsidRDefault="00171A90" w:rsidP="00266A81">
      <w:pPr>
        <w:pStyle w:val="Heading3"/>
        <w:rPr>
          <w:rFonts w:eastAsiaTheme="minorEastAsia"/>
        </w:rPr>
      </w:pPr>
      <w:bookmarkStart w:id="28" w:name="_Toc7774465"/>
      <w:r w:rsidRPr="008B1559">
        <w:rPr>
          <w:rFonts w:eastAsiaTheme="minorEastAsia"/>
        </w:rPr>
        <w:t>Advantages and disadvantages of Net present value</w:t>
      </w:r>
      <w:bookmarkEnd w:id="28"/>
    </w:p>
    <w:p w14:paraId="21FBC7DA" w14:textId="77777777" w:rsidR="00171A90" w:rsidRPr="005E0543" w:rsidRDefault="00171A90" w:rsidP="00171A90">
      <w:pPr>
        <w:rPr>
          <w:rStyle w:val="Strong"/>
          <w:rFonts w:ascii="Arial" w:hAnsi="Arial" w:cs="Arial"/>
          <w:color w:val="222222"/>
          <w:shd w:val="clear" w:color="auto" w:fill="FFFFFF"/>
        </w:rPr>
      </w:pPr>
      <w:r w:rsidRPr="005E0543">
        <w:rPr>
          <w:rFonts w:eastAsiaTheme="minorEastAsia"/>
        </w:rPr>
        <w:t xml:space="preserve">The NPV is based on the consideration that money received in the future are worth less than money in the bank today. Therefore, this method satisfies the interest of the owners since they can see how much a project will contribute to their value. </w:t>
      </w:r>
    </w:p>
    <w:p w14:paraId="532EBBF4" w14:textId="77777777" w:rsidR="00171A90" w:rsidRPr="005E0543" w:rsidRDefault="00171A90" w:rsidP="00171A90">
      <w:pPr>
        <w:rPr>
          <w:rFonts w:eastAsiaTheme="minorEastAsia" w:cstheme="minorHAnsi"/>
          <w:b/>
        </w:rPr>
      </w:pPr>
      <w:proofErr w:type="gramStart"/>
      <w:r w:rsidRPr="005E0543">
        <w:rPr>
          <w:rStyle w:val="Strong"/>
          <w:rFonts w:cstheme="minorHAnsi"/>
          <w:b w:val="0"/>
          <w:color w:val="222222"/>
          <w:shd w:val="clear" w:color="auto" w:fill="FFFFFF"/>
        </w:rPr>
        <w:t>It should be pointed out that its</w:t>
      </w:r>
      <w:proofErr w:type="gramEnd"/>
      <w:r w:rsidRPr="005E0543">
        <w:rPr>
          <w:rStyle w:val="Strong"/>
          <w:rFonts w:cstheme="minorHAnsi"/>
          <w:b w:val="0"/>
          <w:color w:val="222222"/>
          <w:shd w:val="clear" w:color="auto" w:fill="FFFFFF"/>
        </w:rPr>
        <w:t xml:space="preserve"> relatively difficult to calculate, inasmuch investor need to know exactly the discount rate, the size of each cash flows and when each cash flows will occur. </w:t>
      </w:r>
    </w:p>
    <w:p w14:paraId="78255D6E" w14:textId="77777777" w:rsidR="00171A90" w:rsidRDefault="00171A90" w:rsidP="00266A81">
      <w:pPr>
        <w:pStyle w:val="Heading2"/>
      </w:pPr>
      <w:bookmarkStart w:id="29" w:name="_Toc7774466"/>
      <w:r w:rsidRPr="00492992">
        <w:t>Internal rate of return</w:t>
      </w:r>
      <w:bookmarkEnd w:id="29"/>
      <w:r w:rsidRPr="00492992">
        <w:t xml:space="preserve"> </w:t>
      </w:r>
    </w:p>
    <w:p w14:paraId="4C7E4E27" w14:textId="77777777" w:rsidR="00171A90" w:rsidRPr="00F3596C" w:rsidRDefault="00171A90" w:rsidP="00171A90">
      <w:r w:rsidRPr="00F3596C">
        <w:t xml:space="preserve">The internal rate of return IRR is a discount rate that makes </w:t>
      </w:r>
      <w:r>
        <w:t>n</w:t>
      </w:r>
      <w:r w:rsidRPr="00F3596C">
        <w:t xml:space="preserve">et present value NPV of all cash flows equal to zero. It is expressed in terms of percentage. </w:t>
      </w:r>
    </w:p>
    <w:p w14:paraId="24891E7D" w14:textId="77777777" w:rsidR="00171A90" w:rsidRDefault="00171A90" w:rsidP="00171A90">
      <w:r>
        <w:t xml:space="preserve">Project A </w:t>
      </w:r>
    </w:p>
    <w:p w14:paraId="3B635F9A" w14:textId="77777777" w:rsidR="00171A90" w:rsidRDefault="00171A90" w:rsidP="00171A90">
      <w:pPr>
        <w:rPr>
          <w:rFonts w:eastAsiaTheme="minorEastAsia"/>
        </w:rPr>
      </w:pPr>
      <m:oMath>
        <m:r>
          <w:rPr>
            <w:rFonts w:ascii="Cambria Math" w:eastAsiaTheme="minorEastAsia" w:hAnsi="Cambria Math"/>
          </w:rPr>
          <m:t>R=13%</m:t>
        </m:r>
      </m:oMath>
      <w:r>
        <w:rPr>
          <w:rFonts w:eastAsiaTheme="minorEastAsia"/>
        </w:rPr>
        <w:t xml:space="preserve"> </w:t>
      </w:r>
      <m:oMath>
        <m:r>
          <w:rPr>
            <w:rFonts w:ascii="Cambria Math" w:eastAsiaTheme="minorEastAsia" w:hAnsi="Cambria Math"/>
            <w:i/>
          </w:rPr>
          <w:sym w:font="Wingdings" w:char="F0E0"/>
        </m:r>
        <m:r>
          <w:rPr>
            <w:rFonts w:ascii="Cambria Math" w:eastAsiaTheme="minorEastAsia" w:hAnsi="Cambria Math"/>
          </w:rPr>
          <m:t xml:space="preserve"> NPV=-85000+</m:t>
        </m:r>
        <m:f>
          <m:fPr>
            <m:ctrlPr>
              <w:rPr>
                <w:rFonts w:ascii="Cambria Math" w:eastAsiaTheme="minorEastAsia" w:hAnsi="Cambria Math"/>
                <w:i/>
              </w:rPr>
            </m:ctrlPr>
          </m:fPr>
          <m:num>
            <m:r>
              <w:rPr>
                <w:rFonts w:ascii="Cambria Math" w:eastAsiaTheme="minorEastAsia" w:hAnsi="Cambria Math"/>
              </w:rPr>
              <m:t>10000</m:t>
            </m:r>
          </m:num>
          <m:den>
            <m:d>
              <m:dPr>
                <m:ctrlPr>
                  <w:rPr>
                    <w:rFonts w:ascii="Cambria Math" w:eastAsiaTheme="minorEastAsia" w:hAnsi="Cambria Math"/>
                    <w:i/>
                  </w:rPr>
                </m:ctrlPr>
              </m:dPr>
              <m:e>
                <m:r>
                  <w:rPr>
                    <w:rFonts w:ascii="Cambria Math" w:eastAsiaTheme="minorEastAsia" w:hAnsi="Cambria Math"/>
                  </w:rPr>
                  <m:t>1+13%</m:t>
                </m:r>
              </m:e>
            </m:d>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20000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1+13%</m:t>
                    </m:r>
                  </m:e>
                </m:d>
              </m:e>
              <m:sup>
                <m:r>
                  <w:rPr>
                    <w:rFonts w:ascii="Cambria Math" w:eastAsiaTheme="minorEastAsia" w:hAnsi="Cambria Math"/>
                  </w:rPr>
                  <m:t>2</m:t>
                </m:r>
              </m:sup>
            </m:sSup>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40000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1+13%</m:t>
                    </m:r>
                  </m:e>
                </m:d>
              </m:e>
              <m:sup>
                <m:r>
                  <w:rPr>
                    <w:rFonts w:ascii="Cambria Math" w:eastAsiaTheme="minorEastAsia" w:hAnsi="Cambria Math"/>
                  </w:rPr>
                  <m:t>3</m:t>
                </m:r>
              </m:sup>
            </m:sSup>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55000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1+13%</m:t>
                    </m:r>
                  </m:e>
                </m:d>
              </m:e>
              <m:sup>
                <m:r>
                  <w:rPr>
                    <w:rFonts w:ascii="Cambria Math" w:eastAsiaTheme="minorEastAsia" w:hAnsi="Cambria Math"/>
                  </w:rPr>
                  <m:t>4</m:t>
                </m:r>
              </m:sup>
            </m:sSup>
          </m:den>
        </m:f>
      </m:oMath>
      <w:r w:rsidRPr="003D250B">
        <w:t xml:space="preserve"> </w:t>
      </w:r>
      <m:oMath>
        <m:r>
          <w:rPr>
            <w:rFonts w:ascii="Cambria Math" w:hAnsi="Cambria Math"/>
          </w:rPr>
          <m:t xml:space="preserve">= </m:t>
        </m:r>
        <m:r>
          <w:rPr>
            <w:rFonts w:ascii="Cambria Math" w:eastAsiaTheme="minorEastAsia" w:hAnsi="Cambria Math"/>
          </w:rPr>
          <m:t>967.03</m:t>
        </m:r>
      </m:oMath>
      <w:r>
        <w:rPr>
          <w:rFonts w:eastAsiaTheme="minorEastAsia"/>
        </w:rPr>
        <w:t>;</w:t>
      </w:r>
    </w:p>
    <w:p w14:paraId="6E5767A4" w14:textId="77777777" w:rsidR="00171A90" w:rsidRDefault="00171A90" w:rsidP="00171A90">
      <m:oMath>
        <m:r>
          <w:rPr>
            <w:rFonts w:ascii="Cambria Math" w:hAnsi="Cambria Math"/>
          </w:rPr>
          <m:t>R=14%</m:t>
        </m:r>
      </m:oMath>
      <w:r>
        <w:t xml:space="preserve"> </w:t>
      </w:r>
      <m:oMath>
        <m:r>
          <w:rPr>
            <w:rFonts w:ascii="Cambria Math" w:hAnsi="Cambria Math"/>
            <w:i/>
          </w:rPr>
          <w:sym w:font="Wingdings" w:char="F0E0"/>
        </m:r>
      </m:oMath>
      <w:r>
        <w:t xml:space="preserve"> </w:t>
      </w:r>
      <m:oMath>
        <m:r>
          <w:rPr>
            <w:rFonts w:ascii="Cambria Math" w:hAnsi="Cambria Math"/>
          </w:rPr>
          <m:t>NPV=-85000</m:t>
        </m:r>
      </m:oMath>
      <w:r>
        <w:t xml:space="preserve"> </w:t>
      </w:r>
      <m:oMath>
        <m:r>
          <w:rPr>
            <w:rFonts w:ascii="Cambria Math" w:hAnsi="Cambria Math"/>
          </w:rPr>
          <m:t>+</m:t>
        </m:r>
        <m:f>
          <m:fPr>
            <m:ctrlPr>
              <w:rPr>
                <w:rFonts w:ascii="Cambria Math" w:hAnsi="Cambria Math"/>
                <w:i/>
              </w:rPr>
            </m:ctrlPr>
          </m:fPr>
          <m:num>
            <m:r>
              <w:rPr>
                <w:rFonts w:ascii="Cambria Math" w:hAnsi="Cambria Math"/>
              </w:rPr>
              <m:t>10000</m:t>
            </m:r>
          </m:num>
          <m:den>
            <m:d>
              <m:dPr>
                <m:ctrlPr>
                  <w:rPr>
                    <w:rFonts w:ascii="Cambria Math" w:hAnsi="Cambria Math"/>
                    <w:i/>
                  </w:rPr>
                </m:ctrlPr>
              </m:dPr>
              <m:e>
                <m:r>
                  <w:rPr>
                    <w:rFonts w:ascii="Cambria Math" w:hAnsi="Cambria Math"/>
                  </w:rPr>
                  <m:t>1+14%</m:t>
                </m:r>
              </m:e>
            </m:d>
          </m:den>
        </m:f>
        <m:r>
          <w:rPr>
            <w:rFonts w:ascii="Cambria Math" w:hAnsi="Cambria Math"/>
          </w:rPr>
          <m:t xml:space="preserve"> +</m:t>
        </m:r>
      </m:oMath>
      <w:r>
        <w:t xml:space="preserve"> </w:t>
      </w:r>
      <m:oMath>
        <m:f>
          <m:fPr>
            <m:ctrlPr>
              <w:rPr>
                <w:rFonts w:ascii="Cambria Math" w:hAnsi="Cambria Math"/>
                <w:i/>
              </w:rPr>
            </m:ctrlPr>
          </m:fPr>
          <m:num>
            <m:r>
              <w:rPr>
                <w:rFonts w:ascii="Cambria Math" w:hAnsi="Cambria Math"/>
              </w:rPr>
              <m:t>20000</m:t>
            </m:r>
          </m:num>
          <m:den>
            <m:sSup>
              <m:sSupPr>
                <m:ctrlPr>
                  <w:rPr>
                    <w:rFonts w:ascii="Cambria Math" w:hAnsi="Cambria Math"/>
                    <w:i/>
                  </w:rPr>
                </m:ctrlPr>
              </m:sSupPr>
              <m:e>
                <m:d>
                  <m:dPr>
                    <m:ctrlPr>
                      <w:rPr>
                        <w:rFonts w:ascii="Cambria Math" w:hAnsi="Cambria Math"/>
                        <w:i/>
                      </w:rPr>
                    </m:ctrlPr>
                  </m:dPr>
                  <m:e>
                    <m:r>
                      <w:rPr>
                        <w:rFonts w:ascii="Cambria Math" w:hAnsi="Cambria Math"/>
                      </w:rPr>
                      <m:t>1+14%</m:t>
                    </m:r>
                  </m:e>
                </m:d>
              </m:e>
              <m:sup>
                <m:r>
                  <w:rPr>
                    <w:rFonts w:ascii="Cambria Math" w:hAnsi="Cambria Math"/>
                  </w:rPr>
                  <m:t>2</m:t>
                </m:r>
              </m:sup>
            </m:sSup>
          </m:den>
        </m:f>
      </m:oMath>
      <w:r>
        <w:t xml:space="preserve"> </w:t>
      </w:r>
      <m:oMath>
        <m:r>
          <w:rPr>
            <w:rFonts w:ascii="Cambria Math" w:hAnsi="Cambria Math"/>
          </w:rPr>
          <m:t>+</m:t>
        </m:r>
      </m:oMath>
      <w:r>
        <w:t xml:space="preserve"> </w:t>
      </w:r>
      <m:oMath>
        <m:f>
          <m:fPr>
            <m:ctrlPr>
              <w:rPr>
                <w:rFonts w:ascii="Cambria Math" w:hAnsi="Cambria Math"/>
                <w:i/>
              </w:rPr>
            </m:ctrlPr>
          </m:fPr>
          <m:num>
            <m:r>
              <w:rPr>
                <w:rFonts w:ascii="Cambria Math" w:hAnsi="Cambria Math"/>
              </w:rPr>
              <m:t>40000</m:t>
            </m:r>
          </m:num>
          <m:den>
            <m:sSup>
              <m:sSupPr>
                <m:ctrlPr>
                  <w:rPr>
                    <w:rFonts w:ascii="Cambria Math" w:hAnsi="Cambria Math"/>
                    <w:i/>
                  </w:rPr>
                </m:ctrlPr>
              </m:sSupPr>
              <m:e>
                <m:d>
                  <m:dPr>
                    <m:ctrlPr>
                      <w:rPr>
                        <w:rFonts w:ascii="Cambria Math" w:hAnsi="Cambria Math"/>
                        <w:i/>
                      </w:rPr>
                    </m:ctrlPr>
                  </m:dPr>
                  <m:e>
                    <m:r>
                      <w:rPr>
                        <w:rFonts w:ascii="Cambria Math" w:hAnsi="Cambria Math"/>
                      </w:rPr>
                      <m:t>1+14%</m:t>
                    </m:r>
                  </m:e>
                </m:d>
              </m:e>
              <m:sup>
                <m:r>
                  <w:rPr>
                    <w:rFonts w:ascii="Cambria Math" w:hAnsi="Cambria Math"/>
                  </w:rPr>
                  <m:t>3</m:t>
                </m:r>
              </m:sup>
            </m:sSup>
          </m:den>
        </m:f>
      </m:oMath>
      <w:r>
        <w:t xml:space="preserve"> </w:t>
      </w:r>
      <m:oMath>
        <m:r>
          <w:rPr>
            <w:rFonts w:ascii="Cambria Math" w:hAnsi="Cambria Math"/>
          </w:rPr>
          <m:t>+</m:t>
        </m:r>
      </m:oMath>
      <w:r>
        <w:t xml:space="preserve"> </w:t>
      </w:r>
      <m:oMath>
        <m:f>
          <m:fPr>
            <m:ctrlPr>
              <w:rPr>
                <w:rFonts w:ascii="Cambria Math" w:hAnsi="Cambria Math"/>
                <w:i/>
              </w:rPr>
            </m:ctrlPr>
          </m:fPr>
          <m:num>
            <m:r>
              <w:rPr>
                <w:rFonts w:ascii="Cambria Math" w:hAnsi="Cambria Math"/>
              </w:rPr>
              <m:t>55000</m:t>
            </m:r>
          </m:num>
          <m:den>
            <m:sSup>
              <m:sSupPr>
                <m:ctrlPr>
                  <w:rPr>
                    <w:rFonts w:ascii="Cambria Math" w:hAnsi="Cambria Math"/>
                    <w:i/>
                  </w:rPr>
                </m:ctrlPr>
              </m:sSupPr>
              <m:e>
                <m:d>
                  <m:dPr>
                    <m:ctrlPr>
                      <w:rPr>
                        <w:rFonts w:ascii="Cambria Math" w:hAnsi="Cambria Math"/>
                        <w:i/>
                      </w:rPr>
                    </m:ctrlPr>
                  </m:dPr>
                  <m:e>
                    <m:r>
                      <w:rPr>
                        <w:rFonts w:ascii="Cambria Math" w:hAnsi="Cambria Math"/>
                      </w:rPr>
                      <m:t>1+14%</m:t>
                    </m:r>
                  </m:e>
                </m:d>
              </m:e>
              <m:sup>
                <m:r>
                  <w:rPr>
                    <w:rFonts w:ascii="Cambria Math" w:hAnsi="Cambria Math"/>
                  </w:rPr>
                  <m:t>4</m:t>
                </m:r>
              </m:sup>
            </m:sSup>
          </m:den>
        </m:f>
      </m:oMath>
      <w:r>
        <w:t xml:space="preserve"> = </w:t>
      </w:r>
      <m:oMath>
        <m:r>
          <w:rPr>
            <w:rFonts w:ascii="Cambria Math" w:hAnsi="Cambria Math"/>
          </w:rPr>
          <m:t>-1275.44</m:t>
        </m:r>
      </m:oMath>
      <w:r>
        <w:t>;</w:t>
      </w:r>
    </w:p>
    <w:p w14:paraId="2A2FF079" w14:textId="77777777" w:rsidR="00171A90" w:rsidRDefault="00171A90" w:rsidP="00171A90">
      <w:pPr>
        <w:rPr>
          <w:rFonts w:eastAsiaTheme="minorEastAsia"/>
        </w:rPr>
      </w:pPr>
      <m:oMath>
        <m:r>
          <w:rPr>
            <w:rFonts w:ascii="Cambria Math" w:hAnsi="Cambria Math"/>
          </w:rPr>
          <m:t>IRR=</m:t>
        </m:r>
      </m:oMath>
      <w:r>
        <w:t xml:space="preserve"> </w:t>
      </w:r>
      <m:oMath>
        <m:r>
          <w:rPr>
            <w:rFonts w:ascii="Cambria Math" w:hAnsi="Cambria Math"/>
          </w:rPr>
          <m:t>13%</m:t>
        </m:r>
      </m:oMath>
      <w:r>
        <w:t xml:space="preserve"> </w:t>
      </w:r>
      <m:oMath>
        <m:r>
          <w:rPr>
            <w:rFonts w:ascii="Cambria Math" w:hAnsi="Cambria Math"/>
          </w:rPr>
          <m:t>+</m:t>
        </m:r>
      </m:oMath>
      <w:r>
        <w:t xml:space="preserve"> </w:t>
      </w:r>
      <m:oMath>
        <m:f>
          <m:fPr>
            <m:ctrlPr>
              <w:rPr>
                <w:rFonts w:ascii="Cambria Math" w:hAnsi="Cambria Math"/>
                <w:i/>
              </w:rPr>
            </m:ctrlPr>
          </m:fPr>
          <m:num>
            <m:r>
              <w:rPr>
                <w:rFonts w:ascii="Cambria Math" w:hAnsi="Cambria Math"/>
              </w:rPr>
              <m:t xml:space="preserve">967.03 x </m:t>
            </m:r>
            <m:d>
              <m:dPr>
                <m:ctrlPr>
                  <w:rPr>
                    <w:rFonts w:ascii="Cambria Math" w:hAnsi="Cambria Math"/>
                    <w:i/>
                  </w:rPr>
                </m:ctrlPr>
              </m:dPr>
              <m:e>
                <m:r>
                  <w:rPr>
                    <w:rFonts w:ascii="Cambria Math" w:hAnsi="Cambria Math"/>
                  </w:rPr>
                  <m:t>14%-13%</m:t>
                </m:r>
              </m:e>
            </m:d>
          </m:num>
          <m:den>
            <m:d>
              <m:dPr>
                <m:ctrlPr>
                  <w:rPr>
                    <w:rFonts w:ascii="Cambria Math" w:hAnsi="Cambria Math"/>
                    <w:i/>
                  </w:rPr>
                </m:ctrlPr>
              </m:dPr>
              <m:e>
                <m:r>
                  <w:rPr>
                    <w:rFonts w:ascii="Cambria Math" w:hAnsi="Cambria Math"/>
                  </w:rPr>
                  <m:t>967.03+1275.44</m:t>
                </m:r>
              </m:e>
            </m:d>
          </m:den>
        </m:f>
      </m:oMath>
      <w:r>
        <w:rPr>
          <w:rFonts w:eastAsiaTheme="minorEastAsia"/>
        </w:rPr>
        <w:t xml:space="preserve"> </w:t>
      </w:r>
      <m:oMath>
        <m:r>
          <w:rPr>
            <w:rFonts w:ascii="Cambria Math" w:eastAsiaTheme="minorEastAsia" w:hAnsi="Cambria Math"/>
          </w:rPr>
          <m:t>x 100</m:t>
        </m:r>
      </m:oMath>
      <w:r>
        <w:rPr>
          <w:rFonts w:eastAsiaTheme="minorEastAsia"/>
        </w:rPr>
        <w:t xml:space="preserve"> = 13.43% </w:t>
      </w:r>
    </w:p>
    <w:p w14:paraId="0C290908" w14:textId="77777777" w:rsidR="00171A90" w:rsidRDefault="00171A90" w:rsidP="00171A90">
      <w:pPr>
        <w:rPr>
          <w:rFonts w:eastAsiaTheme="minorEastAsia"/>
        </w:rPr>
      </w:pPr>
      <w:r>
        <w:rPr>
          <w:rFonts w:eastAsiaTheme="minorEastAsia"/>
        </w:rPr>
        <w:t xml:space="preserve">Or </w:t>
      </w:r>
      <m:oMath>
        <m:r>
          <w:rPr>
            <w:rFonts w:ascii="Cambria Math" w:eastAsiaTheme="minorEastAsia" w:hAnsi="Cambria Math"/>
            <w:i/>
          </w:rPr>
          <w:sym w:font="Wingdings" w:char="F0E0"/>
        </m:r>
        <m:f>
          <m:fPr>
            <m:ctrlPr>
              <w:rPr>
                <w:rFonts w:ascii="Cambria Math" w:eastAsiaTheme="minorEastAsia" w:hAnsi="Cambria Math"/>
                <w:i/>
              </w:rPr>
            </m:ctrlPr>
          </m:fPr>
          <m:num>
            <m:r>
              <w:rPr>
                <w:rFonts w:ascii="Cambria Math" w:eastAsiaTheme="minorEastAsia" w:hAnsi="Cambria Math"/>
              </w:rPr>
              <m:t>967.03</m:t>
            </m:r>
          </m:num>
          <m:den>
            <m:r>
              <w:rPr>
                <w:rFonts w:ascii="Cambria Math" w:eastAsiaTheme="minorEastAsia" w:hAnsi="Cambria Math"/>
              </w:rPr>
              <m:t>967.03+1275.44</m:t>
            </m:r>
          </m:den>
        </m:f>
        <m:r>
          <w:rPr>
            <w:rFonts w:ascii="Cambria Math" w:eastAsiaTheme="minorEastAsia" w:hAnsi="Cambria Math"/>
          </w:rPr>
          <m:t>= 0.43</m:t>
        </m:r>
        <m:r>
          <w:rPr>
            <w:rFonts w:ascii="Cambria Math" w:eastAsiaTheme="minorEastAsia" w:hAnsi="Cambria Math"/>
            <w:i/>
          </w:rPr>
          <w:sym w:font="Wingdings" w:char="F0E0"/>
        </m:r>
        <m:r>
          <w:rPr>
            <w:rFonts w:ascii="Cambria Math" w:eastAsiaTheme="minorEastAsia" w:hAnsi="Cambria Math"/>
          </w:rPr>
          <m:t xml:space="preserve"> 13+0.43= 13.43%</m:t>
        </m:r>
      </m:oMath>
      <w:r>
        <w:rPr>
          <w:rFonts w:eastAsiaTheme="minorEastAsia"/>
        </w:rPr>
        <w:t xml:space="preserve"> </w:t>
      </w:r>
    </w:p>
    <w:p w14:paraId="1D4C3ECA" w14:textId="77777777" w:rsidR="00171A90" w:rsidRDefault="00171A90" w:rsidP="00171A90">
      <w:pPr>
        <w:rPr>
          <w:rFonts w:eastAsiaTheme="minorEastAsia"/>
        </w:rPr>
      </w:pPr>
      <m:oMath>
        <m:r>
          <w:rPr>
            <w:rFonts w:ascii="Cambria Math" w:eastAsiaTheme="minorEastAsia" w:hAnsi="Cambria Math"/>
          </w:rPr>
          <m:t>R= 13.43%</m:t>
        </m:r>
      </m:oMath>
      <w:r>
        <w:rPr>
          <w:rFonts w:eastAsiaTheme="minorEastAsia"/>
        </w:rPr>
        <w:t xml:space="preserve"> </w:t>
      </w:r>
      <m:oMath>
        <m:r>
          <w:rPr>
            <w:rFonts w:ascii="Cambria Math" w:eastAsiaTheme="minorEastAsia" w:hAnsi="Cambria Math"/>
            <w:i/>
          </w:rPr>
          <w:sym w:font="Wingdings" w:char="F0E0"/>
        </m:r>
        <m:r>
          <w:rPr>
            <w:rFonts w:ascii="Cambria Math" w:eastAsiaTheme="minorEastAsia" w:hAnsi="Cambria Math"/>
          </w:rPr>
          <m:t xml:space="preserve"> NPV</m:t>
        </m:r>
      </m:oMath>
      <w:r>
        <w:rPr>
          <w:rFonts w:eastAsiaTheme="minorEastAsia"/>
        </w:rPr>
        <w:t xml:space="preserve"> </w:t>
      </w:r>
      <m:oMath>
        <m:r>
          <w:rPr>
            <w:rFonts w:ascii="Cambria Math" w:eastAsiaTheme="minorEastAsia" w:hAnsi="Cambria Math"/>
          </w:rPr>
          <m:t>=-85000</m:t>
        </m:r>
      </m:oMath>
      <w:r>
        <w:rPr>
          <w:rFonts w:eastAsiaTheme="minorEastAsia"/>
        </w:rPr>
        <w:t xml:space="preserve"> </w:t>
      </w:r>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10000</m:t>
            </m:r>
          </m:num>
          <m:den>
            <m:r>
              <w:rPr>
                <w:rFonts w:ascii="Cambria Math" w:eastAsiaTheme="minorEastAsia" w:hAnsi="Cambria Math"/>
              </w:rPr>
              <m:t>(1+13.43%)</m:t>
            </m:r>
          </m:den>
        </m:f>
      </m:oMath>
      <w:r>
        <w:rPr>
          <w:rFonts w:eastAsiaTheme="minorEastAsia"/>
        </w:rPr>
        <w:t xml:space="preserve"> </w:t>
      </w:r>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20000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1+13.43%</m:t>
                    </m:r>
                  </m:e>
                </m:d>
              </m:e>
              <m:sup>
                <m:r>
                  <w:rPr>
                    <w:rFonts w:ascii="Cambria Math" w:eastAsiaTheme="minorEastAsia" w:hAnsi="Cambria Math"/>
                  </w:rPr>
                  <m:t>2</m:t>
                </m:r>
              </m:sup>
            </m:sSup>
          </m:den>
        </m:f>
      </m:oMath>
      <w:r>
        <w:rPr>
          <w:rFonts w:eastAsiaTheme="minorEastAsia"/>
        </w:rPr>
        <w:t xml:space="preserve"> </w:t>
      </w:r>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40000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1+13.43%</m:t>
                    </m:r>
                  </m:e>
                </m:d>
              </m:e>
              <m:sup>
                <m:r>
                  <w:rPr>
                    <w:rFonts w:ascii="Cambria Math" w:eastAsiaTheme="minorEastAsia" w:hAnsi="Cambria Math"/>
                  </w:rPr>
                  <m:t>3</m:t>
                </m:r>
              </m:sup>
            </m:sSup>
          </m:den>
        </m:f>
      </m:oMath>
      <w:r>
        <w:rPr>
          <w:rFonts w:eastAsiaTheme="minorEastAsia"/>
        </w:rPr>
        <w:t xml:space="preserve"> </w:t>
      </w:r>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55000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1+13.43%</m:t>
                    </m:r>
                  </m:e>
                </m:d>
              </m:e>
              <m:sup>
                <m:r>
                  <w:rPr>
                    <w:rFonts w:ascii="Cambria Math" w:eastAsiaTheme="minorEastAsia" w:hAnsi="Cambria Math"/>
                  </w:rPr>
                  <m:t>4</m:t>
                </m:r>
              </m:sup>
            </m:sSup>
          </m:den>
        </m:f>
      </m:oMath>
      <w:r>
        <w:rPr>
          <w:rFonts w:eastAsiaTheme="minorEastAsia"/>
        </w:rPr>
        <w:t xml:space="preserve"> </w:t>
      </w:r>
      <m:oMath>
        <m:r>
          <w:rPr>
            <w:rFonts w:ascii="Cambria Math" w:eastAsiaTheme="minorEastAsia" w:hAnsi="Cambria Math"/>
          </w:rPr>
          <m:t>= -7.30 .</m:t>
        </m:r>
      </m:oMath>
    </w:p>
    <w:p w14:paraId="6C051880" w14:textId="77777777" w:rsidR="00171A90" w:rsidRDefault="00171A90" w:rsidP="00171A90">
      <w:pPr>
        <w:rPr>
          <w:rFonts w:eastAsiaTheme="minorEastAsia"/>
        </w:rPr>
      </w:pPr>
    </w:p>
    <w:p w14:paraId="1A89C909" w14:textId="77777777" w:rsidR="00171A90" w:rsidRDefault="00171A90" w:rsidP="00171A90">
      <w:pPr>
        <w:rPr>
          <w:rFonts w:eastAsiaTheme="minorEastAsia"/>
        </w:rPr>
      </w:pPr>
      <w:r>
        <w:rPr>
          <w:rFonts w:eastAsiaTheme="minorEastAsia"/>
        </w:rPr>
        <w:lastRenderedPageBreak/>
        <w:t xml:space="preserve">Project B </w:t>
      </w:r>
    </w:p>
    <w:p w14:paraId="32F20C5A" w14:textId="77777777" w:rsidR="00171A90" w:rsidRDefault="00171A90" w:rsidP="00171A90">
      <w:pPr>
        <w:rPr>
          <w:rFonts w:eastAsiaTheme="minorEastAsia"/>
        </w:rPr>
      </w:pPr>
      <m:oMath>
        <m:r>
          <w:rPr>
            <w:rFonts w:ascii="Cambria Math" w:hAnsi="Cambria Math"/>
          </w:rPr>
          <m:t>R=15%</m:t>
        </m:r>
      </m:oMath>
      <w:r>
        <w:t xml:space="preserve"> </w:t>
      </w:r>
      <m:oMath>
        <m:r>
          <w:rPr>
            <w:rFonts w:ascii="Cambria Math" w:hAnsi="Cambria Math"/>
            <w:i/>
          </w:rPr>
          <w:sym w:font="Wingdings" w:char="F0E0"/>
        </m:r>
        <m:r>
          <w:rPr>
            <w:rFonts w:ascii="Cambria Math" w:hAnsi="Cambria Math"/>
          </w:rPr>
          <m:t xml:space="preserve"> NPV=-90000+</m:t>
        </m:r>
        <m:f>
          <m:fPr>
            <m:ctrlPr>
              <w:rPr>
                <w:rFonts w:ascii="Cambria Math" w:hAnsi="Cambria Math"/>
                <w:i/>
              </w:rPr>
            </m:ctrlPr>
          </m:fPr>
          <m:num>
            <m:r>
              <w:rPr>
                <w:rFonts w:ascii="Cambria Math" w:hAnsi="Cambria Math"/>
              </w:rPr>
              <m:t>25000</m:t>
            </m:r>
          </m:num>
          <m:den>
            <m:d>
              <m:dPr>
                <m:ctrlPr>
                  <w:rPr>
                    <w:rFonts w:ascii="Cambria Math" w:hAnsi="Cambria Math"/>
                    <w:i/>
                  </w:rPr>
                </m:ctrlPr>
              </m:dPr>
              <m:e>
                <m:r>
                  <w:rPr>
                    <w:rFonts w:ascii="Cambria Math" w:hAnsi="Cambria Math"/>
                  </w:rPr>
                  <m:t>1+15%</m:t>
                </m:r>
              </m:e>
            </m:d>
          </m:den>
        </m:f>
      </m:oMath>
      <w:r>
        <w:rPr>
          <w:rFonts w:eastAsiaTheme="minorEastAsia"/>
        </w:rPr>
        <w:t xml:space="preserve"> </w:t>
      </w:r>
      <m:oMath>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30000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1+15%</m:t>
                    </m:r>
                  </m:e>
                </m:d>
              </m:e>
              <m:sup>
                <m:r>
                  <w:rPr>
                    <w:rFonts w:ascii="Cambria Math" w:eastAsiaTheme="minorEastAsia" w:hAnsi="Cambria Math"/>
                  </w:rPr>
                  <m:t>2</m:t>
                </m:r>
              </m:sup>
            </m:sSup>
          </m:den>
        </m:f>
      </m:oMath>
      <w:r>
        <w:rPr>
          <w:rFonts w:eastAsiaTheme="minorEastAsia"/>
        </w:rPr>
        <w:t xml:space="preserve"> </w:t>
      </w:r>
      <m:oMath>
        <m:r>
          <w:rPr>
            <w:rFonts w:ascii="Cambria Math" w:eastAsiaTheme="minorEastAsia" w:hAnsi="Cambria Math"/>
          </w:rPr>
          <m:t>+</m:t>
        </m:r>
      </m:oMath>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35000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1+15%</m:t>
                    </m:r>
                  </m:e>
                </m:d>
              </m:e>
              <m:sup>
                <m:r>
                  <w:rPr>
                    <w:rFonts w:ascii="Cambria Math" w:eastAsiaTheme="minorEastAsia" w:hAnsi="Cambria Math"/>
                  </w:rPr>
                  <m:t>3</m:t>
                </m:r>
              </m:sup>
            </m:sSup>
          </m:den>
        </m:f>
      </m:oMath>
      <w:r>
        <w:rPr>
          <w:rFonts w:eastAsiaTheme="minorEastAsia"/>
        </w:rPr>
        <w:t xml:space="preserve"> </w:t>
      </w:r>
      <m:oMath>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40000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1+15%</m:t>
                    </m:r>
                  </m:e>
                </m:d>
              </m:e>
              <m:sup>
                <m:r>
                  <w:rPr>
                    <w:rFonts w:ascii="Cambria Math" w:eastAsiaTheme="minorEastAsia" w:hAnsi="Cambria Math"/>
                  </w:rPr>
                  <m:t>4</m:t>
                </m:r>
              </m:sup>
            </m:sSup>
          </m:den>
        </m:f>
      </m:oMath>
      <w:r>
        <w:rPr>
          <w:rFonts w:eastAsiaTheme="minorEastAsia"/>
        </w:rPr>
        <w:t xml:space="preserve"> </w:t>
      </w:r>
      <m:oMath>
        <m:r>
          <w:rPr>
            <w:rFonts w:ascii="Cambria Math" w:eastAsiaTheme="minorEastAsia" w:hAnsi="Cambria Math"/>
          </w:rPr>
          <m:t>=</m:t>
        </m:r>
      </m:oMath>
      <w:r>
        <w:rPr>
          <w:rFonts w:eastAsiaTheme="minorEastAsia"/>
        </w:rPr>
        <w:t xml:space="preserve"> </w:t>
      </w:r>
      <m:oMath>
        <m:r>
          <w:rPr>
            <w:rFonts w:ascii="Cambria Math" w:eastAsiaTheme="minorEastAsia" w:hAnsi="Cambria Math"/>
          </w:rPr>
          <m:t>306.64</m:t>
        </m:r>
      </m:oMath>
      <w:r>
        <w:rPr>
          <w:rFonts w:eastAsiaTheme="minorEastAsia"/>
        </w:rPr>
        <w:t>;</w:t>
      </w:r>
    </w:p>
    <w:p w14:paraId="0AD0A760" w14:textId="77777777" w:rsidR="00171A90" w:rsidRDefault="00171A90" w:rsidP="00171A90">
      <w:pPr>
        <w:rPr>
          <w:rFonts w:eastAsiaTheme="minorEastAsia"/>
        </w:rPr>
      </w:pPr>
      <m:oMath>
        <m:r>
          <w:rPr>
            <w:rFonts w:ascii="Cambria Math" w:hAnsi="Cambria Math"/>
          </w:rPr>
          <m:t>R=16%</m:t>
        </m:r>
      </m:oMath>
      <w:r>
        <w:t xml:space="preserve"> </w:t>
      </w:r>
      <m:oMath>
        <m:r>
          <w:rPr>
            <w:rFonts w:ascii="Cambria Math" w:hAnsi="Cambria Math"/>
            <w:i/>
          </w:rPr>
          <w:sym w:font="Wingdings" w:char="F0E0"/>
        </m:r>
        <m:r>
          <w:rPr>
            <w:rFonts w:ascii="Cambria Math" w:hAnsi="Cambria Math"/>
          </w:rPr>
          <m:t xml:space="preserve"> NPV=-90000+</m:t>
        </m:r>
        <m:f>
          <m:fPr>
            <m:ctrlPr>
              <w:rPr>
                <w:rFonts w:ascii="Cambria Math" w:hAnsi="Cambria Math"/>
                <w:i/>
              </w:rPr>
            </m:ctrlPr>
          </m:fPr>
          <m:num>
            <m:r>
              <w:rPr>
                <w:rFonts w:ascii="Cambria Math" w:hAnsi="Cambria Math"/>
              </w:rPr>
              <m:t>25000</m:t>
            </m:r>
          </m:num>
          <m:den>
            <m:d>
              <m:dPr>
                <m:ctrlPr>
                  <w:rPr>
                    <w:rFonts w:ascii="Cambria Math" w:hAnsi="Cambria Math"/>
                    <w:i/>
                  </w:rPr>
                </m:ctrlPr>
              </m:dPr>
              <m:e>
                <m:r>
                  <w:rPr>
                    <w:rFonts w:ascii="Cambria Math" w:hAnsi="Cambria Math"/>
                  </w:rPr>
                  <m:t>1+16%</m:t>
                </m:r>
              </m:e>
            </m:d>
          </m:den>
        </m:f>
      </m:oMath>
      <w:r>
        <w:rPr>
          <w:rFonts w:eastAsiaTheme="minorEastAsia"/>
        </w:rPr>
        <w:t xml:space="preserve"> </w:t>
      </w:r>
      <m:oMath>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30000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1+16%</m:t>
                    </m:r>
                  </m:e>
                </m:d>
              </m:e>
              <m:sup>
                <m:r>
                  <w:rPr>
                    <w:rFonts w:ascii="Cambria Math" w:eastAsiaTheme="minorEastAsia" w:hAnsi="Cambria Math"/>
                  </w:rPr>
                  <m:t>2</m:t>
                </m:r>
              </m:sup>
            </m:sSup>
          </m:den>
        </m:f>
      </m:oMath>
      <w:r>
        <w:rPr>
          <w:rFonts w:eastAsiaTheme="minorEastAsia"/>
        </w:rPr>
        <w:t xml:space="preserve"> </w:t>
      </w:r>
      <m:oMath>
        <m:r>
          <w:rPr>
            <w:rFonts w:ascii="Cambria Math" w:eastAsiaTheme="minorEastAsia" w:hAnsi="Cambria Math"/>
          </w:rPr>
          <m:t>+</m:t>
        </m:r>
      </m:oMath>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35000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1+16%</m:t>
                    </m:r>
                  </m:e>
                </m:d>
              </m:e>
              <m:sup>
                <m:r>
                  <w:rPr>
                    <w:rFonts w:ascii="Cambria Math" w:eastAsiaTheme="minorEastAsia" w:hAnsi="Cambria Math"/>
                  </w:rPr>
                  <m:t>3</m:t>
                </m:r>
              </m:sup>
            </m:sSup>
          </m:den>
        </m:f>
      </m:oMath>
      <w:r>
        <w:rPr>
          <w:rFonts w:eastAsiaTheme="minorEastAsia"/>
        </w:rPr>
        <w:t xml:space="preserve"> </w:t>
      </w:r>
      <m:oMath>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40000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1+16%</m:t>
                    </m:r>
                  </m:e>
                </m:d>
              </m:e>
              <m:sup>
                <m:r>
                  <w:rPr>
                    <w:rFonts w:ascii="Cambria Math" w:eastAsiaTheme="minorEastAsia" w:hAnsi="Cambria Math"/>
                  </w:rPr>
                  <m:t>4</m:t>
                </m:r>
              </m:sup>
            </m:sSup>
          </m:den>
        </m:f>
      </m:oMath>
      <w:r>
        <w:rPr>
          <w:rFonts w:eastAsiaTheme="minorEastAsia"/>
        </w:rPr>
        <w:t xml:space="preserve"> </w:t>
      </w:r>
      <m:oMath>
        <m:r>
          <w:rPr>
            <w:rFonts w:ascii="Cambria Math" w:eastAsiaTheme="minorEastAsia" w:hAnsi="Cambria Math"/>
          </w:rPr>
          <m:t>=</m:t>
        </m:r>
      </m:oMath>
      <w:r>
        <w:rPr>
          <w:rFonts w:eastAsiaTheme="minorEastAsia"/>
        </w:rPr>
        <w:t xml:space="preserve"> </w:t>
      </w:r>
      <m:oMath>
        <m:r>
          <w:rPr>
            <w:rFonts w:ascii="Cambria Math" w:eastAsiaTheme="minorEastAsia" w:hAnsi="Cambria Math"/>
          </w:rPr>
          <m:t>-1638.73</m:t>
        </m:r>
      </m:oMath>
      <w:r>
        <w:rPr>
          <w:rFonts w:eastAsiaTheme="minorEastAsia"/>
        </w:rPr>
        <w:t>;</w:t>
      </w:r>
    </w:p>
    <w:p w14:paraId="01B1B6B7" w14:textId="77777777" w:rsidR="00171A90" w:rsidRDefault="00171A90" w:rsidP="00171A90">
      <w:pPr>
        <w:rPr>
          <w:rFonts w:eastAsiaTheme="minorEastAsia"/>
        </w:rPr>
      </w:pPr>
      <m:oMath>
        <m:r>
          <w:rPr>
            <w:rFonts w:ascii="Cambria Math" w:hAnsi="Cambria Math"/>
          </w:rPr>
          <m:t>IRR=</m:t>
        </m:r>
      </m:oMath>
      <w:r>
        <w:t xml:space="preserve"> </w:t>
      </w:r>
      <m:oMath>
        <m:r>
          <w:rPr>
            <w:rFonts w:ascii="Cambria Math" w:hAnsi="Cambria Math"/>
          </w:rPr>
          <m:t>15%</m:t>
        </m:r>
      </m:oMath>
      <w:r>
        <w:t xml:space="preserve"> </w:t>
      </w:r>
      <m:oMath>
        <m:r>
          <w:rPr>
            <w:rFonts w:ascii="Cambria Math" w:hAnsi="Cambria Math"/>
          </w:rPr>
          <m:t>+</m:t>
        </m:r>
      </m:oMath>
      <w:r>
        <w:t xml:space="preserve"> </w:t>
      </w:r>
      <m:oMath>
        <m:f>
          <m:fPr>
            <m:ctrlPr>
              <w:rPr>
                <w:rFonts w:ascii="Cambria Math" w:hAnsi="Cambria Math"/>
                <w:i/>
              </w:rPr>
            </m:ctrlPr>
          </m:fPr>
          <m:num>
            <m:r>
              <w:rPr>
                <w:rFonts w:ascii="Cambria Math" w:hAnsi="Cambria Math"/>
              </w:rPr>
              <m:t xml:space="preserve">306.64 x </m:t>
            </m:r>
            <m:d>
              <m:dPr>
                <m:ctrlPr>
                  <w:rPr>
                    <w:rFonts w:ascii="Cambria Math" w:hAnsi="Cambria Math"/>
                    <w:i/>
                  </w:rPr>
                </m:ctrlPr>
              </m:dPr>
              <m:e>
                <m:r>
                  <w:rPr>
                    <w:rFonts w:ascii="Cambria Math" w:hAnsi="Cambria Math"/>
                  </w:rPr>
                  <m:t>16%-15%</m:t>
                </m:r>
              </m:e>
            </m:d>
          </m:num>
          <m:den>
            <m:d>
              <m:dPr>
                <m:ctrlPr>
                  <w:rPr>
                    <w:rFonts w:ascii="Cambria Math" w:hAnsi="Cambria Math"/>
                    <w:i/>
                  </w:rPr>
                </m:ctrlPr>
              </m:dPr>
              <m:e>
                <m:r>
                  <w:rPr>
                    <w:rFonts w:ascii="Cambria Math" w:hAnsi="Cambria Math"/>
                  </w:rPr>
                  <m:t>306.64+1638.73</m:t>
                </m:r>
              </m:e>
            </m:d>
          </m:den>
        </m:f>
      </m:oMath>
      <w:r>
        <w:rPr>
          <w:rFonts w:eastAsiaTheme="minorEastAsia"/>
        </w:rPr>
        <w:t xml:space="preserve"> </w:t>
      </w:r>
      <m:oMath>
        <m:r>
          <w:rPr>
            <w:rFonts w:ascii="Cambria Math" w:eastAsiaTheme="minorEastAsia" w:hAnsi="Cambria Math"/>
          </w:rPr>
          <m:t>x 100</m:t>
        </m:r>
      </m:oMath>
      <w:r>
        <w:rPr>
          <w:rFonts w:eastAsiaTheme="minorEastAsia"/>
        </w:rPr>
        <w:t xml:space="preserve"> = 15.16% </w:t>
      </w:r>
    </w:p>
    <w:p w14:paraId="19BB3DBC" w14:textId="77777777" w:rsidR="00171A90" w:rsidRDefault="00171A90" w:rsidP="00171A90">
      <w:pPr>
        <w:rPr>
          <w:rFonts w:eastAsiaTheme="minorEastAsia"/>
        </w:rPr>
      </w:pPr>
      <w:r>
        <w:rPr>
          <w:rFonts w:eastAsiaTheme="minorEastAsia"/>
        </w:rPr>
        <w:t xml:space="preserve">Or </w:t>
      </w:r>
      <m:oMath>
        <m:r>
          <w:rPr>
            <w:rFonts w:ascii="Cambria Math" w:eastAsiaTheme="minorEastAsia" w:hAnsi="Cambria Math"/>
            <w:i/>
          </w:rPr>
          <w:sym w:font="Wingdings" w:char="F0E0"/>
        </m:r>
        <m:f>
          <m:fPr>
            <m:ctrlPr>
              <w:rPr>
                <w:rFonts w:ascii="Cambria Math" w:eastAsiaTheme="minorEastAsia" w:hAnsi="Cambria Math"/>
                <w:i/>
              </w:rPr>
            </m:ctrlPr>
          </m:fPr>
          <m:num>
            <m:r>
              <w:rPr>
                <w:rFonts w:ascii="Cambria Math" w:eastAsiaTheme="minorEastAsia" w:hAnsi="Cambria Math"/>
              </w:rPr>
              <m:t>306.64</m:t>
            </m:r>
          </m:num>
          <m:den>
            <m:r>
              <w:rPr>
                <w:rFonts w:ascii="Cambria Math" w:eastAsiaTheme="minorEastAsia" w:hAnsi="Cambria Math"/>
              </w:rPr>
              <m:t>306.64+1638.73</m:t>
            </m:r>
          </m:den>
        </m:f>
        <m:r>
          <w:rPr>
            <w:rFonts w:ascii="Cambria Math" w:eastAsiaTheme="minorEastAsia" w:hAnsi="Cambria Math"/>
          </w:rPr>
          <m:t>= 0.16</m:t>
        </m:r>
        <m:r>
          <w:rPr>
            <w:rFonts w:ascii="Cambria Math" w:eastAsiaTheme="minorEastAsia" w:hAnsi="Cambria Math"/>
            <w:i/>
          </w:rPr>
          <w:sym w:font="Wingdings" w:char="F0E0"/>
        </m:r>
        <m:r>
          <w:rPr>
            <w:rFonts w:ascii="Cambria Math" w:eastAsiaTheme="minorEastAsia" w:hAnsi="Cambria Math"/>
          </w:rPr>
          <m:t xml:space="preserve"> 15+0.16= 15.16%</m:t>
        </m:r>
      </m:oMath>
      <w:r>
        <w:rPr>
          <w:rFonts w:eastAsiaTheme="minorEastAsia"/>
        </w:rPr>
        <w:t xml:space="preserve"> </w:t>
      </w:r>
    </w:p>
    <w:p w14:paraId="3F3C1211" w14:textId="77777777" w:rsidR="00171A90" w:rsidRDefault="00171A90" w:rsidP="00171A90">
      <w:pPr>
        <w:rPr>
          <w:rFonts w:eastAsiaTheme="minorEastAsia"/>
        </w:rPr>
      </w:pPr>
      <m:oMath>
        <m:r>
          <w:rPr>
            <w:rFonts w:ascii="Cambria Math" w:hAnsi="Cambria Math"/>
          </w:rPr>
          <m:t>R=15.16%</m:t>
        </m:r>
      </m:oMath>
      <w:r>
        <w:t xml:space="preserve"> </w:t>
      </w:r>
      <m:oMath>
        <m:r>
          <w:rPr>
            <w:rFonts w:ascii="Cambria Math" w:hAnsi="Cambria Math"/>
            <w:i/>
          </w:rPr>
          <w:sym w:font="Wingdings" w:char="F0E0"/>
        </m:r>
        <m:r>
          <w:rPr>
            <w:rFonts w:ascii="Cambria Math" w:hAnsi="Cambria Math"/>
          </w:rPr>
          <m:t xml:space="preserve"> NPV=-90000+</m:t>
        </m:r>
        <m:f>
          <m:fPr>
            <m:ctrlPr>
              <w:rPr>
                <w:rFonts w:ascii="Cambria Math" w:hAnsi="Cambria Math"/>
                <w:i/>
              </w:rPr>
            </m:ctrlPr>
          </m:fPr>
          <m:num>
            <m:r>
              <w:rPr>
                <w:rFonts w:ascii="Cambria Math" w:hAnsi="Cambria Math"/>
              </w:rPr>
              <m:t>25000</m:t>
            </m:r>
          </m:num>
          <m:den>
            <m:d>
              <m:dPr>
                <m:ctrlPr>
                  <w:rPr>
                    <w:rFonts w:ascii="Cambria Math" w:hAnsi="Cambria Math"/>
                    <w:i/>
                  </w:rPr>
                </m:ctrlPr>
              </m:dPr>
              <m:e>
                <m:r>
                  <w:rPr>
                    <w:rFonts w:ascii="Cambria Math" w:hAnsi="Cambria Math"/>
                  </w:rPr>
                  <m:t>1+15.16%</m:t>
                </m:r>
              </m:e>
            </m:d>
          </m:den>
        </m:f>
      </m:oMath>
      <w:r>
        <w:rPr>
          <w:rFonts w:eastAsiaTheme="minorEastAsia"/>
        </w:rPr>
        <w:t xml:space="preserve"> </w:t>
      </w:r>
      <m:oMath>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30000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1+15.16%</m:t>
                    </m:r>
                  </m:e>
                </m:d>
              </m:e>
              <m:sup>
                <m:r>
                  <w:rPr>
                    <w:rFonts w:ascii="Cambria Math" w:eastAsiaTheme="minorEastAsia" w:hAnsi="Cambria Math"/>
                  </w:rPr>
                  <m:t>2</m:t>
                </m:r>
              </m:sup>
            </m:sSup>
          </m:den>
        </m:f>
      </m:oMath>
      <w:r>
        <w:rPr>
          <w:rFonts w:eastAsiaTheme="minorEastAsia"/>
        </w:rPr>
        <w:t xml:space="preserve"> </w:t>
      </w:r>
      <m:oMath>
        <m:r>
          <w:rPr>
            <w:rFonts w:ascii="Cambria Math" w:eastAsiaTheme="minorEastAsia" w:hAnsi="Cambria Math"/>
          </w:rPr>
          <m:t>+</m:t>
        </m:r>
      </m:oMath>
      <w:r>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35000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1+15.16%</m:t>
                    </m:r>
                  </m:e>
                </m:d>
              </m:e>
              <m:sup>
                <m:r>
                  <w:rPr>
                    <w:rFonts w:ascii="Cambria Math" w:eastAsiaTheme="minorEastAsia" w:hAnsi="Cambria Math"/>
                  </w:rPr>
                  <m:t>3</m:t>
                </m:r>
              </m:sup>
            </m:sSup>
          </m:den>
        </m:f>
      </m:oMath>
      <w:r>
        <w:rPr>
          <w:rFonts w:eastAsiaTheme="minorEastAsia"/>
        </w:rPr>
        <w:t xml:space="preserve"> </w:t>
      </w:r>
      <m:oMath>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40000</m:t>
            </m:r>
          </m:num>
          <m:den>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1+15.16%</m:t>
                    </m:r>
                  </m:e>
                </m:d>
              </m:e>
              <m:sup>
                <m:r>
                  <w:rPr>
                    <w:rFonts w:ascii="Cambria Math" w:eastAsiaTheme="minorEastAsia" w:hAnsi="Cambria Math"/>
                  </w:rPr>
                  <m:t>4</m:t>
                </m:r>
              </m:sup>
            </m:sSup>
          </m:den>
        </m:f>
      </m:oMath>
      <w:r>
        <w:rPr>
          <w:rFonts w:eastAsiaTheme="minorEastAsia"/>
        </w:rPr>
        <w:t xml:space="preserve"> </w:t>
      </w:r>
      <m:oMath>
        <m:r>
          <w:rPr>
            <w:rFonts w:ascii="Cambria Math" w:eastAsiaTheme="minorEastAsia" w:hAnsi="Cambria Math"/>
          </w:rPr>
          <m:t>=</m:t>
        </m:r>
      </m:oMath>
      <w:r>
        <w:rPr>
          <w:rFonts w:eastAsiaTheme="minorEastAsia"/>
        </w:rPr>
        <w:t xml:space="preserve"> </w:t>
      </w:r>
      <m:oMath>
        <m:r>
          <w:rPr>
            <w:rFonts w:ascii="Cambria Math" w:eastAsiaTheme="minorEastAsia" w:hAnsi="Cambria Math"/>
          </w:rPr>
          <m:t>-9.18.</m:t>
        </m:r>
      </m:oMath>
    </w:p>
    <w:p w14:paraId="7E8DEC91" w14:textId="77777777" w:rsidR="00171A90" w:rsidRPr="00823596" w:rsidRDefault="00171A90" w:rsidP="00171A90">
      <w:r w:rsidRPr="00F3596C">
        <w:t>Decision role:</w:t>
      </w:r>
      <w:r>
        <w:t xml:space="preserve"> project with highest IRR. </w:t>
      </w:r>
    </w:p>
    <w:p w14:paraId="25B96113" w14:textId="078A3392" w:rsidR="00171A90" w:rsidRDefault="00171A90" w:rsidP="00171A90">
      <w:pPr>
        <w:rPr>
          <w:rFonts w:eastAsiaTheme="minorEastAsia"/>
          <w:color w:val="000000" w:themeColor="text1"/>
        </w:rPr>
      </w:pPr>
      <w:r>
        <w:rPr>
          <w:rFonts w:eastAsiaTheme="minorEastAsia"/>
        </w:rPr>
        <w:t xml:space="preserve">GSK should adopt project </w:t>
      </w:r>
      <w:r>
        <w:rPr>
          <w:rFonts w:eastAsiaTheme="minorEastAsia"/>
          <w:color w:val="000000" w:themeColor="text1"/>
        </w:rPr>
        <w:t xml:space="preserve">A. </w:t>
      </w:r>
    </w:p>
    <w:p w14:paraId="5BE92E3F" w14:textId="39C99EC0" w:rsidR="00B0646E" w:rsidRPr="003E11DE" w:rsidRDefault="00B0646E" w:rsidP="00266A81">
      <w:pPr>
        <w:pStyle w:val="Heading3"/>
        <w:rPr>
          <w:rFonts w:eastAsiaTheme="minorEastAsia"/>
          <w:color w:val="000000" w:themeColor="text1"/>
        </w:rPr>
      </w:pPr>
      <w:bookmarkStart w:id="30" w:name="_Toc7774467"/>
      <w:r w:rsidRPr="008B1559">
        <w:rPr>
          <w:rFonts w:eastAsiaTheme="minorEastAsia"/>
        </w:rPr>
        <w:t>Advantages and disadvantages of</w:t>
      </w:r>
      <w:r>
        <w:t xml:space="preserve"> IRR</w:t>
      </w:r>
      <w:bookmarkEnd w:id="30"/>
    </w:p>
    <w:p w14:paraId="53CDED0B" w14:textId="77777777" w:rsidR="00171A90" w:rsidRDefault="00171A90" w:rsidP="00171A90">
      <w:pPr>
        <w:rPr>
          <w:rFonts w:eastAsiaTheme="minorEastAsia"/>
          <w:color w:val="000000" w:themeColor="text1"/>
        </w:rPr>
      </w:pPr>
      <w:r>
        <w:rPr>
          <w:rFonts w:eastAsiaTheme="minorEastAsia"/>
          <w:color w:val="000000" w:themeColor="text1"/>
        </w:rPr>
        <w:t xml:space="preserve">IRR considers the time value of money. In addition, it is very simple to understand after the IRR is calculated. </w:t>
      </w:r>
    </w:p>
    <w:p w14:paraId="1E0BA25A" w14:textId="77777777" w:rsidR="00171A90" w:rsidRDefault="00171A90" w:rsidP="00171A90">
      <w:pPr>
        <w:rPr>
          <w:rFonts w:eastAsiaTheme="minorEastAsia"/>
          <w:color w:val="000000" w:themeColor="text1"/>
        </w:rPr>
      </w:pPr>
      <w:r>
        <w:rPr>
          <w:rFonts w:eastAsiaTheme="minorEastAsia"/>
          <w:color w:val="000000" w:themeColor="text1"/>
        </w:rPr>
        <w:t xml:space="preserve">From the other side, its major weak is that </w:t>
      </w:r>
      <w:r w:rsidRPr="00E25C3D">
        <w:rPr>
          <w:rFonts w:eastAsiaTheme="minorEastAsia"/>
          <w:color w:val="000000" w:themeColor="text1"/>
        </w:rPr>
        <w:t xml:space="preserve">it ignores the actual </w:t>
      </w:r>
      <w:r>
        <w:rPr>
          <w:rFonts w:eastAsiaTheme="minorEastAsia"/>
          <w:color w:val="000000" w:themeColor="text1"/>
        </w:rPr>
        <w:t>money</w:t>
      </w:r>
      <w:r w:rsidRPr="00E25C3D">
        <w:rPr>
          <w:rFonts w:eastAsiaTheme="minorEastAsia"/>
          <w:color w:val="000000" w:themeColor="text1"/>
        </w:rPr>
        <w:t xml:space="preserve"> value of benefits</w:t>
      </w:r>
      <w:r>
        <w:rPr>
          <w:rFonts w:eastAsiaTheme="minorEastAsia"/>
          <w:color w:val="000000" w:themeColor="text1"/>
        </w:rPr>
        <w:t>. Also, it ignores the size of project when comparing projects. Finally, i</w:t>
      </w:r>
      <w:r w:rsidRPr="00FE1026">
        <w:rPr>
          <w:rFonts w:eastAsiaTheme="minorEastAsia"/>
          <w:color w:val="000000" w:themeColor="text1"/>
        </w:rPr>
        <w:t xml:space="preserve">t </w:t>
      </w:r>
      <w:r>
        <w:rPr>
          <w:rFonts w:eastAsiaTheme="minorEastAsia"/>
          <w:color w:val="000000" w:themeColor="text1"/>
        </w:rPr>
        <w:t>assumes</w:t>
      </w:r>
      <w:r w:rsidRPr="00FE1026">
        <w:rPr>
          <w:rFonts w:eastAsiaTheme="minorEastAsia"/>
          <w:color w:val="000000" w:themeColor="text1"/>
        </w:rPr>
        <w:t xml:space="preserve"> that those cash flows can be reinvested at the same rate as the IRR.</w:t>
      </w:r>
    </w:p>
    <w:p w14:paraId="3F602AFD" w14:textId="77777777" w:rsidR="00171A90" w:rsidRDefault="00171A90" w:rsidP="00171A90">
      <w:pPr>
        <w:rPr>
          <w:rFonts w:eastAsiaTheme="minorEastAsia"/>
          <w:color w:val="000000" w:themeColor="text1"/>
        </w:rPr>
      </w:pPr>
    </w:p>
    <w:p w14:paraId="675E1302" w14:textId="30D9AE21" w:rsidR="00171A90" w:rsidRDefault="00475A86" w:rsidP="00266A81">
      <w:pPr>
        <w:pStyle w:val="Heading2"/>
        <w:rPr>
          <w:rFonts w:eastAsiaTheme="minorEastAsia"/>
        </w:rPr>
      </w:pPr>
      <w:bookmarkStart w:id="31" w:name="_Toc7774468"/>
      <w:r>
        <w:rPr>
          <w:rFonts w:eastAsiaTheme="minorEastAsia"/>
        </w:rPr>
        <w:t>Considerations</w:t>
      </w:r>
      <w:bookmarkEnd w:id="31"/>
      <w:r>
        <w:rPr>
          <w:rFonts w:eastAsiaTheme="minorEastAsia"/>
        </w:rPr>
        <w:t xml:space="preserve"> </w:t>
      </w:r>
      <w:r w:rsidR="00266A81">
        <w:rPr>
          <w:rFonts w:eastAsiaTheme="minorEastAsia"/>
        </w:rPr>
        <w:t xml:space="preserve"> </w:t>
      </w:r>
    </w:p>
    <w:p w14:paraId="1F0C3189" w14:textId="578A436E" w:rsidR="00171A90" w:rsidRDefault="00171A90" w:rsidP="00171A90">
      <w:pPr>
        <w:rPr>
          <w:rFonts w:eastAsiaTheme="minorEastAsia"/>
          <w:color w:val="000000" w:themeColor="text1"/>
        </w:rPr>
      </w:pPr>
      <w:r>
        <w:rPr>
          <w:rFonts w:eastAsiaTheme="minorEastAsia"/>
          <w:color w:val="000000" w:themeColor="text1"/>
        </w:rPr>
        <w:t xml:space="preserve">Every method analysed above presents different weakness and strength. Also, different method gives different result. Therefore, the choice is not immediate and simple. In other hand, a financial analysis is not enough. Investors should consider that every industry has different need and they should insert non-financial factors in their analysis.  </w:t>
      </w:r>
    </w:p>
    <w:p w14:paraId="6E49B87C" w14:textId="3B9CEA98" w:rsidR="008A514E" w:rsidRDefault="001F3FA7" w:rsidP="00171A90">
      <w:pPr>
        <w:rPr>
          <w:rFonts w:eastAsiaTheme="minorEastAsia"/>
          <w:color w:val="000000" w:themeColor="text1"/>
        </w:rPr>
      </w:pPr>
      <w:r>
        <w:rPr>
          <w:rFonts w:eastAsiaTheme="minorEastAsia"/>
          <w:color w:val="000000" w:themeColor="text1"/>
        </w:rPr>
        <w:t xml:space="preserve">Internal and external factors affecting process </w:t>
      </w:r>
      <w:r w:rsidR="00EB7852">
        <w:rPr>
          <w:rFonts w:eastAsiaTheme="minorEastAsia"/>
          <w:color w:val="000000" w:themeColor="text1"/>
        </w:rPr>
        <w:t xml:space="preserve">of investment decision of companies. </w:t>
      </w:r>
    </w:p>
    <w:p w14:paraId="0DE0B019" w14:textId="7A19D904" w:rsidR="008A02E2" w:rsidRDefault="00BA5001" w:rsidP="00BA5001">
      <w:pPr>
        <w:pStyle w:val="ListParagraph"/>
        <w:numPr>
          <w:ilvl w:val="0"/>
          <w:numId w:val="1"/>
        </w:numPr>
        <w:rPr>
          <w:rFonts w:eastAsiaTheme="minorEastAsia"/>
          <w:color w:val="000000" w:themeColor="text1"/>
        </w:rPr>
      </w:pPr>
      <w:r w:rsidRPr="00BA5001">
        <w:rPr>
          <w:rFonts w:eastAsiaTheme="minorEastAsia"/>
          <w:color w:val="000000" w:themeColor="text1"/>
        </w:rPr>
        <w:t>Internal factors: employees, owners, board of directors ext.;</w:t>
      </w:r>
    </w:p>
    <w:p w14:paraId="4CA75D32" w14:textId="02DF05C6" w:rsidR="00BA5001" w:rsidRDefault="00BA5001" w:rsidP="00BA5001">
      <w:pPr>
        <w:pStyle w:val="ListParagraph"/>
        <w:numPr>
          <w:ilvl w:val="0"/>
          <w:numId w:val="1"/>
        </w:numPr>
        <w:rPr>
          <w:rFonts w:eastAsiaTheme="minorEastAsia"/>
          <w:color w:val="000000" w:themeColor="text1"/>
        </w:rPr>
      </w:pPr>
      <w:r>
        <w:rPr>
          <w:rFonts w:eastAsiaTheme="minorEastAsia"/>
          <w:color w:val="000000" w:themeColor="text1"/>
        </w:rPr>
        <w:t xml:space="preserve">External factors: customers, competitors, </w:t>
      </w:r>
      <w:r w:rsidR="007A7624">
        <w:rPr>
          <w:rFonts w:eastAsiaTheme="minorEastAsia"/>
          <w:color w:val="000000" w:themeColor="text1"/>
        </w:rPr>
        <w:t>culture, law, government, supplier ext.</w:t>
      </w:r>
    </w:p>
    <w:p w14:paraId="40ED30EE" w14:textId="7FAC5403" w:rsidR="00A7013F" w:rsidRDefault="00A7013F" w:rsidP="00A7013F">
      <w:pPr>
        <w:rPr>
          <w:rFonts w:eastAsiaTheme="minorEastAsia"/>
          <w:color w:val="000000" w:themeColor="text1"/>
        </w:rPr>
      </w:pPr>
      <w:r>
        <w:rPr>
          <w:rFonts w:eastAsiaTheme="minorEastAsia"/>
          <w:color w:val="000000" w:themeColor="text1"/>
        </w:rPr>
        <w:t xml:space="preserve">In addition, there are other </w:t>
      </w:r>
      <w:r w:rsidR="00BE0963">
        <w:rPr>
          <w:rFonts w:eastAsiaTheme="minorEastAsia"/>
          <w:color w:val="000000" w:themeColor="text1"/>
        </w:rPr>
        <w:t xml:space="preserve">non-financial factors that investor should </w:t>
      </w:r>
      <w:r w:rsidR="002B0D12">
        <w:rPr>
          <w:rFonts w:eastAsiaTheme="minorEastAsia"/>
          <w:color w:val="000000" w:themeColor="text1"/>
        </w:rPr>
        <w:t>insert in their decision</w:t>
      </w:r>
      <w:r w:rsidR="00E93CBF">
        <w:rPr>
          <w:rFonts w:eastAsiaTheme="minorEastAsia"/>
          <w:color w:val="000000" w:themeColor="text1"/>
        </w:rPr>
        <w:t>:</w:t>
      </w:r>
    </w:p>
    <w:p w14:paraId="111FE0D1" w14:textId="54C2E3D1" w:rsidR="00E93CBF" w:rsidRDefault="00E93CBF" w:rsidP="00E93CBF">
      <w:pPr>
        <w:pStyle w:val="ListParagraph"/>
        <w:numPr>
          <w:ilvl w:val="0"/>
          <w:numId w:val="1"/>
        </w:numPr>
        <w:rPr>
          <w:rFonts w:eastAsiaTheme="minorEastAsia"/>
          <w:color w:val="000000" w:themeColor="text1"/>
        </w:rPr>
      </w:pPr>
      <w:r>
        <w:rPr>
          <w:rFonts w:eastAsiaTheme="minorEastAsia"/>
          <w:color w:val="000000" w:themeColor="text1"/>
        </w:rPr>
        <w:t>Security: some ma</w:t>
      </w:r>
      <w:r w:rsidR="00813ABE">
        <w:rPr>
          <w:rFonts w:eastAsiaTheme="minorEastAsia"/>
          <w:color w:val="000000" w:themeColor="text1"/>
        </w:rPr>
        <w:t>ch</w:t>
      </w:r>
      <w:r w:rsidR="00054D37">
        <w:rPr>
          <w:rFonts w:eastAsiaTheme="minorEastAsia"/>
          <w:color w:val="000000" w:themeColor="text1"/>
        </w:rPr>
        <w:t>inery</w:t>
      </w:r>
      <w:r w:rsidR="00813ABE">
        <w:rPr>
          <w:rFonts w:eastAsiaTheme="minorEastAsia"/>
          <w:color w:val="000000" w:themeColor="text1"/>
        </w:rPr>
        <w:t xml:space="preserve"> for example</w:t>
      </w:r>
      <w:r w:rsidR="00054D37">
        <w:rPr>
          <w:rFonts w:eastAsiaTheme="minorEastAsia"/>
          <w:color w:val="000000" w:themeColor="text1"/>
        </w:rPr>
        <w:t xml:space="preserve">, </w:t>
      </w:r>
      <w:r w:rsidR="00813ABE">
        <w:rPr>
          <w:rFonts w:eastAsiaTheme="minorEastAsia"/>
          <w:color w:val="000000" w:themeColor="text1"/>
        </w:rPr>
        <w:t xml:space="preserve">could be </w:t>
      </w:r>
      <w:r w:rsidR="008E4D93">
        <w:rPr>
          <w:rFonts w:eastAsiaTheme="minorEastAsia"/>
          <w:color w:val="000000" w:themeColor="text1"/>
        </w:rPr>
        <w:t xml:space="preserve">efficient but </w:t>
      </w:r>
      <w:r w:rsidR="00407E0A">
        <w:rPr>
          <w:rFonts w:eastAsiaTheme="minorEastAsia"/>
          <w:color w:val="000000" w:themeColor="text1"/>
        </w:rPr>
        <w:t>dangerous;</w:t>
      </w:r>
    </w:p>
    <w:p w14:paraId="1B84422A" w14:textId="3B3A2CFD" w:rsidR="00407E0A" w:rsidRDefault="00407E0A" w:rsidP="00E93CBF">
      <w:pPr>
        <w:pStyle w:val="ListParagraph"/>
        <w:numPr>
          <w:ilvl w:val="0"/>
          <w:numId w:val="1"/>
        </w:numPr>
        <w:rPr>
          <w:rFonts w:eastAsiaTheme="minorEastAsia"/>
          <w:color w:val="000000" w:themeColor="text1"/>
        </w:rPr>
      </w:pPr>
      <w:r>
        <w:rPr>
          <w:rFonts w:eastAsiaTheme="minorEastAsia"/>
          <w:color w:val="000000" w:themeColor="text1"/>
        </w:rPr>
        <w:t>Flexibility</w:t>
      </w:r>
      <w:r w:rsidR="00C154A7">
        <w:rPr>
          <w:rFonts w:eastAsiaTheme="minorEastAsia"/>
          <w:color w:val="000000" w:themeColor="text1"/>
        </w:rPr>
        <w:t xml:space="preserve"> and ada</w:t>
      </w:r>
      <w:r w:rsidR="00054D37">
        <w:rPr>
          <w:rFonts w:eastAsiaTheme="minorEastAsia"/>
          <w:color w:val="000000" w:themeColor="text1"/>
        </w:rPr>
        <w:t xml:space="preserve">ptability: same </w:t>
      </w:r>
      <w:r w:rsidR="003464B4">
        <w:rPr>
          <w:rFonts w:eastAsiaTheme="minorEastAsia"/>
          <w:color w:val="000000" w:themeColor="text1"/>
        </w:rPr>
        <w:t xml:space="preserve">machinery could alter the </w:t>
      </w:r>
      <w:r w:rsidR="00884535">
        <w:rPr>
          <w:rFonts w:eastAsiaTheme="minorEastAsia"/>
          <w:color w:val="000000" w:themeColor="text1"/>
        </w:rPr>
        <w:t>productive process;</w:t>
      </w:r>
    </w:p>
    <w:p w14:paraId="41DCC7EB" w14:textId="5F9876CF" w:rsidR="00884535" w:rsidRDefault="006168DA" w:rsidP="00E93CBF">
      <w:pPr>
        <w:pStyle w:val="ListParagraph"/>
        <w:numPr>
          <w:ilvl w:val="0"/>
          <w:numId w:val="1"/>
        </w:numPr>
        <w:rPr>
          <w:rFonts w:eastAsiaTheme="minorEastAsia"/>
          <w:color w:val="000000" w:themeColor="text1"/>
        </w:rPr>
      </w:pPr>
      <w:r>
        <w:rPr>
          <w:rFonts w:eastAsiaTheme="minorEastAsia"/>
          <w:color w:val="000000" w:themeColor="text1"/>
        </w:rPr>
        <w:t>Repairs and maintenance costs;</w:t>
      </w:r>
    </w:p>
    <w:p w14:paraId="7712D96F" w14:textId="414EA48A" w:rsidR="006168DA" w:rsidRDefault="008D27EA" w:rsidP="00E93CBF">
      <w:pPr>
        <w:pStyle w:val="ListParagraph"/>
        <w:numPr>
          <w:ilvl w:val="0"/>
          <w:numId w:val="1"/>
        </w:numPr>
        <w:rPr>
          <w:rFonts w:eastAsiaTheme="minorEastAsia"/>
          <w:color w:val="000000" w:themeColor="text1"/>
        </w:rPr>
      </w:pPr>
      <w:r w:rsidRPr="008D27EA">
        <w:rPr>
          <w:rFonts w:eastAsiaTheme="minorEastAsia"/>
          <w:color w:val="000000" w:themeColor="text1"/>
        </w:rPr>
        <w:t>Operational considerations</w:t>
      </w:r>
      <w:r>
        <w:rPr>
          <w:rFonts w:eastAsiaTheme="minorEastAsia"/>
          <w:color w:val="000000" w:themeColor="text1"/>
        </w:rPr>
        <w:t xml:space="preserve">: </w:t>
      </w:r>
      <w:r w:rsidR="005D5C0F" w:rsidRPr="005D5C0F">
        <w:rPr>
          <w:rFonts w:eastAsiaTheme="minorEastAsia"/>
          <w:color w:val="000000" w:themeColor="text1"/>
        </w:rPr>
        <w:t xml:space="preserve">need to restrain/recruit </w:t>
      </w:r>
      <w:r w:rsidR="005D5C0F">
        <w:rPr>
          <w:rFonts w:eastAsiaTheme="minorEastAsia"/>
          <w:color w:val="000000" w:themeColor="text1"/>
        </w:rPr>
        <w:t>workers;</w:t>
      </w:r>
    </w:p>
    <w:p w14:paraId="010B299D" w14:textId="77777777" w:rsidR="005D5C0F" w:rsidRPr="00497068" w:rsidRDefault="005D5C0F" w:rsidP="00497068">
      <w:pPr>
        <w:ind w:left="360"/>
        <w:rPr>
          <w:rFonts w:eastAsiaTheme="minorEastAsia"/>
          <w:color w:val="000000" w:themeColor="text1"/>
        </w:rPr>
      </w:pPr>
    </w:p>
    <w:p w14:paraId="0DB67D5F" w14:textId="1F21784F" w:rsidR="00916C11" w:rsidRDefault="00497068" w:rsidP="00C37E23">
      <w:pPr>
        <w:rPr>
          <w:rFonts w:eastAsiaTheme="minorEastAsia"/>
          <w:color w:val="000000" w:themeColor="text1"/>
        </w:rPr>
      </w:pPr>
      <w:r>
        <w:rPr>
          <w:rFonts w:eastAsiaTheme="minorEastAsia"/>
          <w:color w:val="000000" w:themeColor="text1"/>
        </w:rPr>
        <w:t>However, a</w:t>
      </w:r>
      <w:r w:rsidR="000B0719">
        <w:rPr>
          <w:rFonts w:eastAsiaTheme="minorEastAsia"/>
          <w:color w:val="000000" w:themeColor="text1"/>
        </w:rPr>
        <w:t xml:space="preserve">s it shown above, most of investment for pharmaceutical companies </w:t>
      </w:r>
      <w:r w:rsidR="009A0161">
        <w:rPr>
          <w:rFonts w:eastAsiaTheme="minorEastAsia"/>
          <w:color w:val="000000" w:themeColor="text1"/>
        </w:rPr>
        <w:t>concern</w:t>
      </w:r>
      <w:r w:rsidR="000B0719">
        <w:rPr>
          <w:rFonts w:eastAsiaTheme="minorEastAsia"/>
          <w:color w:val="000000" w:themeColor="text1"/>
        </w:rPr>
        <w:t xml:space="preserve"> R</w:t>
      </w:r>
      <w:r w:rsidR="009A0161">
        <w:rPr>
          <w:rFonts w:eastAsiaTheme="minorEastAsia"/>
          <w:color w:val="000000" w:themeColor="text1"/>
        </w:rPr>
        <w:t xml:space="preserve">&amp;D and fixed assets. </w:t>
      </w:r>
    </w:p>
    <w:p w14:paraId="7594D084" w14:textId="347BE32E" w:rsidR="00CA2D82" w:rsidRDefault="00916C11" w:rsidP="00C37E23">
      <w:pPr>
        <w:rPr>
          <w:rFonts w:eastAsiaTheme="minorEastAsia"/>
          <w:color w:val="000000" w:themeColor="text1"/>
        </w:rPr>
      </w:pPr>
      <w:r>
        <w:rPr>
          <w:rFonts w:eastAsiaTheme="minorEastAsia"/>
          <w:color w:val="000000" w:themeColor="text1"/>
        </w:rPr>
        <w:t>Investment in research and development in this sector are risky and difficult to evalu</w:t>
      </w:r>
      <w:r w:rsidR="00B37BE2">
        <w:rPr>
          <w:rFonts w:eastAsiaTheme="minorEastAsia"/>
          <w:color w:val="000000" w:themeColor="text1"/>
        </w:rPr>
        <w:t>ate. Even i</w:t>
      </w:r>
      <w:r w:rsidR="00CA2D82">
        <w:rPr>
          <w:rFonts w:eastAsiaTheme="minorEastAsia"/>
          <w:color w:val="000000" w:themeColor="text1"/>
        </w:rPr>
        <w:t>f</w:t>
      </w:r>
      <w:r w:rsidR="00B37BE2">
        <w:rPr>
          <w:rFonts w:eastAsiaTheme="minorEastAsia"/>
          <w:color w:val="000000" w:themeColor="text1"/>
        </w:rPr>
        <w:t xml:space="preserve"> a project </w:t>
      </w:r>
      <w:r w:rsidR="00351FAD">
        <w:rPr>
          <w:rFonts w:eastAsiaTheme="minorEastAsia"/>
          <w:color w:val="000000" w:themeColor="text1"/>
        </w:rPr>
        <w:t>ha</w:t>
      </w:r>
      <w:r w:rsidR="00CA2D82">
        <w:rPr>
          <w:rFonts w:eastAsiaTheme="minorEastAsia"/>
          <w:color w:val="000000" w:themeColor="text1"/>
        </w:rPr>
        <w:t>s</w:t>
      </w:r>
      <w:r w:rsidR="00B37BE2">
        <w:rPr>
          <w:rFonts w:eastAsiaTheme="minorEastAsia"/>
          <w:color w:val="000000" w:themeColor="text1"/>
        </w:rPr>
        <w:t xml:space="preserve"> higher yields, it does not mean that is the best project to </w:t>
      </w:r>
      <w:r w:rsidR="003A327D">
        <w:rPr>
          <w:rFonts w:eastAsiaTheme="minorEastAsia"/>
          <w:color w:val="000000" w:themeColor="text1"/>
        </w:rPr>
        <w:t>be adopted by the company at that time. Indeed</w:t>
      </w:r>
      <w:r w:rsidR="00CA2D82">
        <w:rPr>
          <w:rFonts w:eastAsiaTheme="minorEastAsia"/>
          <w:color w:val="000000" w:themeColor="text1"/>
        </w:rPr>
        <w:t xml:space="preserve">, </w:t>
      </w:r>
      <w:r w:rsidR="003A327D">
        <w:rPr>
          <w:rFonts w:eastAsiaTheme="minorEastAsia"/>
          <w:color w:val="000000" w:themeColor="text1"/>
        </w:rPr>
        <w:t xml:space="preserve">in this sector </w:t>
      </w:r>
      <w:r w:rsidR="00351FAD">
        <w:rPr>
          <w:rFonts w:eastAsiaTheme="minorEastAsia"/>
          <w:color w:val="000000" w:themeColor="text1"/>
        </w:rPr>
        <w:t>it need</w:t>
      </w:r>
      <w:r w:rsidR="00CA2D82">
        <w:rPr>
          <w:rFonts w:eastAsiaTheme="minorEastAsia"/>
          <w:color w:val="000000" w:themeColor="text1"/>
        </w:rPr>
        <w:t>s</w:t>
      </w:r>
      <w:r w:rsidR="00351FAD">
        <w:rPr>
          <w:rFonts w:eastAsiaTheme="minorEastAsia"/>
          <w:color w:val="000000" w:themeColor="text1"/>
        </w:rPr>
        <w:t xml:space="preserve"> to be considered that there is a high level of failure rate. </w:t>
      </w:r>
      <w:r w:rsidR="000A7FA1">
        <w:rPr>
          <w:rFonts w:eastAsiaTheme="minorEastAsia"/>
          <w:color w:val="000000" w:themeColor="text1"/>
        </w:rPr>
        <w:t xml:space="preserve">Also, for other kind of investments such as tangible and intangible assets </w:t>
      </w:r>
      <w:r w:rsidR="00276E54">
        <w:rPr>
          <w:rFonts w:eastAsiaTheme="minorEastAsia"/>
          <w:color w:val="000000" w:themeColor="text1"/>
        </w:rPr>
        <w:t xml:space="preserve">are characterized by a high uncertainty inasmuch </w:t>
      </w:r>
      <w:r w:rsidR="00FE12DF">
        <w:rPr>
          <w:rFonts w:eastAsiaTheme="minorEastAsia"/>
          <w:color w:val="000000" w:themeColor="text1"/>
        </w:rPr>
        <w:t xml:space="preserve">innovations and technology play </w:t>
      </w:r>
      <w:r w:rsidR="00335435">
        <w:rPr>
          <w:rFonts w:eastAsiaTheme="minorEastAsia"/>
          <w:color w:val="000000" w:themeColor="text1"/>
        </w:rPr>
        <w:t xml:space="preserve">a very important role. </w:t>
      </w:r>
    </w:p>
    <w:p w14:paraId="5B5F3CF8" w14:textId="436F4294" w:rsidR="00182BD1" w:rsidRDefault="008679FD" w:rsidP="00C37E23">
      <w:pPr>
        <w:rPr>
          <w:rFonts w:eastAsiaTheme="minorEastAsia"/>
          <w:color w:val="000000" w:themeColor="text1"/>
        </w:rPr>
      </w:pPr>
      <w:r>
        <w:rPr>
          <w:rFonts w:eastAsiaTheme="minorEastAsia"/>
          <w:color w:val="000000" w:themeColor="text1"/>
        </w:rPr>
        <w:lastRenderedPageBreak/>
        <w:t xml:space="preserve">Therefore, the choice </w:t>
      </w:r>
      <w:r w:rsidR="00842BBD">
        <w:rPr>
          <w:rFonts w:eastAsiaTheme="minorEastAsia"/>
          <w:color w:val="000000" w:themeColor="text1"/>
        </w:rPr>
        <w:t xml:space="preserve">becomes more difficult. At first glance, it could say that </w:t>
      </w:r>
      <w:r w:rsidR="008C4930">
        <w:rPr>
          <w:rFonts w:eastAsiaTheme="minorEastAsia"/>
          <w:color w:val="000000" w:themeColor="text1"/>
        </w:rPr>
        <w:t xml:space="preserve">both projects should be adopted by the company in correlation of the GSK’s dimension. </w:t>
      </w:r>
      <w:r w:rsidR="00182BD1">
        <w:rPr>
          <w:rFonts w:eastAsiaTheme="minorEastAsia"/>
          <w:color w:val="000000" w:themeColor="text1"/>
        </w:rPr>
        <w:t>But the aim of this part of this paper is to choose one project.</w:t>
      </w:r>
    </w:p>
    <w:p w14:paraId="1E5A0BA6" w14:textId="7F9E05CA" w:rsidR="00182BD1" w:rsidRDefault="00577257" w:rsidP="00C37E23">
      <w:pPr>
        <w:rPr>
          <w:rFonts w:eastAsiaTheme="minorEastAsia"/>
          <w:color w:val="000000" w:themeColor="text1"/>
        </w:rPr>
      </w:pPr>
      <w:r>
        <w:rPr>
          <w:rFonts w:eastAsiaTheme="minorEastAsia"/>
          <w:color w:val="000000" w:themeColor="text1"/>
        </w:rPr>
        <w:t xml:space="preserve">Whereas </w:t>
      </w:r>
      <w:r w:rsidR="0007391D">
        <w:rPr>
          <w:rFonts w:eastAsiaTheme="minorEastAsia"/>
          <w:color w:val="000000" w:themeColor="text1"/>
        </w:rPr>
        <w:t xml:space="preserve">the “speed and security” can create a very important competitive advantage </w:t>
      </w:r>
      <w:r w:rsidR="00076CA7">
        <w:rPr>
          <w:rFonts w:eastAsiaTheme="minorEastAsia"/>
          <w:color w:val="000000" w:themeColor="text1"/>
        </w:rPr>
        <w:t xml:space="preserve">in the pharmaceutical sector, </w:t>
      </w:r>
      <w:r w:rsidR="00F148F0">
        <w:rPr>
          <w:rFonts w:eastAsiaTheme="minorEastAsia"/>
          <w:color w:val="000000" w:themeColor="text1"/>
        </w:rPr>
        <w:t>GSK should choose project A</w:t>
      </w:r>
      <w:r w:rsidR="008D2E91">
        <w:rPr>
          <w:rFonts w:eastAsiaTheme="minorEastAsia"/>
          <w:color w:val="000000" w:themeColor="text1"/>
        </w:rPr>
        <w:t>.</w:t>
      </w:r>
    </w:p>
    <w:p w14:paraId="6C510F2A" w14:textId="6471AB09" w:rsidR="008D2E91" w:rsidRDefault="008D2E91" w:rsidP="00C37E23">
      <w:pPr>
        <w:rPr>
          <w:rFonts w:eastAsiaTheme="minorEastAsia"/>
          <w:color w:val="000000" w:themeColor="text1"/>
        </w:rPr>
      </w:pPr>
      <w:r>
        <w:rPr>
          <w:rFonts w:eastAsiaTheme="minorEastAsia"/>
          <w:color w:val="000000" w:themeColor="text1"/>
        </w:rPr>
        <w:t>Although the PBP method has much more limitations than other methods, GSK should be</w:t>
      </w:r>
      <w:r w:rsidR="003D642E">
        <w:rPr>
          <w:rFonts w:eastAsiaTheme="minorEastAsia"/>
          <w:color w:val="000000" w:themeColor="text1"/>
        </w:rPr>
        <w:t xml:space="preserve"> based its decision on this method</w:t>
      </w:r>
      <w:r w:rsidR="00F4388F">
        <w:rPr>
          <w:rFonts w:eastAsiaTheme="minorEastAsia"/>
          <w:color w:val="000000" w:themeColor="text1"/>
        </w:rPr>
        <w:t xml:space="preserve">, because even a one-day delay can dramatically shift the entire competitive landscape. </w:t>
      </w:r>
    </w:p>
    <w:p w14:paraId="77BB65E3" w14:textId="210E5481" w:rsidR="002B1522" w:rsidRDefault="002B1522" w:rsidP="00C37E23">
      <w:pPr>
        <w:rPr>
          <w:rFonts w:eastAsiaTheme="minorEastAsia"/>
          <w:color w:val="000000" w:themeColor="text1"/>
        </w:rPr>
      </w:pPr>
      <w:r>
        <w:rPr>
          <w:rFonts w:eastAsiaTheme="minorEastAsia"/>
          <w:color w:val="000000" w:themeColor="text1"/>
        </w:rPr>
        <w:t>Ultimately, the P</w:t>
      </w:r>
      <w:r w:rsidR="004A60B2">
        <w:rPr>
          <w:rFonts w:eastAsiaTheme="minorEastAsia"/>
          <w:color w:val="000000" w:themeColor="text1"/>
        </w:rPr>
        <w:t>BP</w:t>
      </w:r>
      <w:r w:rsidR="00E84325">
        <w:rPr>
          <w:rFonts w:eastAsiaTheme="minorEastAsia"/>
          <w:color w:val="000000" w:themeColor="text1"/>
        </w:rPr>
        <w:t xml:space="preserve"> is useful for companies that are uncertain or witness ra</w:t>
      </w:r>
      <w:r w:rsidR="009F3F5D">
        <w:rPr>
          <w:rFonts w:eastAsiaTheme="minorEastAsia"/>
          <w:color w:val="000000" w:themeColor="text1"/>
        </w:rPr>
        <w:t xml:space="preserve">pid technological changes. </w:t>
      </w:r>
      <w:bookmarkStart w:id="32" w:name="_GoBack"/>
      <w:bookmarkEnd w:id="32"/>
    </w:p>
    <w:p w14:paraId="374F4ED8" w14:textId="351DB11B" w:rsidR="00335435" w:rsidRDefault="00335435" w:rsidP="00C37E23">
      <w:pPr>
        <w:rPr>
          <w:rFonts w:eastAsiaTheme="minorEastAsia"/>
          <w:color w:val="000000" w:themeColor="text1"/>
        </w:rPr>
      </w:pPr>
    </w:p>
    <w:p w14:paraId="4F201F04" w14:textId="1E52BDDD" w:rsidR="00AD1E5B" w:rsidRDefault="00AD1E5B" w:rsidP="00C37E23">
      <w:pPr>
        <w:rPr>
          <w:rFonts w:eastAsiaTheme="minorEastAsia"/>
          <w:color w:val="000000" w:themeColor="text1"/>
        </w:rPr>
      </w:pPr>
    </w:p>
    <w:p w14:paraId="674A7FDB" w14:textId="532C2606" w:rsidR="00AD1E5B" w:rsidRPr="006A422E" w:rsidRDefault="00AD1E5B" w:rsidP="006A422E">
      <w:pPr>
        <w:pStyle w:val="Heading1"/>
      </w:pPr>
      <w:bookmarkStart w:id="33" w:name="_Toc7774469"/>
      <w:r w:rsidRPr="006A422E">
        <w:t>References</w:t>
      </w:r>
      <w:bookmarkEnd w:id="33"/>
      <w:r w:rsidRPr="006A422E">
        <w:t xml:space="preserve"> </w:t>
      </w:r>
    </w:p>
    <w:p w14:paraId="3B0A530E" w14:textId="2663397E" w:rsidR="002919C5" w:rsidRDefault="002919C5" w:rsidP="006A422E">
      <w:r w:rsidRPr="002B6072">
        <w:rPr>
          <w:rFonts w:cstheme="minorHAnsi"/>
          <w:bCs/>
          <w:color w:val="111111"/>
        </w:rPr>
        <w:t xml:space="preserve">Asset Turnover Ratio Definition. [Internet] Available from </w:t>
      </w:r>
      <w:hyperlink r:id="rId13" w:history="1">
        <w:r w:rsidRPr="002B6072">
          <w:rPr>
            <w:rStyle w:val="Hyperlink"/>
          </w:rPr>
          <w:t>https://www.investopedia.com/terms/a/assetturnover.asp</w:t>
        </w:r>
      </w:hyperlink>
      <w:r w:rsidRPr="002B6072">
        <w:t xml:space="preserve"> (accessed 10</w:t>
      </w:r>
      <w:r w:rsidRPr="002B6072">
        <w:rPr>
          <w:vertAlign w:val="superscript"/>
        </w:rPr>
        <w:t>th</w:t>
      </w:r>
      <w:r w:rsidRPr="002B6072">
        <w:t xml:space="preserve"> April 2019). </w:t>
      </w:r>
    </w:p>
    <w:p w14:paraId="2E1CFB85" w14:textId="35CD66DA" w:rsidR="00473210" w:rsidRDefault="00473210" w:rsidP="006A422E">
      <w:r>
        <w:t>AstraZeneca (2018).</w:t>
      </w:r>
      <w:r w:rsidR="00C4019F">
        <w:t xml:space="preserve"> Annual Report and financial statement 2018</w:t>
      </w:r>
      <w:r w:rsidR="009440F5">
        <w:t xml:space="preserve">. [Internet] Available from </w:t>
      </w:r>
      <w:hyperlink r:id="rId14" w:history="1">
        <w:r w:rsidR="0088388B">
          <w:rPr>
            <w:rStyle w:val="Hyperlink"/>
          </w:rPr>
          <w:t>https://www.astrazeneca.com/content/dam/az/Investor_Relations/annual-report-2018/PDF/AstraZeneca_AR_2018.pdf</w:t>
        </w:r>
      </w:hyperlink>
      <w:r w:rsidR="0088388B">
        <w:t xml:space="preserve"> (accessed 1</w:t>
      </w:r>
      <w:r w:rsidR="0088388B" w:rsidRPr="00082FDB">
        <w:rPr>
          <w:vertAlign w:val="superscript"/>
        </w:rPr>
        <w:t>st</w:t>
      </w:r>
      <w:r w:rsidR="0088388B">
        <w:t xml:space="preserve"> April 2019);</w:t>
      </w:r>
    </w:p>
    <w:p w14:paraId="385318AB" w14:textId="77777777" w:rsidR="002919C5" w:rsidRPr="004754C9" w:rsidRDefault="002919C5" w:rsidP="006A422E">
      <w:r>
        <w:t xml:space="preserve">Bruce Rasmussen, 2003. </w:t>
      </w:r>
      <w:r w:rsidRPr="000A79F1">
        <w:rPr>
          <w:i/>
        </w:rPr>
        <w:t>Aspect of the Pharmaceutical business model: implication for Australia.</w:t>
      </w:r>
      <w:r>
        <w:t xml:space="preserve"> </w:t>
      </w:r>
    </w:p>
    <w:p w14:paraId="47B363A7" w14:textId="4DA08EA6" w:rsidR="00AD1E5B" w:rsidRDefault="00DE5D91" w:rsidP="006A422E">
      <w:r>
        <w:t>G</w:t>
      </w:r>
      <w:r w:rsidR="00285B6B">
        <w:t>SK (2014)</w:t>
      </w:r>
      <w:r w:rsidR="00473210">
        <w:t>.</w:t>
      </w:r>
      <w:r w:rsidR="00285B6B">
        <w:t xml:space="preserve"> </w:t>
      </w:r>
      <w:r w:rsidR="00285B6B" w:rsidRPr="00B96BD8">
        <w:rPr>
          <w:i/>
        </w:rPr>
        <w:t>Annual Report an</w:t>
      </w:r>
      <w:r w:rsidR="00520164" w:rsidRPr="00B96BD8">
        <w:rPr>
          <w:i/>
        </w:rPr>
        <w:t>d financial statement 2014.</w:t>
      </w:r>
      <w:r w:rsidR="00520164">
        <w:t xml:space="preserve"> [Internet] Available from</w:t>
      </w:r>
      <w:r w:rsidR="00B96BD8">
        <w:t xml:space="preserve"> </w:t>
      </w:r>
      <w:hyperlink r:id="rId15" w:history="1">
        <w:r w:rsidR="004365B3">
          <w:rPr>
            <w:rStyle w:val="Hyperlink"/>
          </w:rPr>
          <w:t>https://www.gsk.com/media/2710/gsk-annual-report-2014-interactive.pdf</w:t>
        </w:r>
      </w:hyperlink>
      <w:r w:rsidR="00520164">
        <w:t xml:space="preserve"> </w:t>
      </w:r>
      <w:r w:rsidR="00082FDB">
        <w:t>(accessed 1</w:t>
      </w:r>
      <w:r w:rsidR="00082FDB" w:rsidRPr="00082FDB">
        <w:rPr>
          <w:vertAlign w:val="superscript"/>
        </w:rPr>
        <w:t>st</w:t>
      </w:r>
      <w:r w:rsidR="00082FDB">
        <w:t xml:space="preserve"> April 2019)</w:t>
      </w:r>
      <w:r w:rsidR="00B96BD8">
        <w:t>;</w:t>
      </w:r>
    </w:p>
    <w:p w14:paraId="6B09316F" w14:textId="62938C13" w:rsidR="00B96BD8" w:rsidRDefault="00B96BD8" w:rsidP="006A422E">
      <w:r>
        <w:t>GSK (2015)</w:t>
      </w:r>
      <w:r w:rsidR="00C4019F">
        <w:t>.</w:t>
      </w:r>
      <w:r>
        <w:t xml:space="preserve"> </w:t>
      </w:r>
      <w:r w:rsidRPr="00B96BD8">
        <w:rPr>
          <w:i/>
        </w:rPr>
        <w:t>Annual Report and financial statement 201</w:t>
      </w:r>
      <w:r>
        <w:rPr>
          <w:i/>
        </w:rPr>
        <w:t>5</w:t>
      </w:r>
      <w:r w:rsidRPr="00B96BD8">
        <w:rPr>
          <w:i/>
        </w:rPr>
        <w:t>.</w:t>
      </w:r>
      <w:r>
        <w:t xml:space="preserve"> [Internet] Available from </w:t>
      </w:r>
      <w:hyperlink r:id="rId16" w:history="1">
        <w:r w:rsidR="00556CBF">
          <w:rPr>
            <w:rStyle w:val="Hyperlink"/>
          </w:rPr>
          <w:t>https://www.gsk.com/media/4697/gsk-annual-report-2015.pdf</w:t>
        </w:r>
      </w:hyperlink>
      <w:r w:rsidR="00556CBF">
        <w:t xml:space="preserve"> </w:t>
      </w:r>
      <w:r>
        <w:t>(accessed 1</w:t>
      </w:r>
      <w:r w:rsidRPr="00082FDB">
        <w:rPr>
          <w:vertAlign w:val="superscript"/>
        </w:rPr>
        <w:t>st</w:t>
      </w:r>
      <w:r>
        <w:t xml:space="preserve"> April 2019);</w:t>
      </w:r>
    </w:p>
    <w:p w14:paraId="1F8CB840" w14:textId="5171AB37" w:rsidR="00B96BD8" w:rsidRDefault="00B96BD8" w:rsidP="006A422E">
      <w:r>
        <w:t>GSK (2016)</w:t>
      </w:r>
      <w:r w:rsidR="00C4019F">
        <w:t>.</w:t>
      </w:r>
      <w:r>
        <w:t xml:space="preserve"> </w:t>
      </w:r>
      <w:r w:rsidRPr="00B96BD8">
        <w:rPr>
          <w:i/>
        </w:rPr>
        <w:t>Annual Report and financial statement 201</w:t>
      </w:r>
      <w:r>
        <w:rPr>
          <w:i/>
        </w:rPr>
        <w:t>6</w:t>
      </w:r>
      <w:r w:rsidRPr="00B96BD8">
        <w:rPr>
          <w:i/>
        </w:rPr>
        <w:t>.</w:t>
      </w:r>
      <w:r>
        <w:t xml:space="preserve"> [Internet] Available from</w:t>
      </w:r>
      <w:r w:rsidR="00556CBF">
        <w:t xml:space="preserve"> </w:t>
      </w:r>
      <w:hyperlink r:id="rId17" w:history="1">
        <w:r w:rsidR="00556CBF">
          <w:rPr>
            <w:rStyle w:val="Hyperlink"/>
          </w:rPr>
          <w:t>https://www.gsk.com/media/3609/annual-report-2016.pdf</w:t>
        </w:r>
      </w:hyperlink>
      <w:r>
        <w:t xml:space="preserve"> (accessed 1</w:t>
      </w:r>
      <w:r w:rsidRPr="00082FDB">
        <w:rPr>
          <w:vertAlign w:val="superscript"/>
        </w:rPr>
        <w:t>st</w:t>
      </w:r>
      <w:r>
        <w:t xml:space="preserve"> April 2019);</w:t>
      </w:r>
    </w:p>
    <w:p w14:paraId="74852CFD" w14:textId="10C23B05" w:rsidR="00B96BD8" w:rsidRDefault="00B96BD8" w:rsidP="006A422E">
      <w:r>
        <w:t>GSK (2017)</w:t>
      </w:r>
      <w:r w:rsidR="00C4019F">
        <w:t>.</w:t>
      </w:r>
      <w:r>
        <w:t xml:space="preserve"> </w:t>
      </w:r>
      <w:r w:rsidRPr="00B96BD8">
        <w:rPr>
          <w:i/>
        </w:rPr>
        <w:t>Annual Report and financial statement 201</w:t>
      </w:r>
      <w:r>
        <w:rPr>
          <w:i/>
        </w:rPr>
        <w:t>7</w:t>
      </w:r>
      <w:r w:rsidRPr="00B96BD8">
        <w:rPr>
          <w:i/>
        </w:rPr>
        <w:t>.</w:t>
      </w:r>
      <w:r>
        <w:t xml:space="preserve"> [Internet] Available from</w:t>
      </w:r>
      <w:r w:rsidR="00556CBF">
        <w:t xml:space="preserve"> </w:t>
      </w:r>
      <w:hyperlink r:id="rId18" w:history="1">
        <w:r w:rsidR="0008390E">
          <w:rPr>
            <w:rStyle w:val="Hyperlink"/>
          </w:rPr>
          <w:t>https://www.gsk.com/media/4751/annual-report.pdf</w:t>
        </w:r>
      </w:hyperlink>
      <w:r>
        <w:t xml:space="preserve"> (accessed 1</w:t>
      </w:r>
      <w:r w:rsidRPr="00082FDB">
        <w:rPr>
          <w:vertAlign w:val="superscript"/>
        </w:rPr>
        <w:t>st</w:t>
      </w:r>
      <w:r>
        <w:t xml:space="preserve"> April 2019);</w:t>
      </w:r>
    </w:p>
    <w:p w14:paraId="341BD987" w14:textId="6DC397C8" w:rsidR="00B96BD8" w:rsidRDefault="00B96BD8" w:rsidP="006A422E">
      <w:r>
        <w:t>GSK (2018)</w:t>
      </w:r>
      <w:r w:rsidR="00C4019F">
        <w:t>.</w:t>
      </w:r>
      <w:r>
        <w:t xml:space="preserve"> </w:t>
      </w:r>
      <w:r w:rsidRPr="00B96BD8">
        <w:rPr>
          <w:i/>
        </w:rPr>
        <w:t>Annual Report and financial statement 201</w:t>
      </w:r>
      <w:r>
        <w:rPr>
          <w:i/>
        </w:rPr>
        <w:t>8</w:t>
      </w:r>
      <w:r w:rsidRPr="00B96BD8">
        <w:rPr>
          <w:i/>
        </w:rPr>
        <w:t>.</w:t>
      </w:r>
      <w:r>
        <w:t xml:space="preserve"> [Internet] Available from</w:t>
      </w:r>
      <w:r w:rsidR="0008390E">
        <w:t xml:space="preserve"> </w:t>
      </w:r>
      <w:hyperlink r:id="rId19" w:history="1">
        <w:r w:rsidR="00473210">
          <w:rPr>
            <w:rStyle w:val="Hyperlink"/>
          </w:rPr>
          <w:t>https://www.gsk.com/media/5349/annual-report-2018.pdf</w:t>
        </w:r>
      </w:hyperlink>
      <w:r>
        <w:t xml:space="preserve"> (accessed 1</w:t>
      </w:r>
      <w:r w:rsidRPr="00082FDB">
        <w:rPr>
          <w:vertAlign w:val="superscript"/>
        </w:rPr>
        <w:t>st</w:t>
      </w:r>
      <w:r>
        <w:t xml:space="preserve"> April 2019);</w:t>
      </w:r>
    </w:p>
    <w:p w14:paraId="49849E85" w14:textId="691F731B" w:rsidR="002846B0" w:rsidRPr="002B6072" w:rsidRDefault="002846B0" w:rsidP="006A422E">
      <w:r w:rsidRPr="002B6072">
        <w:rPr>
          <w:rStyle w:val="mntl-sc-block-headingtext"/>
          <w:rFonts w:cstheme="minorHAnsi"/>
          <w:bCs/>
          <w:i/>
          <w:color w:val="111111"/>
        </w:rPr>
        <w:t>R&amp;D Spending in the Pharmaceutical Industry</w:t>
      </w:r>
      <w:r w:rsidR="00BE7D1A" w:rsidRPr="002B6072">
        <w:rPr>
          <w:rStyle w:val="mntl-sc-block-headingtext"/>
          <w:rFonts w:cstheme="minorHAnsi"/>
          <w:bCs/>
          <w:i/>
          <w:color w:val="111111"/>
        </w:rPr>
        <w:t>.</w:t>
      </w:r>
      <w:r w:rsidRPr="002B6072">
        <w:rPr>
          <w:rStyle w:val="mntl-sc-block-headingtext"/>
          <w:rFonts w:cstheme="minorHAnsi"/>
          <w:bCs/>
          <w:color w:val="111111"/>
        </w:rPr>
        <w:t xml:space="preserve"> </w:t>
      </w:r>
      <w:r w:rsidR="00756F29" w:rsidRPr="002B6072">
        <w:rPr>
          <w:rStyle w:val="mntl-sc-block-headingtext"/>
          <w:rFonts w:cstheme="minorHAnsi"/>
          <w:bCs/>
          <w:color w:val="111111"/>
        </w:rPr>
        <w:t xml:space="preserve">[internet] </w:t>
      </w:r>
      <w:r w:rsidR="002B6072" w:rsidRPr="002B6072">
        <w:rPr>
          <w:rStyle w:val="mntl-sc-block-headingtext"/>
          <w:rFonts w:cstheme="minorHAnsi"/>
          <w:bCs/>
          <w:color w:val="111111"/>
        </w:rPr>
        <w:t>A</w:t>
      </w:r>
      <w:r w:rsidR="00756F29" w:rsidRPr="002B6072">
        <w:rPr>
          <w:rStyle w:val="mntl-sc-block-headingtext"/>
          <w:rFonts w:cstheme="minorHAnsi"/>
          <w:bCs/>
          <w:color w:val="111111"/>
        </w:rPr>
        <w:t>vailable from</w:t>
      </w:r>
      <w:r w:rsidR="00756F29" w:rsidRPr="002B6072">
        <w:t xml:space="preserve"> </w:t>
      </w:r>
      <w:hyperlink r:id="rId20" w:history="1">
        <w:r w:rsidR="00756F29" w:rsidRPr="002B6072">
          <w:rPr>
            <w:rStyle w:val="Hyperlink"/>
          </w:rPr>
          <w:t>https://www.investopedia.com/ask/answers/060115/how-much-drug-companys-spending-allocated-research-and-development-average.asp</w:t>
        </w:r>
      </w:hyperlink>
      <w:r w:rsidR="00756F29" w:rsidRPr="002B6072">
        <w:t xml:space="preserve"> </w:t>
      </w:r>
      <w:r w:rsidR="0003665C" w:rsidRPr="002B6072">
        <w:t>(</w:t>
      </w:r>
      <w:r w:rsidR="00756F29" w:rsidRPr="002B6072">
        <w:t xml:space="preserve">accessed </w:t>
      </w:r>
      <w:r w:rsidR="0003665C" w:rsidRPr="002B6072">
        <w:t>10</w:t>
      </w:r>
      <w:r w:rsidR="0003665C" w:rsidRPr="002B6072">
        <w:rPr>
          <w:vertAlign w:val="superscript"/>
        </w:rPr>
        <w:t>th</w:t>
      </w:r>
      <w:r w:rsidR="0003665C" w:rsidRPr="002B6072">
        <w:t xml:space="preserve"> April 2019);</w:t>
      </w:r>
    </w:p>
    <w:p w14:paraId="1B939787" w14:textId="77777777" w:rsidR="0003665C" w:rsidRPr="0003665C" w:rsidRDefault="0003665C" w:rsidP="006A422E"/>
    <w:p w14:paraId="0F00B405" w14:textId="77777777" w:rsidR="0003665C" w:rsidRPr="0003665C" w:rsidRDefault="0003665C" w:rsidP="0003665C"/>
    <w:p w14:paraId="03A2BF55" w14:textId="77777777" w:rsidR="0088388B" w:rsidRDefault="0088388B" w:rsidP="00B96BD8"/>
    <w:p w14:paraId="3A16A53E" w14:textId="77777777" w:rsidR="00B96BD8" w:rsidRPr="00AD1E5B" w:rsidRDefault="00B96BD8" w:rsidP="00AD1E5B"/>
    <w:p w14:paraId="696CC551" w14:textId="33A09733" w:rsidR="004C4CAC" w:rsidRDefault="009A0161" w:rsidP="00C37E23">
      <w:pPr>
        <w:rPr>
          <w:rFonts w:eastAsiaTheme="minorEastAsia"/>
          <w:color w:val="000000" w:themeColor="text1"/>
        </w:rPr>
      </w:pPr>
      <w:r>
        <w:rPr>
          <w:rFonts w:eastAsiaTheme="minorEastAsia"/>
          <w:color w:val="000000" w:themeColor="text1"/>
        </w:rPr>
        <w:t xml:space="preserve"> </w:t>
      </w:r>
    </w:p>
    <w:p w14:paraId="5EBCCC07" w14:textId="1E6EDCBC" w:rsidR="00672F44" w:rsidRDefault="00212CF9" w:rsidP="00DA79ED">
      <w:pPr>
        <w:pStyle w:val="Heading1"/>
      </w:pPr>
      <w:bookmarkStart w:id="34" w:name="_Toc7774470"/>
      <w:r>
        <w:lastRenderedPageBreak/>
        <w:t>Appendix 1</w:t>
      </w:r>
      <w:r w:rsidR="00C16230">
        <w:t>: formulas</w:t>
      </w:r>
      <w:bookmarkEnd w:id="34"/>
      <w:r w:rsidR="00C16230">
        <w:t xml:space="preserve"> </w:t>
      </w:r>
    </w:p>
    <w:p w14:paraId="2E19D3B7" w14:textId="66540814" w:rsidR="00212CF9" w:rsidRDefault="00134392" w:rsidP="00212CF9">
      <w:r>
        <w:t>Profitability ratios:</w:t>
      </w:r>
    </w:p>
    <w:p w14:paraId="40C6D6E9" w14:textId="42F5C05D" w:rsidR="00134392" w:rsidRPr="004C05BD" w:rsidRDefault="007329FE" w:rsidP="00134392">
      <w:pPr>
        <w:pStyle w:val="ListParagraph"/>
        <w:numPr>
          <w:ilvl w:val="0"/>
          <w:numId w:val="1"/>
        </w:numPr>
      </w:pPr>
      <m:oMath>
        <m:r>
          <w:rPr>
            <w:rFonts w:ascii="Cambria Math" w:eastAsiaTheme="minorEastAsia" w:hAnsi="Cambria Math"/>
          </w:rPr>
          <m:t xml:space="preserve">Gross Margin </m:t>
        </m:r>
        <m:d>
          <m:dPr>
            <m:ctrlPr>
              <w:rPr>
                <w:rFonts w:ascii="Cambria Math" w:eastAsiaTheme="minorEastAsia" w:hAnsi="Cambria Math"/>
                <w:i/>
              </w:rPr>
            </m:ctrlPr>
          </m:dPr>
          <m:e>
            <m:r>
              <w:rPr>
                <w:rFonts w:ascii="Cambria Math" w:eastAsiaTheme="minorEastAsia" w:hAnsi="Cambria Math"/>
              </w:rPr>
              <m:t>%</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Gross Profit</m:t>
            </m:r>
          </m:num>
          <m:den>
            <m:r>
              <w:rPr>
                <w:rFonts w:ascii="Cambria Math" w:eastAsiaTheme="minorEastAsia" w:hAnsi="Cambria Math"/>
              </w:rPr>
              <m:t>Sales</m:t>
            </m:r>
          </m:den>
        </m:f>
        <m:r>
          <w:rPr>
            <w:rFonts w:ascii="Cambria Math" w:eastAsiaTheme="minorEastAsia" w:hAnsi="Cambria Math"/>
          </w:rPr>
          <m:t xml:space="preserve">x 100; </m:t>
        </m:r>
      </m:oMath>
    </w:p>
    <w:p w14:paraId="68E18E44" w14:textId="77777777" w:rsidR="004C05BD" w:rsidRPr="004C05BD" w:rsidRDefault="004C05BD" w:rsidP="004C05BD">
      <w:pPr>
        <w:pStyle w:val="ListParagraph"/>
      </w:pPr>
    </w:p>
    <w:p w14:paraId="10E6991D" w14:textId="77777777" w:rsidR="004C05BD" w:rsidRPr="007329FE" w:rsidRDefault="004C05BD" w:rsidP="004C05BD">
      <w:pPr>
        <w:pStyle w:val="ListParagraph"/>
      </w:pPr>
    </w:p>
    <w:p w14:paraId="1FD99939" w14:textId="1D00A6DD" w:rsidR="004C05BD" w:rsidRPr="004C05BD" w:rsidRDefault="00EA7A80" w:rsidP="004C05BD">
      <w:pPr>
        <w:pStyle w:val="ListParagraph"/>
        <w:numPr>
          <w:ilvl w:val="0"/>
          <w:numId w:val="1"/>
        </w:numPr>
      </w:pPr>
      <m:oMath>
        <m:r>
          <w:rPr>
            <w:rFonts w:ascii="Cambria Math" w:hAnsi="Cambria Math"/>
          </w:rPr>
          <m:t xml:space="preserve">Operating margin </m:t>
        </m:r>
        <m:d>
          <m:dPr>
            <m:ctrlPr>
              <w:rPr>
                <w:rFonts w:ascii="Cambria Math" w:hAnsi="Cambria Math"/>
                <w:i/>
              </w:rPr>
            </m:ctrlPr>
          </m:dPr>
          <m:e>
            <m:r>
              <w:rPr>
                <w:rFonts w:ascii="Cambria Math" w:hAnsi="Cambria Math"/>
              </w:rPr>
              <m:t>%</m:t>
            </m:r>
          </m:e>
        </m:d>
        <m:r>
          <w:rPr>
            <w:rFonts w:ascii="Cambria Math" w:hAnsi="Cambria Math"/>
          </w:rPr>
          <m:t>=</m:t>
        </m:r>
        <m:f>
          <m:fPr>
            <m:ctrlPr>
              <w:rPr>
                <w:rFonts w:ascii="Cambria Math" w:hAnsi="Cambria Math"/>
                <w:i/>
              </w:rPr>
            </m:ctrlPr>
          </m:fPr>
          <m:num>
            <m:r>
              <w:rPr>
                <w:rFonts w:ascii="Cambria Math" w:hAnsi="Cambria Math"/>
              </w:rPr>
              <m:t>Operating income</m:t>
            </m:r>
          </m:num>
          <m:den>
            <m:r>
              <w:rPr>
                <w:rFonts w:ascii="Cambria Math" w:hAnsi="Cambria Math"/>
              </w:rPr>
              <m:t>Sales</m:t>
            </m:r>
          </m:den>
        </m:f>
        <m:r>
          <w:rPr>
            <w:rFonts w:ascii="Cambria Math" w:hAnsi="Cambria Math"/>
          </w:rPr>
          <m:t>x 100</m:t>
        </m:r>
      </m:oMath>
      <w:r>
        <w:rPr>
          <w:rFonts w:eastAsiaTheme="minorEastAsia"/>
        </w:rPr>
        <w:t>;</w:t>
      </w:r>
    </w:p>
    <w:p w14:paraId="6127960C" w14:textId="77777777" w:rsidR="004C05BD" w:rsidRDefault="004C05BD" w:rsidP="004C05BD">
      <w:pPr>
        <w:pStyle w:val="ListParagraph"/>
      </w:pPr>
    </w:p>
    <w:p w14:paraId="3D0E1AD1" w14:textId="77777777" w:rsidR="004C05BD" w:rsidRPr="00EA7A80" w:rsidRDefault="004C05BD" w:rsidP="004C05BD">
      <w:pPr>
        <w:pStyle w:val="ListParagraph"/>
      </w:pPr>
    </w:p>
    <w:p w14:paraId="58AD027C" w14:textId="529E8499" w:rsidR="00EA7A80" w:rsidRPr="00AB559F" w:rsidRDefault="00EA7A80" w:rsidP="00134392">
      <w:pPr>
        <w:pStyle w:val="ListParagraph"/>
        <w:numPr>
          <w:ilvl w:val="0"/>
          <w:numId w:val="1"/>
        </w:numPr>
      </w:pPr>
      <m:oMath>
        <m:r>
          <w:rPr>
            <w:rFonts w:ascii="Cambria Math" w:hAnsi="Cambria Math"/>
          </w:rPr>
          <m:t>RORC=</m:t>
        </m:r>
        <m:f>
          <m:fPr>
            <m:ctrlPr>
              <w:rPr>
                <w:rFonts w:ascii="Cambria Math" w:hAnsi="Cambria Math"/>
                <w:i/>
              </w:rPr>
            </m:ctrlPr>
          </m:fPr>
          <m:num>
            <m:r>
              <w:rPr>
                <w:rFonts w:ascii="Cambria Math" w:hAnsi="Cambria Math"/>
              </w:rPr>
              <m:t>Current year Gross Profit</m:t>
            </m:r>
          </m:num>
          <m:den>
            <m:r>
              <w:rPr>
                <w:rFonts w:ascii="Cambria Math" w:hAnsi="Cambria Math"/>
              </w:rPr>
              <m:t>Previous year R&amp;D expenditures</m:t>
            </m:r>
          </m:den>
        </m:f>
      </m:oMath>
      <w:r w:rsidR="00AB559F">
        <w:rPr>
          <w:rFonts w:eastAsiaTheme="minorEastAsia"/>
        </w:rPr>
        <w:t xml:space="preserve"> .</w:t>
      </w:r>
    </w:p>
    <w:p w14:paraId="158C46CC" w14:textId="11F535CB" w:rsidR="00AB559F" w:rsidRDefault="00AB559F" w:rsidP="00AB559F">
      <w:pPr>
        <w:rPr>
          <w:rFonts w:eastAsiaTheme="minorEastAsia"/>
        </w:rPr>
      </w:pPr>
    </w:p>
    <w:p w14:paraId="071D6432" w14:textId="2AD7FF13" w:rsidR="00AB559F" w:rsidRDefault="00AB559F" w:rsidP="00AB559F">
      <w:pPr>
        <w:rPr>
          <w:rFonts w:eastAsiaTheme="minorEastAsia"/>
        </w:rPr>
      </w:pPr>
      <w:r>
        <w:rPr>
          <w:rFonts w:eastAsiaTheme="minorEastAsia"/>
        </w:rPr>
        <w:t>Liquidity ratios:</w:t>
      </w:r>
    </w:p>
    <w:p w14:paraId="3B61397E" w14:textId="301BC8C8" w:rsidR="00AB559F" w:rsidRDefault="00165FFD" w:rsidP="0023531A">
      <w:pPr>
        <w:pStyle w:val="ListParagraph"/>
        <w:numPr>
          <w:ilvl w:val="0"/>
          <w:numId w:val="1"/>
        </w:numPr>
        <w:rPr>
          <w:rFonts w:eastAsiaTheme="minorEastAsia"/>
        </w:rPr>
      </w:pPr>
      <m:oMath>
        <m:r>
          <w:rPr>
            <w:rFonts w:ascii="Cambria Math" w:eastAsiaTheme="minorEastAsia" w:hAnsi="Cambria Math"/>
          </w:rPr>
          <m:t>Current Ratio =</m:t>
        </m:r>
        <m:f>
          <m:fPr>
            <m:ctrlPr>
              <w:rPr>
                <w:rFonts w:ascii="Cambria Math" w:eastAsiaTheme="minorEastAsia" w:hAnsi="Cambria Math"/>
                <w:i/>
              </w:rPr>
            </m:ctrlPr>
          </m:fPr>
          <m:num>
            <m:r>
              <w:rPr>
                <w:rFonts w:ascii="Cambria Math" w:eastAsiaTheme="minorEastAsia" w:hAnsi="Cambria Math"/>
              </w:rPr>
              <m:t>Current Assets</m:t>
            </m:r>
          </m:num>
          <m:den>
            <m:r>
              <w:rPr>
                <w:rFonts w:ascii="Cambria Math" w:eastAsiaTheme="minorEastAsia" w:hAnsi="Cambria Math"/>
              </w:rPr>
              <m:t>Current Liabilities</m:t>
            </m:r>
          </m:den>
        </m:f>
        <m:r>
          <w:rPr>
            <w:rFonts w:ascii="Cambria Math" w:eastAsiaTheme="minorEastAsia" w:hAnsi="Cambria Math"/>
          </w:rPr>
          <m:t>;</m:t>
        </m:r>
      </m:oMath>
    </w:p>
    <w:p w14:paraId="34F260B9" w14:textId="77777777" w:rsidR="004C05BD" w:rsidRDefault="004C05BD" w:rsidP="004C05BD">
      <w:pPr>
        <w:pStyle w:val="ListParagraph"/>
        <w:rPr>
          <w:rFonts w:eastAsiaTheme="minorEastAsia"/>
        </w:rPr>
      </w:pPr>
    </w:p>
    <w:p w14:paraId="1BC66055" w14:textId="77777777" w:rsidR="004C05BD" w:rsidRDefault="004C05BD" w:rsidP="004C05BD">
      <w:pPr>
        <w:pStyle w:val="ListParagraph"/>
        <w:rPr>
          <w:rFonts w:eastAsiaTheme="minorEastAsia"/>
        </w:rPr>
      </w:pPr>
    </w:p>
    <w:p w14:paraId="1D9984BC" w14:textId="500424B1" w:rsidR="004C05BD" w:rsidRPr="004C05BD" w:rsidRDefault="00165FFD" w:rsidP="004C05BD">
      <w:pPr>
        <w:pStyle w:val="ListParagraph"/>
        <w:numPr>
          <w:ilvl w:val="0"/>
          <w:numId w:val="1"/>
        </w:numPr>
        <w:rPr>
          <w:rFonts w:eastAsiaTheme="minorEastAsia"/>
        </w:rPr>
      </w:pPr>
      <m:oMath>
        <m:r>
          <w:rPr>
            <w:rFonts w:ascii="Cambria Math" w:eastAsiaTheme="minorEastAsia" w:hAnsi="Cambria Math"/>
          </w:rPr>
          <m:t>Quick Ratio =</m:t>
        </m:r>
        <m:f>
          <m:fPr>
            <m:ctrlPr>
              <w:rPr>
                <w:rFonts w:ascii="Cambria Math" w:eastAsiaTheme="minorEastAsia" w:hAnsi="Cambria Math"/>
                <w:i/>
              </w:rPr>
            </m:ctrlPr>
          </m:fPr>
          <m:num>
            <m:r>
              <w:rPr>
                <w:rFonts w:ascii="Cambria Math" w:eastAsiaTheme="minorEastAsia" w:hAnsi="Cambria Math"/>
              </w:rPr>
              <m:t>Current Assets – Inventory</m:t>
            </m:r>
          </m:num>
          <m:den>
            <m:r>
              <w:rPr>
                <w:rFonts w:ascii="Cambria Math" w:eastAsiaTheme="minorEastAsia" w:hAnsi="Cambria Math"/>
              </w:rPr>
              <m:t>Current Liabilities</m:t>
            </m:r>
          </m:den>
        </m:f>
        <m:r>
          <w:rPr>
            <w:rFonts w:ascii="Cambria Math" w:eastAsiaTheme="minorEastAsia" w:hAnsi="Cambria Math"/>
          </w:rPr>
          <m:t>;</m:t>
        </m:r>
      </m:oMath>
    </w:p>
    <w:p w14:paraId="107F8337" w14:textId="77777777" w:rsidR="004C05BD" w:rsidRPr="004C05BD" w:rsidRDefault="004C05BD" w:rsidP="004C05BD">
      <w:pPr>
        <w:pStyle w:val="ListParagraph"/>
        <w:rPr>
          <w:rFonts w:eastAsiaTheme="minorEastAsia"/>
        </w:rPr>
      </w:pPr>
    </w:p>
    <w:p w14:paraId="4A0081C7" w14:textId="77777777" w:rsidR="004C05BD" w:rsidRPr="004C05BD" w:rsidRDefault="004C05BD" w:rsidP="004C05BD">
      <w:pPr>
        <w:pStyle w:val="ListParagraph"/>
        <w:rPr>
          <w:rFonts w:eastAsiaTheme="minorEastAsia"/>
        </w:rPr>
      </w:pPr>
    </w:p>
    <w:p w14:paraId="40AE4810" w14:textId="736956E5" w:rsidR="006A5E00" w:rsidRDefault="00D734F3" w:rsidP="0023531A">
      <w:pPr>
        <w:pStyle w:val="ListParagraph"/>
        <w:numPr>
          <w:ilvl w:val="0"/>
          <w:numId w:val="1"/>
        </w:numPr>
        <w:rPr>
          <w:rFonts w:eastAsiaTheme="minorEastAsia"/>
        </w:rPr>
      </w:pPr>
      <m:oMath>
        <m:r>
          <w:rPr>
            <w:rFonts w:ascii="Cambria Math" w:eastAsiaTheme="minorEastAsia" w:hAnsi="Cambria Math"/>
          </w:rPr>
          <m:t>Cash ratio =</m:t>
        </m:r>
        <m:f>
          <m:fPr>
            <m:ctrlPr>
              <w:rPr>
                <w:rFonts w:ascii="Cambria Math" w:eastAsiaTheme="minorEastAsia" w:hAnsi="Cambria Math"/>
                <w:i/>
              </w:rPr>
            </m:ctrlPr>
          </m:fPr>
          <m:num>
            <m:r>
              <w:rPr>
                <w:rFonts w:ascii="Cambria Math" w:eastAsiaTheme="minorEastAsia" w:hAnsi="Cambria Math"/>
              </w:rPr>
              <m:t>Cash</m:t>
            </m:r>
          </m:num>
          <m:den>
            <m:r>
              <w:rPr>
                <w:rFonts w:ascii="Cambria Math" w:eastAsiaTheme="minorEastAsia" w:hAnsi="Cambria Math"/>
              </w:rPr>
              <m:t>Current Liabilities</m:t>
            </m:r>
          </m:den>
        </m:f>
        <m:r>
          <w:rPr>
            <w:rFonts w:ascii="Cambria Math" w:eastAsiaTheme="minorEastAsia" w:hAnsi="Cambria Math"/>
          </w:rPr>
          <m:t xml:space="preserve">. </m:t>
        </m:r>
      </m:oMath>
    </w:p>
    <w:p w14:paraId="2B37862E" w14:textId="6142C61C" w:rsidR="00D734F3" w:rsidRDefault="00D734F3" w:rsidP="00D734F3">
      <w:pPr>
        <w:rPr>
          <w:rFonts w:eastAsiaTheme="minorEastAsia"/>
        </w:rPr>
      </w:pPr>
    </w:p>
    <w:p w14:paraId="59B7064C" w14:textId="682F60A5" w:rsidR="00D734F3" w:rsidRDefault="00D734F3" w:rsidP="00D734F3">
      <w:pPr>
        <w:rPr>
          <w:rFonts w:eastAsiaTheme="minorEastAsia"/>
        </w:rPr>
      </w:pPr>
      <w:r>
        <w:rPr>
          <w:rFonts w:eastAsiaTheme="minorEastAsia"/>
        </w:rPr>
        <w:t xml:space="preserve">Leverage ratios: </w:t>
      </w:r>
    </w:p>
    <w:p w14:paraId="7C9B9259" w14:textId="5175584C" w:rsidR="00D734F3" w:rsidRDefault="006D52D7" w:rsidP="00D734F3">
      <w:pPr>
        <w:pStyle w:val="ListParagraph"/>
        <w:numPr>
          <w:ilvl w:val="0"/>
          <w:numId w:val="1"/>
        </w:numPr>
        <w:rPr>
          <w:rFonts w:eastAsiaTheme="minorEastAsia"/>
        </w:rPr>
      </w:pPr>
      <m:oMath>
        <m:r>
          <w:rPr>
            <w:rFonts w:ascii="Cambria Math" w:eastAsiaTheme="minorEastAsia" w:hAnsi="Cambria Math"/>
          </w:rPr>
          <m:t>Debt-to Equity =</m:t>
        </m:r>
        <m:f>
          <m:fPr>
            <m:ctrlPr>
              <w:rPr>
                <w:rFonts w:ascii="Cambria Math" w:eastAsiaTheme="minorEastAsia" w:hAnsi="Cambria Math"/>
                <w:i/>
              </w:rPr>
            </m:ctrlPr>
          </m:fPr>
          <m:num>
            <m:r>
              <w:rPr>
                <w:rFonts w:ascii="Cambria Math" w:eastAsiaTheme="minorEastAsia" w:hAnsi="Cambria Math"/>
              </w:rPr>
              <m:t>Short-term borrowing + Long-term borrowing</m:t>
            </m:r>
          </m:num>
          <m:den>
            <m:r>
              <w:rPr>
                <w:rFonts w:ascii="Cambria Math" w:eastAsiaTheme="minorEastAsia" w:hAnsi="Cambria Math"/>
              </w:rPr>
              <m:t>Total Equity</m:t>
            </m:r>
          </m:den>
        </m:f>
        <m:r>
          <w:rPr>
            <w:rFonts w:ascii="Cambria Math" w:eastAsiaTheme="minorEastAsia" w:hAnsi="Cambria Math"/>
          </w:rPr>
          <m:t>;</m:t>
        </m:r>
      </m:oMath>
    </w:p>
    <w:p w14:paraId="1DC93334" w14:textId="77777777" w:rsidR="004C05BD" w:rsidRDefault="004C05BD" w:rsidP="004C05BD">
      <w:pPr>
        <w:pStyle w:val="ListParagraph"/>
        <w:rPr>
          <w:rFonts w:eastAsiaTheme="minorEastAsia"/>
        </w:rPr>
      </w:pPr>
    </w:p>
    <w:p w14:paraId="091BA672" w14:textId="3F9DD1F8" w:rsidR="00E76A4B" w:rsidRPr="00D734F3" w:rsidRDefault="006D52D7" w:rsidP="00D734F3">
      <w:pPr>
        <w:pStyle w:val="ListParagraph"/>
        <w:numPr>
          <w:ilvl w:val="0"/>
          <w:numId w:val="1"/>
        </w:numPr>
        <w:rPr>
          <w:rFonts w:eastAsiaTheme="minorEastAsia"/>
        </w:rPr>
      </w:pPr>
      <m:oMath>
        <m:r>
          <w:rPr>
            <w:rFonts w:ascii="Cambria Math" w:eastAsiaTheme="minorEastAsia" w:hAnsi="Cambria Math"/>
          </w:rPr>
          <m:t>Debt-to capital =</m:t>
        </m:r>
        <m:f>
          <m:fPr>
            <m:ctrlPr>
              <w:rPr>
                <w:rFonts w:ascii="Cambria Math" w:eastAsiaTheme="minorEastAsia" w:hAnsi="Cambria Math"/>
                <w:i/>
              </w:rPr>
            </m:ctrlPr>
          </m:fPr>
          <m:num>
            <m:r>
              <w:rPr>
                <w:rFonts w:ascii="Cambria Math" w:eastAsiaTheme="minorEastAsia" w:hAnsi="Cambria Math"/>
              </w:rPr>
              <m:t>Short-term borrowing + Long-term borrowing</m:t>
            </m:r>
          </m:num>
          <m:den>
            <m:r>
              <w:rPr>
                <w:rFonts w:ascii="Cambria Math" w:eastAsiaTheme="minorEastAsia" w:hAnsi="Cambria Math"/>
              </w:rPr>
              <m:t>Total Equity + Long-term borrowing</m:t>
            </m:r>
          </m:den>
        </m:f>
        <m:r>
          <w:rPr>
            <w:rFonts w:ascii="Cambria Math" w:eastAsiaTheme="minorEastAsia" w:hAnsi="Cambria Math"/>
          </w:rPr>
          <m:t xml:space="preserve">. </m:t>
        </m:r>
      </m:oMath>
    </w:p>
    <w:p w14:paraId="0D1CC792" w14:textId="0A7846CA" w:rsidR="0059169B" w:rsidRPr="00381D21" w:rsidRDefault="0059169B" w:rsidP="001B107B"/>
    <w:p w14:paraId="5A47648E" w14:textId="07CF8F63" w:rsidR="00863EC4" w:rsidRDefault="006D52D7" w:rsidP="001B107B">
      <w:r>
        <w:t>Effi</w:t>
      </w:r>
      <w:r w:rsidR="009E68A4">
        <w:t>ciently ratios:</w:t>
      </w:r>
    </w:p>
    <w:p w14:paraId="2BB4B8C4" w14:textId="5AFC4E42" w:rsidR="004C05BD" w:rsidRPr="004C05BD" w:rsidRDefault="004C05BD" w:rsidP="004C05BD">
      <w:pPr>
        <w:pStyle w:val="ListParagraph"/>
        <w:numPr>
          <w:ilvl w:val="0"/>
          <w:numId w:val="1"/>
        </w:numPr>
      </w:pPr>
      <m:oMath>
        <m:r>
          <w:rPr>
            <w:rFonts w:ascii="Cambria Math" w:hAnsi="Cambria Math"/>
          </w:rPr>
          <m:t>Asset turnover =</m:t>
        </m:r>
        <m:f>
          <m:fPr>
            <m:ctrlPr>
              <w:rPr>
                <w:rFonts w:ascii="Cambria Math" w:hAnsi="Cambria Math"/>
                <w:i/>
              </w:rPr>
            </m:ctrlPr>
          </m:fPr>
          <m:num>
            <m:r>
              <w:rPr>
                <w:rFonts w:ascii="Cambria Math" w:hAnsi="Cambria Math"/>
              </w:rPr>
              <m:t>Sales</m:t>
            </m:r>
          </m:num>
          <m:den>
            <m:r>
              <w:rPr>
                <w:rFonts w:ascii="Cambria Math" w:hAnsi="Cambria Math"/>
              </w:rPr>
              <m:t>Total Asset</m:t>
            </m:r>
          </m:den>
        </m:f>
        <m:r>
          <w:rPr>
            <w:rFonts w:ascii="Cambria Math" w:hAnsi="Cambria Math"/>
          </w:rPr>
          <m:t>;</m:t>
        </m:r>
      </m:oMath>
    </w:p>
    <w:p w14:paraId="1C531E15" w14:textId="77777777" w:rsidR="004C05BD" w:rsidRDefault="004C05BD" w:rsidP="004C05BD">
      <w:pPr>
        <w:pStyle w:val="ListParagraph"/>
      </w:pPr>
    </w:p>
    <w:p w14:paraId="1E06990F" w14:textId="4FE6FAF4" w:rsidR="009E68A4" w:rsidRPr="00381D21" w:rsidRDefault="004C05BD" w:rsidP="009E68A4">
      <w:pPr>
        <w:pStyle w:val="ListParagraph"/>
        <w:numPr>
          <w:ilvl w:val="0"/>
          <w:numId w:val="1"/>
        </w:numPr>
      </w:pPr>
      <m:oMath>
        <m:r>
          <w:rPr>
            <w:rFonts w:ascii="Cambria Math" w:hAnsi="Cambria Math"/>
          </w:rPr>
          <m:t>Fixed Asset turnover =</m:t>
        </m:r>
        <m:f>
          <m:fPr>
            <m:ctrlPr>
              <w:rPr>
                <w:rFonts w:ascii="Cambria Math" w:hAnsi="Cambria Math"/>
                <w:i/>
              </w:rPr>
            </m:ctrlPr>
          </m:fPr>
          <m:num>
            <m:r>
              <w:rPr>
                <w:rFonts w:ascii="Cambria Math" w:hAnsi="Cambria Math"/>
              </w:rPr>
              <m:t>Sales</m:t>
            </m:r>
          </m:num>
          <m:den>
            <m:r>
              <w:rPr>
                <w:rFonts w:ascii="Cambria Math" w:hAnsi="Cambria Math"/>
              </w:rPr>
              <m:t>Fixed Asset</m:t>
            </m:r>
          </m:den>
        </m:f>
        <m:r>
          <w:rPr>
            <w:rFonts w:ascii="Cambria Math" w:hAnsi="Cambria Math"/>
          </w:rPr>
          <m:t>.</m:t>
        </m:r>
      </m:oMath>
    </w:p>
    <w:p w14:paraId="344D3DF2" w14:textId="77777777" w:rsidR="00D53266" w:rsidRPr="00381D21" w:rsidRDefault="00D53266" w:rsidP="007C1D92"/>
    <w:p w14:paraId="05595AD0" w14:textId="77777777" w:rsidR="00005764" w:rsidRPr="00381D21" w:rsidRDefault="00005764" w:rsidP="00E36A99"/>
    <w:p w14:paraId="733E42A4" w14:textId="77777777" w:rsidR="00E36A99" w:rsidRPr="00381D21" w:rsidRDefault="00E36A99" w:rsidP="00E36A99"/>
    <w:p w14:paraId="413CD088" w14:textId="77777777" w:rsidR="00E36A99" w:rsidRPr="00381D21" w:rsidRDefault="00E36A99" w:rsidP="00512594"/>
    <w:p w14:paraId="5997FCCF" w14:textId="77777777" w:rsidR="00512594" w:rsidRPr="00381D21" w:rsidRDefault="00512594" w:rsidP="00D04F6C"/>
    <w:p w14:paraId="7272B407" w14:textId="77777777" w:rsidR="00512594" w:rsidRPr="00381D21" w:rsidRDefault="00512594" w:rsidP="00D04F6C"/>
    <w:p w14:paraId="7541A93B" w14:textId="5294AD51" w:rsidR="00772647" w:rsidRPr="00381D21" w:rsidRDefault="00772647" w:rsidP="00D04F6C"/>
    <w:p w14:paraId="2CC9EC5F" w14:textId="77777777" w:rsidR="00772647" w:rsidRPr="00381D21" w:rsidRDefault="00772647" w:rsidP="00D04F6C"/>
    <w:p w14:paraId="73902E52" w14:textId="77777777" w:rsidR="00D04F6C" w:rsidRPr="00381D21" w:rsidRDefault="00D04F6C" w:rsidP="00D04F6C"/>
    <w:p w14:paraId="2D4F18FF" w14:textId="77777777" w:rsidR="00D04F6C" w:rsidRPr="00381D21" w:rsidRDefault="00D04F6C" w:rsidP="00D04F6C"/>
    <w:p w14:paraId="21C75C23" w14:textId="77777777" w:rsidR="00D220A5" w:rsidRPr="00381D21" w:rsidRDefault="00D220A5" w:rsidP="00D220A5"/>
    <w:p w14:paraId="052F1638" w14:textId="77777777" w:rsidR="005659CF" w:rsidRPr="00381D21" w:rsidRDefault="005659CF" w:rsidP="00A525F5"/>
    <w:p w14:paraId="73649819" w14:textId="77777777" w:rsidR="00077CB6" w:rsidRPr="00381D21" w:rsidRDefault="00077CB6" w:rsidP="00A525F5"/>
    <w:p w14:paraId="7F72252B" w14:textId="77777777" w:rsidR="00845F8D" w:rsidRPr="00381D21" w:rsidRDefault="00845F8D" w:rsidP="00845F8D">
      <w:pPr>
        <w:rPr>
          <w:rFonts w:ascii="Arial" w:hAnsi="Arial" w:cs="Arial"/>
          <w:color w:val="222222"/>
          <w:shd w:val="clear" w:color="auto" w:fill="FFFFFF"/>
        </w:rPr>
      </w:pPr>
    </w:p>
    <w:p w14:paraId="5908EF09" w14:textId="77777777" w:rsidR="00845F8D" w:rsidRPr="00381D21" w:rsidRDefault="00845F8D" w:rsidP="00845F8D">
      <w:pPr>
        <w:pStyle w:val="ListParagraph"/>
        <w:rPr>
          <w:rStyle w:val="no-wrap"/>
          <w:rFonts w:ascii="Arial" w:hAnsi="Arial" w:cs="Arial"/>
          <w:bCs/>
          <w:color w:val="222222"/>
          <w:sz w:val="21"/>
          <w:szCs w:val="21"/>
          <w:shd w:val="clear" w:color="auto" w:fill="FFFFFF"/>
        </w:rPr>
      </w:pPr>
    </w:p>
    <w:p w14:paraId="46C71565" w14:textId="77777777" w:rsidR="00845F8D" w:rsidRPr="00381D21" w:rsidRDefault="00845F8D" w:rsidP="00845F8D"/>
    <w:p w14:paraId="5E8C9776" w14:textId="77777777" w:rsidR="00BE6EE3" w:rsidRPr="00381D21" w:rsidRDefault="00BE6EE3" w:rsidP="00BE6EE3">
      <w:pPr>
        <w:rPr>
          <w:rFonts w:cstheme="minorHAnsi"/>
        </w:rPr>
      </w:pPr>
    </w:p>
    <w:p w14:paraId="529B668D" w14:textId="77777777" w:rsidR="00B31F67" w:rsidRPr="00381D21" w:rsidRDefault="00B31F67" w:rsidP="00AF7F91">
      <w:pPr>
        <w:autoSpaceDE w:val="0"/>
        <w:autoSpaceDN w:val="0"/>
        <w:adjustRightInd w:val="0"/>
        <w:spacing w:after="0" w:line="240" w:lineRule="auto"/>
      </w:pPr>
    </w:p>
    <w:p w14:paraId="2EBA2383" w14:textId="77777777" w:rsidR="00F809E6" w:rsidRPr="00381D21" w:rsidRDefault="00F809E6" w:rsidP="00F5100D"/>
    <w:sectPr w:rsidR="00F809E6" w:rsidRPr="00381D21" w:rsidSect="00BD4881">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C715F4" w14:textId="77777777" w:rsidR="00396A41" w:rsidRDefault="00396A41" w:rsidP="00A97734">
      <w:pPr>
        <w:spacing w:after="0" w:line="240" w:lineRule="auto"/>
      </w:pPr>
      <w:r>
        <w:separator/>
      </w:r>
    </w:p>
  </w:endnote>
  <w:endnote w:type="continuationSeparator" w:id="0">
    <w:p w14:paraId="1A7A380F" w14:textId="77777777" w:rsidR="00396A41" w:rsidRDefault="00396A41" w:rsidP="00A97734">
      <w:pPr>
        <w:spacing w:after="0" w:line="240" w:lineRule="auto"/>
      </w:pPr>
      <w:r>
        <w:continuationSeparator/>
      </w:r>
    </w:p>
  </w:endnote>
  <w:endnote w:type="continuationNotice" w:id="1">
    <w:p w14:paraId="77C0B645" w14:textId="77777777" w:rsidR="00396A41" w:rsidRDefault="00396A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kzidenz-Grotesk GSK Regular">
    <w:altName w:val="Calibri"/>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115B5F" w14:textId="77777777" w:rsidR="00396A41" w:rsidRDefault="00396A41" w:rsidP="00A97734">
      <w:pPr>
        <w:spacing w:after="0" w:line="240" w:lineRule="auto"/>
      </w:pPr>
      <w:r>
        <w:separator/>
      </w:r>
    </w:p>
  </w:footnote>
  <w:footnote w:type="continuationSeparator" w:id="0">
    <w:p w14:paraId="7D6FC89E" w14:textId="77777777" w:rsidR="00396A41" w:rsidRDefault="00396A41" w:rsidP="00A97734">
      <w:pPr>
        <w:spacing w:after="0" w:line="240" w:lineRule="auto"/>
      </w:pPr>
      <w:r>
        <w:continuationSeparator/>
      </w:r>
    </w:p>
  </w:footnote>
  <w:footnote w:type="continuationNotice" w:id="1">
    <w:p w14:paraId="260955D4" w14:textId="77777777" w:rsidR="00396A41" w:rsidRDefault="00396A4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3F13DB"/>
    <w:multiLevelType w:val="hybridMultilevel"/>
    <w:tmpl w:val="B89CCDB0"/>
    <w:lvl w:ilvl="0" w:tplc="EDE89124">
      <w:start w:val="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B3530C"/>
    <w:multiLevelType w:val="hybridMultilevel"/>
    <w:tmpl w:val="1174E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866CF4"/>
    <w:multiLevelType w:val="hybridMultilevel"/>
    <w:tmpl w:val="97D69BEC"/>
    <w:lvl w:ilvl="0" w:tplc="3274DD90">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E97C37"/>
    <w:multiLevelType w:val="hybridMultilevel"/>
    <w:tmpl w:val="E88E29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hyphenationZone w:val="283"/>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00D"/>
    <w:rsid w:val="00000944"/>
    <w:rsid w:val="00003CD0"/>
    <w:rsid w:val="00005764"/>
    <w:rsid w:val="00006FDE"/>
    <w:rsid w:val="000075A5"/>
    <w:rsid w:val="00011A16"/>
    <w:rsid w:val="00014809"/>
    <w:rsid w:val="00015343"/>
    <w:rsid w:val="00016AC0"/>
    <w:rsid w:val="00017202"/>
    <w:rsid w:val="00017EB6"/>
    <w:rsid w:val="00020558"/>
    <w:rsid w:val="00022E36"/>
    <w:rsid w:val="00022F46"/>
    <w:rsid w:val="00023C6C"/>
    <w:rsid w:val="000256D8"/>
    <w:rsid w:val="00025CB7"/>
    <w:rsid w:val="00026C4E"/>
    <w:rsid w:val="000275B3"/>
    <w:rsid w:val="0003495A"/>
    <w:rsid w:val="00036249"/>
    <w:rsid w:val="000362B9"/>
    <w:rsid w:val="0003665C"/>
    <w:rsid w:val="000370AE"/>
    <w:rsid w:val="00043233"/>
    <w:rsid w:val="00043C53"/>
    <w:rsid w:val="00045E3C"/>
    <w:rsid w:val="000476CB"/>
    <w:rsid w:val="000509AC"/>
    <w:rsid w:val="00054D37"/>
    <w:rsid w:val="00057EBF"/>
    <w:rsid w:val="00060F28"/>
    <w:rsid w:val="000610EB"/>
    <w:rsid w:val="000611BA"/>
    <w:rsid w:val="000622DF"/>
    <w:rsid w:val="000659AA"/>
    <w:rsid w:val="00066AA6"/>
    <w:rsid w:val="000703BE"/>
    <w:rsid w:val="00070A83"/>
    <w:rsid w:val="000721ED"/>
    <w:rsid w:val="0007391D"/>
    <w:rsid w:val="0007671D"/>
    <w:rsid w:val="00076CA7"/>
    <w:rsid w:val="00077CB6"/>
    <w:rsid w:val="000813C7"/>
    <w:rsid w:val="00082D73"/>
    <w:rsid w:val="00082F3F"/>
    <w:rsid w:val="00082FDB"/>
    <w:rsid w:val="00083314"/>
    <w:rsid w:val="0008390E"/>
    <w:rsid w:val="00084654"/>
    <w:rsid w:val="00084CA3"/>
    <w:rsid w:val="00086C04"/>
    <w:rsid w:val="000903EF"/>
    <w:rsid w:val="0009141E"/>
    <w:rsid w:val="00092F9C"/>
    <w:rsid w:val="00093A1D"/>
    <w:rsid w:val="00097242"/>
    <w:rsid w:val="000973E7"/>
    <w:rsid w:val="000A2203"/>
    <w:rsid w:val="000A2263"/>
    <w:rsid w:val="000A335D"/>
    <w:rsid w:val="000A79F1"/>
    <w:rsid w:val="000A7FA1"/>
    <w:rsid w:val="000B0719"/>
    <w:rsid w:val="000B15DA"/>
    <w:rsid w:val="000B1E0E"/>
    <w:rsid w:val="000B2D74"/>
    <w:rsid w:val="000B4A8B"/>
    <w:rsid w:val="000B6C22"/>
    <w:rsid w:val="000B720B"/>
    <w:rsid w:val="000B7F0F"/>
    <w:rsid w:val="000C6002"/>
    <w:rsid w:val="000C6EC7"/>
    <w:rsid w:val="000C7402"/>
    <w:rsid w:val="000C7FFA"/>
    <w:rsid w:val="000D3ADA"/>
    <w:rsid w:val="000D6AD7"/>
    <w:rsid w:val="000E1DE1"/>
    <w:rsid w:val="000E7038"/>
    <w:rsid w:val="000F02DF"/>
    <w:rsid w:val="000F08EF"/>
    <w:rsid w:val="000F6356"/>
    <w:rsid w:val="000F7AC6"/>
    <w:rsid w:val="00105D3A"/>
    <w:rsid w:val="001102F4"/>
    <w:rsid w:val="00113F1B"/>
    <w:rsid w:val="00114D34"/>
    <w:rsid w:val="00115F49"/>
    <w:rsid w:val="00116291"/>
    <w:rsid w:val="001165BC"/>
    <w:rsid w:val="00123A5F"/>
    <w:rsid w:val="00131D6D"/>
    <w:rsid w:val="00134392"/>
    <w:rsid w:val="00135D14"/>
    <w:rsid w:val="001362C3"/>
    <w:rsid w:val="00137283"/>
    <w:rsid w:val="001464A7"/>
    <w:rsid w:val="00153872"/>
    <w:rsid w:val="00153E9C"/>
    <w:rsid w:val="00154476"/>
    <w:rsid w:val="0016163A"/>
    <w:rsid w:val="00165FFD"/>
    <w:rsid w:val="00167437"/>
    <w:rsid w:val="0016754C"/>
    <w:rsid w:val="00167BDD"/>
    <w:rsid w:val="001709D6"/>
    <w:rsid w:val="00171A90"/>
    <w:rsid w:val="001752EF"/>
    <w:rsid w:val="00175674"/>
    <w:rsid w:val="00175C48"/>
    <w:rsid w:val="00176434"/>
    <w:rsid w:val="001811E4"/>
    <w:rsid w:val="00182993"/>
    <w:rsid w:val="00182BD1"/>
    <w:rsid w:val="0018423C"/>
    <w:rsid w:val="00184DCA"/>
    <w:rsid w:val="00187774"/>
    <w:rsid w:val="00191428"/>
    <w:rsid w:val="0019169D"/>
    <w:rsid w:val="001A038C"/>
    <w:rsid w:val="001A10DB"/>
    <w:rsid w:val="001A2AD9"/>
    <w:rsid w:val="001A34A0"/>
    <w:rsid w:val="001A3518"/>
    <w:rsid w:val="001A5CE6"/>
    <w:rsid w:val="001A6818"/>
    <w:rsid w:val="001A6F5B"/>
    <w:rsid w:val="001B0318"/>
    <w:rsid w:val="001B107B"/>
    <w:rsid w:val="001B1F3A"/>
    <w:rsid w:val="001C0EB5"/>
    <w:rsid w:val="001C1D11"/>
    <w:rsid w:val="001C2F1E"/>
    <w:rsid w:val="001D1140"/>
    <w:rsid w:val="001E1405"/>
    <w:rsid w:val="001E4723"/>
    <w:rsid w:val="001E51AE"/>
    <w:rsid w:val="001E6289"/>
    <w:rsid w:val="001F206E"/>
    <w:rsid w:val="001F22C3"/>
    <w:rsid w:val="001F2847"/>
    <w:rsid w:val="001F3403"/>
    <w:rsid w:val="001F3FA7"/>
    <w:rsid w:val="001F641D"/>
    <w:rsid w:val="00200962"/>
    <w:rsid w:val="00203990"/>
    <w:rsid w:val="002040C2"/>
    <w:rsid w:val="002044C1"/>
    <w:rsid w:val="002060B7"/>
    <w:rsid w:val="002073A8"/>
    <w:rsid w:val="00207835"/>
    <w:rsid w:val="0021126D"/>
    <w:rsid w:val="00212CF9"/>
    <w:rsid w:val="00215DD7"/>
    <w:rsid w:val="00221F5A"/>
    <w:rsid w:val="00223874"/>
    <w:rsid w:val="00223E32"/>
    <w:rsid w:val="00227B3D"/>
    <w:rsid w:val="00227C87"/>
    <w:rsid w:val="0023349B"/>
    <w:rsid w:val="00233A0D"/>
    <w:rsid w:val="002351D5"/>
    <w:rsid w:val="0023531A"/>
    <w:rsid w:val="0023651C"/>
    <w:rsid w:val="002377A1"/>
    <w:rsid w:val="00243944"/>
    <w:rsid w:val="00243C85"/>
    <w:rsid w:val="002448CE"/>
    <w:rsid w:val="00245591"/>
    <w:rsid w:val="002500A3"/>
    <w:rsid w:val="002521AC"/>
    <w:rsid w:val="002529FE"/>
    <w:rsid w:val="00254928"/>
    <w:rsid w:val="002652F1"/>
    <w:rsid w:val="00266A81"/>
    <w:rsid w:val="0027097A"/>
    <w:rsid w:val="00272FE4"/>
    <w:rsid w:val="00274DA1"/>
    <w:rsid w:val="00275E09"/>
    <w:rsid w:val="00276E54"/>
    <w:rsid w:val="0028070C"/>
    <w:rsid w:val="00280F30"/>
    <w:rsid w:val="002846B0"/>
    <w:rsid w:val="00285B6B"/>
    <w:rsid w:val="00287318"/>
    <w:rsid w:val="002919C5"/>
    <w:rsid w:val="0029382C"/>
    <w:rsid w:val="00294F8A"/>
    <w:rsid w:val="00296257"/>
    <w:rsid w:val="002A03B3"/>
    <w:rsid w:val="002A03C4"/>
    <w:rsid w:val="002A12C6"/>
    <w:rsid w:val="002A2DD8"/>
    <w:rsid w:val="002A7052"/>
    <w:rsid w:val="002B0509"/>
    <w:rsid w:val="002B0D12"/>
    <w:rsid w:val="002B1522"/>
    <w:rsid w:val="002B4871"/>
    <w:rsid w:val="002B6072"/>
    <w:rsid w:val="002C1977"/>
    <w:rsid w:val="002C48A7"/>
    <w:rsid w:val="002C5F12"/>
    <w:rsid w:val="002D0F40"/>
    <w:rsid w:val="002D2CF4"/>
    <w:rsid w:val="002D476F"/>
    <w:rsid w:val="002D5811"/>
    <w:rsid w:val="002D590A"/>
    <w:rsid w:val="002E690C"/>
    <w:rsid w:val="002F3EB7"/>
    <w:rsid w:val="00304716"/>
    <w:rsid w:val="0030651C"/>
    <w:rsid w:val="003067FA"/>
    <w:rsid w:val="00307017"/>
    <w:rsid w:val="00307C5F"/>
    <w:rsid w:val="00314B4E"/>
    <w:rsid w:val="00314DC8"/>
    <w:rsid w:val="00314DE6"/>
    <w:rsid w:val="00314EB7"/>
    <w:rsid w:val="00315E68"/>
    <w:rsid w:val="00316732"/>
    <w:rsid w:val="00320088"/>
    <w:rsid w:val="0032085E"/>
    <w:rsid w:val="00321E02"/>
    <w:rsid w:val="003226BA"/>
    <w:rsid w:val="00325D63"/>
    <w:rsid w:val="003278F0"/>
    <w:rsid w:val="00332397"/>
    <w:rsid w:val="00333B75"/>
    <w:rsid w:val="0033508C"/>
    <w:rsid w:val="00335435"/>
    <w:rsid w:val="00335D60"/>
    <w:rsid w:val="0033648D"/>
    <w:rsid w:val="00341B1F"/>
    <w:rsid w:val="00341CBD"/>
    <w:rsid w:val="0034243B"/>
    <w:rsid w:val="00342E90"/>
    <w:rsid w:val="00345167"/>
    <w:rsid w:val="003464B4"/>
    <w:rsid w:val="00351FAD"/>
    <w:rsid w:val="0035761E"/>
    <w:rsid w:val="0036016A"/>
    <w:rsid w:val="00360AFA"/>
    <w:rsid w:val="003633EE"/>
    <w:rsid w:val="00366E5D"/>
    <w:rsid w:val="00371737"/>
    <w:rsid w:val="00371C29"/>
    <w:rsid w:val="00374790"/>
    <w:rsid w:val="00380E9B"/>
    <w:rsid w:val="00381D21"/>
    <w:rsid w:val="003840B3"/>
    <w:rsid w:val="003862A2"/>
    <w:rsid w:val="00390E8F"/>
    <w:rsid w:val="00391E93"/>
    <w:rsid w:val="00393301"/>
    <w:rsid w:val="00393F4E"/>
    <w:rsid w:val="00395241"/>
    <w:rsid w:val="00395DD6"/>
    <w:rsid w:val="00396198"/>
    <w:rsid w:val="003966CC"/>
    <w:rsid w:val="00396A41"/>
    <w:rsid w:val="003A327D"/>
    <w:rsid w:val="003A62FB"/>
    <w:rsid w:val="003A664C"/>
    <w:rsid w:val="003A6E48"/>
    <w:rsid w:val="003B3660"/>
    <w:rsid w:val="003B4105"/>
    <w:rsid w:val="003B5170"/>
    <w:rsid w:val="003B6368"/>
    <w:rsid w:val="003C77FA"/>
    <w:rsid w:val="003C7A9A"/>
    <w:rsid w:val="003D0654"/>
    <w:rsid w:val="003D5579"/>
    <w:rsid w:val="003D642E"/>
    <w:rsid w:val="003D6C3F"/>
    <w:rsid w:val="003D7230"/>
    <w:rsid w:val="003E7DAB"/>
    <w:rsid w:val="003F0CAA"/>
    <w:rsid w:val="003F1710"/>
    <w:rsid w:val="003F2958"/>
    <w:rsid w:val="003F2EAD"/>
    <w:rsid w:val="003F74BD"/>
    <w:rsid w:val="00400FFC"/>
    <w:rsid w:val="00403A81"/>
    <w:rsid w:val="004054E8"/>
    <w:rsid w:val="004071D3"/>
    <w:rsid w:val="00407E0A"/>
    <w:rsid w:val="004105B1"/>
    <w:rsid w:val="004123B4"/>
    <w:rsid w:val="0041487E"/>
    <w:rsid w:val="00417408"/>
    <w:rsid w:val="004178EF"/>
    <w:rsid w:val="00417F8E"/>
    <w:rsid w:val="0042047D"/>
    <w:rsid w:val="00424DC0"/>
    <w:rsid w:val="0042612C"/>
    <w:rsid w:val="00426C1C"/>
    <w:rsid w:val="00426EF5"/>
    <w:rsid w:val="004317B1"/>
    <w:rsid w:val="00431EAF"/>
    <w:rsid w:val="00434236"/>
    <w:rsid w:val="004365B3"/>
    <w:rsid w:val="00443A4A"/>
    <w:rsid w:val="004465D1"/>
    <w:rsid w:val="00446E42"/>
    <w:rsid w:val="004470BA"/>
    <w:rsid w:val="00447E65"/>
    <w:rsid w:val="00451607"/>
    <w:rsid w:val="00451A11"/>
    <w:rsid w:val="00452793"/>
    <w:rsid w:val="00454DF8"/>
    <w:rsid w:val="00455BDD"/>
    <w:rsid w:val="00467DD3"/>
    <w:rsid w:val="00473210"/>
    <w:rsid w:val="00473E10"/>
    <w:rsid w:val="00474DCB"/>
    <w:rsid w:val="004754C9"/>
    <w:rsid w:val="00475638"/>
    <w:rsid w:val="00475A86"/>
    <w:rsid w:val="00483328"/>
    <w:rsid w:val="00484025"/>
    <w:rsid w:val="004850C7"/>
    <w:rsid w:val="00485FD7"/>
    <w:rsid w:val="00487D9E"/>
    <w:rsid w:val="00490772"/>
    <w:rsid w:val="00492994"/>
    <w:rsid w:val="004966E8"/>
    <w:rsid w:val="00497068"/>
    <w:rsid w:val="004A1B4E"/>
    <w:rsid w:val="004A49B3"/>
    <w:rsid w:val="004A60B2"/>
    <w:rsid w:val="004A73D1"/>
    <w:rsid w:val="004B06C7"/>
    <w:rsid w:val="004B0F14"/>
    <w:rsid w:val="004B1DDB"/>
    <w:rsid w:val="004B2237"/>
    <w:rsid w:val="004B55B2"/>
    <w:rsid w:val="004C05BD"/>
    <w:rsid w:val="004C4939"/>
    <w:rsid w:val="004C4CAC"/>
    <w:rsid w:val="004D5CA3"/>
    <w:rsid w:val="004F1080"/>
    <w:rsid w:val="004F1154"/>
    <w:rsid w:val="004F30CD"/>
    <w:rsid w:val="004F4437"/>
    <w:rsid w:val="004F4C86"/>
    <w:rsid w:val="004F4FAB"/>
    <w:rsid w:val="004F60DF"/>
    <w:rsid w:val="00500140"/>
    <w:rsid w:val="00500CAD"/>
    <w:rsid w:val="00503B57"/>
    <w:rsid w:val="00505036"/>
    <w:rsid w:val="00505038"/>
    <w:rsid w:val="00507C1F"/>
    <w:rsid w:val="00512594"/>
    <w:rsid w:val="00515709"/>
    <w:rsid w:val="0051703D"/>
    <w:rsid w:val="00520164"/>
    <w:rsid w:val="00524018"/>
    <w:rsid w:val="0052770F"/>
    <w:rsid w:val="0053110E"/>
    <w:rsid w:val="00531ED7"/>
    <w:rsid w:val="005343C5"/>
    <w:rsid w:val="0053742B"/>
    <w:rsid w:val="00540941"/>
    <w:rsid w:val="00541A86"/>
    <w:rsid w:val="00543368"/>
    <w:rsid w:val="00543842"/>
    <w:rsid w:val="0054666C"/>
    <w:rsid w:val="00546A92"/>
    <w:rsid w:val="005520F8"/>
    <w:rsid w:val="00556CBF"/>
    <w:rsid w:val="00560058"/>
    <w:rsid w:val="0056163D"/>
    <w:rsid w:val="005616FC"/>
    <w:rsid w:val="005659CF"/>
    <w:rsid w:val="005671E8"/>
    <w:rsid w:val="00570FB2"/>
    <w:rsid w:val="00571E7A"/>
    <w:rsid w:val="00575B01"/>
    <w:rsid w:val="00577257"/>
    <w:rsid w:val="00582C3C"/>
    <w:rsid w:val="00585072"/>
    <w:rsid w:val="0058619A"/>
    <w:rsid w:val="00590D3F"/>
    <w:rsid w:val="0059169B"/>
    <w:rsid w:val="00592AFD"/>
    <w:rsid w:val="00594ED7"/>
    <w:rsid w:val="00597614"/>
    <w:rsid w:val="005A3B26"/>
    <w:rsid w:val="005A6142"/>
    <w:rsid w:val="005B1F98"/>
    <w:rsid w:val="005B3A13"/>
    <w:rsid w:val="005B5242"/>
    <w:rsid w:val="005B5D2C"/>
    <w:rsid w:val="005B6D7B"/>
    <w:rsid w:val="005C134D"/>
    <w:rsid w:val="005C3E3F"/>
    <w:rsid w:val="005D57E0"/>
    <w:rsid w:val="005D5C0F"/>
    <w:rsid w:val="005D5EEF"/>
    <w:rsid w:val="005E00A2"/>
    <w:rsid w:val="005E0543"/>
    <w:rsid w:val="005E0711"/>
    <w:rsid w:val="005E1CB7"/>
    <w:rsid w:val="005F3AD4"/>
    <w:rsid w:val="005F4461"/>
    <w:rsid w:val="005F4E4C"/>
    <w:rsid w:val="005F5FEA"/>
    <w:rsid w:val="005F754B"/>
    <w:rsid w:val="005F77A3"/>
    <w:rsid w:val="006049E6"/>
    <w:rsid w:val="006064D2"/>
    <w:rsid w:val="00611BAD"/>
    <w:rsid w:val="006168DA"/>
    <w:rsid w:val="00617366"/>
    <w:rsid w:val="0062020A"/>
    <w:rsid w:val="00620F60"/>
    <w:rsid w:val="00623C45"/>
    <w:rsid w:val="00632DFB"/>
    <w:rsid w:val="0064260A"/>
    <w:rsid w:val="0064451A"/>
    <w:rsid w:val="00654008"/>
    <w:rsid w:val="006545D5"/>
    <w:rsid w:val="0065528E"/>
    <w:rsid w:val="006553EE"/>
    <w:rsid w:val="006555A6"/>
    <w:rsid w:val="00656666"/>
    <w:rsid w:val="00657BD9"/>
    <w:rsid w:val="00657DC1"/>
    <w:rsid w:val="00662087"/>
    <w:rsid w:val="00665CC9"/>
    <w:rsid w:val="00667862"/>
    <w:rsid w:val="006711ED"/>
    <w:rsid w:val="006711F0"/>
    <w:rsid w:val="006718E7"/>
    <w:rsid w:val="00672A1E"/>
    <w:rsid w:val="00672F44"/>
    <w:rsid w:val="006801CE"/>
    <w:rsid w:val="00680A50"/>
    <w:rsid w:val="00685270"/>
    <w:rsid w:val="00687895"/>
    <w:rsid w:val="00691072"/>
    <w:rsid w:val="006946CC"/>
    <w:rsid w:val="006A239D"/>
    <w:rsid w:val="006A3045"/>
    <w:rsid w:val="006A3BD7"/>
    <w:rsid w:val="006A422E"/>
    <w:rsid w:val="006A5E00"/>
    <w:rsid w:val="006A700A"/>
    <w:rsid w:val="006B3967"/>
    <w:rsid w:val="006B6119"/>
    <w:rsid w:val="006B6499"/>
    <w:rsid w:val="006B7641"/>
    <w:rsid w:val="006C0B7F"/>
    <w:rsid w:val="006C1155"/>
    <w:rsid w:val="006C70A5"/>
    <w:rsid w:val="006C7984"/>
    <w:rsid w:val="006D3178"/>
    <w:rsid w:val="006D3F6E"/>
    <w:rsid w:val="006D4AB0"/>
    <w:rsid w:val="006D52D7"/>
    <w:rsid w:val="006D573C"/>
    <w:rsid w:val="006E00E3"/>
    <w:rsid w:val="006E25F1"/>
    <w:rsid w:val="006E722C"/>
    <w:rsid w:val="006F1C07"/>
    <w:rsid w:val="006F2060"/>
    <w:rsid w:val="00706651"/>
    <w:rsid w:val="00707EA6"/>
    <w:rsid w:val="00710A40"/>
    <w:rsid w:val="00710AA5"/>
    <w:rsid w:val="00710CC9"/>
    <w:rsid w:val="00710E8C"/>
    <w:rsid w:val="007122EE"/>
    <w:rsid w:val="00713C1C"/>
    <w:rsid w:val="00714CA7"/>
    <w:rsid w:val="00714FEC"/>
    <w:rsid w:val="007151DA"/>
    <w:rsid w:val="00716FF5"/>
    <w:rsid w:val="00721734"/>
    <w:rsid w:val="00722674"/>
    <w:rsid w:val="00723F81"/>
    <w:rsid w:val="0072630E"/>
    <w:rsid w:val="00727878"/>
    <w:rsid w:val="00727B82"/>
    <w:rsid w:val="007300F4"/>
    <w:rsid w:val="007303AE"/>
    <w:rsid w:val="0073065D"/>
    <w:rsid w:val="00730BD4"/>
    <w:rsid w:val="007329FE"/>
    <w:rsid w:val="007345BD"/>
    <w:rsid w:val="00734887"/>
    <w:rsid w:val="00737D60"/>
    <w:rsid w:val="00740B18"/>
    <w:rsid w:val="0074151E"/>
    <w:rsid w:val="007416A7"/>
    <w:rsid w:val="00741D0B"/>
    <w:rsid w:val="00742F1D"/>
    <w:rsid w:val="00746BBA"/>
    <w:rsid w:val="00750B0D"/>
    <w:rsid w:val="007523B5"/>
    <w:rsid w:val="00753808"/>
    <w:rsid w:val="00753A14"/>
    <w:rsid w:val="00754874"/>
    <w:rsid w:val="00755D59"/>
    <w:rsid w:val="00756F29"/>
    <w:rsid w:val="00757637"/>
    <w:rsid w:val="00762F78"/>
    <w:rsid w:val="00767ACB"/>
    <w:rsid w:val="00772647"/>
    <w:rsid w:val="00776B7D"/>
    <w:rsid w:val="00776F99"/>
    <w:rsid w:val="00777B14"/>
    <w:rsid w:val="00780182"/>
    <w:rsid w:val="00781173"/>
    <w:rsid w:val="007846FB"/>
    <w:rsid w:val="00785238"/>
    <w:rsid w:val="007906FF"/>
    <w:rsid w:val="00792FB2"/>
    <w:rsid w:val="0079310C"/>
    <w:rsid w:val="00796296"/>
    <w:rsid w:val="00797054"/>
    <w:rsid w:val="007A29C4"/>
    <w:rsid w:val="007A4C1B"/>
    <w:rsid w:val="007A55EB"/>
    <w:rsid w:val="007A7624"/>
    <w:rsid w:val="007B17B2"/>
    <w:rsid w:val="007B2A91"/>
    <w:rsid w:val="007C03CD"/>
    <w:rsid w:val="007C1D92"/>
    <w:rsid w:val="007C2E05"/>
    <w:rsid w:val="007C6652"/>
    <w:rsid w:val="007D045D"/>
    <w:rsid w:val="007D116D"/>
    <w:rsid w:val="007D1624"/>
    <w:rsid w:val="007D3DA5"/>
    <w:rsid w:val="007D6424"/>
    <w:rsid w:val="007E0F81"/>
    <w:rsid w:val="007E19A4"/>
    <w:rsid w:val="007E3D2A"/>
    <w:rsid w:val="007E4C68"/>
    <w:rsid w:val="007E5DBB"/>
    <w:rsid w:val="007E7931"/>
    <w:rsid w:val="007F0FF5"/>
    <w:rsid w:val="007F1065"/>
    <w:rsid w:val="007F2366"/>
    <w:rsid w:val="007F3FC8"/>
    <w:rsid w:val="007F5E12"/>
    <w:rsid w:val="007F6B13"/>
    <w:rsid w:val="00800C2F"/>
    <w:rsid w:val="00802D97"/>
    <w:rsid w:val="00805515"/>
    <w:rsid w:val="008066F5"/>
    <w:rsid w:val="00806F56"/>
    <w:rsid w:val="00813ABE"/>
    <w:rsid w:val="00814382"/>
    <w:rsid w:val="00814509"/>
    <w:rsid w:val="00814A5F"/>
    <w:rsid w:val="00814CDD"/>
    <w:rsid w:val="00815B14"/>
    <w:rsid w:val="0082299C"/>
    <w:rsid w:val="008236A2"/>
    <w:rsid w:val="00823BE2"/>
    <w:rsid w:val="0082529D"/>
    <w:rsid w:val="00826B48"/>
    <w:rsid w:val="008303C3"/>
    <w:rsid w:val="008305A2"/>
    <w:rsid w:val="008311C2"/>
    <w:rsid w:val="008317B1"/>
    <w:rsid w:val="00832866"/>
    <w:rsid w:val="008335CF"/>
    <w:rsid w:val="0084116A"/>
    <w:rsid w:val="00842BBD"/>
    <w:rsid w:val="00845F8D"/>
    <w:rsid w:val="008472C7"/>
    <w:rsid w:val="008512E5"/>
    <w:rsid w:val="00852435"/>
    <w:rsid w:val="00855738"/>
    <w:rsid w:val="00855EAB"/>
    <w:rsid w:val="00857FA2"/>
    <w:rsid w:val="008615F0"/>
    <w:rsid w:val="00863EC4"/>
    <w:rsid w:val="00865B9E"/>
    <w:rsid w:val="00865C85"/>
    <w:rsid w:val="008669FD"/>
    <w:rsid w:val="00866F9B"/>
    <w:rsid w:val="00867934"/>
    <w:rsid w:val="008679FD"/>
    <w:rsid w:val="008734D2"/>
    <w:rsid w:val="00875414"/>
    <w:rsid w:val="00880F80"/>
    <w:rsid w:val="00881C65"/>
    <w:rsid w:val="0088388B"/>
    <w:rsid w:val="00884535"/>
    <w:rsid w:val="00885284"/>
    <w:rsid w:val="00885738"/>
    <w:rsid w:val="00885B81"/>
    <w:rsid w:val="00885CC8"/>
    <w:rsid w:val="008943B6"/>
    <w:rsid w:val="00897F2E"/>
    <w:rsid w:val="008A02E2"/>
    <w:rsid w:val="008A0E11"/>
    <w:rsid w:val="008A514E"/>
    <w:rsid w:val="008A6BDB"/>
    <w:rsid w:val="008B374E"/>
    <w:rsid w:val="008B5B34"/>
    <w:rsid w:val="008C0779"/>
    <w:rsid w:val="008C2440"/>
    <w:rsid w:val="008C343F"/>
    <w:rsid w:val="008C3DAF"/>
    <w:rsid w:val="008C4930"/>
    <w:rsid w:val="008C5A9F"/>
    <w:rsid w:val="008D27EA"/>
    <w:rsid w:val="008D2ADF"/>
    <w:rsid w:val="008D2E91"/>
    <w:rsid w:val="008D672E"/>
    <w:rsid w:val="008D68C2"/>
    <w:rsid w:val="008D6A07"/>
    <w:rsid w:val="008E0348"/>
    <w:rsid w:val="008E4109"/>
    <w:rsid w:val="008E4804"/>
    <w:rsid w:val="008E495A"/>
    <w:rsid w:val="008E4D93"/>
    <w:rsid w:val="008E4EC7"/>
    <w:rsid w:val="008E7529"/>
    <w:rsid w:val="008F2FD1"/>
    <w:rsid w:val="008F309F"/>
    <w:rsid w:val="008F4EAC"/>
    <w:rsid w:val="008F6B91"/>
    <w:rsid w:val="00901C28"/>
    <w:rsid w:val="00903CC4"/>
    <w:rsid w:val="00904E54"/>
    <w:rsid w:val="009063E1"/>
    <w:rsid w:val="009077AF"/>
    <w:rsid w:val="00907BC6"/>
    <w:rsid w:val="00910892"/>
    <w:rsid w:val="00911DAB"/>
    <w:rsid w:val="00914DBC"/>
    <w:rsid w:val="00915605"/>
    <w:rsid w:val="0091598C"/>
    <w:rsid w:val="00915D10"/>
    <w:rsid w:val="00915FDD"/>
    <w:rsid w:val="00916C11"/>
    <w:rsid w:val="00917C57"/>
    <w:rsid w:val="00920446"/>
    <w:rsid w:val="009240AA"/>
    <w:rsid w:val="00924753"/>
    <w:rsid w:val="00925BCA"/>
    <w:rsid w:val="00930021"/>
    <w:rsid w:val="009440F5"/>
    <w:rsid w:val="00944845"/>
    <w:rsid w:val="00945131"/>
    <w:rsid w:val="00945909"/>
    <w:rsid w:val="00951169"/>
    <w:rsid w:val="00951813"/>
    <w:rsid w:val="009539E2"/>
    <w:rsid w:val="00956E28"/>
    <w:rsid w:val="00967DC1"/>
    <w:rsid w:val="0097156D"/>
    <w:rsid w:val="00973F30"/>
    <w:rsid w:val="0097793F"/>
    <w:rsid w:val="00982003"/>
    <w:rsid w:val="00982DAC"/>
    <w:rsid w:val="0098600E"/>
    <w:rsid w:val="00990E54"/>
    <w:rsid w:val="00997890"/>
    <w:rsid w:val="00997AB0"/>
    <w:rsid w:val="009A0161"/>
    <w:rsid w:val="009A1CA1"/>
    <w:rsid w:val="009A4C98"/>
    <w:rsid w:val="009A51DE"/>
    <w:rsid w:val="009B3FC0"/>
    <w:rsid w:val="009B5917"/>
    <w:rsid w:val="009C3440"/>
    <w:rsid w:val="009C46C4"/>
    <w:rsid w:val="009C5F8C"/>
    <w:rsid w:val="009C72A8"/>
    <w:rsid w:val="009D16F7"/>
    <w:rsid w:val="009D18C9"/>
    <w:rsid w:val="009D2643"/>
    <w:rsid w:val="009D2771"/>
    <w:rsid w:val="009D7FB5"/>
    <w:rsid w:val="009E102D"/>
    <w:rsid w:val="009E68A4"/>
    <w:rsid w:val="009F1023"/>
    <w:rsid w:val="009F3B43"/>
    <w:rsid w:val="009F3F5D"/>
    <w:rsid w:val="009F4575"/>
    <w:rsid w:val="009F7674"/>
    <w:rsid w:val="00A02252"/>
    <w:rsid w:val="00A0309F"/>
    <w:rsid w:val="00A042F9"/>
    <w:rsid w:val="00A06164"/>
    <w:rsid w:val="00A06731"/>
    <w:rsid w:val="00A117C4"/>
    <w:rsid w:val="00A15753"/>
    <w:rsid w:val="00A20029"/>
    <w:rsid w:val="00A20349"/>
    <w:rsid w:val="00A21C73"/>
    <w:rsid w:val="00A22FC6"/>
    <w:rsid w:val="00A2359B"/>
    <w:rsid w:val="00A245D4"/>
    <w:rsid w:val="00A2522D"/>
    <w:rsid w:val="00A257EE"/>
    <w:rsid w:val="00A25819"/>
    <w:rsid w:val="00A268BC"/>
    <w:rsid w:val="00A272D1"/>
    <w:rsid w:val="00A328EA"/>
    <w:rsid w:val="00A35D43"/>
    <w:rsid w:val="00A40652"/>
    <w:rsid w:val="00A41C9B"/>
    <w:rsid w:val="00A43264"/>
    <w:rsid w:val="00A50508"/>
    <w:rsid w:val="00A51E5B"/>
    <w:rsid w:val="00A525F5"/>
    <w:rsid w:val="00A53005"/>
    <w:rsid w:val="00A53A6F"/>
    <w:rsid w:val="00A6065B"/>
    <w:rsid w:val="00A62F56"/>
    <w:rsid w:val="00A63813"/>
    <w:rsid w:val="00A65C17"/>
    <w:rsid w:val="00A66D8E"/>
    <w:rsid w:val="00A66EDA"/>
    <w:rsid w:val="00A7013F"/>
    <w:rsid w:val="00A71ED1"/>
    <w:rsid w:val="00A73581"/>
    <w:rsid w:val="00A7462F"/>
    <w:rsid w:val="00A80232"/>
    <w:rsid w:val="00A867F5"/>
    <w:rsid w:val="00A918F5"/>
    <w:rsid w:val="00A921CA"/>
    <w:rsid w:val="00A956BE"/>
    <w:rsid w:val="00A97734"/>
    <w:rsid w:val="00AA12EC"/>
    <w:rsid w:val="00AA3F3B"/>
    <w:rsid w:val="00AB07A9"/>
    <w:rsid w:val="00AB3AC4"/>
    <w:rsid w:val="00AB50BE"/>
    <w:rsid w:val="00AB559F"/>
    <w:rsid w:val="00AC2E1A"/>
    <w:rsid w:val="00AC3CB5"/>
    <w:rsid w:val="00AD1700"/>
    <w:rsid w:val="00AD1998"/>
    <w:rsid w:val="00AD1E5B"/>
    <w:rsid w:val="00AD2A0B"/>
    <w:rsid w:val="00AD2D15"/>
    <w:rsid w:val="00AD458A"/>
    <w:rsid w:val="00AD6C7C"/>
    <w:rsid w:val="00AD71F6"/>
    <w:rsid w:val="00AE5548"/>
    <w:rsid w:val="00AE5872"/>
    <w:rsid w:val="00AE7B3E"/>
    <w:rsid w:val="00AF48E1"/>
    <w:rsid w:val="00AF7F91"/>
    <w:rsid w:val="00B01D96"/>
    <w:rsid w:val="00B0646E"/>
    <w:rsid w:val="00B10378"/>
    <w:rsid w:val="00B12D43"/>
    <w:rsid w:val="00B15E26"/>
    <w:rsid w:val="00B1635A"/>
    <w:rsid w:val="00B166A7"/>
    <w:rsid w:val="00B16A70"/>
    <w:rsid w:val="00B209D4"/>
    <w:rsid w:val="00B2553C"/>
    <w:rsid w:val="00B30C80"/>
    <w:rsid w:val="00B31A04"/>
    <w:rsid w:val="00B31F67"/>
    <w:rsid w:val="00B3373C"/>
    <w:rsid w:val="00B33E3C"/>
    <w:rsid w:val="00B34D11"/>
    <w:rsid w:val="00B35BCA"/>
    <w:rsid w:val="00B365A2"/>
    <w:rsid w:val="00B37786"/>
    <w:rsid w:val="00B37BE2"/>
    <w:rsid w:val="00B37EA8"/>
    <w:rsid w:val="00B41E7D"/>
    <w:rsid w:val="00B51380"/>
    <w:rsid w:val="00B554C7"/>
    <w:rsid w:val="00B568E3"/>
    <w:rsid w:val="00B60760"/>
    <w:rsid w:val="00B632AE"/>
    <w:rsid w:val="00B64BDD"/>
    <w:rsid w:val="00B67FF9"/>
    <w:rsid w:val="00B71E96"/>
    <w:rsid w:val="00B7262B"/>
    <w:rsid w:val="00B72906"/>
    <w:rsid w:val="00B734EE"/>
    <w:rsid w:val="00B738AC"/>
    <w:rsid w:val="00B7742F"/>
    <w:rsid w:val="00B85FA1"/>
    <w:rsid w:val="00B86B2F"/>
    <w:rsid w:val="00B90937"/>
    <w:rsid w:val="00B91188"/>
    <w:rsid w:val="00B95751"/>
    <w:rsid w:val="00B96BD8"/>
    <w:rsid w:val="00BA4315"/>
    <w:rsid w:val="00BA5001"/>
    <w:rsid w:val="00BA54B3"/>
    <w:rsid w:val="00BA6EDB"/>
    <w:rsid w:val="00BA7F6B"/>
    <w:rsid w:val="00BC1E78"/>
    <w:rsid w:val="00BC1F16"/>
    <w:rsid w:val="00BC2C78"/>
    <w:rsid w:val="00BC3AB4"/>
    <w:rsid w:val="00BC3F14"/>
    <w:rsid w:val="00BC4482"/>
    <w:rsid w:val="00BD16D0"/>
    <w:rsid w:val="00BD3BE5"/>
    <w:rsid w:val="00BD3C25"/>
    <w:rsid w:val="00BD4881"/>
    <w:rsid w:val="00BD7CC4"/>
    <w:rsid w:val="00BE0963"/>
    <w:rsid w:val="00BE1901"/>
    <w:rsid w:val="00BE20F4"/>
    <w:rsid w:val="00BE2114"/>
    <w:rsid w:val="00BE4819"/>
    <w:rsid w:val="00BE5DC3"/>
    <w:rsid w:val="00BE6EE3"/>
    <w:rsid w:val="00BE7D1A"/>
    <w:rsid w:val="00BF490E"/>
    <w:rsid w:val="00BF4D32"/>
    <w:rsid w:val="00BF7485"/>
    <w:rsid w:val="00BF7645"/>
    <w:rsid w:val="00C007B9"/>
    <w:rsid w:val="00C021D6"/>
    <w:rsid w:val="00C0256F"/>
    <w:rsid w:val="00C0355D"/>
    <w:rsid w:val="00C067E3"/>
    <w:rsid w:val="00C1211D"/>
    <w:rsid w:val="00C137F7"/>
    <w:rsid w:val="00C154A7"/>
    <w:rsid w:val="00C16158"/>
    <w:rsid w:val="00C16230"/>
    <w:rsid w:val="00C164CD"/>
    <w:rsid w:val="00C167C3"/>
    <w:rsid w:val="00C17366"/>
    <w:rsid w:val="00C21461"/>
    <w:rsid w:val="00C30263"/>
    <w:rsid w:val="00C31EFA"/>
    <w:rsid w:val="00C36BA8"/>
    <w:rsid w:val="00C36BC5"/>
    <w:rsid w:val="00C37E23"/>
    <w:rsid w:val="00C4019F"/>
    <w:rsid w:val="00C42920"/>
    <w:rsid w:val="00C450AA"/>
    <w:rsid w:val="00C4788C"/>
    <w:rsid w:val="00C50E3D"/>
    <w:rsid w:val="00C5134A"/>
    <w:rsid w:val="00C53319"/>
    <w:rsid w:val="00C54958"/>
    <w:rsid w:val="00C54EF4"/>
    <w:rsid w:val="00C57777"/>
    <w:rsid w:val="00C61758"/>
    <w:rsid w:val="00C6226E"/>
    <w:rsid w:val="00C64A67"/>
    <w:rsid w:val="00C67DF1"/>
    <w:rsid w:val="00C73F6A"/>
    <w:rsid w:val="00C80105"/>
    <w:rsid w:val="00C82028"/>
    <w:rsid w:val="00C823E0"/>
    <w:rsid w:val="00C83FEC"/>
    <w:rsid w:val="00C84CA3"/>
    <w:rsid w:val="00C93831"/>
    <w:rsid w:val="00C93D67"/>
    <w:rsid w:val="00C9740E"/>
    <w:rsid w:val="00C977A1"/>
    <w:rsid w:val="00CA26E4"/>
    <w:rsid w:val="00CA2D82"/>
    <w:rsid w:val="00CB0C61"/>
    <w:rsid w:val="00CB1D38"/>
    <w:rsid w:val="00CB26D9"/>
    <w:rsid w:val="00CB2D0B"/>
    <w:rsid w:val="00CB4420"/>
    <w:rsid w:val="00CB5B3C"/>
    <w:rsid w:val="00CB6BC8"/>
    <w:rsid w:val="00CC181F"/>
    <w:rsid w:val="00CC189F"/>
    <w:rsid w:val="00CC6D42"/>
    <w:rsid w:val="00CC7E4A"/>
    <w:rsid w:val="00CD0B6B"/>
    <w:rsid w:val="00CD2459"/>
    <w:rsid w:val="00CD7253"/>
    <w:rsid w:val="00CD7C7B"/>
    <w:rsid w:val="00CE00E2"/>
    <w:rsid w:val="00CE0F96"/>
    <w:rsid w:val="00CE489A"/>
    <w:rsid w:val="00CE4E33"/>
    <w:rsid w:val="00CE5238"/>
    <w:rsid w:val="00CE6A06"/>
    <w:rsid w:val="00CE6A7C"/>
    <w:rsid w:val="00CF33EF"/>
    <w:rsid w:val="00CF36E7"/>
    <w:rsid w:val="00CF553D"/>
    <w:rsid w:val="00CF78DD"/>
    <w:rsid w:val="00D00E4F"/>
    <w:rsid w:val="00D04F6C"/>
    <w:rsid w:val="00D06A7A"/>
    <w:rsid w:val="00D06D8B"/>
    <w:rsid w:val="00D1006E"/>
    <w:rsid w:val="00D13BBD"/>
    <w:rsid w:val="00D14B4F"/>
    <w:rsid w:val="00D155B8"/>
    <w:rsid w:val="00D15F6D"/>
    <w:rsid w:val="00D220A5"/>
    <w:rsid w:val="00D231AA"/>
    <w:rsid w:val="00D308DA"/>
    <w:rsid w:val="00D31523"/>
    <w:rsid w:val="00D43F5C"/>
    <w:rsid w:val="00D451F3"/>
    <w:rsid w:val="00D46ABB"/>
    <w:rsid w:val="00D47032"/>
    <w:rsid w:val="00D53266"/>
    <w:rsid w:val="00D536AF"/>
    <w:rsid w:val="00D55330"/>
    <w:rsid w:val="00D55DC4"/>
    <w:rsid w:val="00D64EAB"/>
    <w:rsid w:val="00D67809"/>
    <w:rsid w:val="00D71FD5"/>
    <w:rsid w:val="00D734F3"/>
    <w:rsid w:val="00D74AFE"/>
    <w:rsid w:val="00D76ED6"/>
    <w:rsid w:val="00D775EE"/>
    <w:rsid w:val="00D83B6D"/>
    <w:rsid w:val="00D8593E"/>
    <w:rsid w:val="00D86DD2"/>
    <w:rsid w:val="00D874E4"/>
    <w:rsid w:val="00D95CD6"/>
    <w:rsid w:val="00D95ED3"/>
    <w:rsid w:val="00D960CB"/>
    <w:rsid w:val="00D96AD9"/>
    <w:rsid w:val="00D97598"/>
    <w:rsid w:val="00DA10A1"/>
    <w:rsid w:val="00DA4319"/>
    <w:rsid w:val="00DA4B81"/>
    <w:rsid w:val="00DA5B95"/>
    <w:rsid w:val="00DA622D"/>
    <w:rsid w:val="00DA63A6"/>
    <w:rsid w:val="00DA77FD"/>
    <w:rsid w:val="00DA79ED"/>
    <w:rsid w:val="00DB090C"/>
    <w:rsid w:val="00DB22A0"/>
    <w:rsid w:val="00DB6D7D"/>
    <w:rsid w:val="00DC2506"/>
    <w:rsid w:val="00DC2BE1"/>
    <w:rsid w:val="00DC3EA2"/>
    <w:rsid w:val="00DC3F24"/>
    <w:rsid w:val="00DC566A"/>
    <w:rsid w:val="00DC5B02"/>
    <w:rsid w:val="00DD2950"/>
    <w:rsid w:val="00DD4F3E"/>
    <w:rsid w:val="00DD6D3A"/>
    <w:rsid w:val="00DD7A3A"/>
    <w:rsid w:val="00DE0255"/>
    <w:rsid w:val="00DE4176"/>
    <w:rsid w:val="00DE5D91"/>
    <w:rsid w:val="00DE69D1"/>
    <w:rsid w:val="00DF1F3F"/>
    <w:rsid w:val="00DF45ED"/>
    <w:rsid w:val="00DF67EF"/>
    <w:rsid w:val="00E002C3"/>
    <w:rsid w:val="00E01E1C"/>
    <w:rsid w:val="00E02D2E"/>
    <w:rsid w:val="00E04BA6"/>
    <w:rsid w:val="00E05D6F"/>
    <w:rsid w:val="00E1000E"/>
    <w:rsid w:val="00E10B9E"/>
    <w:rsid w:val="00E10C12"/>
    <w:rsid w:val="00E14DD6"/>
    <w:rsid w:val="00E17CCC"/>
    <w:rsid w:val="00E207BC"/>
    <w:rsid w:val="00E21993"/>
    <w:rsid w:val="00E219F0"/>
    <w:rsid w:val="00E22550"/>
    <w:rsid w:val="00E24BEF"/>
    <w:rsid w:val="00E262E5"/>
    <w:rsid w:val="00E30E2E"/>
    <w:rsid w:val="00E33854"/>
    <w:rsid w:val="00E358D5"/>
    <w:rsid w:val="00E36A99"/>
    <w:rsid w:val="00E36C4E"/>
    <w:rsid w:val="00E379FD"/>
    <w:rsid w:val="00E414A5"/>
    <w:rsid w:val="00E41FDC"/>
    <w:rsid w:val="00E435CC"/>
    <w:rsid w:val="00E44B20"/>
    <w:rsid w:val="00E44BD3"/>
    <w:rsid w:val="00E461EF"/>
    <w:rsid w:val="00E46841"/>
    <w:rsid w:val="00E516B0"/>
    <w:rsid w:val="00E5191D"/>
    <w:rsid w:val="00E56963"/>
    <w:rsid w:val="00E700F2"/>
    <w:rsid w:val="00E73DD2"/>
    <w:rsid w:val="00E7643B"/>
    <w:rsid w:val="00E76A4B"/>
    <w:rsid w:val="00E77232"/>
    <w:rsid w:val="00E8165D"/>
    <w:rsid w:val="00E837ED"/>
    <w:rsid w:val="00E84325"/>
    <w:rsid w:val="00E86CF0"/>
    <w:rsid w:val="00E87356"/>
    <w:rsid w:val="00E87D7A"/>
    <w:rsid w:val="00E87F5F"/>
    <w:rsid w:val="00E9112A"/>
    <w:rsid w:val="00E91E6E"/>
    <w:rsid w:val="00E93CBF"/>
    <w:rsid w:val="00E95315"/>
    <w:rsid w:val="00E96A43"/>
    <w:rsid w:val="00EA6634"/>
    <w:rsid w:val="00EA67A0"/>
    <w:rsid w:val="00EA79B8"/>
    <w:rsid w:val="00EA7A80"/>
    <w:rsid w:val="00EB2D9B"/>
    <w:rsid w:val="00EB7852"/>
    <w:rsid w:val="00EC2A02"/>
    <w:rsid w:val="00EC5BF9"/>
    <w:rsid w:val="00EC66EF"/>
    <w:rsid w:val="00ED663D"/>
    <w:rsid w:val="00EE114C"/>
    <w:rsid w:val="00EE2500"/>
    <w:rsid w:val="00EE5C01"/>
    <w:rsid w:val="00EF321B"/>
    <w:rsid w:val="00EF4DF5"/>
    <w:rsid w:val="00EF6631"/>
    <w:rsid w:val="00F00EAA"/>
    <w:rsid w:val="00F02654"/>
    <w:rsid w:val="00F04035"/>
    <w:rsid w:val="00F070EC"/>
    <w:rsid w:val="00F124A1"/>
    <w:rsid w:val="00F148F0"/>
    <w:rsid w:val="00F15448"/>
    <w:rsid w:val="00F16731"/>
    <w:rsid w:val="00F17DA6"/>
    <w:rsid w:val="00F2661E"/>
    <w:rsid w:val="00F3056C"/>
    <w:rsid w:val="00F34C56"/>
    <w:rsid w:val="00F34C7D"/>
    <w:rsid w:val="00F37AB9"/>
    <w:rsid w:val="00F426CE"/>
    <w:rsid w:val="00F4388F"/>
    <w:rsid w:val="00F43ECA"/>
    <w:rsid w:val="00F440F3"/>
    <w:rsid w:val="00F44D36"/>
    <w:rsid w:val="00F467EF"/>
    <w:rsid w:val="00F4718B"/>
    <w:rsid w:val="00F5100D"/>
    <w:rsid w:val="00F5314A"/>
    <w:rsid w:val="00F5414D"/>
    <w:rsid w:val="00F5680C"/>
    <w:rsid w:val="00F57C83"/>
    <w:rsid w:val="00F60C71"/>
    <w:rsid w:val="00F62389"/>
    <w:rsid w:val="00F636D3"/>
    <w:rsid w:val="00F70DDD"/>
    <w:rsid w:val="00F71EE9"/>
    <w:rsid w:val="00F759CF"/>
    <w:rsid w:val="00F75C0F"/>
    <w:rsid w:val="00F75DC0"/>
    <w:rsid w:val="00F77B86"/>
    <w:rsid w:val="00F80407"/>
    <w:rsid w:val="00F809E6"/>
    <w:rsid w:val="00F847B8"/>
    <w:rsid w:val="00F84939"/>
    <w:rsid w:val="00F87148"/>
    <w:rsid w:val="00F91835"/>
    <w:rsid w:val="00F924A1"/>
    <w:rsid w:val="00FA03DA"/>
    <w:rsid w:val="00FA0446"/>
    <w:rsid w:val="00FA1566"/>
    <w:rsid w:val="00FA27F8"/>
    <w:rsid w:val="00FA39D1"/>
    <w:rsid w:val="00FB074C"/>
    <w:rsid w:val="00FB110E"/>
    <w:rsid w:val="00FB4269"/>
    <w:rsid w:val="00FB49CF"/>
    <w:rsid w:val="00FB5243"/>
    <w:rsid w:val="00FB606A"/>
    <w:rsid w:val="00FC1147"/>
    <w:rsid w:val="00FC44E3"/>
    <w:rsid w:val="00FC45C6"/>
    <w:rsid w:val="00FC5FE0"/>
    <w:rsid w:val="00FD0C6B"/>
    <w:rsid w:val="00FD30A3"/>
    <w:rsid w:val="00FE082A"/>
    <w:rsid w:val="00FE12DF"/>
    <w:rsid w:val="00FE4290"/>
    <w:rsid w:val="00FE6A1B"/>
    <w:rsid w:val="00FE76A5"/>
    <w:rsid w:val="00FE78F8"/>
    <w:rsid w:val="00FF0382"/>
    <w:rsid w:val="00FF1498"/>
    <w:rsid w:val="00FF2E6F"/>
    <w:rsid w:val="00FF3125"/>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069B1"/>
  <w15:chartTrackingRefBased/>
  <w15:docId w15:val="{59F26681-B679-4E4B-8720-F9889B868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E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5F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6A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E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5F8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45F8D"/>
    <w:pPr>
      <w:ind w:left="720"/>
      <w:contextualSpacing/>
    </w:pPr>
  </w:style>
  <w:style w:type="character" w:customStyle="1" w:styleId="no-wrap">
    <w:name w:val="no-wrap"/>
    <w:basedOn w:val="DefaultParagraphFont"/>
    <w:rsid w:val="00845F8D"/>
  </w:style>
  <w:style w:type="paragraph" w:styleId="FootnoteText">
    <w:name w:val="footnote text"/>
    <w:basedOn w:val="Normal"/>
    <w:link w:val="FootnoteTextChar"/>
    <w:uiPriority w:val="99"/>
    <w:semiHidden/>
    <w:unhideWhenUsed/>
    <w:rsid w:val="00A977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7734"/>
    <w:rPr>
      <w:sz w:val="20"/>
      <w:szCs w:val="20"/>
    </w:rPr>
  </w:style>
  <w:style w:type="character" w:styleId="FootnoteReference">
    <w:name w:val="footnote reference"/>
    <w:basedOn w:val="DefaultParagraphFont"/>
    <w:uiPriority w:val="99"/>
    <w:semiHidden/>
    <w:unhideWhenUsed/>
    <w:rsid w:val="00A97734"/>
    <w:rPr>
      <w:vertAlign w:val="superscript"/>
    </w:rPr>
  </w:style>
  <w:style w:type="paragraph" w:styleId="BalloonText">
    <w:name w:val="Balloon Text"/>
    <w:basedOn w:val="Normal"/>
    <w:link w:val="BalloonTextChar"/>
    <w:uiPriority w:val="99"/>
    <w:semiHidden/>
    <w:unhideWhenUsed/>
    <w:rsid w:val="00DE02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0255"/>
    <w:rPr>
      <w:rFonts w:ascii="Segoe UI" w:hAnsi="Segoe UI" w:cs="Segoe UI"/>
      <w:sz w:val="18"/>
      <w:szCs w:val="18"/>
    </w:rPr>
  </w:style>
  <w:style w:type="paragraph" w:customStyle="1" w:styleId="Pa87">
    <w:name w:val="Pa8_7"/>
    <w:basedOn w:val="Normal"/>
    <w:next w:val="Normal"/>
    <w:uiPriority w:val="99"/>
    <w:rsid w:val="00914DBC"/>
    <w:pPr>
      <w:autoSpaceDE w:val="0"/>
      <w:autoSpaceDN w:val="0"/>
      <w:adjustRightInd w:val="0"/>
      <w:spacing w:after="0" w:line="171" w:lineRule="atLeast"/>
    </w:pPr>
    <w:rPr>
      <w:rFonts w:ascii="Akzidenz-Grotesk GSK Regular" w:hAnsi="Akzidenz-Grotesk GSK Regular"/>
      <w:sz w:val="24"/>
      <w:szCs w:val="24"/>
    </w:rPr>
  </w:style>
  <w:style w:type="character" w:styleId="Strong">
    <w:name w:val="Strong"/>
    <w:basedOn w:val="DefaultParagraphFont"/>
    <w:uiPriority w:val="22"/>
    <w:qFormat/>
    <w:rsid w:val="00171A90"/>
    <w:rPr>
      <w:b/>
      <w:bCs/>
    </w:rPr>
  </w:style>
  <w:style w:type="character" w:styleId="Hyperlink">
    <w:name w:val="Hyperlink"/>
    <w:basedOn w:val="DefaultParagraphFont"/>
    <w:uiPriority w:val="99"/>
    <w:unhideWhenUsed/>
    <w:rsid w:val="00E24BEF"/>
    <w:rPr>
      <w:color w:val="0563C1" w:themeColor="hyperlink"/>
      <w:u w:val="single"/>
    </w:rPr>
  </w:style>
  <w:style w:type="character" w:styleId="UnresolvedMention">
    <w:name w:val="Unresolved Mention"/>
    <w:basedOn w:val="DefaultParagraphFont"/>
    <w:uiPriority w:val="99"/>
    <w:semiHidden/>
    <w:unhideWhenUsed/>
    <w:rsid w:val="00E24BEF"/>
    <w:rPr>
      <w:color w:val="605E5C"/>
      <w:shd w:val="clear" w:color="auto" w:fill="E1DFDD"/>
    </w:rPr>
  </w:style>
  <w:style w:type="paragraph" w:styleId="Header">
    <w:name w:val="header"/>
    <w:basedOn w:val="Normal"/>
    <w:link w:val="HeaderChar"/>
    <w:uiPriority w:val="99"/>
    <w:semiHidden/>
    <w:unhideWhenUsed/>
    <w:rsid w:val="00DB090C"/>
    <w:pPr>
      <w:tabs>
        <w:tab w:val="center" w:pos="4819"/>
        <w:tab w:val="right" w:pos="9638"/>
      </w:tabs>
      <w:spacing w:after="0" w:line="240" w:lineRule="auto"/>
    </w:pPr>
  </w:style>
  <w:style w:type="character" w:customStyle="1" w:styleId="HeaderChar">
    <w:name w:val="Header Char"/>
    <w:basedOn w:val="DefaultParagraphFont"/>
    <w:link w:val="Header"/>
    <w:uiPriority w:val="99"/>
    <w:semiHidden/>
    <w:rsid w:val="00DB090C"/>
  </w:style>
  <w:style w:type="paragraph" w:styleId="Footer">
    <w:name w:val="footer"/>
    <w:basedOn w:val="Normal"/>
    <w:link w:val="FooterChar"/>
    <w:uiPriority w:val="99"/>
    <w:semiHidden/>
    <w:unhideWhenUsed/>
    <w:rsid w:val="00DB090C"/>
    <w:pPr>
      <w:tabs>
        <w:tab w:val="center" w:pos="4819"/>
        <w:tab w:val="right" w:pos="9638"/>
      </w:tabs>
      <w:spacing w:after="0" w:line="240" w:lineRule="auto"/>
    </w:pPr>
  </w:style>
  <w:style w:type="character" w:customStyle="1" w:styleId="FooterChar">
    <w:name w:val="Footer Char"/>
    <w:basedOn w:val="DefaultParagraphFont"/>
    <w:link w:val="Footer"/>
    <w:uiPriority w:val="99"/>
    <w:semiHidden/>
    <w:rsid w:val="00DB090C"/>
  </w:style>
  <w:style w:type="character" w:customStyle="1" w:styleId="Heading3Char">
    <w:name w:val="Heading 3 Char"/>
    <w:basedOn w:val="DefaultParagraphFont"/>
    <w:link w:val="Heading3"/>
    <w:uiPriority w:val="9"/>
    <w:rsid w:val="00266A8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20029"/>
    <w:pPr>
      <w:outlineLvl w:val="9"/>
    </w:pPr>
    <w:rPr>
      <w:lang w:val="en-US"/>
    </w:rPr>
  </w:style>
  <w:style w:type="paragraph" w:styleId="TOC1">
    <w:name w:val="toc 1"/>
    <w:basedOn w:val="Normal"/>
    <w:next w:val="Normal"/>
    <w:autoRedefine/>
    <w:uiPriority w:val="39"/>
    <w:unhideWhenUsed/>
    <w:rsid w:val="00A20029"/>
    <w:pPr>
      <w:spacing w:after="100"/>
    </w:pPr>
  </w:style>
  <w:style w:type="paragraph" w:styleId="TOC2">
    <w:name w:val="toc 2"/>
    <w:basedOn w:val="Normal"/>
    <w:next w:val="Normal"/>
    <w:autoRedefine/>
    <w:uiPriority w:val="39"/>
    <w:unhideWhenUsed/>
    <w:rsid w:val="00A20029"/>
    <w:pPr>
      <w:spacing w:after="100"/>
      <w:ind w:left="220"/>
    </w:pPr>
  </w:style>
  <w:style w:type="paragraph" w:styleId="TOC3">
    <w:name w:val="toc 3"/>
    <w:basedOn w:val="Normal"/>
    <w:next w:val="Normal"/>
    <w:autoRedefine/>
    <w:uiPriority w:val="39"/>
    <w:unhideWhenUsed/>
    <w:rsid w:val="00A20029"/>
    <w:pPr>
      <w:spacing w:after="100"/>
      <w:ind w:left="440"/>
    </w:pPr>
  </w:style>
  <w:style w:type="character" w:customStyle="1" w:styleId="mntl-sc-block-headingtext">
    <w:name w:val="mntl-sc-block-heading__text"/>
    <w:basedOn w:val="DefaultParagraphFont"/>
    <w:rsid w:val="002846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906388">
      <w:bodyDiv w:val="1"/>
      <w:marLeft w:val="0"/>
      <w:marRight w:val="0"/>
      <w:marTop w:val="0"/>
      <w:marBottom w:val="0"/>
      <w:divBdr>
        <w:top w:val="none" w:sz="0" w:space="0" w:color="auto"/>
        <w:left w:val="none" w:sz="0" w:space="0" w:color="auto"/>
        <w:bottom w:val="none" w:sz="0" w:space="0" w:color="auto"/>
        <w:right w:val="none" w:sz="0" w:space="0" w:color="auto"/>
      </w:divBdr>
    </w:div>
    <w:div w:id="943147803">
      <w:bodyDiv w:val="1"/>
      <w:marLeft w:val="0"/>
      <w:marRight w:val="0"/>
      <w:marTop w:val="0"/>
      <w:marBottom w:val="0"/>
      <w:divBdr>
        <w:top w:val="none" w:sz="0" w:space="0" w:color="auto"/>
        <w:left w:val="none" w:sz="0" w:space="0" w:color="auto"/>
        <w:bottom w:val="none" w:sz="0" w:space="0" w:color="auto"/>
        <w:right w:val="none" w:sz="0" w:space="0" w:color="auto"/>
      </w:divBdr>
    </w:div>
    <w:div w:id="1507014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812409@student.uwtsd.ac.uk" TargetMode="External"/><Relationship Id="rId13" Type="http://schemas.openxmlformats.org/officeDocument/2006/relationships/hyperlink" Target="https://www.investopedia.com/terms/a/assetturnover.asp" TargetMode="External"/><Relationship Id="rId18" Type="http://schemas.openxmlformats.org/officeDocument/2006/relationships/hyperlink" Target="https://www.gsk.com/media/4751/annual-report.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gsk.com/media/3609/annual-report-2016.pdf" TargetMode="External"/><Relationship Id="rId2" Type="http://schemas.openxmlformats.org/officeDocument/2006/relationships/numbering" Target="numbering.xml"/><Relationship Id="rId16" Type="http://schemas.openxmlformats.org/officeDocument/2006/relationships/hyperlink" Target="https://www.gsk.com/media/4697/gsk-annual-report-2015.pdf" TargetMode="External"/><Relationship Id="rId20" Type="http://schemas.openxmlformats.org/officeDocument/2006/relationships/hyperlink" Target="https://www.investopedia.com/ask/answers/060115/how-much-drug-companys-spending-allocated-research-and-development-average.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www.gsk.com/media/2710/gsk-annual-report-2014-interactive.pdf" TargetMode="External"/><Relationship Id="rId10" Type="http://schemas.openxmlformats.org/officeDocument/2006/relationships/chart" Target="charts/chart2.xml"/><Relationship Id="rId19" Type="http://schemas.openxmlformats.org/officeDocument/2006/relationships/hyperlink" Target="https://www.gsk.com/media/5349/annual-report-2018.pdf"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astrazeneca.com/content/dam/az/Investor_Relations/annual-report-2018/PDF/AstraZeneca_AR_2018.pdf"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a:t>
            </a:r>
            <a:r>
              <a:rPr lang="en-GB" baseline="0"/>
              <a:t> ratios - GSK 2014-2018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Gross margin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Sheet1!$A$2:$A$6</c:f>
              <c:numCache>
                <c:formatCode>General</c:formatCode>
                <c:ptCount val="5"/>
                <c:pt idx="0">
                  <c:v>2014</c:v>
                </c:pt>
                <c:pt idx="1">
                  <c:v>2015</c:v>
                </c:pt>
                <c:pt idx="2">
                  <c:v>2016</c:v>
                </c:pt>
                <c:pt idx="3">
                  <c:v>2017</c:v>
                </c:pt>
                <c:pt idx="4">
                  <c:v>2018</c:v>
                </c:pt>
              </c:numCache>
            </c:numRef>
          </c:cat>
          <c:val>
            <c:numRef>
              <c:f>Sheet1!$B$2:$B$6</c:f>
              <c:numCache>
                <c:formatCode>General</c:formatCode>
                <c:ptCount val="5"/>
                <c:pt idx="0">
                  <c:v>68.17</c:v>
                </c:pt>
                <c:pt idx="1">
                  <c:v>62.99</c:v>
                </c:pt>
                <c:pt idx="2">
                  <c:v>66.69</c:v>
                </c:pt>
                <c:pt idx="3">
                  <c:v>65.739999999999995</c:v>
                </c:pt>
                <c:pt idx="4">
                  <c:v>66.77</c:v>
                </c:pt>
              </c:numCache>
            </c:numRef>
          </c:val>
          <c:smooth val="0"/>
          <c:extLst>
            <c:ext xmlns:c16="http://schemas.microsoft.com/office/drawing/2014/chart" uri="{C3380CC4-5D6E-409C-BE32-E72D297353CC}">
              <c16:uniqueId val="{00000000-6AFC-4E3C-A86B-87E8CE453A94}"/>
            </c:ext>
          </c:extLst>
        </c:ser>
        <c:ser>
          <c:idx val="1"/>
          <c:order val="1"/>
          <c:tx>
            <c:strRef>
              <c:f>Sheet1!$C$1</c:f>
              <c:strCache>
                <c:ptCount val="1"/>
                <c:pt idx="0">
                  <c:v>Operating margin</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Sheet1!$A$2:$A$6</c:f>
              <c:numCache>
                <c:formatCode>General</c:formatCode>
                <c:ptCount val="5"/>
                <c:pt idx="0">
                  <c:v>2014</c:v>
                </c:pt>
                <c:pt idx="1">
                  <c:v>2015</c:v>
                </c:pt>
                <c:pt idx="2">
                  <c:v>2016</c:v>
                </c:pt>
                <c:pt idx="3">
                  <c:v>2017</c:v>
                </c:pt>
                <c:pt idx="4">
                  <c:v>2018</c:v>
                </c:pt>
              </c:numCache>
            </c:numRef>
          </c:cat>
          <c:val>
            <c:numRef>
              <c:f>Sheet1!$C$2:$C$6</c:f>
              <c:numCache>
                <c:formatCode>General</c:formatCode>
                <c:ptCount val="5"/>
                <c:pt idx="0">
                  <c:v>15.63</c:v>
                </c:pt>
                <c:pt idx="1">
                  <c:v>43.15</c:v>
                </c:pt>
                <c:pt idx="2">
                  <c:v>9.31</c:v>
                </c:pt>
                <c:pt idx="3">
                  <c:v>13.54</c:v>
                </c:pt>
                <c:pt idx="4">
                  <c:v>17.79</c:v>
                </c:pt>
              </c:numCache>
            </c:numRef>
          </c:val>
          <c:smooth val="0"/>
          <c:extLst>
            <c:ext xmlns:c16="http://schemas.microsoft.com/office/drawing/2014/chart" uri="{C3380CC4-5D6E-409C-BE32-E72D297353CC}">
              <c16:uniqueId val="{00000001-6AFC-4E3C-A86B-87E8CE453A94}"/>
            </c:ext>
          </c:extLst>
        </c:ser>
        <c:ser>
          <c:idx val="2"/>
          <c:order val="2"/>
          <c:tx>
            <c:strRef>
              <c:f>Sheet1!$D$1</c:f>
              <c:strCache>
                <c:ptCount val="1"/>
                <c:pt idx="0">
                  <c:v>RORC</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Sheet1!$A$2:$A$6</c:f>
              <c:numCache>
                <c:formatCode>General</c:formatCode>
                <c:ptCount val="5"/>
                <c:pt idx="0">
                  <c:v>2014</c:v>
                </c:pt>
                <c:pt idx="1">
                  <c:v>2015</c:v>
                </c:pt>
                <c:pt idx="2">
                  <c:v>2016</c:v>
                </c:pt>
                <c:pt idx="3">
                  <c:v>2017</c:v>
                </c:pt>
                <c:pt idx="4">
                  <c:v>2018</c:v>
                </c:pt>
              </c:numCache>
            </c:numRef>
          </c:cat>
          <c:val>
            <c:numRef>
              <c:f>Sheet1!$D$2:$D$6</c:f>
              <c:numCache>
                <c:formatCode>General</c:formatCode>
                <c:ptCount val="5"/>
                <c:pt idx="0">
                  <c:v>3.99</c:v>
                </c:pt>
                <c:pt idx="1">
                  <c:v>4.37</c:v>
                </c:pt>
                <c:pt idx="2">
                  <c:v>5.22</c:v>
                </c:pt>
                <c:pt idx="3">
                  <c:v>5.47</c:v>
                </c:pt>
                <c:pt idx="4">
                  <c:v>4.5999999999999996</c:v>
                </c:pt>
              </c:numCache>
            </c:numRef>
          </c:val>
          <c:smooth val="0"/>
          <c:extLst>
            <c:ext xmlns:c16="http://schemas.microsoft.com/office/drawing/2014/chart" uri="{C3380CC4-5D6E-409C-BE32-E72D297353CC}">
              <c16:uniqueId val="{00000002-6AFC-4E3C-A86B-87E8CE453A94}"/>
            </c:ext>
          </c:extLst>
        </c:ser>
        <c:dLbls>
          <c:showLegendKey val="0"/>
          <c:showVal val="0"/>
          <c:showCatName val="0"/>
          <c:showSerName val="0"/>
          <c:showPercent val="0"/>
          <c:showBubbleSize val="0"/>
        </c:dLbls>
        <c:marker val="1"/>
        <c:smooth val="0"/>
        <c:axId val="787030616"/>
        <c:axId val="787030288"/>
      </c:lineChart>
      <c:catAx>
        <c:axId val="7870306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030288"/>
        <c:crosses val="autoZero"/>
        <c:auto val="1"/>
        <c:lblAlgn val="ctr"/>
        <c:lblOffset val="100"/>
        <c:noMultiLvlLbl val="0"/>
      </c:catAx>
      <c:valAx>
        <c:axId val="787030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030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 ratios - GSK 2014 2018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Current ratio</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Sheet1!$A$2:$A$6</c:f>
              <c:numCache>
                <c:formatCode>General</c:formatCode>
                <c:ptCount val="5"/>
                <c:pt idx="0">
                  <c:v>2014</c:v>
                </c:pt>
                <c:pt idx="1">
                  <c:v>2015</c:v>
                </c:pt>
                <c:pt idx="2">
                  <c:v>2016</c:v>
                </c:pt>
                <c:pt idx="3">
                  <c:v>2017</c:v>
                </c:pt>
                <c:pt idx="4">
                  <c:v>2018</c:v>
                </c:pt>
              </c:numCache>
            </c:numRef>
          </c:cat>
          <c:val>
            <c:numRef>
              <c:f>Sheet1!$B$2:$B$6</c:f>
              <c:numCache>
                <c:formatCode>General</c:formatCode>
                <c:ptCount val="5"/>
                <c:pt idx="0">
                  <c:v>1.1000000000000001</c:v>
                </c:pt>
                <c:pt idx="1">
                  <c:v>1.24</c:v>
                </c:pt>
                <c:pt idx="2">
                  <c:v>0.88</c:v>
                </c:pt>
                <c:pt idx="3">
                  <c:v>0.6</c:v>
                </c:pt>
                <c:pt idx="4">
                  <c:v>0.75</c:v>
                </c:pt>
              </c:numCache>
            </c:numRef>
          </c:val>
          <c:smooth val="0"/>
          <c:extLst>
            <c:ext xmlns:c16="http://schemas.microsoft.com/office/drawing/2014/chart" uri="{C3380CC4-5D6E-409C-BE32-E72D297353CC}">
              <c16:uniqueId val="{00000000-00B6-418C-856B-F591A96E7824}"/>
            </c:ext>
          </c:extLst>
        </c:ser>
        <c:ser>
          <c:idx val="1"/>
          <c:order val="1"/>
          <c:tx>
            <c:strRef>
              <c:f>Sheet1!$C$1</c:f>
              <c:strCache>
                <c:ptCount val="1"/>
                <c:pt idx="0">
                  <c:v>Quick ratio</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Sheet1!$A$2:$A$6</c:f>
              <c:numCache>
                <c:formatCode>General</c:formatCode>
                <c:ptCount val="5"/>
                <c:pt idx="0">
                  <c:v>2014</c:v>
                </c:pt>
                <c:pt idx="1">
                  <c:v>2015</c:v>
                </c:pt>
                <c:pt idx="2">
                  <c:v>2016</c:v>
                </c:pt>
                <c:pt idx="3">
                  <c:v>2017</c:v>
                </c:pt>
                <c:pt idx="4">
                  <c:v>2018</c:v>
                </c:pt>
              </c:numCache>
            </c:numRef>
          </c:cat>
          <c:val>
            <c:numRef>
              <c:f>Sheet1!$C$2:$C$6</c:f>
              <c:numCache>
                <c:formatCode>General</c:formatCode>
                <c:ptCount val="5"/>
                <c:pt idx="0">
                  <c:v>0.79</c:v>
                </c:pt>
                <c:pt idx="1">
                  <c:v>0.88</c:v>
                </c:pt>
                <c:pt idx="2">
                  <c:v>0.61</c:v>
                </c:pt>
                <c:pt idx="3">
                  <c:v>0.39</c:v>
                </c:pt>
                <c:pt idx="4">
                  <c:v>0.51</c:v>
                </c:pt>
              </c:numCache>
            </c:numRef>
          </c:val>
          <c:smooth val="0"/>
          <c:extLst>
            <c:ext xmlns:c16="http://schemas.microsoft.com/office/drawing/2014/chart" uri="{C3380CC4-5D6E-409C-BE32-E72D297353CC}">
              <c16:uniqueId val="{00000001-00B6-418C-856B-F591A96E7824}"/>
            </c:ext>
          </c:extLst>
        </c:ser>
        <c:ser>
          <c:idx val="2"/>
          <c:order val="2"/>
          <c:tx>
            <c:strRef>
              <c:f>Sheet1!$D$1</c:f>
              <c:strCache>
                <c:ptCount val="1"/>
                <c:pt idx="0">
                  <c:v>Cash ratio</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Sheet1!$A$2:$A$6</c:f>
              <c:numCache>
                <c:formatCode>General</c:formatCode>
                <c:ptCount val="5"/>
                <c:pt idx="0">
                  <c:v>2014</c:v>
                </c:pt>
                <c:pt idx="1">
                  <c:v>2015</c:v>
                </c:pt>
                <c:pt idx="2">
                  <c:v>2016</c:v>
                </c:pt>
                <c:pt idx="3">
                  <c:v>2017</c:v>
                </c:pt>
                <c:pt idx="4">
                  <c:v>2018</c:v>
                </c:pt>
              </c:numCache>
            </c:numRef>
          </c:cat>
          <c:val>
            <c:numRef>
              <c:f>Sheet1!$D$2:$D$6</c:f>
              <c:numCache>
                <c:formatCode>General</c:formatCode>
                <c:ptCount val="5"/>
                <c:pt idx="0">
                  <c:v>0.33</c:v>
                </c:pt>
                <c:pt idx="1">
                  <c:v>0.43</c:v>
                </c:pt>
                <c:pt idx="2">
                  <c:v>0.26</c:v>
                </c:pt>
                <c:pt idx="3">
                  <c:v>0.14000000000000001</c:v>
                </c:pt>
                <c:pt idx="4">
                  <c:v>0.17</c:v>
                </c:pt>
              </c:numCache>
            </c:numRef>
          </c:val>
          <c:smooth val="0"/>
          <c:extLst>
            <c:ext xmlns:c16="http://schemas.microsoft.com/office/drawing/2014/chart" uri="{C3380CC4-5D6E-409C-BE32-E72D297353CC}">
              <c16:uniqueId val="{00000002-00B6-418C-856B-F591A96E7824}"/>
            </c:ext>
          </c:extLst>
        </c:ser>
        <c:dLbls>
          <c:showLegendKey val="0"/>
          <c:showVal val="0"/>
          <c:showCatName val="0"/>
          <c:showSerName val="0"/>
          <c:showPercent val="0"/>
          <c:showBubbleSize val="0"/>
        </c:dLbls>
        <c:marker val="1"/>
        <c:smooth val="0"/>
        <c:axId val="787657984"/>
        <c:axId val="787656344"/>
      </c:lineChart>
      <c:catAx>
        <c:axId val="7876579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656344"/>
        <c:crosses val="autoZero"/>
        <c:auto val="1"/>
        <c:lblAlgn val="ctr"/>
        <c:lblOffset val="100"/>
        <c:noMultiLvlLbl val="0"/>
      </c:catAx>
      <c:valAx>
        <c:axId val="787656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657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Leverage ratios</a:t>
            </a:r>
            <a:r>
              <a:rPr lang="en-GB" baseline="0"/>
              <a:t> - GSK 2014-2018</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Debt-equity ratio</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Sheet1!$A$2:$A$6</c:f>
              <c:numCache>
                <c:formatCode>General</c:formatCode>
                <c:ptCount val="5"/>
                <c:pt idx="0">
                  <c:v>2014</c:v>
                </c:pt>
                <c:pt idx="1">
                  <c:v>2015</c:v>
                </c:pt>
                <c:pt idx="2">
                  <c:v>2016</c:v>
                </c:pt>
                <c:pt idx="3">
                  <c:v>2017</c:v>
                </c:pt>
                <c:pt idx="4">
                  <c:v>2018</c:v>
                </c:pt>
              </c:numCache>
            </c:numRef>
          </c:cat>
          <c:val>
            <c:numRef>
              <c:f>Sheet1!$B$2:$B$6</c:f>
              <c:numCache>
                <c:formatCode>General</c:formatCode>
                <c:ptCount val="5"/>
                <c:pt idx="0">
                  <c:v>3.8</c:v>
                </c:pt>
                <c:pt idx="1">
                  <c:v>1.87</c:v>
                </c:pt>
                <c:pt idx="2">
                  <c:v>3.78</c:v>
                </c:pt>
                <c:pt idx="3">
                  <c:v>4.9000000000000004</c:v>
                </c:pt>
                <c:pt idx="4">
                  <c:v>7.1</c:v>
                </c:pt>
              </c:numCache>
            </c:numRef>
          </c:val>
          <c:smooth val="0"/>
          <c:extLst>
            <c:ext xmlns:c16="http://schemas.microsoft.com/office/drawing/2014/chart" uri="{C3380CC4-5D6E-409C-BE32-E72D297353CC}">
              <c16:uniqueId val="{00000000-168F-49F7-A713-FA5D422E7FAE}"/>
            </c:ext>
          </c:extLst>
        </c:ser>
        <c:ser>
          <c:idx val="1"/>
          <c:order val="1"/>
          <c:tx>
            <c:strRef>
              <c:f>Sheet1!$C$1</c:f>
              <c:strCache>
                <c:ptCount val="1"/>
                <c:pt idx="0">
                  <c:v>Debt-to-capital ratio</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Sheet1!$A$2:$A$6</c:f>
              <c:numCache>
                <c:formatCode>General</c:formatCode>
                <c:ptCount val="5"/>
                <c:pt idx="0">
                  <c:v>2014</c:v>
                </c:pt>
                <c:pt idx="1">
                  <c:v>2015</c:v>
                </c:pt>
                <c:pt idx="2">
                  <c:v>2016</c:v>
                </c:pt>
                <c:pt idx="3">
                  <c:v>2017</c:v>
                </c:pt>
                <c:pt idx="4">
                  <c:v>2018</c:v>
                </c:pt>
              </c:numCache>
            </c:numRef>
          </c:cat>
          <c:val>
            <c:numRef>
              <c:f>Sheet1!$C$2:$C$6</c:f>
              <c:numCache>
                <c:formatCode>General</c:formatCode>
                <c:ptCount val="5"/>
                <c:pt idx="0">
                  <c:v>0.79</c:v>
                </c:pt>
                <c:pt idx="1">
                  <c:v>0.65</c:v>
                </c:pt>
                <c:pt idx="2">
                  <c:v>0.79</c:v>
                </c:pt>
                <c:pt idx="3">
                  <c:v>0.83</c:v>
                </c:pt>
                <c:pt idx="4">
                  <c:v>0.88</c:v>
                </c:pt>
              </c:numCache>
            </c:numRef>
          </c:val>
          <c:smooth val="0"/>
          <c:extLst>
            <c:ext xmlns:c16="http://schemas.microsoft.com/office/drawing/2014/chart" uri="{C3380CC4-5D6E-409C-BE32-E72D297353CC}">
              <c16:uniqueId val="{00000001-168F-49F7-A713-FA5D422E7FAE}"/>
            </c:ext>
          </c:extLst>
        </c:ser>
        <c:dLbls>
          <c:showLegendKey val="0"/>
          <c:showVal val="0"/>
          <c:showCatName val="0"/>
          <c:showSerName val="0"/>
          <c:showPercent val="0"/>
          <c:showBubbleSize val="0"/>
        </c:dLbls>
        <c:marker val="1"/>
        <c:smooth val="0"/>
        <c:axId val="791307936"/>
        <c:axId val="791308264"/>
      </c:lineChart>
      <c:catAx>
        <c:axId val="7913079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1308264"/>
        <c:crosses val="autoZero"/>
        <c:auto val="1"/>
        <c:lblAlgn val="ctr"/>
        <c:lblOffset val="100"/>
        <c:noMultiLvlLbl val="0"/>
      </c:catAx>
      <c:valAx>
        <c:axId val="791308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1307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Efficiently</a:t>
            </a:r>
            <a:r>
              <a:rPr lang="en-GB" baseline="0"/>
              <a:t> ratios - GSK 2014-2018</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Asset turnover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Sheet1!$A$2:$A$6</c:f>
              <c:numCache>
                <c:formatCode>General</c:formatCode>
                <c:ptCount val="5"/>
                <c:pt idx="0">
                  <c:v>2014</c:v>
                </c:pt>
                <c:pt idx="1">
                  <c:v>2015</c:v>
                </c:pt>
                <c:pt idx="2">
                  <c:v>2016</c:v>
                </c:pt>
                <c:pt idx="3">
                  <c:v>2017</c:v>
                </c:pt>
                <c:pt idx="4">
                  <c:v>2018</c:v>
                </c:pt>
              </c:numCache>
            </c:numRef>
          </c:cat>
          <c:val>
            <c:numRef>
              <c:f>Sheet1!$B$2:$B$6</c:f>
              <c:numCache>
                <c:formatCode>General</c:formatCode>
                <c:ptCount val="5"/>
                <c:pt idx="0">
                  <c:v>0.56999999999999995</c:v>
                </c:pt>
                <c:pt idx="1">
                  <c:v>0.45</c:v>
                </c:pt>
                <c:pt idx="2">
                  <c:v>0.47</c:v>
                </c:pt>
                <c:pt idx="3">
                  <c:v>0.53</c:v>
                </c:pt>
                <c:pt idx="4">
                  <c:v>0.53</c:v>
                </c:pt>
              </c:numCache>
            </c:numRef>
          </c:val>
          <c:smooth val="0"/>
          <c:extLst>
            <c:ext xmlns:c16="http://schemas.microsoft.com/office/drawing/2014/chart" uri="{C3380CC4-5D6E-409C-BE32-E72D297353CC}">
              <c16:uniqueId val="{00000000-22FF-46D8-88BA-356F4F0D4916}"/>
            </c:ext>
          </c:extLst>
        </c:ser>
        <c:ser>
          <c:idx val="1"/>
          <c:order val="1"/>
          <c:tx>
            <c:strRef>
              <c:f>Sheet1!$C$1</c:f>
              <c:strCache>
                <c:ptCount val="1"/>
                <c:pt idx="0">
                  <c:v>Fixed asset turnover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Sheet1!$A$2:$A$6</c:f>
              <c:numCache>
                <c:formatCode>General</c:formatCode>
                <c:ptCount val="5"/>
                <c:pt idx="0">
                  <c:v>2014</c:v>
                </c:pt>
                <c:pt idx="1">
                  <c:v>2015</c:v>
                </c:pt>
                <c:pt idx="2">
                  <c:v>2016</c:v>
                </c:pt>
                <c:pt idx="3">
                  <c:v>2017</c:v>
                </c:pt>
                <c:pt idx="4">
                  <c:v>2018</c:v>
                </c:pt>
              </c:numCache>
            </c:numRef>
          </c:cat>
          <c:val>
            <c:numRef>
              <c:f>Sheet1!$C$2:$C$6</c:f>
              <c:numCache>
                <c:formatCode>General</c:formatCode>
                <c:ptCount val="5"/>
                <c:pt idx="0">
                  <c:v>2.54</c:v>
                </c:pt>
                <c:pt idx="1">
                  <c:v>2.4700000000000002</c:v>
                </c:pt>
                <c:pt idx="2">
                  <c:v>2.58</c:v>
                </c:pt>
                <c:pt idx="3">
                  <c:v>2.78</c:v>
                </c:pt>
                <c:pt idx="4">
                  <c:v>2.78</c:v>
                </c:pt>
              </c:numCache>
            </c:numRef>
          </c:val>
          <c:smooth val="0"/>
          <c:extLst>
            <c:ext xmlns:c16="http://schemas.microsoft.com/office/drawing/2014/chart" uri="{C3380CC4-5D6E-409C-BE32-E72D297353CC}">
              <c16:uniqueId val="{00000001-22FF-46D8-88BA-356F4F0D4916}"/>
            </c:ext>
          </c:extLst>
        </c:ser>
        <c:dLbls>
          <c:showLegendKey val="0"/>
          <c:showVal val="0"/>
          <c:showCatName val="0"/>
          <c:showSerName val="0"/>
          <c:showPercent val="0"/>
          <c:showBubbleSize val="0"/>
        </c:dLbls>
        <c:marker val="1"/>
        <c:smooth val="0"/>
        <c:axId val="395475104"/>
        <c:axId val="395475760"/>
      </c:lineChart>
      <c:catAx>
        <c:axId val="3954751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5475760"/>
        <c:crosses val="autoZero"/>
        <c:auto val="1"/>
        <c:lblAlgn val="ctr"/>
        <c:lblOffset val="100"/>
        <c:noMultiLvlLbl val="0"/>
      </c:catAx>
      <c:valAx>
        <c:axId val="395475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5475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D96AE2-37EF-4794-BC5B-2D2159B34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TotalTime>
  <Pages>19</Pages>
  <Words>5745</Words>
  <Characters>32747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T</dc:creator>
  <cp:keywords/>
  <dc:description/>
  <cp:lastModifiedBy>M T</cp:lastModifiedBy>
  <cp:revision>195</cp:revision>
  <dcterms:created xsi:type="dcterms:W3CDTF">2019-05-02T08:02:00Z</dcterms:created>
  <dcterms:modified xsi:type="dcterms:W3CDTF">2019-05-03T17:38:00Z</dcterms:modified>
</cp:coreProperties>
</file>