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E6C01" w14:textId="77777777" w:rsidR="0086001F" w:rsidRDefault="0086001F" w:rsidP="00DE50BD">
      <w:pPr>
        <w:pStyle w:val="Title"/>
        <w:jc w:val="both"/>
      </w:pPr>
    </w:p>
    <w:p w14:paraId="48C10E83" w14:textId="77777777" w:rsidR="00DB79FE" w:rsidRDefault="00DB79FE" w:rsidP="00DB79FE">
      <w:pPr>
        <w:jc w:val="center"/>
      </w:pPr>
      <w:r>
        <w:rPr>
          <w:noProof/>
        </w:rPr>
        <w:drawing>
          <wp:inline distT="0" distB="0" distL="0" distR="0" wp14:anchorId="209E5FD8" wp14:editId="76CF94A4">
            <wp:extent cx="5124893" cy="2817495"/>
            <wp:effectExtent l="0" t="0" r="0" b="1905"/>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44329" cy="282818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14:paraId="31569F11" w14:textId="77777777" w:rsidR="00DB79FE" w:rsidRDefault="00DB79FE" w:rsidP="00DB79FE">
      <w:pPr>
        <w:jc w:val="center"/>
      </w:pPr>
    </w:p>
    <w:p w14:paraId="63212318" w14:textId="77777777" w:rsidR="00DB79FE" w:rsidRDefault="00DB79FE" w:rsidP="00DB79FE">
      <w:pPr>
        <w:jc w:val="center"/>
      </w:pPr>
    </w:p>
    <w:p w14:paraId="094C3A58" w14:textId="77777777" w:rsidR="00DB79FE" w:rsidRDefault="00DB79FE" w:rsidP="00DB79FE">
      <w:pPr>
        <w:jc w:val="center"/>
      </w:pPr>
    </w:p>
    <w:p w14:paraId="4C6707A7" w14:textId="77777777" w:rsidR="00DB79FE" w:rsidRDefault="00DB79FE" w:rsidP="00DB79FE">
      <w:pPr>
        <w:jc w:val="center"/>
      </w:pPr>
    </w:p>
    <w:p w14:paraId="279D68A9" w14:textId="77777777" w:rsidR="00DB79FE" w:rsidRDefault="00DB79FE" w:rsidP="00DB79FE">
      <w:pPr>
        <w:jc w:val="center"/>
      </w:pPr>
    </w:p>
    <w:p w14:paraId="5CC4F0D0" w14:textId="77777777" w:rsidR="00DB79FE" w:rsidRPr="00FD6F22" w:rsidRDefault="00DB79FE" w:rsidP="00DB79FE">
      <w:pPr>
        <w:jc w:val="center"/>
        <w:rPr>
          <w:rFonts w:cs="Arial"/>
          <w:b/>
          <w:bCs/>
          <w:sz w:val="28"/>
        </w:rPr>
      </w:pPr>
      <w:r w:rsidRPr="00646406">
        <w:rPr>
          <w:rFonts w:cs="Arial"/>
          <w:b/>
          <w:bCs/>
        </w:rPr>
        <w:t>Student Name:</w:t>
      </w:r>
      <w:r>
        <w:rPr>
          <w:rFonts w:cs="Arial"/>
          <w:b/>
          <w:bCs/>
        </w:rPr>
        <w:t xml:space="preserve"> </w:t>
      </w:r>
      <w:r w:rsidRPr="00FD6F22">
        <w:rPr>
          <w:rFonts w:cs="Arial"/>
          <w:b/>
          <w:bCs/>
          <w:sz w:val="28"/>
        </w:rPr>
        <w:t>Md Abdur Rahman Sayem</w:t>
      </w:r>
    </w:p>
    <w:p w14:paraId="0A57381A" w14:textId="77777777" w:rsidR="00DB79FE" w:rsidRPr="006662CA" w:rsidRDefault="00DB79FE" w:rsidP="00DB79FE">
      <w:pPr>
        <w:jc w:val="center"/>
        <w:rPr>
          <w:rFonts w:cs="Arial"/>
          <w:b/>
          <w:bCs/>
        </w:rPr>
      </w:pPr>
      <w:r w:rsidRPr="00646406">
        <w:rPr>
          <w:rFonts w:cs="Arial"/>
          <w:b/>
          <w:bCs/>
        </w:rPr>
        <w:t>Student ID:</w:t>
      </w:r>
      <w:r>
        <w:rPr>
          <w:rFonts w:cs="Arial"/>
          <w:b/>
          <w:bCs/>
        </w:rPr>
        <w:t xml:space="preserve"> 2503775</w:t>
      </w:r>
    </w:p>
    <w:p w14:paraId="4F0FFD6F" w14:textId="77777777" w:rsidR="00DB79FE" w:rsidRPr="00646406" w:rsidRDefault="00DB79FE" w:rsidP="00DB79FE">
      <w:pPr>
        <w:jc w:val="center"/>
        <w:rPr>
          <w:rFonts w:cs="Arial"/>
        </w:rPr>
      </w:pPr>
    </w:p>
    <w:p w14:paraId="337A69CF" w14:textId="77777777" w:rsidR="00DB79FE" w:rsidRDefault="00DB79FE" w:rsidP="00DB79FE">
      <w:pPr>
        <w:jc w:val="center"/>
        <w:rPr>
          <w:rFonts w:cs="Arial"/>
          <w:b/>
          <w:bCs/>
        </w:rPr>
      </w:pPr>
    </w:p>
    <w:p w14:paraId="7A3A05E9" w14:textId="77777777" w:rsidR="00DB79FE" w:rsidRPr="00646406" w:rsidRDefault="00DB79FE" w:rsidP="00DB79FE">
      <w:pPr>
        <w:jc w:val="center"/>
        <w:rPr>
          <w:rFonts w:cs="Arial"/>
          <w:b/>
          <w:bCs/>
        </w:rPr>
      </w:pPr>
      <w:r w:rsidRPr="00646406">
        <w:rPr>
          <w:rFonts w:cs="Arial"/>
          <w:b/>
          <w:bCs/>
        </w:rPr>
        <w:t xml:space="preserve">Module Name: </w:t>
      </w:r>
      <w:r w:rsidRPr="00D46C7F">
        <w:rPr>
          <w:rFonts w:cs="Arial"/>
          <w:b/>
          <w:bCs/>
        </w:rPr>
        <w:t>Financial Management</w:t>
      </w:r>
    </w:p>
    <w:p w14:paraId="1F01A213" w14:textId="77777777" w:rsidR="00DB79FE" w:rsidRDefault="00DB79FE" w:rsidP="00DB79FE">
      <w:pPr>
        <w:jc w:val="center"/>
        <w:rPr>
          <w:rFonts w:cs="Arial"/>
          <w:b/>
          <w:bCs/>
          <w:i/>
          <w:iCs/>
        </w:rPr>
      </w:pPr>
      <w:r w:rsidRPr="00646406">
        <w:rPr>
          <w:rFonts w:cs="Arial"/>
          <w:b/>
          <w:bCs/>
        </w:rPr>
        <w:t>Module Code:</w:t>
      </w:r>
      <w:r w:rsidRPr="00EA0EA6">
        <w:rPr>
          <w:b/>
          <w:bCs/>
          <w:color w:val="1D2125"/>
          <w:sz w:val="23"/>
          <w:szCs w:val="23"/>
          <w:shd w:val="clear" w:color="auto" w:fill="FFFFFF"/>
        </w:rPr>
        <w:t xml:space="preserve"> </w:t>
      </w:r>
      <w:r w:rsidRPr="00EA0EA6">
        <w:rPr>
          <w:b/>
          <w:bCs/>
        </w:rPr>
        <w:t>LCMB7002 MBA</w:t>
      </w:r>
    </w:p>
    <w:p w14:paraId="1CB37212" w14:textId="77777777" w:rsidR="00DB79FE" w:rsidRPr="00FD6F22" w:rsidRDefault="00DB79FE" w:rsidP="00DB79FE">
      <w:pPr>
        <w:jc w:val="center"/>
        <w:rPr>
          <w:rFonts w:cs="Arial"/>
          <w:b/>
          <w:bCs/>
          <w:sz w:val="28"/>
        </w:rPr>
      </w:pPr>
      <w:r w:rsidRPr="00646406">
        <w:rPr>
          <w:rFonts w:cs="Arial"/>
          <w:b/>
          <w:bCs/>
        </w:rPr>
        <w:t>Lecturer’s Name</w:t>
      </w:r>
      <w:r>
        <w:rPr>
          <w:rFonts w:cs="Arial"/>
          <w:b/>
          <w:bCs/>
        </w:rPr>
        <w:t xml:space="preserve">: </w:t>
      </w:r>
      <w:r w:rsidRPr="00EA0EA6">
        <w:rPr>
          <w:rFonts w:cs="Arial"/>
          <w:b/>
          <w:bCs/>
        </w:rPr>
        <w:t xml:space="preserve">Dr </w:t>
      </w:r>
      <w:proofErr w:type="spellStart"/>
      <w:r w:rsidRPr="00EA0EA6">
        <w:rPr>
          <w:rFonts w:cs="Arial"/>
          <w:b/>
          <w:bCs/>
        </w:rPr>
        <w:t>Shengfeng</w:t>
      </w:r>
      <w:proofErr w:type="spellEnd"/>
      <w:r w:rsidRPr="00EA0EA6">
        <w:rPr>
          <w:rFonts w:cs="Arial"/>
          <w:b/>
          <w:bCs/>
        </w:rPr>
        <w:t xml:space="preserve"> Mei</w:t>
      </w:r>
    </w:p>
    <w:p w14:paraId="2B2BD4BD" w14:textId="77777777" w:rsidR="00DB79FE" w:rsidRPr="00945F98" w:rsidRDefault="00DB79FE" w:rsidP="00DB79FE">
      <w:pPr>
        <w:ind w:left="720"/>
        <w:rPr>
          <w:rFonts w:cs="Arial"/>
          <w:b/>
          <w:bCs/>
        </w:rPr>
      </w:pPr>
    </w:p>
    <w:p w14:paraId="4B8D12FA" w14:textId="77777777" w:rsidR="00DB79FE" w:rsidRPr="00646406" w:rsidRDefault="00DB79FE" w:rsidP="00DB79FE">
      <w:pPr>
        <w:jc w:val="center"/>
        <w:rPr>
          <w:rFonts w:cs="Arial"/>
          <w:b/>
          <w:bCs/>
        </w:rPr>
      </w:pPr>
    </w:p>
    <w:p w14:paraId="7E1DE31F" w14:textId="77777777" w:rsidR="00DB79FE" w:rsidRPr="00646406" w:rsidRDefault="00DB79FE" w:rsidP="00DB79FE">
      <w:pPr>
        <w:rPr>
          <w:rFonts w:cs="Arial"/>
          <w:b/>
          <w:bCs/>
        </w:rPr>
      </w:pPr>
    </w:p>
    <w:p w14:paraId="5B9F2874" w14:textId="39539552" w:rsidR="00DB79FE" w:rsidRDefault="00DB79FE" w:rsidP="00DB79FE">
      <w:pPr>
        <w:jc w:val="center"/>
        <w:rPr>
          <w:rFonts w:cs="Arial"/>
          <w:b/>
          <w:bCs/>
        </w:rPr>
      </w:pPr>
      <w:r w:rsidRPr="00646406">
        <w:rPr>
          <w:rFonts w:cs="Arial"/>
          <w:b/>
          <w:bCs/>
        </w:rPr>
        <w:t>Work Count:</w:t>
      </w:r>
      <w:r>
        <w:rPr>
          <w:rFonts w:cs="Arial"/>
          <w:b/>
          <w:bCs/>
        </w:rPr>
        <w:t xml:space="preserve"> 5</w:t>
      </w:r>
      <w:r w:rsidR="00C64A49">
        <w:rPr>
          <w:rFonts w:cs="Arial"/>
          <w:b/>
          <w:bCs/>
        </w:rPr>
        <w:t>355</w:t>
      </w:r>
    </w:p>
    <w:p w14:paraId="03DFBE4A" w14:textId="77777777" w:rsidR="00DB79FE" w:rsidRDefault="00DB79FE" w:rsidP="00DB79FE">
      <w:pPr>
        <w:jc w:val="center"/>
        <w:rPr>
          <w:rFonts w:cs="Arial"/>
          <w:b/>
          <w:bCs/>
        </w:rPr>
      </w:pPr>
    </w:p>
    <w:p w14:paraId="3993CFAF" w14:textId="77777777" w:rsidR="00DB79FE" w:rsidRDefault="00DB79FE" w:rsidP="00DB79FE">
      <w:pPr>
        <w:rPr>
          <w:rFonts w:cs="Arial"/>
          <w:b/>
          <w:bCs/>
        </w:rPr>
      </w:pPr>
    </w:p>
    <w:p w14:paraId="76934C41" w14:textId="77777777" w:rsidR="00DB79FE" w:rsidRDefault="00DB79FE" w:rsidP="00DB79FE">
      <w:pPr>
        <w:jc w:val="center"/>
        <w:rPr>
          <w:rFonts w:cs="Arial"/>
          <w:b/>
          <w:bCs/>
        </w:rPr>
      </w:pPr>
    </w:p>
    <w:p w14:paraId="5EFD5B92" w14:textId="77777777" w:rsidR="00DB79FE" w:rsidRDefault="00DB79FE" w:rsidP="00DE50BD">
      <w:pPr>
        <w:rPr>
          <w:rFonts w:cs="Arial"/>
          <w:b/>
          <w:bCs/>
        </w:rPr>
      </w:pPr>
    </w:p>
    <w:p w14:paraId="0000000F" w14:textId="0E0E4AE2" w:rsidR="00CE63E5" w:rsidRPr="009457F6" w:rsidRDefault="00DB79FE" w:rsidP="009457F6">
      <w:pPr>
        <w:jc w:val="center"/>
        <w:rPr>
          <w:rFonts w:cs="Arial"/>
          <w:b/>
          <w:bCs/>
        </w:rPr>
      </w:pPr>
      <w:r w:rsidRPr="00646406">
        <w:rPr>
          <w:rFonts w:cs="Arial"/>
          <w:b/>
          <w:bCs/>
        </w:rPr>
        <w:t>Term 1</w:t>
      </w:r>
      <w:r w:rsidR="001A6B4B">
        <w:br w:type="page"/>
      </w:r>
    </w:p>
    <w:p w14:paraId="00000010" w14:textId="77777777" w:rsidR="00CE63E5" w:rsidRDefault="001A6B4B">
      <w:pPr>
        <w:keepNext/>
        <w:keepLines/>
        <w:pBdr>
          <w:top w:val="nil"/>
          <w:left w:val="nil"/>
          <w:bottom w:val="nil"/>
          <w:right w:val="nil"/>
          <w:between w:val="nil"/>
        </w:pBdr>
        <w:spacing w:before="240" w:line="259" w:lineRule="auto"/>
        <w:jc w:val="left"/>
        <w:rPr>
          <w:b/>
          <w:color w:val="000000"/>
          <w:sz w:val="32"/>
          <w:szCs w:val="32"/>
        </w:rPr>
      </w:pPr>
      <w:r>
        <w:rPr>
          <w:b/>
          <w:color w:val="000000"/>
          <w:sz w:val="32"/>
          <w:szCs w:val="32"/>
        </w:rPr>
        <w:lastRenderedPageBreak/>
        <w:t>Contents</w:t>
      </w:r>
    </w:p>
    <w:sdt>
      <w:sdtPr>
        <w:id w:val="-1704858681"/>
        <w:docPartObj>
          <w:docPartGallery w:val="Table of Contents"/>
          <w:docPartUnique/>
        </w:docPartObj>
      </w:sdtPr>
      <w:sdtContent>
        <w:p w14:paraId="17BAE6A1" w14:textId="5CA549F5" w:rsidR="00B02286" w:rsidRDefault="001A6B4B">
          <w:pPr>
            <w:pStyle w:val="TOC1"/>
            <w:tabs>
              <w:tab w:val="right" w:pos="9016"/>
            </w:tabs>
            <w:rPr>
              <w:rFonts w:asciiTheme="minorHAnsi" w:eastAsiaTheme="minorEastAsia" w:hAnsiTheme="minorHAnsi" w:cs="Mangal"/>
              <w:noProof/>
              <w:kern w:val="2"/>
              <w:szCs w:val="21"/>
              <w:lang w:eastAsia="ja-JP" w:bidi="hi-IN"/>
              <w14:ligatures w14:val="standardContextual"/>
            </w:rPr>
          </w:pPr>
          <w:r>
            <w:fldChar w:fldCharType="begin"/>
          </w:r>
          <w:r>
            <w:instrText xml:space="preserve"> TOC \h \u \z \t "Heading 1,1,Heading 2,2,Heading 3,3,Heading 4,4,Heading 5,5,Heading 6,6,"</w:instrText>
          </w:r>
          <w:r>
            <w:fldChar w:fldCharType="separate"/>
          </w:r>
          <w:hyperlink w:anchor="_Toc216698497" w:history="1">
            <w:r w:rsidR="00B02286" w:rsidRPr="008F6920">
              <w:rPr>
                <w:rStyle w:val="Hyperlink"/>
                <w:noProof/>
              </w:rPr>
              <w:t>Introduction</w:t>
            </w:r>
            <w:r w:rsidR="00B02286">
              <w:rPr>
                <w:noProof/>
                <w:webHidden/>
              </w:rPr>
              <w:tab/>
            </w:r>
            <w:r w:rsidR="00B02286">
              <w:rPr>
                <w:noProof/>
                <w:webHidden/>
              </w:rPr>
              <w:fldChar w:fldCharType="begin"/>
            </w:r>
            <w:r w:rsidR="00B02286">
              <w:rPr>
                <w:noProof/>
                <w:webHidden/>
              </w:rPr>
              <w:instrText xml:space="preserve"> PAGEREF _Toc216698497 \h </w:instrText>
            </w:r>
            <w:r w:rsidR="00B02286">
              <w:rPr>
                <w:noProof/>
                <w:webHidden/>
              </w:rPr>
            </w:r>
            <w:r w:rsidR="00B02286">
              <w:rPr>
                <w:noProof/>
                <w:webHidden/>
              </w:rPr>
              <w:fldChar w:fldCharType="separate"/>
            </w:r>
            <w:r w:rsidR="00B02286">
              <w:rPr>
                <w:noProof/>
                <w:webHidden/>
              </w:rPr>
              <w:t>4</w:t>
            </w:r>
            <w:r w:rsidR="00B02286">
              <w:rPr>
                <w:noProof/>
                <w:webHidden/>
              </w:rPr>
              <w:fldChar w:fldCharType="end"/>
            </w:r>
          </w:hyperlink>
        </w:p>
        <w:p w14:paraId="782E7C1C" w14:textId="1572F789"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498" w:history="1">
            <w:r w:rsidRPr="008F6920">
              <w:rPr>
                <w:rStyle w:val="Hyperlink"/>
                <w:noProof/>
              </w:rPr>
              <w:t>Task 1</w:t>
            </w:r>
            <w:r>
              <w:rPr>
                <w:noProof/>
                <w:webHidden/>
              </w:rPr>
              <w:tab/>
            </w:r>
            <w:r>
              <w:rPr>
                <w:noProof/>
                <w:webHidden/>
              </w:rPr>
              <w:fldChar w:fldCharType="begin"/>
            </w:r>
            <w:r>
              <w:rPr>
                <w:noProof/>
                <w:webHidden/>
              </w:rPr>
              <w:instrText xml:space="preserve"> PAGEREF _Toc216698498 \h </w:instrText>
            </w:r>
            <w:r>
              <w:rPr>
                <w:noProof/>
                <w:webHidden/>
              </w:rPr>
            </w:r>
            <w:r>
              <w:rPr>
                <w:noProof/>
                <w:webHidden/>
              </w:rPr>
              <w:fldChar w:fldCharType="separate"/>
            </w:r>
            <w:r>
              <w:rPr>
                <w:noProof/>
                <w:webHidden/>
              </w:rPr>
              <w:t>5</w:t>
            </w:r>
            <w:r>
              <w:rPr>
                <w:noProof/>
                <w:webHidden/>
              </w:rPr>
              <w:fldChar w:fldCharType="end"/>
            </w:r>
          </w:hyperlink>
        </w:p>
        <w:p w14:paraId="2A5C4545" w14:textId="69AB70F7"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499" w:history="1">
            <w:r w:rsidRPr="008F6920">
              <w:rPr>
                <w:rStyle w:val="Hyperlink"/>
                <w:noProof/>
              </w:rPr>
              <w:t>Introduction to the Financial Performance and Statement Analysis</w:t>
            </w:r>
            <w:r>
              <w:rPr>
                <w:noProof/>
                <w:webHidden/>
              </w:rPr>
              <w:tab/>
            </w:r>
            <w:r>
              <w:rPr>
                <w:noProof/>
                <w:webHidden/>
              </w:rPr>
              <w:fldChar w:fldCharType="begin"/>
            </w:r>
            <w:r>
              <w:rPr>
                <w:noProof/>
                <w:webHidden/>
              </w:rPr>
              <w:instrText xml:space="preserve"> PAGEREF _Toc216698499 \h </w:instrText>
            </w:r>
            <w:r>
              <w:rPr>
                <w:noProof/>
                <w:webHidden/>
              </w:rPr>
            </w:r>
            <w:r>
              <w:rPr>
                <w:noProof/>
                <w:webHidden/>
              </w:rPr>
              <w:fldChar w:fldCharType="separate"/>
            </w:r>
            <w:r>
              <w:rPr>
                <w:noProof/>
                <w:webHidden/>
              </w:rPr>
              <w:t>5</w:t>
            </w:r>
            <w:r>
              <w:rPr>
                <w:noProof/>
                <w:webHidden/>
              </w:rPr>
              <w:fldChar w:fldCharType="end"/>
            </w:r>
          </w:hyperlink>
        </w:p>
        <w:p w14:paraId="30DA2EBA" w14:textId="7EFF4D30"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0" w:history="1">
            <w:r w:rsidRPr="008F6920">
              <w:rPr>
                <w:rStyle w:val="Hyperlink"/>
                <w:noProof/>
              </w:rPr>
              <w:t>Profitability and Efficiency Ratio Analysis</w:t>
            </w:r>
            <w:r>
              <w:rPr>
                <w:noProof/>
                <w:webHidden/>
              </w:rPr>
              <w:tab/>
            </w:r>
            <w:r>
              <w:rPr>
                <w:noProof/>
                <w:webHidden/>
              </w:rPr>
              <w:fldChar w:fldCharType="begin"/>
            </w:r>
            <w:r>
              <w:rPr>
                <w:noProof/>
                <w:webHidden/>
              </w:rPr>
              <w:instrText xml:space="preserve"> PAGEREF _Toc216698500 \h </w:instrText>
            </w:r>
            <w:r>
              <w:rPr>
                <w:noProof/>
                <w:webHidden/>
              </w:rPr>
            </w:r>
            <w:r>
              <w:rPr>
                <w:noProof/>
                <w:webHidden/>
              </w:rPr>
              <w:fldChar w:fldCharType="separate"/>
            </w:r>
            <w:r>
              <w:rPr>
                <w:noProof/>
                <w:webHidden/>
              </w:rPr>
              <w:t>5</w:t>
            </w:r>
            <w:r>
              <w:rPr>
                <w:noProof/>
                <w:webHidden/>
              </w:rPr>
              <w:fldChar w:fldCharType="end"/>
            </w:r>
          </w:hyperlink>
        </w:p>
        <w:p w14:paraId="3D3F5410" w14:textId="13FCBF20"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1" w:history="1">
            <w:r w:rsidRPr="008F6920">
              <w:rPr>
                <w:rStyle w:val="Hyperlink"/>
                <w:noProof/>
              </w:rPr>
              <w:t>Liquidity, Gearing and Cash Flow Position</w:t>
            </w:r>
            <w:r>
              <w:rPr>
                <w:noProof/>
                <w:webHidden/>
              </w:rPr>
              <w:tab/>
            </w:r>
            <w:r>
              <w:rPr>
                <w:noProof/>
                <w:webHidden/>
              </w:rPr>
              <w:fldChar w:fldCharType="begin"/>
            </w:r>
            <w:r>
              <w:rPr>
                <w:noProof/>
                <w:webHidden/>
              </w:rPr>
              <w:instrText xml:space="preserve"> PAGEREF _Toc216698501 \h </w:instrText>
            </w:r>
            <w:r>
              <w:rPr>
                <w:noProof/>
                <w:webHidden/>
              </w:rPr>
            </w:r>
            <w:r>
              <w:rPr>
                <w:noProof/>
                <w:webHidden/>
              </w:rPr>
              <w:fldChar w:fldCharType="separate"/>
            </w:r>
            <w:r>
              <w:rPr>
                <w:noProof/>
                <w:webHidden/>
              </w:rPr>
              <w:t>6</w:t>
            </w:r>
            <w:r>
              <w:rPr>
                <w:noProof/>
                <w:webHidden/>
              </w:rPr>
              <w:fldChar w:fldCharType="end"/>
            </w:r>
          </w:hyperlink>
        </w:p>
        <w:p w14:paraId="4188B005" w14:textId="545BF562"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2" w:history="1">
            <w:r w:rsidRPr="008F6920">
              <w:rPr>
                <w:rStyle w:val="Hyperlink"/>
                <w:noProof/>
              </w:rPr>
              <w:t>Corporate Failure risk and general financial assessment.</w:t>
            </w:r>
            <w:r>
              <w:rPr>
                <w:noProof/>
                <w:webHidden/>
              </w:rPr>
              <w:tab/>
            </w:r>
            <w:r>
              <w:rPr>
                <w:noProof/>
                <w:webHidden/>
              </w:rPr>
              <w:fldChar w:fldCharType="begin"/>
            </w:r>
            <w:r>
              <w:rPr>
                <w:noProof/>
                <w:webHidden/>
              </w:rPr>
              <w:instrText xml:space="preserve"> PAGEREF _Toc216698502 \h </w:instrText>
            </w:r>
            <w:r>
              <w:rPr>
                <w:noProof/>
                <w:webHidden/>
              </w:rPr>
            </w:r>
            <w:r>
              <w:rPr>
                <w:noProof/>
                <w:webHidden/>
              </w:rPr>
              <w:fldChar w:fldCharType="separate"/>
            </w:r>
            <w:r>
              <w:rPr>
                <w:noProof/>
                <w:webHidden/>
              </w:rPr>
              <w:t>7</w:t>
            </w:r>
            <w:r>
              <w:rPr>
                <w:noProof/>
                <w:webHidden/>
              </w:rPr>
              <w:fldChar w:fldCharType="end"/>
            </w:r>
          </w:hyperlink>
        </w:p>
        <w:p w14:paraId="33D59139" w14:textId="78999F6A"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503" w:history="1">
            <w:r w:rsidRPr="008F6920">
              <w:rPr>
                <w:rStyle w:val="Hyperlink"/>
                <w:noProof/>
              </w:rPr>
              <w:t>Task 2</w:t>
            </w:r>
            <w:r>
              <w:rPr>
                <w:noProof/>
                <w:webHidden/>
              </w:rPr>
              <w:tab/>
            </w:r>
            <w:r>
              <w:rPr>
                <w:noProof/>
                <w:webHidden/>
              </w:rPr>
              <w:fldChar w:fldCharType="begin"/>
            </w:r>
            <w:r>
              <w:rPr>
                <w:noProof/>
                <w:webHidden/>
              </w:rPr>
              <w:instrText xml:space="preserve"> PAGEREF _Toc216698503 \h </w:instrText>
            </w:r>
            <w:r>
              <w:rPr>
                <w:noProof/>
                <w:webHidden/>
              </w:rPr>
            </w:r>
            <w:r>
              <w:rPr>
                <w:noProof/>
                <w:webHidden/>
              </w:rPr>
              <w:fldChar w:fldCharType="separate"/>
            </w:r>
            <w:r>
              <w:rPr>
                <w:noProof/>
                <w:webHidden/>
              </w:rPr>
              <w:t>9</w:t>
            </w:r>
            <w:r>
              <w:rPr>
                <w:noProof/>
                <w:webHidden/>
              </w:rPr>
              <w:fldChar w:fldCharType="end"/>
            </w:r>
          </w:hyperlink>
        </w:p>
        <w:p w14:paraId="233116A5" w14:textId="7841BF4F"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4" w:history="1">
            <w:r w:rsidRPr="008F6920">
              <w:rPr>
                <w:rStyle w:val="Hyperlink"/>
                <w:noProof/>
              </w:rPr>
              <w:t>Assessments of Cash Operating Cycle</w:t>
            </w:r>
            <w:r>
              <w:rPr>
                <w:noProof/>
                <w:webHidden/>
              </w:rPr>
              <w:tab/>
            </w:r>
            <w:r>
              <w:rPr>
                <w:noProof/>
                <w:webHidden/>
              </w:rPr>
              <w:fldChar w:fldCharType="begin"/>
            </w:r>
            <w:r>
              <w:rPr>
                <w:noProof/>
                <w:webHidden/>
              </w:rPr>
              <w:instrText xml:space="preserve"> PAGEREF _Toc216698504 \h </w:instrText>
            </w:r>
            <w:r>
              <w:rPr>
                <w:noProof/>
                <w:webHidden/>
              </w:rPr>
            </w:r>
            <w:r>
              <w:rPr>
                <w:noProof/>
                <w:webHidden/>
              </w:rPr>
              <w:fldChar w:fldCharType="separate"/>
            </w:r>
            <w:r>
              <w:rPr>
                <w:noProof/>
                <w:webHidden/>
              </w:rPr>
              <w:t>9</w:t>
            </w:r>
            <w:r>
              <w:rPr>
                <w:noProof/>
                <w:webHidden/>
              </w:rPr>
              <w:fldChar w:fldCharType="end"/>
            </w:r>
          </w:hyperlink>
        </w:p>
        <w:p w14:paraId="2D3E70BD" w14:textId="193C4903"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5" w:history="1">
            <w:r w:rsidRPr="008F6920">
              <w:rPr>
                <w:rStyle w:val="Hyperlink"/>
                <w:noProof/>
              </w:rPr>
              <w:t>Impact of Liquidity Inefficiencies on Working Capital.</w:t>
            </w:r>
            <w:r>
              <w:rPr>
                <w:noProof/>
                <w:webHidden/>
              </w:rPr>
              <w:tab/>
            </w:r>
            <w:r>
              <w:rPr>
                <w:noProof/>
                <w:webHidden/>
              </w:rPr>
              <w:fldChar w:fldCharType="begin"/>
            </w:r>
            <w:r>
              <w:rPr>
                <w:noProof/>
                <w:webHidden/>
              </w:rPr>
              <w:instrText xml:space="preserve"> PAGEREF _Toc216698505 \h </w:instrText>
            </w:r>
            <w:r>
              <w:rPr>
                <w:noProof/>
                <w:webHidden/>
              </w:rPr>
            </w:r>
            <w:r>
              <w:rPr>
                <w:noProof/>
                <w:webHidden/>
              </w:rPr>
              <w:fldChar w:fldCharType="separate"/>
            </w:r>
            <w:r>
              <w:rPr>
                <w:noProof/>
                <w:webHidden/>
              </w:rPr>
              <w:t>10</w:t>
            </w:r>
            <w:r>
              <w:rPr>
                <w:noProof/>
                <w:webHidden/>
              </w:rPr>
              <w:fldChar w:fldCharType="end"/>
            </w:r>
          </w:hyperlink>
        </w:p>
        <w:p w14:paraId="4F77D05C" w14:textId="2B2F5234"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6" w:history="1">
            <w:r w:rsidRPr="008F6920">
              <w:rPr>
                <w:rStyle w:val="Hyperlink"/>
                <w:noProof/>
              </w:rPr>
              <w:t>Liquidity Enhancement plans through Working Capital Reforms</w:t>
            </w:r>
            <w:r>
              <w:rPr>
                <w:noProof/>
                <w:webHidden/>
              </w:rPr>
              <w:tab/>
            </w:r>
            <w:r>
              <w:rPr>
                <w:noProof/>
                <w:webHidden/>
              </w:rPr>
              <w:fldChar w:fldCharType="begin"/>
            </w:r>
            <w:r>
              <w:rPr>
                <w:noProof/>
                <w:webHidden/>
              </w:rPr>
              <w:instrText xml:space="preserve"> PAGEREF _Toc216698506 \h </w:instrText>
            </w:r>
            <w:r>
              <w:rPr>
                <w:noProof/>
                <w:webHidden/>
              </w:rPr>
            </w:r>
            <w:r>
              <w:rPr>
                <w:noProof/>
                <w:webHidden/>
              </w:rPr>
              <w:fldChar w:fldCharType="separate"/>
            </w:r>
            <w:r>
              <w:rPr>
                <w:noProof/>
                <w:webHidden/>
              </w:rPr>
              <w:t>10</w:t>
            </w:r>
            <w:r>
              <w:rPr>
                <w:noProof/>
                <w:webHidden/>
              </w:rPr>
              <w:fldChar w:fldCharType="end"/>
            </w:r>
          </w:hyperlink>
        </w:p>
        <w:p w14:paraId="4281411F" w14:textId="05DD42B0"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7" w:history="1">
            <w:r w:rsidRPr="008F6920">
              <w:rPr>
                <w:rStyle w:val="Hyperlink"/>
                <w:noProof/>
              </w:rPr>
              <w:t>Rapidly, short-term and long-term Financing</w:t>
            </w:r>
            <w:r>
              <w:rPr>
                <w:noProof/>
                <w:webHidden/>
              </w:rPr>
              <w:tab/>
            </w:r>
            <w:r>
              <w:rPr>
                <w:noProof/>
                <w:webHidden/>
              </w:rPr>
              <w:fldChar w:fldCharType="begin"/>
            </w:r>
            <w:r>
              <w:rPr>
                <w:noProof/>
                <w:webHidden/>
              </w:rPr>
              <w:instrText xml:space="preserve"> PAGEREF _Toc216698507 \h </w:instrText>
            </w:r>
            <w:r>
              <w:rPr>
                <w:noProof/>
                <w:webHidden/>
              </w:rPr>
            </w:r>
            <w:r>
              <w:rPr>
                <w:noProof/>
                <w:webHidden/>
              </w:rPr>
              <w:fldChar w:fldCharType="separate"/>
            </w:r>
            <w:r>
              <w:rPr>
                <w:noProof/>
                <w:webHidden/>
              </w:rPr>
              <w:t>11</w:t>
            </w:r>
            <w:r>
              <w:rPr>
                <w:noProof/>
                <w:webHidden/>
              </w:rPr>
              <w:fldChar w:fldCharType="end"/>
            </w:r>
          </w:hyperlink>
        </w:p>
        <w:p w14:paraId="73AC2B15" w14:textId="7A706C33"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508" w:history="1">
            <w:r w:rsidRPr="008F6920">
              <w:rPr>
                <w:rStyle w:val="Hyperlink"/>
                <w:noProof/>
              </w:rPr>
              <w:t>Task 3</w:t>
            </w:r>
            <w:r>
              <w:rPr>
                <w:noProof/>
                <w:webHidden/>
              </w:rPr>
              <w:tab/>
            </w:r>
            <w:r>
              <w:rPr>
                <w:noProof/>
                <w:webHidden/>
              </w:rPr>
              <w:fldChar w:fldCharType="begin"/>
            </w:r>
            <w:r>
              <w:rPr>
                <w:noProof/>
                <w:webHidden/>
              </w:rPr>
              <w:instrText xml:space="preserve"> PAGEREF _Toc216698508 \h </w:instrText>
            </w:r>
            <w:r>
              <w:rPr>
                <w:noProof/>
                <w:webHidden/>
              </w:rPr>
            </w:r>
            <w:r>
              <w:rPr>
                <w:noProof/>
                <w:webHidden/>
              </w:rPr>
              <w:fldChar w:fldCharType="separate"/>
            </w:r>
            <w:r>
              <w:rPr>
                <w:noProof/>
                <w:webHidden/>
              </w:rPr>
              <w:t>13</w:t>
            </w:r>
            <w:r>
              <w:rPr>
                <w:noProof/>
                <w:webHidden/>
              </w:rPr>
              <w:fldChar w:fldCharType="end"/>
            </w:r>
          </w:hyperlink>
        </w:p>
        <w:p w14:paraId="2EFDC941" w14:textId="35AE3260"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09" w:history="1">
            <w:r w:rsidRPr="008F6920">
              <w:rPr>
                <w:rStyle w:val="Hyperlink"/>
                <w:noProof/>
              </w:rPr>
              <w:t>A Rationalisation of the Financial Restructuring</w:t>
            </w:r>
            <w:r>
              <w:rPr>
                <w:noProof/>
                <w:webHidden/>
              </w:rPr>
              <w:tab/>
            </w:r>
            <w:r>
              <w:rPr>
                <w:noProof/>
                <w:webHidden/>
              </w:rPr>
              <w:fldChar w:fldCharType="begin"/>
            </w:r>
            <w:r>
              <w:rPr>
                <w:noProof/>
                <w:webHidden/>
              </w:rPr>
              <w:instrText xml:space="preserve"> PAGEREF _Toc216698509 \h </w:instrText>
            </w:r>
            <w:r>
              <w:rPr>
                <w:noProof/>
                <w:webHidden/>
              </w:rPr>
            </w:r>
            <w:r>
              <w:rPr>
                <w:noProof/>
                <w:webHidden/>
              </w:rPr>
              <w:fldChar w:fldCharType="separate"/>
            </w:r>
            <w:r>
              <w:rPr>
                <w:noProof/>
                <w:webHidden/>
              </w:rPr>
              <w:t>13</w:t>
            </w:r>
            <w:r>
              <w:rPr>
                <w:noProof/>
                <w:webHidden/>
              </w:rPr>
              <w:fldChar w:fldCharType="end"/>
            </w:r>
          </w:hyperlink>
        </w:p>
        <w:p w14:paraId="591E8992" w14:textId="0EEEDD48"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0" w:history="1">
            <w:r w:rsidRPr="008F6920">
              <w:rPr>
                <w:rStyle w:val="Hyperlink"/>
                <w:noProof/>
              </w:rPr>
              <w:t>Divestment and Asset Rationalisation</w:t>
            </w:r>
            <w:r>
              <w:rPr>
                <w:noProof/>
                <w:webHidden/>
              </w:rPr>
              <w:tab/>
            </w:r>
            <w:r>
              <w:rPr>
                <w:noProof/>
                <w:webHidden/>
              </w:rPr>
              <w:fldChar w:fldCharType="begin"/>
            </w:r>
            <w:r>
              <w:rPr>
                <w:noProof/>
                <w:webHidden/>
              </w:rPr>
              <w:instrText xml:space="preserve"> PAGEREF _Toc216698510 \h </w:instrText>
            </w:r>
            <w:r>
              <w:rPr>
                <w:noProof/>
                <w:webHidden/>
              </w:rPr>
            </w:r>
            <w:r>
              <w:rPr>
                <w:noProof/>
                <w:webHidden/>
              </w:rPr>
              <w:fldChar w:fldCharType="separate"/>
            </w:r>
            <w:r>
              <w:rPr>
                <w:noProof/>
                <w:webHidden/>
              </w:rPr>
              <w:t>13</w:t>
            </w:r>
            <w:r>
              <w:rPr>
                <w:noProof/>
                <w:webHidden/>
              </w:rPr>
              <w:fldChar w:fldCharType="end"/>
            </w:r>
          </w:hyperlink>
        </w:p>
        <w:p w14:paraId="03908068" w14:textId="68991C5C"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1" w:history="1">
            <w:r w:rsidRPr="008F6920">
              <w:rPr>
                <w:rStyle w:val="Hyperlink"/>
                <w:noProof/>
              </w:rPr>
              <w:t>Merger/Strategic Alliance Alternatives</w:t>
            </w:r>
            <w:r>
              <w:rPr>
                <w:noProof/>
                <w:webHidden/>
              </w:rPr>
              <w:tab/>
            </w:r>
            <w:r>
              <w:rPr>
                <w:noProof/>
                <w:webHidden/>
              </w:rPr>
              <w:fldChar w:fldCharType="begin"/>
            </w:r>
            <w:r>
              <w:rPr>
                <w:noProof/>
                <w:webHidden/>
              </w:rPr>
              <w:instrText xml:space="preserve"> PAGEREF _Toc216698511 \h </w:instrText>
            </w:r>
            <w:r>
              <w:rPr>
                <w:noProof/>
                <w:webHidden/>
              </w:rPr>
            </w:r>
            <w:r>
              <w:rPr>
                <w:noProof/>
                <w:webHidden/>
              </w:rPr>
              <w:fldChar w:fldCharType="separate"/>
            </w:r>
            <w:r>
              <w:rPr>
                <w:noProof/>
                <w:webHidden/>
              </w:rPr>
              <w:t>14</w:t>
            </w:r>
            <w:r>
              <w:rPr>
                <w:noProof/>
                <w:webHidden/>
              </w:rPr>
              <w:fldChar w:fldCharType="end"/>
            </w:r>
          </w:hyperlink>
        </w:p>
        <w:p w14:paraId="599ACB81" w14:textId="7B6ACEDD"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2" w:history="1">
            <w:r w:rsidRPr="008F6920">
              <w:rPr>
                <w:rStyle w:val="Hyperlink"/>
                <w:noProof/>
              </w:rPr>
              <w:t>Capital structure rebalancing and Injection of equity</w:t>
            </w:r>
            <w:r>
              <w:rPr>
                <w:noProof/>
                <w:webHidden/>
              </w:rPr>
              <w:tab/>
            </w:r>
            <w:r>
              <w:rPr>
                <w:noProof/>
                <w:webHidden/>
              </w:rPr>
              <w:fldChar w:fldCharType="begin"/>
            </w:r>
            <w:r>
              <w:rPr>
                <w:noProof/>
                <w:webHidden/>
              </w:rPr>
              <w:instrText xml:space="preserve"> PAGEREF _Toc216698512 \h </w:instrText>
            </w:r>
            <w:r>
              <w:rPr>
                <w:noProof/>
                <w:webHidden/>
              </w:rPr>
            </w:r>
            <w:r>
              <w:rPr>
                <w:noProof/>
                <w:webHidden/>
              </w:rPr>
              <w:fldChar w:fldCharType="separate"/>
            </w:r>
            <w:r>
              <w:rPr>
                <w:noProof/>
                <w:webHidden/>
              </w:rPr>
              <w:t>15</w:t>
            </w:r>
            <w:r>
              <w:rPr>
                <w:noProof/>
                <w:webHidden/>
              </w:rPr>
              <w:fldChar w:fldCharType="end"/>
            </w:r>
          </w:hyperlink>
        </w:p>
        <w:p w14:paraId="227DF6C5" w14:textId="4497048E"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3" w:history="1">
            <w:r w:rsidRPr="008F6920">
              <w:rPr>
                <w:rStyle w:val="Hyperlink"/>
                <w:noProof/>
              </w:rPr>
              <w:t>Shareholder Value, Debt Structure and Operational Flexibility Implications</w:t>
            </w:r>
            <w:r>
              <w:rPr>
                <w:noProof/>
                <w:webHidden/>
              </w:rPr>
              <w:tab/>
            </w:r>
            <w:r>
              <w:rPr>
                <w:noProof/>
                <w:webHidden/>
              </w:rPr>
              <w:fldChar w:fldCharType="begin"/>
            </w:r>
            <w:r>
              <w:rPr>
                <w:noProof/>
                <w:webHidden/>
              </w:rPr>
              <w:instrText xml:space="preserve"> PAGEREF _Toc216698513 \h </w:instrText>
            </w:r>
            <w:r>
              <w:rPr>
                <w:noProof/>
                <w:webHidden/>
              </w:rPr>
            </w:r>
            <w:r>
              <w:rPr>
                <w:noProof/>
                <w:webHidden/>
              </w:rPr>
              <w:fldChar w:fldCharType="separate"/>
            </w:r>
            <w:r>
              <w:rPr>
                <w:noProof/>
                <w:webHidden/>
              </w:rPr>
              <w:t>16</w:t>
            </w:r>
            <w:r>
              <w:rPr>
                <w:noProof/>
                <w:webHidden/>
              </w:rPr>
              <w:fldChar w:fldCharType="end"/>
            </w:r>
          </w:hyperlink>
        </w:p>
        <w:p w14:paraId="5570B46A" w14:textId="5D901584"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4" w:history="1">
            <w:r w:rsidRPr="008F6920">
              <w:rPr>
                <w:rStyle w:val="Hyperlink"/>
                <w:noProof/>
              </w:rPr>
              <w:t>International/Ethical-Considerations</w:t>
            </w:r>
            <w:r>
              <w:rPr>
                <w:noProof/>
                <w:webHidden/>
              </w:rPr>
              <w:tab/>
            </w:r>
            <w:r>
              <w:rPr>
                <w:noProof/>
                <w:webHidden/>
              </w:rPr>
              <w:fldChar w:fldCharType="begin"/>
            </w:r>
            <w:r>
              <w:rPr>
                <w:noProof/>
                <w:webHidden/>
              </w:rPr>
              <w:instrText xml:space="preserve"> PAGEREF _Toc216698514 \h </w:instrText>
            </w:r>
            <w:r>
              <w:rPr>
                <w:noProof/>
                <w:webHidden/>
              </w:rPr>
            </w:r>
            <w:r>
              <w:rPr>
                <w:noProof/>
                <w:webHidden/>
              </w:rPr>
              <w:fldChar w:fldCharType="separate"/>
            </w:r>
            <w:r>
              <w:rPr>
                <w:noProof/>
                <w:webHidden/>
              </w:rPr>
              <w:t>16</w:t>
            </w:r>
            <w:r>
              <w:rPr>
                <w:noProof/>
                <w:webHidden/>
              </w:rPr>
              <w:fldChar w:fldCharType="end"/>
            </w:r>
          </w:hyperlink>
        </w:p>
        <w:p w14:paraId="5FC61FF8" w14:textId="50EE9C00"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515" w:history="1">
            <w:r w:rsidRPr="008F6920">
              <w:rPr>
                <w:rStyle w:val="Hyperlink"/>
                <w:noProof/>
              </w:rPr>
              <w:t>Task 4</w:t>
            </w:r>
            <w:r>
              <w:rPr>
                <w:noProof/>
                <w:webHidden/>
              </w:rPr>
              <w:tab/>
            </w:r>
            <w:r>
              <w:rPr>
                <w:noProof/>
                <w:webHidden/>
              </w:rPr>
              <w:fldChar w:fldCharType="begin"/>
            </w:r>
            <w:r>
              <w:rPr>
                <w:noProof/>
                <w:webHidden/>
              </w:rPr>
              <w:instrText xml:space="preserve"> PAGEREF _Toc216698515 \h </w:instrText>
            </w:r>
            <w:r>
              <w:rPr>
                <w:noProof/>
                <w:webHidden/>
              </w:rPr>
            </w:r>
            <w:r>
              <w:rPr>
                <w:noProof/>
                <w:webHidden/>
              </w:rPr>
              <w:fldChar w:fldCharType="separate"/>
            </w:r>
            <w:r>
              <w:rPr>
                <w:noProof/>
                <w:webHidden/>
              </w:rPr>
              <w:t>18</w:t>
            </w:r>
            <w:r>
              <w:rPr>
                <w:noProof/>
                <w:webHidden/>
              </w:rPr>
              <w:fldChar w:fldCharType="end"/>
            </w:r>
          </w:hyperlink>
        </w:p>
        <w:p w14:paraId="4EC568A6" w14:textId="70D44C4A"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6" w:history="1">
            <w:r w:rsidRPr="008F6920">
              <w:rPr>
                <w:rStyle w:val="Hyperlink"/>
                <w:noProof/>
              </w:rPr>
              <w:t>Rationing Capitals and efficient choice of projects</w:t>
            </w:r>
            <w:r>
              <w:rPr>
                <w:noProof/>
                <w:webHidden/>
              </w:rPr>
              <w:tab/>
            </w:r>
            <w:r>
              <w:rPr>
                <w:noProof/>
                <w:webHidden/>
              </w:rPr>
              <w:fldChar w:fldCharType="begin"/>
            </w:r>
            <w:r>
              <w:rPr>
                <w:noProof/>
                <w:webHidden/>
              </w:rPr>
              <w:instrText xml:space="preserve"> PAGEREF _Toc216698516 \h </w:instrText>
            </w:r>
            <w:r>
              <w:rPr>
                <w:noProof/>
                <w:webHidden/>
              </w:rPr>
            </w:r>
            <w:r>
              <w:rPr>
                <w:noProof/>
                <w:webHidden/>
              </w:rPr>
              <w:fldChar w:fldCharType="separate"/>
            </w:r>
            <w:r>
              <w:rPr>
                <w:noProof/>
                <w:webHidden/>
              </w:rPr>
              <w:t>19</w:t>
            </w:r>
            <w:r>
              <w:rPr>
                <w:noProof/>
                <w:webHidden/>
              </w:rPr>
              <w:fldChar w:fldCharType="end"/>
            </w:r>
          </w:hyperlink>
        </w:p>
        <w:p w14:paraId="064C964E" w14:textId="0CCCA754"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7" w:history="1">
            <w:r w:rsidRPr="008F6920">
              <w:rPr>
                <w:rStyle w:val="Hyperlink"/>
                <w:noProof/>
              </w:rPr>
              <w:t>Financial Performance Grounds Rationale</w:t>
            </w:r>
            <w:r>
              <w:rPr>
                <w:noProof/>
                <w:webHidden/>
              </w:rPr>
              <w:tab/>
            </w:r>
            <w:r>
              <w:rPr>
                <w:noProof/>
                <w:webHidden/>
              </w:rPr>
              <w:fldChar w:fldCharType="begin"/>
            </w:r>
            <w:r>
              <w:rPr>
                <w:noProof/>
                <w:webHidden/>
              </w:rPr>
              <w:instrText xml:space="preserve"> PAGEREF _Toc216698517 \h </w:instrText>
            </w:r>
            <w:r>
              <w:rPr>
                <w:noProof/>
                <w:webHidden/>
              </w:rPr>
            </w:r>
            <w:r>
              <w:rPr>
                <w:noProof/>
                <w:webHidden/>
              </w:rPr>
              <w:fldChar w:fldCharType="separate"/>
            </w:r>
            <w:r>
              <w:rPr>
                <w:noProof/>
                <w:webHidden/>
              </w:rPr>
              <w:t>19</w:t>
            </w:r>
            <w:r>
              <w:rPr>
                <w:noProof/>
                <w:webHidden/>
              </w:rPr>
              <w:fldChar w:fldCharType="end"/>
            </w:r>
          </w:hyperlink>
        </w:p>
        <w:p w14:paraId="432ED453" w14:textId="730710DD" w:rsidR="00B02286" w:rsidRDefault="00B02286">
          <w:pPr>
            <w:pStyle w:val="TOC2"/>
            <w:tabs>
              <w:tab w:val="right" w:pos="9016"/>
            </w:tabs>
            <w:rPr>
              <w:rFonts w:asciiTheme="minorHAnsi" w:eastAsiaTheme="minorEastAsia" w:hAnsiTheme="minorHAnsi" w:cs="Mangal"/>
              <w:noProof/>
              <w:kern w:val="2"/>
              <w:szCs w:val="21"/>
              <w:lang w:eastAsia="ja-JP" w:bidi="hi-IN"/>
              <w14:ligatures w14:val="standardContextual"/>
            </w:rPr>
          </w:pPr>
          <w:hyperlink w:anchor="_Toc216698518" w:history="1">
            <w:r w:rsidRPr="008F6920">
              <w:rPr>
                <w:rStyle w:val="Hyperlink"/>
                <w:noProof/>
              </w:rPr>
              <w:t>Risk Characteristics and Cash Flow Volatility</w:t>
            </w:r>
            <w:r>
              <w:rPr>
                <w:noProof/>
                <w:webHidden/>
              </w:rPr>
              <w:tab/>
            </w:r>
            <w:r>
              <w:rPr>
                <w:noProof/>
                <w:webHidden/>
              </w:rPr>
              <w:fldChar w:fldCharType="begin"/>
            </w:r>
            <w:r>
              <w:rPr>
                <w:noProof/>
                <w:webHidden/>
              </w:rPr>
              <w:instrText xml:space="preserve"> PAGEREF _Toc216698518 \h </w:instrText>
            </w:r>
            <w:r>
              <w:rPr>
                <w:noProof/>
                <w:webHidden/>
              </w:rPr>
            </w:r>
            <w:r>
              <w:rPr>
                <w:noProof/>
                <w:webHidden/>
              </w:rPr>
              <w:fldChar w:fldCharType="separate"/>
            </w:r>
            <w:r>
              <w:rPr>
                <w:noProof/>
                <w:webHidden/>
              </w:rPr>
              <w:t>20</w:t>
            </w:r>
            <w:r>
              <w:rPr>
                <w:noProof/>
                <w:webHidden/>
              </w:rPr>
              <w:fldChar w:fldCharType="end"/>
            </w:r>
          </w:hyperlink>
        </w:p>
        <w:p w14:paraId="76945183" w14:textId="47B0859D"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519" w:history="1">
            <w:r w:rsidRPr="008F6920">
              <w:rPr>
                <w:rStyle w:val="Hyperlink"/>
                <w:noProof/>
              </w:rPr>
              <w:t>Conclusion</w:t>
            </w:r>
            <w:r>
              <w:rPr>
                <w:noProof/>
                <w:webHidden/>
              </w:rPr>
              <w:tab/>
            </w:r>
            <w:r>
              <w:rPr>
                <w:noProof/>
                <w:webHidden/>
              </w:rPr>
              <w:fldChar w:fldCharType="begin"/>
            </w:r>
            <w:r>
              <w:rPr>
                <w:noProof/>
                <w:webHidden/>
              </w:rPr>
              <w:instrText xml:space="preserve"> PAGEREF _Toc216698519 \h </w:instrText>
            </w:r>
            <w:r>
              <w:rPr>
                <w:noProof/>
                <w:webHidden/>
              </w:rPr>
            </w:r>
            <w:r>
              <w:rPr>
                <w:noProof/>
                <w:webHidden/>
              </w:rPr>
              <w:fldChar w:fldCharType="separate"/>
            </w:r>
            <w:r>
              <w:rPr>
                <w:noProof/>
                <w:webHidden/>
              </w:rPr>
              <w:t>22</w:t>
            </w:r>
            <w:r>
              <w:rPr>
                <w:noProof/>
                <w:webHidden/>
              </w:rPr>
              <w:fldChar w:fldCharType="end"/>
            </w:r>
          </w:hyperlink>
        </w:p>
        <w:p w14:paraId="3307F4DE" w14:textId="328BC5C6"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520" w:history="1">
            <w:r w:rsidRPr="008F6920">
              <w:rPr>
                <w:rStyle w:val="Hyperlink"/>
                <w:noProof/>
              </w:rPr>
              <w:t>References</w:t>
            </w:r>
            <w:r>
              <w:rPr>
                <w:noProof/>
                <w:webHidden/>
              </w:rPr>
              <w:tab/>
            </w:r>
            <w:r>
              <w:rPr>
                <w:noProof/>
                <w:webHidden/>
              </w:rPr>
              <w:fldChar w:fldCharType="begin"/>
            </w:r>
            <w:r>
              <w:rPr>
                <w:noProof/>
                <w:webHidden/>
              </w:rPr>
              <w:instrText xml:space="preserve"> PAGEREF _Toc216698520 \h </w:instrText>
            </w:r>
            <w:r>
              <w:rPr>
                <w:noProof/>
                <w:webHidden/>
              </w:rPr>
            </w:r>
            <w:r>
              <w:rPr>
                <w:noProof/>
                <w:webHidden/>
              </w:rPr>
              <w:fldChar w:fldCharType="separate"/>
            </w:r>
            <w:r>
              <w:rPr>
                <w:noProof/>
                <w:webHidden/>
              </w:rPr>
              <w:t>23</w:t>
            </w:r>
            <w:r>
              <w:rPr>
                <w:noProof/>
                <w:webHidden/>
              </w:rPr>
              <w:fldChar w:fldCharType="end"/>
            </w:r>
          </w:hyperlink>
        </w:p>
        <w:p w14:paraId="5349C03D" w14:textId="24BD12EA" w:rsidR="00B02286" w:rsidRDefault="00B02286">
          <w:pPr>
            <w:pStyle w:val="TOC1"/>
            <w:tabs>
              <w:tab w:val="right" w:pos="9016"/>
            </w:tabs>
            <w:rPr>
              <w:rFonts w:asciiTheme="minorHAnsi" w:eastAsiaTheme="minorEastAsia" w:hAnsiTheme="minorHAnsi" w:cs="Mangal"/>
              <w:noProof/>
              <w:kern w:val="2"/>
              <w:szCs w:val="21"/>
              <w:lang w:eastAsia="ja-JP" w:bidi="hi-IN"/>
              <w14:ligatures w14:val="standardContextual"/>
            </w:rPr>
          </w:pPr>
          <w:hyperlink w:anchor="_Toc216698521" w:history="1">
            <w:r w:rsidRPr="008F6920">
              <w:rPr>
                <w:rStyle w:val="Hyperlink"/>
                <w:noProof/>
                <w:lang/>
              </w:rPr>
              <w:t>Appendices</w:t>
            </w:r>
            <w:r>
              <w:rPr>
                <w:noProof/>
                <w:webHidden/>
              </w:rPr>
              <w:tab/>
            </w:r>
            <w:r>
              <w:rPr>
                <w:noProof/>
                <w:webHidden/>
              </w:rPr>
              <w:fldChar w:fldCharType="begin"/>
            </w:r>
            <w:r>
              <w:rPr>
                <w:noProof/>
                <w:webHidden/>
              </w:rPr>
              <w:instrText xml:space="preserve"> PAGEREF _Toc216698521 \h </w:instrText>
            </w:r>
            <w:r>
              <w:rPr>
                <w:noProof/>
                <w:webHidden/>
              </w:rPr>
            </w:r>
            <w:r>
              <w:rPr>
                <w:noProof/>
                <w:webHidden/>
              </w:rPr>
              <w:fldChar w:fldCharType="separate"/>
            </w:r>
            <w:r>
              <w:rPr>
                <w:noProof/>
                <w:webHidden/>
              </w:rPr>
              <w:t>25</w:t>
            </w:r>
            <w:r>
              <w:rPr>
                <w:noProof/>
                <w:webHidden/>
              </w:rPr>
              <w:fldChar w:fldCharType="end"/>
            </w:r>
          </w:hyperlink>
        </w:p>
        <w:p w14:paraId="00000016" w14:textId="4F60CAF6" w:rsidR="00CE63E5" w:rsidRDefault="001A6B4B">
          <w:pPr>
            <w:widowControl w:val="0"/>
            <w:tabs>
              <w:tab w:val="right" w:pos="12000"/>
            </w:tabs>
            <w:spacing w:before="60" w:line="240" w:lineRule="auto"/>
            <w:jc w:val="left"/>
            <w:rPr>
              <w:b/>
              <w:color w:val="000000"/>
            </w:rPr>
          </w:pPr>
          <w:r>
            <w:fldChar w:fldCharType="end"/>
          </w:r>
        </w:p>
      </w:sdtContent>
    </w:sdt>
    <w:p w14:paraId="23B2E735" w14:textId="77777777" w:rsidR="00B700F3" w:rsidRDefault="00B700F3">
      <w:pPr>
        <w:suppressAutoHyphens w:val="0"/>
        <w:autoSpaceDN/>
        <w:rPr>
          <w:b/>
          <w:color w:val="0070C0"/>
          <w:kern w:val="3"/>
          <w:sz w:val="32"/>
          <w:szCs w:val="32"/>
          <w:lang w:eastAsia="en-US"/>
        </w:rPr>
      </w:pPr>
      <w:r>
        <w:br w:type="page"/>
      </w:r>
    </w:p>
    <w:p w14:paraId="58724253" w14:textId="77777777" w:rsidR="00892D25" w:rsidRDefault="00892D25">
      <w:pPr>
        <w:suppressAutoHyphens w:val="0"/>
        <w:autoSpaceDN/>
        <w:rPr>
          <w:b/>
          <w:bCs/>
          <w:sz w:val="32"/>
          <w:szCs w:val="32"/>
        </w:rPr>
      </w:pPr>
      <w:r w:rsidRPr="00892D25">
        <w:rPr>
          <w:b/>
          <w:bCs/>
          <w:sz w:val="32"/>
          <w:szCs w:val="32"/>
        </w:rPr>
        <w:lastRenderedPageBreak/>
        <w:t>Figures</w:t>
      </w:r>
    </w:p>
    <w:p w14:paraId="028E4450" w14:textId="5E743B50" w:rsidR="00892D25" w:rsidRDefault="00892D25">
      <w:pPr>
        <w:pStyle w:val="TableofFigures"/>
        <w:tabs>
          <w:tab w:val="right" w:leader="dot" w:pos="9016"/>
        </w:tabs>
        <w:rPr>
          <w:rFonts w:asciiTheme="minorHAnsi" w:eastAsiaTheme="minorEastAsia" w:hAnsiTheme="minorHAnsi" w:cs="Mangal"/>
          <w:noProof/>
          <w:kern w:val="2"/>
          <w:szCs w:val="21"/>
          <w:lang w:eastAsia="ja-JP" w:bidi="hi-IN"/>
          <w14:ligatures w14:val="standardContextual"/>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216698478" w:history="1">
        <w:r w:rsidRPr="00D32C2C">
          <w:rPr>
            <w:rStyle w:val="Hyperlink"/>
            <w:noProof/>
          </w:rPr>
          <w:t>Figure 1</w:t>
        </w:r>
        <w:r w:rsidRPr="00D32C2C">
          <w:rPr>
            <w:rStyle w:val="Hyperlink"/>
            <w:noProof/>
            <w:lang w:val="en-US"/>
          </w:rPr>
          <w:t>: ALTMAN Z Score Model</w:t>
        </w:r>
        <w:r>
          <w:rPr>
            <w:noProof/>
            <w:webHidden/>
          </w:rPr>
          <w:tab/>
        </w:r>
        <w:r>
          <w:rPr>
            <w:noProof/>
            <w:webHidden/>
          </w:rPr>
          <w:fldChar w:fldCharType="begin"/>
        </w:r>
        <w:r>
          <w:rPr>
            <w:noProof/>
            <w:webHidden/>
          </w:rPr>
          <w:instrText xml:space="preserve"> PAGEREF _Toc216698478 \h </w:instrText>
        </w:r>
        <w:r>
          <w:rPr>
            <w:noProof/>
            <w:webHidden/>
          </w:rPr>
        </w:r>
        <w:r>
          <w:rPr>
            <w:noProof/>
            <w:webHidden/>
          </w:rPr>
          <w:fldChar w:fldCharType="separate"/>
        </w:r>
        <w:r>
          <w:rPr>
            <w:noProof/>
            <w:webHidden/>
          </w:rPr>
          <w:t>8</w:t>
        </w:r>
        <w:r>
          <w:rPr>
            <w:noProof/>
            <w:webHidden/>
          </w:rPr>
          <w:fldChar w:fldCharType="end"/>
        </w:r>
      </w:hyperlink>
    </w:p>
    <w:p w14:paraId="26DF6A16" w14:textId="21A7D6A2" w:rsidR="00892D25" w:rsidRDefault="00892D25">
      <w:pPr>
        <w:pStyle w:val="TableofFigures"/>
        <w:tabs>
          <w:tab w:val="right" w:leader="dot" w:pos="9016"/>
        </w:tabs>
        <w:rPr>
          <w:rFonts w:asciiTheme="minorHAnsi" w:eastAsiaTheme="minorEastAsia" w:hAnsiTheme="minorHAnsi" w:cs="Mangal"/>
          <w:noProof/>
          <w:kern w:val="2"/>
          <w:szCs w:val="21"/>
          <w:lang w:eastAsia="ja-JP" w:bidi="hi-IN"/>
          <w14:ligatures w14:val="standardContextual"/>
        </w:rPr>
      </w:pPr>
      <w:hyperlink w:anchor="_Toc216698479" w:history="1">
        <w:r w:rsidRPr="00D32C2C">
          <w:rPr>
            <w:rStyle w:val="Hyperlink"/>
            <w:noProof/>
          </w:rPr>
          <w:t>Figure 2</w:t>
        </w:r>
        <w:r w:rsidRPr="00D32C2C">
          <w:rPr>
            <w:rStyle w:val="Hyperlink"/>
            <w:noProof/>
            <w:lang w:val="en-US"/>
          </w:rPr>
          <w:t>: The Cash Conversion Cycle</w:t>
        </w:r>
        <w:r>
          <w:rPr>
            <w:noProof/>
            <w:webHidden/>
          </w:rPr>
          <w:tab/>
        </w:r>
        <w:r>
          <w:rPr>
            <w:noProof/>
            <w:webHidden/>
          </w:rPr>
          <w:fldChar w:fldCharType="begin"/>
        </w:r>
        <w:r>
          <w:rPr>
            <w:noProof/>
            <w:webHidden/>
          </w:rPr>
          <w:instrText xml:space="preserve"> PAGEREF _Toc216698479 \h </w:instrText>
        </w:r>
        <w:r>
          <w:rPr>
            <w:noProof/>
            <w:webHidden/>
          </w:rPr>
        </w:r>
        <w:r>
          <w:rPr>
            <w:noProof/>
            <w:webHidden/>
          </w:rPr>
          <w:fldChar w:fldCharType="separate"/>
        </w:r>
        <w:r>
          <w:rPr>
            <w:noProof/>
            <w:webHidden/>
          </w:rPr>
          <w:t>10</w:t>
        </w:r>
        <w:r>
          <w:rPr>
            <w:noProof/>
            <w:webHidden/>
          </w:rPr>
          <w:fldChar w:fldCharType="end"/>
        </w:r>
      </w:hyperlink>
    </w:p>
    <w:p w14:paraId="63F58A3C" w14:textId="788830B9" w:rsidR="00892D25" w:rsidRDefault="00892D25">
      <w:pPr>
        <w:pStyle w:val="TableofFigures"/>
        <w:tabs>
          <w:tab w:val="right" w:leader="dot" w:pos="9016"/>
        </w:tabs>
        <w:rPr>
          <w:rFonts w:asciiTheme="minorHAnsi" w:eastAsiaTheme="minorEastAsia" w:hAnsiTheme="minorHAnsi" w:cs="Mangal"/>
          <w:noProof/>
          <w:kern w:val="2"/>
          <w:szCs w:val="21"/>
          <w:lang w:eastAsia="ja-JP" w:bidi="hi-IN"/>
          <w14:ligatures w14:val="standardContextual"/>
        </w:rPr>
      </w:pPr>
      <w:hyperlink w:anchor="_Toc216698480" w:history="1">
        <w:r w:rsidRPr="00D32C2C">
          <w:rPr>
            <w:rStyle w:val="Hyperlink"/>
            <w:noProof/>
          </w:rPr>
          <w:t>Figure 3</w:t>
        </w:r>
        <w:r w:rsidRPr="00D32C2C">
          <w:rPr>
            <w:rStyle w:val="Hyperlink"/>
            <w:noProof/>
            <w:lang w:val="en-US"/>
          </w:rPr>
          <w:t>: Ways to increase working capital</w:t>
        </w:r>
        <w:r>
          <w:rPr>
            <w:noProof/>
            <w:webHidden/>
          </w:rPr>
          <w:tab/>
        </w:r>
        <w:r>
          <w:rPr>
            <w:noProof/>
            <w:webHidden/>
          </w:rPr>
          <w:fldChar w:fldCharType="begin"/>
        </w:r>
        <w:r>
          <w:rPr>
            <w:noProof/>
            <w:webHidden/>
          </w:rPr>
          <w:instrText xml:space="preserve"> PAGEREF _Toc216698480 \h </w:instrText>
        </w:r>
        <w:r>
          <w:rPr>
            <w:noProof/>
            <w:webHidden/>
          </w:rPr>
        </w:r>
        <w:r>
          <w:rPr>
            <w:noProof/>
            <w:webHidden/>
          </w:rPr>
          <w:fldChar w:fldCharType="separate"/>
        </w:r>
        <w:r>
          <w:rPr>
            <w:noProof/>
            <w:webHidden/>
          </w:rPr>
          <w:t>11</w:t>
        </w:r>
        <w:r>
          <w:rPr>
            <w:noProof/>
            <w:webHidden/>
          </w:rPr>
          <w:fldChar w:fldCharType="end"/>
        </w:r>
      </w:hyperlink>
    </w:p>
    <w:p w14:paraId="5DC51223" w14:textId="003A6FA9" w:rsidR="00892D25" w:rsidRDefault="00892D25">
      <w:pPr>
        <w:pStyle w:val="TableofFigures"/>
        <w:tabs>
          <w:tab w:val="right" w:leader="dot" w:pos="9016"/>
        </w:tabs>
        <w:rPr>
          <w:rFonts w:asciiTheme="minorHAnsi" w:eastAsiaTheme="minorEastAsia" w:hAnsiTheme="minorHAnsi" w:cs="Mangal"/>
          <w:noProof/>
          <w:kern w:val="2"/>
          <w:szCs w:val="21"/>
          <w:lang w:eastAsia="ja-JP" w:bidi="hi-IN"/>
          <w14:ligatures w14:val="standardContextual"/>
        </w:rPr>
      </w:pPr>
      <w:hyperlink w:anchor="_Toc216698481" w:history="1">
        <w:r w:rsidRPr="00D32C2C">
          <w:rPr>
            <w:rStyle w:val="Hyperlink"/>
            <w:noProof/>
          </w:rPr>
          <w:t>Figure 4</w:t>
        </w:r>
        <w:r w:rsidRPr="00D32C2C">
          <w:rPr>
            <w:rStyle w:val="Hyperlink"/>
            <w:noProof/>
            <w:lang w:val="en-US"/>
          </w:rPr>
          <w:t>: Strategic Divestiture for General Electronics</w:t>
        </w:r>
        <w:r>
          <w:rPr>
            <w:noProof/>
            <w:webHidden/>
          </w:rPr>
          <w:tab/>
        </w:r>
        <w:r>
          <w:rPr>
            <w:noProof/>
            <w:webHidden/>
          </w:rPr>
          <w:fldChar w:fldCharType="begin"/>
        </w:r>
        <w:r>
          <w:rPr>
            <w:noProof/>
            <w:webHidden/>
          </w:rPr>
          <w:instrText xml:space="preserve"> PAGEREF _Toc216698481 \h </w:instrText>
        </w:r>
        <w:r>
          <w:rPr>
            <w:noProof/>
            <w:webHidden/>
          </w:rPr>
        </w:r>
        <w:r>
          <w:rPr>
            <w:noProof/>
            <w:webHidden/>
          </w:rPr>
          <w:fldChar w:fldCharType="separate"/>
        </w:r>
        <w:r>
          <w:rPr>
            <w:noProof/>
            <w:webHidden/>
          </w:rPr>
          <w:t>14</w:t>
        </w:r>
        <w:r>
          <w:rPr>
            <w:noProof/>
            <w:webHidden/>
          </w:rPr>
          <w:fldChar w:fldCharType="end"/>
        </w:r>
      </w:hyperlink>
    </w:p>
    <w:p w14:paraId="6C55A998" w14:textId="3F633570" w:rsidR="00892D25" w:rsidRDefault="00892D25">
      <w:pPr>
        <w:pStyle w:val="TableofFigures"/>
        <w:tabs>
          <w:tab w:val="right" w:leader="dot" w:pos="9016"/>
        </w:tabs>
        <w:rPr>
          <w:rFonts w:asciiTheme="minorHAnsi" w:eastAsiaTheme="minorEastAsia" w:hAnsiTheme="minorHAnsi" w:cs="Mangal"/>
          <w:noProof/>
          <w:kern w:val="2"/>
          <w:szCs w:val="21"/>
          <w:lang w:eastAsia="ja-JP" w:bidi="hi-IN"/>
          <w14:ligatures w14:val="standardContextual"/>
        </w:rPr>
      </w:pPr>
      <w:hyperlink w:anchor="_Toc216698482" w:history="1">
        <w:r w:rsidRPr="00D32C2C">
          <w:rPr>
            <w:rStyle w:val="Hyperlink"/>
            <w:noProof/>
          </w:rPr>
          <w:t>Figure 5</w:t>
        </w:r>
        <w:r w:rsidRPr="00D32C2C">
          <w:rPr>
            <w:rStyle w:val="Hyperlink"/>
            <w:noProof/>
            <w:lang w:val="en-US"/>
          </w:rPr>
          <w:t>: Creative Equity Injection. Sources</w:t>
        </w:r>
        <w:r>
          <w:rPr>
            <w:noProof/>
            <w:webHidden/>
          </w:rPr>
          <w:tab/>
        </w:r>
        <w:r>
          <w:rPr>
            <w:noProof/>
            <w:webHidden/>
          </w:rPr>
          <w:fldChar w:fldCharType="begin"/>
        </w:r>
        <w:r>
          <w:rPr>
            <w:noProof/>
            <w:webHidden/>
          </w:rPr>
          <w:instrText xml:space="preserve"> PAGEREF _Toc216698482 \h </w:instrText>
        </w:r>
        <w:r>
          <w:rPr>
            <w:noProof/>
            <w:webHidden/>
          </w:rPr>
        </w:r>
        <w:r>
          <w:rPr>
            <w:noProof/>
            <w:webHidden/>
          </w:rPr>
          <w:fldChar w:fldCharType="separate"/>
        </w:r>
        <w:r>
          <w:rPr>
            <w:noProof/>
            <w:webHidden/>
          </w:rPr>
          <w:t>15</w:t>
        </w:r>
        <w:r>
          <w:rPr>
            <w:noProof/>
            <w:webHidden/>
          </w:rPr>
          <w:fldChar w:fldCharType="end"/>
        </w:r>
      </w:hyperlink>
    </w:p>
    <w:p w14:paraId="2D58271A" w14:textId="65F7063E" w:rsidR="00892D25" w:rsidRDefault="00892D25">
      <w:pPr>
        <w:pStyle w:val="TableofFigures"/>
        <w:tabs>
          <w:tab w:val="right" w:leader="dot" w:pos="9016"/>
        </w:tabs>
        <w:rPr>
          <w:rFonts w:asciiTheme="minorHAnsi" w:eastAsiaTheme="minorEastAsia" w:hAnsiTheme="minorHAnsi" w:cs="Mangal"/>
          <w:noProof/>
          <w:kern w:val="2"/>
          <w:szCs w:val="21"/>
          <w:lang w:eastAsia="ja-JP" w:bidi="hi-IN"/>
          <w14:ligatures w14:val="standardContextual"/>
        </w:rPr>
      </w:pPr>
      <w:hyperlink w:anchor="_Toc216698483" w:history="1">
        <w:r w:rsidRPr="00D32C2C">
          <w:rPr>
            <w:rStyle w:val="Hyperlink"/>
            <w:noProof/>
          </w:rPr>
          <w:t>Figure 6</w:t>
        </w:r>
        <w:r w:rsidRPr="00D32C2C">
          <w:rPr>
            <w:rStyle w:val="Hyperlink"/>
            <w:noProof/>
            <w:lang w:val="en-US"/>
          </w:rPr>
          <w:t>: Should Project C Be Pursued</w:t>
        </w:r>
        <w:r>
          <w:rPr>
            <w:noProof/>
            <w:webHidden/>
          </w:rPr>
          <w:tab/>
        </w:r>
        <w:r>
          <w:rPr>
            <w:noProof/>
            <w:webHidden/>
          </w:rPr>
          <w:fldChar w:fldCharType="begin"/>
        </w:r>
        <w:r>
          <w:rPr>
            <w:noProof/>
            <w:webHidden/>
          </w:rPr>
          <w:instrText xml:space="preserve"> PAGEREF _Toc216698483 \h </w:instrText>
        </w:r>
        <w:r>
          <w:rPr>
            <w:noProof/>
            <w:webHidden/>
          </w:rPr>
        </w:r>
        <w:r>
          <w:rPr>
            <w:noProof/>
            <w:webHidden/>
          </w:rPr>
          <w:fldChar w:fldCharType="separate"/>
        </w:r>
        <w:r>
          <w:rPr>
            <w:noProof/>
            <w:webHidden/>
          </w:rPr>
          <w:t>20</w:t>
        </w:r>
        <w:r>
          <w:rPr>
            <w:noProof/>
            <w:webHidden/>
          </w:rPr>
          <w:fldChar w:fldCharType="end"/>
        </w:r>
      </w:hyperlink>
    </w:p>
    <w:p w14:paraId="10113326" w14:textId="29E0E617" w:rsidR="00892D25" w:rsidRPr="00892D25" w:rsidRDefault="00892D25">
      <w:pPr>
        <w:suppressAutoHyphens w:val="0"/>
        <w:autoSpaceDN/>
        <w:rPr>
          <w:b/>
          <w:bCs/>
          <w:sz w:val="32"/>
          <w:szCs w:val="32"/>
        </w:rPr>
      </w:pPr>
      <w:r>
        <w:rPr>
          <w:b/>
          <w:bCs/>
          <w:sz w:val="32"/>
          <w:szCs w:val="32"/>
        </w:rPr>
        <w:fldChar w:fldCharType="end"/>
      </w:r>
    </w:p>
    <w:p w14:paraId="105FD5D0" w14:textId="55C7436B" w:rsidR="00B700F3" w:rsidRDefault="00B700F3">
      <w:pPr>
        <w:suppressAutoHyphens w:val="0"/>
        <w:autoSpaceDN/>
        <w:rPr>
          <w:b/>
          <w:color w:val="0070C0"/>
          <w:kern w:val="3"/>
          <w:sz w:val="32"/>
          <w:szCs w:val="32"/>
          <w:lang w:eastAsia="en-US"/>
        </w:rPr>
      </w:pPr>
      <w:r>
        <w:br w:type="page"/>
      </w:r>
    </w:p>
    <w:p w14:paraId="00000019" w14:textId="4A2BE0E7" w:rsidR="00CE63E5" w:rsidRDefault="001A6B4B">
      <w:pPr>
        <w:pStyle w:val="Heading1"/>
      </w:pPr>
      <w:bookmarkStart w:id="0" w:name="_Toc216698497"/>
      <w:r>
        <w:lastRenderedPageBreak/>
        <w:t>Introduction</w:t>
      </w:r>
      <w:bookmarkEnd w:id="0"/>
    </w:p>
    <w:p w14:paraId="019FC199" w14:textId="3896B213" w:rsidR="00BC72CA" w:rsidRDefault="00BC72CA" w:rsidP="00BC72CA">
      <w:pPr>
        <w:rPr>
          <w:lang w:eastAsia="en-US"/>
        </w:rPr>
      </w:pPr>
      <w:r>
        <w:rPr>
          <w:lang w:eastAsia="en-US"/>
        </w:rPr>
        <w:t xml:space="preserve">Proper financial decision-making would come in handy under a dynamic and volatile business landscape that is </w:t>
      </w:r>
      <w:r w:rsidR="00C25789">
        <w:rPr>
          <w:lang w:eastAsia="en-US"/>
        </w:rPr>
        <w:t>capital-constrained</w:t>
      </w:r>
      <w:r>
        <w:rPr>
          <w:lang w:eastAsia="en-US"/>
        </w:rPr>
        <w:t xml:space="preserve">, to within organisational performance and shareholder value. The present report evaluates the financial situation and other possible strategies of the company as viewed through the lens of senior financial management through the application of the available principles of corporate finance that help to make informed decisions. The factual analysis will start with a general overview of the financial performance and liquidity, followed by the analysis of the working capital efficiency and how the same affects the stability of the short term. </w:t>
      </w:r>
      <w:r w:rsidR="00C25789">
        <w:rPr>
          <w:lang w:eastAsia="en-US"/>
        </w:rPr>
        <w:t>Based on</w:t>
      </w:r>
      <w:r>
        <w:rPr>
          <w:lang w:eastAsia="en-US"/>
        </w:rPr>
        <w:t xml:space="preserve"> this </w:t>
      </w:r>
      <w:r w:rsidR="00C25789">
        <w:rPr>
          <w:lang w:eastAsia="en-US"/>
        </w:rPr>
        <w:t>specialisation</w:t>
      </w:r>
      <w:r>
        <w:rPr>
          <w:lang w:eastAsia="en-US"/>
        </w:rPr>
        <w:t xml:space="preserve">, the report also addresses the aspect of how financial structure can be restructured strategically; it proceeds to elaborate on the capital investment appraisal in </w:t>
      </w:r>
      <w:r w:rsidR="00C25789">
        <w:rPr>
          <w:lang w:eastAsia="en-US"/>
        </w:rPr>
        <w:t>detail</w:t>
      </w:r>
      <w:r>
        <w:rPr>
          <w:lang w:eastAsia="en-US"/>
        </w:rPr>
        <w:t xml:space="preserve"> within the confines of capital rationing.</w:t>
      </w:r>
    </w:p>
    <w:p w14:paraId="4F5635E8" w14:textId="77777777" w:rsidR="00BA3E59" w:rsidRDefault="00BA3E59" w:rsidP="00BC72CA">
      <w:pPr>
        <w:rPr>
          <w:lang w:eastAsia="en-US"/>
        </w:rPr>
      </w:pPr>
    </w:p>
    <w:p w14:paraId="68D2ACE6" w14:textId="77777777" w:rsidR="00BC72CA" w:rsidRDefault="00BC72CA" w:rsidP="00BC72CA">
      <w:pPr>
        <w:rPr>
          <w:lang w:eastAsia="en-US"/>
        </w:rPr>
      </w:pPr>
    </w:p>
    <w:p w14:paraId="0000001B" w14:textId="32C54F90" w:rsidR="00CE63E5" w:rsidRDefault="001A6B4B">
      <w:pPr>
        <w:pStyle w:val="Heading1"/>
      </w:pPr>
      <w:r>
        <w:br w:type="page"/>
      </w:r>
      <w:bookmarkStart w:id="1" w:name="_Toc216698498"/>
      <w:r w:rsidR="00D21EA4">
        <w:lastRenderedPageBreak/>
        <w:t>Task 1</w:t>
      </w:r>
      <w:bookmarkEnd w:id="1"/>
    </w:p>
    <w:p w14:paraId="6ECEC35D" w14:textId="06367827" w:rsidR="00C934C8" w:rsidRDefault="00C934C8" w:rsidP="00C934C8">
      <w:pPr>
        <w:pStyle w:val="Heading2"/>
      </w:pPr>
      <w:r>
        <w:t>Financial Analysis of Financial Statements and Financial Statement Summary</w:t>
      </w:r>
    </w:p>
    <w:p w14:paraId="13960054" w14:textId="334ABF48" w:rsidR="00C934C8" w:rsidRDefault="00C934C8" w:rsidP="00C934C8">
      <w:pPr>
        <w:rPr>
          <w:lang w:eastAsia="en-US"/>
        </w:rPr>
      </w:pPr>
      <w:r>
        <w:rPr>
          <w:lang w:eastAsia="en-US"/>
        </w:rPr>
        <w:t>In this case</w:t>
      </w:r>
      <w:r w:rsidR="00D305AD">
        <w:rPr>
          <w:lang w:eastAsia="en-US"/>
        </w:rPr>
        <w:t>,</w:t>
      </w:r>
      <w:r>
        <w:rPr>
          <w:lang w:eastAsia="en-US"/>
        </w:rPr>
        <w:t xml:space="preserve"> as Chief Financial Officer (CFO) of General Electronics</w:t>
      </w:r>
      <w:r w:rsidR="00D305AD">
        <w:rPr>
          <w:lang w:eastAsia="en-US"/>
        </w:rPr>
        <w:t>,</w:t>
      </w:r>
      <w:r>
        <w:rPr>
          <w:lang w:eastAsia="en-US"/>
        </w:rPr>
        <w:t xml:space="preserve"> financial health analysis was done through </w:t>
      </w:r>
      <w:r w:rsidR="00D305AD">
        <w:rPr>
          <w:lang w:eastAsia="en-US"/>
        </w:rPr>
        <w:t>analysing</w:t>
      </w:r>
      <w:r>
        <w:rPr>
          <w:lang w:eastAsia="en-US"/>
        </w:rPr>
        <w:t xml:space="preserve"> the published financial statements of the firm </w:t>
      </w:r>
      <w:r w:rsidR="00D305AD">
        <w:rPr>
          <w:lang w:eastAsia="en-US"/>
        </w:rPr>
        <w:t>from</w:t>
      </w:r>
      <w:r>
        <w:rPr>
          <w:lang w:eastAsia="en-US"/>
        </w:rPr>
        <w:t xml:space="preserve"> 2020 to the year 2024. This analysis is aimed at assessing the financial performance, operating efficiency, liquidity and solvency and also to gauge the vulnerability of this company to financial distress.</w:t>
      </w:r>
    </w:p>
    <w:p w14:paraId="5448F812" w14:textId="176806BD" w:rsidR="00C934C8" w:rsidRDefault="00C934C8" w:rsidP="00C934C8">
      <w:pPr>
        <w:rPr>
          <w:lang w:eastAsia="en-US"/>
        </w:rPr>
      </w:pPr>
      <w:r>
        <w:rPr>
          <w:lang w:eastAsia="en-US"/>
        </w:rPr>
        <w:t xml:space="preserve">The income statement shows that the trend of the decrease </w:t>
      </w:r>
      <w:r w:rsidR="00D305AD">
        <w:rPr>
          <w:lang w:eastAsia="en-US"/>
        </w:rPr>
        <w:t>in</w:t>
      </w:r>
      <w:r>
        <w:rPr>
          <w:lang w:eastAsia="en-US"/>
        </w:rPr>
        <w:t xml:space="preserve"> income is actually current as time goes by</w:t>
      </w:r>
      <w:r w:rsidR="00057654">
        <w:rPr>
          <w:lang w:eastAsia="en-US"/>
        </w:rPr>
        <w:t xml:space="preserve"> </w:t>
      </w:r>
      <w:r w:rsidR="00057654">
        <w:rPr>
          <w:color w:val="000000"/>
        </w:rPr>
        <w:t>(McLean and Talbert, 2017)</w:t>
      </w:r>
      <w:r>
        <w:rPr>
          <w:lang w:eastAsia="en-US"/>
        </w:rPr>
        <w:t xml:space="preserve">. The net sales turned to circa </w:t>
      </w:r>
      <w:r w:rsidR="00BC15F3">
        <w:t>£</w:t>
      </w:r>
      <w:r>
        <w:rPr>
          <w:lang w:eastAsia="en-US"/>
        </w:rPr>
        <w:t xml:space="preserve">394.9 billion in 2024, which is a substantial decline in its market demand compared to </w:t>
      </w:r>
      <w:r w:rsidR="00BC15F3">
        <w:t>£</w:t>
      </w:r>
      <w:r>
        <w:rPr>
          <w:lang w:eastAsia="en-US"/>
        </w:rPr>
        <w:t xml:space="preserve">614.7 billion in 2020. Although </w:t>
      </w:r>
      <w:r w:rsidR="00D305AD">
        <w:rPr>
          <w:lang w:eastAsia="en-US"/>
        </w:rPr>
        <w:t xml:space="preserve">the </w:t>
      </w:r>
      <w:r>
        <w:rPr>
          <w:lang w:eastAsia="en-US"/>
        </w:rPr>
        <w:t>cost of sales reduced in absolute terms, the reduction in revenues was more than that of cost efficiencies</w:t>
      </w:r>
      <w:r w:rsidR="00D305AD">
        <w:rPr>
          <w:lang w:eastAsia="en-US"/>
        </w:rPr>
        <w:t>,</w:t>
      </w:r>
      <w:r>
        <w:rPr>
          <w:lang w:eastAsia="en-US"/>
        </w:rPr>
        <w:t xml:space="preserve"> and this resulted in </w:t>
      </w:r>
      <w:r w:rsidR="00D305AD">
        <w:rPr>
          <w:lang w:eastAsia="en-US"/>
        </w:rPr>
        <w:t xml:space="preserve">a </w:t>
      </w:r>
      <w:r>
        <w:rPr>
          <w:lang w:eastAsia="en-US"/>
        </w:rPr>
        <w:t>reduction in margins. The operating income was pathetic, and it turned negative in 2023 and 2024, which demonstrates the existence of structural operating inefficiencies and a lack of cost agility.</w:t>
      </w:r>
    </w:p>
    <w:p w14:paraId="569504C0" w14:textId="543861F4" w:rsidR="00C934C8" w:rsidRDefault="00C934C8" w:rsidP="00C934C8">
      <w:pPr>
        <w:rPr>
          <w:lang w:eastAsia="en-US"/>
        </w:rPr>
      </w:pPr>
      <w:r>
        <w:rPr>
          <w:lang w:eastAsia="en-US"/>
        </w:rPr>
        <w:t xml:space="preserve">The financial status is also declining as indicated in the balance sheet. The decline of the total assets occurred between </w:t>
      </w:r>
      <w:r w:rsidR="00BC15F3">
        <w:t>£</w:t>
      </w:r>
      <w:r>
        <w:rPr>
          <w:lang w:eastAsia="en-US"/>
        </w:rPr>
        <w:t xml:space="preserve">510.3 billion and </w:t>
      </w:r>
      <w:r w:rsidR="00BC15F3">
        <w:t>£</w:t>
      </w:r>
      <w:r>
        <w:rPr>
          <w:lang w:eastAsia="en-US"/>
        </w:rPr>
        <w:t>323.4 billion in 2020 and 2024</w:t>
      </w:r>
      <w:r w:rsidR="00D305AD">
        <w:rPr>
          <w:lang w:eastAsia="en-US"/>
        </w:rPr>
        <w:t>, respectively,</w:t>
      </w:r>
      <w:r>
        <w:rPr>
          <w:lang w:eastAsia="en-US"/>
        </w:rPr>
        <w:t xml:space="preserve"> because of the fall in current assets, inventory, and cash balances</w:t>
      </w:r>
      <w:r w:rsidR="00057654">
        <w:rPr>
          <w:lang w:eastAsia="en-US"/>
        </w:rPr>
        <w:t xml:space="preserve"> </w:t>
      </w:r>
      <w:r w:rsidR="00057654">
        <w:rPr>
          <w:color w:val="000000"/>
        </w:rPr>
        <w:t xml:space="preserve">(Chandra and </w:t>
      </w:r>
      <w:proofErr w:type="spellStart"/>
      <w:r w:rsidR="00057654">
        <w:rPr>
          <w:color w:val="000000"/>
        </w:rPr>
        <w:t>Juliawati</w:t>
      </w:r>
      <w:proofErr w:type="spellEnd"/>
      <w:r w:rsidR="00057654">
        <w:rPr>
          <w:color w:val="000000"/>
        </w:rPr>
        <w:t>, 2020)</w:t>
      </w:r>
      <w:r>
        <w:rPr>
          <w:lang w:eastAsia="en-US"/>
        </w:rPr>
        <w:t xml:space="preserve">. The equity of the shareholders deteriorated drastically in the period </w:t>
      </w:r>
      <w:r w:rsidR="00D305AD">
        <w:rPr>
          <w:lang w:eastAsia="en-US"/>
        </w:rPr>
        <w:t>from</w:t>
      </w:r>
      <w:r>
        <w:rPr>
          <w:lang w:eastAsia="en-US"/>
        </w:rPr>
        <w:t xml:space="preserve"> approximately </w:t>
      </w:r>
      <w:r w:rsidR="00BC15F3">
        <w:t>£</w:t>
      </w:r>
      <w:r>
        <w:rPr>
          <w:lang w:eastAsia="en-US"/>
        </w:rPr>
        <w:t xml:space="preserve">313.3 billion to </w:t>
      </w:r>
      <w:r w:rsidR="00BC15F3">
        <w:t>£</w:t>
      </w:r>
      <w:r>
        <w:rPr>
          <w:lang w:eastAsia="en-US"/>
        </w:rPr>
        <w:t>153.1 billion</w:t>
      </w:r>
      <w:r w:rsidR="00D305AD">
        <w:rPr>
          <w:lang w:eastAsia="en-US"/>
        </w:rPr>
        <w:t>,</w:t>
      </w:r>
      <w:r>
        <w:rPr>
          <w:lang w:eastAsia="en-US"/>
        </w:rPr>
        <w:t xml:space="preserve"> which is more a result of the cumulative losses. In spite of this watering down of equity, there were quite high liabilities that increased the financial risk profile of this company. With the operating cash flows remaining positive, they also reduced considerably, and this raises an issue that questions the viability of internal generation of cash.</w:t>
      </w:r>
    </w:p>
    <w:p w14:paraId="21A25B99" w14:textId="6F5F9A7C" w:rsidR="00C934C8" w:rsidRDefault="00C934C8" w:rsidP="00C934C8">
      <w:pPr>
        <w:pStyle w:val="Heading2"/>
      </w:pPr>
      <w:r>
        <w:t xml:space="preserve">Profitability and Efficiency </w:t>
      </w:r>
      <w:r w:rsidR="00D305AD">
        <w:t>Ratio</w:t>
      </w:r>
      <w:r>
        <w:t xml:space="preserve"> Analysis</w:t>
      </w:r>
    </w:p>
    <w:p w14:paraId="6CA0CB2E" w14:textId="0563DA70" w:rsidR="00C934C8" w:rsidRDefault="00C934C8" w:rsidP="00C934C8">
      <w:pPr>
        <w:rPr>
          <w:lang w:eastAsia="en-US"/>
        </w:rPr>
      </w:pPr>
      <w:r>
        <w:rPr>
          <w:lang w:eastAsia="en-US"/>
        </w:rPr>
        <w:t>The profitability ratios are also indicative that General Electronics has suffered a visible reduction in its ability to make profits</w:t>
      </w:r>
      <w:r w:rsidR="00057654">
        <w:rPr>
          <w:lang w:eastAsia="en-US"/>
        </w:rPr>
        <w:t xml:space="preserve"> </w:t>
      </w:r>
      <w:r w:rsidR="00057654">
        <w:rPr>
          <w:color w:val="000000"/>
        </w:rPr>
        <w:t>(Ziarko, 2020)</w:t>
      </w:r>
      <w:r>
        <w:rPr>
          <w:lang w:eastAsia="en-US"/>
        </w:rPr>
        <w:t>. The gross profit margin declined comparatively</w:t>
      </w:r>
      <w:r w:rsidR="00D305AD">
        <w:rPr>
          <w:lang w:eastAsia="en-US"/>
        </w:rPr>
        <w:t>,</w:t>
      </w:r>
      <w:r>
        <w:rPr>
          <w:lang w:eastAsia="en-US"/>
        </w:rPr>
        <w:t xml:space="preserve"> and yet not too </w:t>
      </w:r>
      <w:r w:rsidR="00D305AD">
        <w:rPr>
          <w:lang w:eastAsia="en-US"/>
        </w:rPr>
        <w:t>significantly</w:t>
      </w:r>
      <w:r>
        <w:rPr>
          <w:lang w:eastAsia="en-US"/>
        </w:rPr>
        <w:t xml:space="preserve">, </w:t>
      </w:r>
      <w:r w:rsidR="00D305AD">
        <w:rPr>
          <w:lang w:eastAsia="en-US"/>
        </w:rPr>
        <w:t xml:space="preserve">from </w:t>
      </w:r>
      <w:r>
        <w:rPr>
          <w:lang w:eastAsia="en-US"/>
        </w:rPr>
        <w:t>28.7 in 2020 to about 28.0 in 2024, which meant that core production efficiency did not cause significant negative effects in the past years, but the force of prices had a bad effect in the last years. The operating profit margin was also decreasing</w:t>
      </w:r>
      <w:r w:rsidR="00D305AD">
        <w:rPr>
          <w:lang w:eastAsia="en-US"/>
        </w:rPr>
        <w:t>,</w:t>
      </w:r>
      <w:r>
        <w:rPr>
          <w:lang w:eastAsia="en-US"/>
        </w:rPr>
        <w:t xml:space="preserve"> with the drop being to -21.3% in 2023</w:t>
      </w:r>
      <w:r w:rsidR="00D305AD">
        <w:rPr>
          <w:lang w:eastAsia="en-US"/>
        </w:rPr>
        <w:t>,</w:t>
      </w:r>
      <w:r>
        <w:rPr>
          <w:lang w:eastAsia="en-US"/>
        </w:rPr>
        <w:t xml:space="preserve"> but negative in 2024. This indicates that the cost of operation was not efficiently managed as the revenues reduced.</w:t>
      </w:r>
    </w:p>
    <w:p w14:paraId="6F9F924D" w14:textId="77777777" w:rsidR="00C934C8" w:rsidRDefault="00C934C8" w:rsidP="00C934C8">
      <w:pPr>
        <w:rPr>
          <w:lang w:eastAsia="en-US"/>
        </w:rPr>
      </w:pPr>
    </w:p>
    <w:p w14:paraId="7922CD5E" w14:textId="0FA0D439" w:rsidR="00C934C8" w:rsidRDefault="00C934C8" w:rsidP="00C934C8">
      <w:pPr>
        <w:rPr>
          <w:lang w:eastAsia="en-US"/>
        </w:rPr>
      </w:pPr>
      <w:r>
        <w:rPr>
          <w:lang w:eastAsia="en-US"/>
        </w:rPr>
        <w:t>The trend of the net profit margin was also somewhat different</w:t>
      </w:r>
      <w:r w:rsidR="00D305AD">
        <w:rPr>
          <w:lang w:eastAsia="en-US"/>
        </w:rPr>
        <w:t>,</w:t>
      </w:r>
      <w:r>
        <w:rPr>
          <w:lang w:eastAsia="en-US"/>
        </w:rPr>
        <w:t xml:space="preserve"> as it decreased during 2020 and reached about 6.3 </w:t>
      </w:r>
      <w:r w:rsidR="00D305AD">
        <w:rPr>
          <w:lang w:eastAsia="en-US"/>
        </w:rPr>
        <w:t>per cent</w:t>
      </w:r>
      <w:r>
        <w:rPr>
          <w:lang w:eastAsia="en-US"/>
        </w:rPr>
        <w:t xml:space="preserve">, and then decreased in 2024 to about -6.1 </w:t>
      </w:r>
      <w:r w:rsidR="00D305AD">
        <w:rPr>
          <w:lang w:eastAsia="en-US"/>
        </w:rPr>
        <w:t>per cent</w:t>
      </w:r>
      <w:r>
        <w:rPr>
          <w:lang w:eastAsia="en-US"/>
        </w:rPr>
        <w:t xml:space="preserve"> because of </w:t>
      </w:r>
      <w:r>
        <w:rPr>
          <w:lang w:eastAsia="en-US"/>
        </w:rPr>
        <w:lastRenderedPageBreak/>
        <w:t xml:space="preserve">the financial and non-operating strains that accumulated. The fact that it has been recording losses in the past several years demonstrates that the company has stopped creating value </w:t>
      </w:r>
      <w:r w:rsidR="00D305AD">
        <w:rPr>
          <w:lang w:eastAsia="en-US"/>
        </w:rPr>
        <w:t>for</w:t>
      </w:r>
      <w:r>
        <w:rPr>
          <w:lang w:eastAsia="en-US"/>
        </w:rPr>
        <w:t xml:space="preserve"> shareholders. The ratio of the return on assets (ROA) declined by about 7.6 in 2020 to -7.4 in 2024</w:t>
      </w:r>
      <w:r w:rsidR="00D305AD">
        <w:rPr>
          <w:lang w:eastAsia="en-US"/>
        </w:rPr>
        <w:t>,</w:t>
      </w:r>
      <w:r>
        <w:rPr>
          <w:lang w:eastAsia="en-US"/>
        </w:rPr>
        <w:t xml:space="preserve"> showing inefficiency in the use of the asset base. The still more powerful declining indicator was the one on return on equity (ROE), which fell to -15.7% in 2024, compared to -12.3% in 2020, indicating that equity holders have had a significant value destruction.</w:t>
      </w:r>
    </w:p>
    <w:p w14:paraId="377CFD10" w14:textId="6FFC2A6B" w:rsidR="00C934C8" w:rsidRDefault="00C934C8" w:rsidP="00C934C8">
      <w:pPr>
        <w:rPr>
          <w:lang w:eastAsia="en-US"/>
        </w:rPr>
      </w:pPr>
      <w:r>
        <w:rPr>
          <w:lang w:eastAsia="en-US"/>
        </w:rPr>
        <w:t>These issues are also upheld by the efficiency ratios</w:t>
      </w:r>
      <w:r w:rsidR="00057654">
        <w:rPr>
          <w:lang w:eastAsia="en-US"/>
        </w:rPr>
        <w:t xml:space="preserve"> </w:t>
      </w:r>
      <w:r w:rsidR="00057654">
        <w:rPr>
          <w:color w:val="000000"/>
        </w:rPr>
        <w:t>(</w:t>
      </w:r>
      <w:proofErr w:type="spellStart"/>
      <w:r w:rsidR="00057654">
        <w:rPr>
          <w:color w:val="000000"/>
        </w:rPr>
        <w:t>Alarussi</w:t>
      </w:r>
      <w:proofErr w:type="spellEnd"/>
      <w:r w:rsidR="00057654">
        <w:rPr>
          <w:color w:val="000000"/>
        </w:rPr>
        <w:t>, 2021)</w:t>
      </w:r>
      <w:r>
        <w:rPr>
          <w:lang w:eastAsia="en-US"/>
        </w:rPr>
        <w:t xml:space="preserve">. The inventory turnover also worsened over the period as the inventory days </w:t>
      </w:r>
      <w:r w:rsidR="00D305AD">
        <w:rPr>
          <w:lang w:eastAsia="en-US"/>
        </w:rPr>
        <w:t>increased</w:t>
      </w:r>
      <w:r>
        <w:rPr>
          <w:lang w:eastAsia="en-US"/>
        </w:rPr>
        <w:t xml:space="preserve"> tremendously compared to the investment of 100 days in 2020 and 120 days in 2024. This means that it will have low inventory turnover and faces </w:t>
      </w:r>
      <w:r w:rsidR="00D305AD">
        <w:rPr>
          <w:lang w:eastAsia="en-US"/>
        </w:rPr>
        <w:t xml:space="preserve">a </w:t>
      </w:r>
      <w:r>
        <w:rPr>
          <w:lang w:eastAsia="en-US"/>
        </w:rPr>
        <w:t>low risk of obsolescence in a highly technological market which moves fast. The receivables days were also on the higher side because it was about 77 days</w:t>
      </w:r>
      <w:r w:rsidR="00D305AD">
        <w:rPr>
          <w:lang w:eastAsia="en-US"/>
        </w:rPr>
        <w:t>,</w:t>
      </w:r>
      <w:r>
        <w:rPr>
          <w:lang w:eastAsia="en-US"/>
        </w:rPr>
        <w:t xml:space="preserve"> but now </w:t>
      </w:r>
      <w:r w:rsidR="00D305AD">
        <w:rPr>
          <w:lang w:eastAsia="en-US"/>
        </w:rPr>
        <w:t>they are</w:t>
      </w:r>
      <w:r>
        <w:rPr>
          <w:lang w:eastAsia="en-US"/>
        </w:rPr>
        <w:t xml:space="preserve"> about 105 days</w:t>
      </w:r>
      <w:r w:rsidR="00D305AD">
        <w:rPr>
          <w:lang w:eastAsia="en-US"/>
        </w:rPr>
        <w:t>,</w:t>
      </w:r>
      <w:r>
        <w:rPr>
          <w:lang w:eastAsia="en-US"/>
        </w:rPr>
        <w:t xml:space="preserve"> indicating that it has no good control over its credit and its collection of cash is delayed. As compared to 2020, the total asset turnover fell to 1.20 1.22 in 2020 2024 due to the reduced ability of the firm to raise revenue based on the available asset base. The synergistic approach to these trends is a sign of </w:t>
      </w:r>
      <w:r w:rsidR="00D305AD">
        <w:rPr>
          <w:lang w:eastAsia="en-US"/>
        </w:rPr>
        <w:t xml:space="preserve">a </w:t>
      </w:r>
      <w:r>
        <w:rPr>
          <w:lang w:eastAsia="en-US"/>
        </w:rPr>
        <w:t>lack of efficiency and competitiveness.</w:t>
      </w:r>
    </w:p>
    <w:p w14:paraId="4F4B70F3" w14:textId="33640585" w:rsidR="00C934C8" w:rsidRDefault="00C934C8" w:rsidP="00C934C8">
      <w:pPr>
        <w:pStyle w:val="Heading2"/>
      </w:pPr>
      <w:r>
        <w:t xml:space="preserve">Liquidity, Cash </w:t>
      </w:r>
      <w:r w:rsidR="00D305AD">
        <w:t>Flow</w:t>
      </w:r>
      <w:r>
        <w:t xml:space="preserve"> Analysis</w:t>
      </w:r>
      <w:r w:rsidR="00D305AD">
        <w:t>,</w:t>
      </w:r>
      <w:r>
        <w:t xml:space="preserve"> Gearing</w:t>
      </w:r>
    </w:p>
    <w:p w14:paraId="5127C6FE" w14:textId="555143DA" w:rsidR="00C934C8" w:rsidRDefault="00C934C8" w:rsidP="00C934C8">
      <w:pPr>
        <w:rPr>
          <w:lang w:eastAsia="en-US"/>
        </w:rPr>
      </w:pPr>
      <w:r>
        <w:rPr>
          <w:lang w:eastAsia="en-US"/>
        </w:rPr>
        <w:t>Liquidity ratios also show that there is an increasing short-term financial pressure</w:t>
      </w:r>
      <w:r w:rsidR="00FD7705">
        <w:rPr>
          <w:lang w:eastAsia="en-US"/>
        </w:rPr>
        <w:t xml:space="preserve"> </w:t>
      </w:r>
      <w:r w:rsidR="00FD7705">
        <w:rPr>
          <w:color w:val="000000"/>
        </w:rPr>
        <w:t>(K. H. I. Madushanka and M. Jathurika, 2018)</w:t>
      </w:r>
      <w:r>
        <w:rPr>
          <w:lang w:eastAsia="en-US"/>
        </w:rPr>
        <w:t>. In comparison to the situation in 2020</w:t>
      </w:r>
      <w:r w:rsidR="00D305AD">
        <w:rPr>
          <w:lang w:eastAsia="en-US"/>
        </w:rPr>
        <w:t>,</w:t>
      </w:r>
      <w:r>
        <w:rPr>
          <w:lang w:eastAsia="en-US"/>
        </w:rPr>
        <w:t xml:space="preserve"> when the current ratio was around 1.82, the current ratio decreased to 1.53 in 2024</w:t>
      </w:r>
      <w:r w:rsidR="00D305AD">
        <w:rPr>
          <w:lang w:eastAsia="en-US"/>
        </w:rPr>
        <w:t>,</w:t>
      </w:r>
      <w:r>
        <w:rPr>
          <w:lang w:eastAsia="en-US"/>
        </w:rPr>
        <w:t xml:space="preserve"> indicating that the firm is getting less effective in managing short-term </w:t>
      </w:r>
      <w:r w:rsidR="00D305AD">
        <w:rPr>
          <w:lang w:eastAsia="en-US"/>
        </w:rPr>
        <w:t>obligations</w:t>
      </w:r>
      <w:r>
        <w:rPr>
          <w:lang w:eastAsia="en-US"/>
        </w:rPr>
        <w:t>. The ratio is yet to reach the vital value of 1.0</w:t>
      </w:r>
      <w:r w:rsidR="00D305AD">
        <w:rPr>
          <w:lang w:eastAsia="en-US"/>
        </w:rPr>
        <w:t>,</w:t>
      </w:r>
      <w:r>
        <w:rPr>
          <w:lang w:eastAsia="en-US"/>
        </w:rPr>
        <w:t xml:space="preserve"> but the declining trend is suspicious</w:t>
      </w:r>
      <w:r w:rsidR="00D305AD">
        <w:rPr>
          <w:lang w:eastAsia="en-US"/>
        </w:rPr>
        <w:t>,</w:t>
      </w:r>
      <w:r>
        <w:rPr>
          <w:lang w:eastAsia="en-US"/>
        </w:rPr>
        <w:t xml:space="preserve"> given the deteriorating cash position of the company. A more conservative picture is also presented by the quick ratio</w:t>
      </w:r>
      <w:r w:rsidR="00D305AD">
        <w:rPr>
          <w:lang w:eastAsia="en-US"/>
        </w:rPr>
        <w:t>,</w:t>
      </w:r>
      <w:r>
        <w:rPr>
          <w:lang w:eastAsia="en-US"/>
        </w:rPr>
        <w:t xml:space="preserve"> as in 2020, it reduced to 0.92, in 2024, to 0.77</w:t>
      </w:r>
      <w:r w:rsidR="00D305AD">
        <w:rPr>
          <w:lang w:eastAsia="en-US"/>
        </w:rPr>
        <w:t>,</w:t>
      </w:r>
      <w:r>
        <w:rPr>
          <w:lang w:eastAsia="en-US"/>
        </w:rPr>
        <w:t xml:space="preserve"> </w:t>
      </w:r>
      <w:r w:rsidR="00D305AD">
        <w:rPr>
          <w:lang w:eastAsia="en-US"/>
        </w:rPr>
        <w:t>which</w:t>
      </w:r>
      <w:r>
        <w:rPr>
          <w:lang w:eastAsia="en-US"/>
        </w:rPr>
        <w:t xml:space="preserve"> will cause the company difficulties in meeting the immediate liabilities without selling the inventory.</w:t>
      </w:r>
    </w:p>
    <w:p w14:paraId="5908557A" w14:textId="0ADB2316" w:rsidR="00C934C8" w:rsidRDefault="00C934C8" w:rsidP="00C934C8">
      <w:pPr>
        <w:rPr>
          <w:lang w:eastAsia="en-US"/>
        </w:rPr>
      </w:pPr>
      <w:r>
        <w:rPr>
          <w:lang w:eastAsia="en-US"/>
        </w:rPr>
        <w:t>The financial risk levels are on the rising trend as indicated by the gearing ratios</w:t>
      </w:r>
      <w:r w:rsidR="00FD7705">
        <w:rPr>
          <w:lang w:eastAsia="en-US"/>
        </w:rPr>
        <w:t xml:space="preserve"> </w:t>
      </w:r>
      <w:r w:rsidR="00FD7705">
        <w:rPr>
          <w:color w:val="000000"/>
        </w:rPr>
        <w:t>(</w:t>
      </w:r>
      <w:proofErr w:type="spellStart"/>
      <w:r w:rsidR="00FD7705">
        <w:rPr>
          <w:color w:val="000000"/>
        </w:rPr>
        <w:t>Tulung</w:t>
      </w:r>
      <w:proofErr w:type="spellEnd"/>
      <w:r w:rsidR="00FD7705">
        <w:rPr>
          <w:color w:val="000000"/>
        </w:rPr>
        <w:t xml:space="preserve"> et al., 2024)</w:t>
      </w:r>
      <w:r>
        <w:rPr>
          <w:lang w:eastAsia="en-US"/>
        </w:rPr>
        <w:t>. The debt-to-equity ratio increased considerably as a result of the decline in equity and the increase in debt financing usage</w:t>
      </w:r>
      <w:r w:rsidR="00D305AD">
        <w:rPr>
          <w:lang w:eastAsia="en-US"/>
        </w:rPr>
        <w:t>. In</w:t>
      </w:r>
      <w:r>
        <w:rPr>
          <w:lang w:eastAsia="en-US"/>
        </w:rPr>
        <w:t xml:space="preserve"> 2020, the debt-to-equity ratio was 0.63</w:t>
      </w:r>
      <w:r w:rsidR="00D305AD">
        <w:rPr>
          <w:lang w:eastAsia="en-US"/>
        </w:rPr>
        <w:t>,</w:t>
      </w:r>
      <w:r>
        <w:rPr>
          <w:lang w:eastAsia="en-US"/>
        </w:rPr>
        <w:t xml:space="preserve"> whereas in 2024, it was 1.11. This trend increases the risk of the firm in financial leveraging and earnings sensitivity. The debt ratio was also on the rise</w:t>
      </w:r>
      <w:r w:rsidR="00D305AD">
        <w:rPr>
          <w:lang w:eastAsia="en-US"/>
        </w:rPr>
        <w:t>,</w:t>
      </w:r>
      <w:r>
        <w:rPr>
          <w:lang w:eastAsia="en-US"/>
        </w:rPr>
        <w:t xml:space="preserve"> implying that </w:t>
      </w:r>
      <w:r w:rsidR="00D305AD">
        <w:rPr>
          <w:lang w:eastAsia="en-US"/>
        </w:rPr>
        <w:t>a larger</w:t>
      </w:r>
      <w:r>
        <w:rPr>
          <w:lang w:eastAsia="en-US"/>
        </w:rPr>
        <w:t xml:space="preserve"> percentage of assets is being funded by </w:t>
      </w:r>
      <w:r w:rsidR="00D305AD">
        <w:rPr>
          <w:lang w:eastAsia="en-US"/>
        </w:rPr>
        <w:t>debt</w:t>
      </w:r>
      <w:r>
        <w:rPr>
          <w:lang w:eastAsia="en-US"/>
        </w:rPr>
        <w:t xml:space="preserve">. The interest coverage was not good because it worsened to 2023 with a ratio of below 1.0 as contrasted to 26 times in the year 2020, and was still poor in 2024. This </w:t>
      </w:r>
      <w:r>
        <w:rPr>
          <w:lang w:eastAsia="en-US"/>
        </w:rPr>
        <w:lastRenderedPageBreak/>
        <w:t>means that the current assets would not be sufficient to comfortably pay up the interest payments that increases the risk of defaulting.</w:t>
      </w:r>
    </w:p>
    <w:p w14:paraId="2FC40303" w14:textId="2297CDB5" w:rsidR="00C934C8" w:rsidRDefault="00C934C8" w:rsidP="00C934C8">
      <w:pPr>
        <w:rPr>
          <w:lang w:eastAsia="en-US"/>
        </w:rPr>
      </w:pPr>
      <w:r>
        <w:rPr>
          <w:lang w:eastAsia="en-US"/>
        </w:rPr>
        <w:t xml:space="preserve">Cash flow ratios are not quite encouraging. The operation of </w:t>
      </w:r>
      <w:r w:rsidR="00D305AD">
        <w:rPr>
          <w:lang w:eastAsia="en-US"/>
        </w:rPr>
        <w:t xml:space="preserve">the </w:t>
      </w:r>
      <w:r>
        <w:rPr>
          <w:lang w:eastAsia="en-US"/>
        </w:rPr>
        <w:t>cash flow ratio shifted to a smaller value in 2024</w:t>
      </w:r>
      <w:r w:rsidR="00D305AD">
        <w:rPr>
          <w:lang w:eastAsia="en-US"/>
        </w:rPr>
        <w:t>,</w:t>
      </w:r>
      <w:r>
        <w:rPr>
          <w:lang w:eastAsia="en-US"/>
        </w:rPr>
        <w:t xml:space="preserve"> with the value of 0.09 compared to the value of the ratio in 2020 (around 0.41)</w:t>
      </w:r>
      <w:r w:rsidR="00D305AD">
        <w:rPr>
          <w:lang w:eastAsia="en-US"/>
        </w:rPr>
        <w:t>,</w:t>
      </w:r>
      <w:r>
        <w:rPr>
          <w:lang w:eastAsia="en-US"/>
        </w:rPr>
        <w:t xml:space="preserve"> which means that the company now has less cash available to cover the current liabilities through the inflows of operating funds. Similarly, </w:t>
      </w:r>
      <w:r w:rsidR="00D305AD">
        <w:rPr>
          <w:lang w:eastAsia="en-US"/>
        </w:rPr>
        <w:t xml:space="preserve">the </w:t>
      </w:r>
      <w:r>
        <w:rPr>
          <w:lang w:eastAsia="en-US"/>
        </w:rPr>
        <w:t>cash flow to total debt ratio became considerably worse</w:t>
      </w:r>
      <w:r w:rsidR="00D305AD">
        <w:rPr>
          <w:lang w:eastAsia="en-US"/>
        </w:rPr>
        <w:t>,</w:t>
      </w:r>
      <w:r>
        <w:rPr>
          <w:lang w:eastAsia="en-US"/>
        </w:rPr>
        <w:t xml:space="preserve"> signifying low capacity </w:t>
      </w:r>
      <w:r w:rsidR="00D305AD">
        <w:rPr>
          <w:lang w:eastAsia="en-US"/>
        </w:rPr>
        <w:t>to pay</w:t>
      </w:r>
      <w:r>
        <w:rPr>
          <w:lang w:eastAsia="en-US"/>
        </w:rPr>
        <w:t xml:space="preserve"> off </w:t>
      </w:r>
      <w:r w:rsidR="00D305AD">
        <w:rPr>
          <w:lang w:eastAsia="en-US"/>
        </w:rPr>
        <w:t>long-term</w:t>
      </w:r>
      <w:r>
        <w:rPr>
          <w:lang w:eastAsia="en-US"/>
        </w:rPr>
        <w:t xml:space="preserve"> debt. Despite the presence of positive cash flows, the decreasing trend is a pointer to an increasing vulnerability to liquidity shocks.</w:t>
      </w:r>
    </w:p>
    <w:p w14:paraId="032BE55B" w14:textId="43909DB9" w:rsidR="00C934C8" w:rsidRDefault="00C934C8" w:rsidP="00C934C8">
      <w:pPr>
        <w:pStyle w:val="Heading2"/>
      </w:pPr>
      <w:r>
        <w:t xml:space="preserve">Corporate Failure Risk and </w:t>
      </w:r>
      <w:r w:rsidR="00D305AD">
        <w:t>Total Financial</w:t>
      </w:r>
      <w:r>
        <w:t xml:space="preserve"> Assessment</w:t>
      </w:r>
    </w:p>
    <w:p w14:paraId="460A909A" w14:textId="03FC3C88" w:rsidR="00C934C8" w:rsidRDefault="00C934C8" w:rsidP="00C934C8">
      <w:pPr>
        <w:rPr>
          <w:lang w:eastAsia="en-US"/>
        </w:rPr>
      </w:pPr>
      <w:r>
        <w:rPr>
          <w:lang w:eastAsia="en-US"/>
        </w:rPr>
        <w:t>The probability of financial distress was determined through the Altman Z-Score model</w:t>
      </w:r>
      <w:r w:rsidR="00D305AD">
        <w:rPr>
          <w:lang w:eastAsia="en-US"/>
        </w:rPr>
        <w:t>,</w:t>
      </w:r>
      <w:r>
        <w:rPr>
          <w:lang w:eastAsia="en-US"/>
        </w:rPr>
        <w:t xml:space="preserve"> where the latest financial reports were </w:t>
      </w:r>
      <w:r w:rsidR="00D305AD">
        <w:rPr>
          <w:lang w:eastAsia="en-US"/>
        </w:rPr>
        <w:t>utilised</w:t>
      </w:r>
      <w:r w:rsidR="00FD7705">
        <w:rPr>
          <w:lang w:eastAsia="en-US"/>
        </w:rPr>
        <w:t xml:space="preserve"> </w:t>
      </w:r>
      <w:r w:rsidR="00FD7705">
        <w:rPr>
          <w:color w:val="000000"/>
        </w:rPr>
        <w:t>(CFI Team, 2023)</w:t>
      </w:r>
      <w:r>
        <w:rPr>
          <w:lang w:eastAsia="en-US"/>
        </w:rPr>
        <w:t>. Based on the calculation, the 2024 Z-Score is not above the distress threshold of 1.8; therefore, it is most probably to go under financially. The outcome of this is poor working capital, declining retained earnings, unfavourable operating income and an extremely under-fortified balance sheet relative to liabilities.</w:t>
      </w:r>
    </w:p>
    <w:p w14:paraId="1E5A34CC" w14:textId="7EAAD26B" w:rsidR="00C934C8" w:rsidRDefault="00C934C8" w:rsidP="00C934C8">
      <w:pPr>
        <w:rPr>
          <w:lang w:eastAsia="en-US"/>
        </w:rPr>
      </w:pPr>
      <w:r>
        <w:rPr>
          <w:lang w:eastAsia="en-US"/>
        </w:rPr>
        <w:t>The result provided by Z-Score score corroborates the outcome of the ratio analysis and indicates that General Electronics is facing a greater risk of insolvency unless remedies are provided</w:t>
      </w:r>
      <w:r w:rsidR="00FD7705">
        <w:rPr>
          <w:lang w:eastAsia="en-US"/>
        </w:rPr>
        <w:t xml:space="preserve"> </w:t>
      </w:r>
      <w:r w:rsidR="00FD7705">
        <w:rPr>
          <w:color w:val="000000"/>
        </w:rPr>
        <w:t>(CFI Team, 2023)</w:t>
      </w:r>
      <w:r>
        <w:rPr>
          <w:lang w:eastAsia="en-US"/>
        </w:rPr>
        <w:t>. Despite the fact that the company is still enjoying some of its strengths, including good operating cash flows and an internationally recognised brand, it is encumbered with significant threats. These risks include operating sustained losses, liquidity reduction, increasing leverage and asset efficiency.</w:t>
      </w:r>
    </w:p>
    <w:p w14:paraId="44832EC5" w14:textId="55DA4FCE" w:rsidR="00361A5A" w:rsidRDefault="00C934C8" w:rsidP="008826C4">
      <w:pPr>
        <w:rPr>
          <w:lang w:eastAsia="en-US"/>
        </w:rPr>
      </w:pPr>
      <w:r>
        <w:rPr>
          <w:lang w:eastAsia="en-US"/>
        </w:rPr>
        <w:t xml:space="preserve">Being a CFO, the financial health analysis reveals that General Electronics is no longer financially sound in its current operating and capital structure. There are </w:t>
      </w:r>
      <w:r w:rsidR="00D305AD">
        <w:rPr>
          <w:lang w:eastAsia="en-US"/>
        </w:rPr>
        <w:t>short-term</w:t>
      </w:r>
      <w:r>
        <w:rPr>
          <w:lang w:eastAsia="en-US"/>
        </w:rPr>
        <w:t xml:space="preserve"> strategic measures that should be taken on the working capital management, cost restructuring and capital repositioning to </w:t>
      </w:r>
      <w:r w:rsidR="00D305AD">
        <w:rPr>
          <w:lang w:eastAsia="en-US"/>
        </w:rPr>
        <w:t>stabilise</w:t>
      </w:r>
      <w:r>
        <w:rPr>
          <w:lang w:eastAsia="en-US"/>
        </w:rPr>
        <w:t xml:space="preserve"> the company and reduce the default risk. The further analysis of working capital management strategies and </w:t>
      </w:r>
      <w:r w:rsidR="00D305AD">
        <w:rPr>
          <w:lang w:eastAsia="en-US"/>
        </w:rPr>
        <w:t>long-term</w:t>
      </w:r>
      <w:r>
        <w:rPr>
          <w:lang w:eastAsia="en-US"/>
        </w:rPr>
        <w:t xml:space="preserve"> recovery initiatives </w:t>
      </w:r>
      <w:r w:rsidR="00D305AD">
        <w:rPr>
          <w:lang w:eastAsia="en-US"/>
        </w:rPr>
        <w:t>is</w:t>
      </w:r>
      <w:r>
        <w:rPr>
          <w:lang w:eastAsia="en-US"/>
        </w:rPr>
        <w:t xml:space="preserve"> strongly based on </w:t>
      </w:r>
      <w:r w:rsidR="00D305AD">
        <w:rPr>
          <w:lang w:eastAsia="en-US"/>
        </w:rPr>
        <w:t xml:space="preserve">the </w:t>
      </w:r>
      <w:r>
        <w:rPr>
          <w:lang w:eastAsia="en-US"/>
        </w:rPr>
        <w:t>financial base of the analysis.</w:t>
      </w:r>
    </w:p>
    <w:p w14:paraId="05389331" w14:textId="064BCB30" w:rsidR="00C1577F" w:rsidRDefault="00361A5A" w:rsidP="0076642C">
      <w:r>
        <w:lastRenderedPageBreak/>
        <w:fldChar w:fldCharType="begin"/>
      </w:r>
      <w:r>
        <w:instrText xml:space="preserve"> INCLUDEPICTURE "/Users/apple/Library/Group Containers/UBF8T346G9.ms/WebArchiveCopyPasteTempFiles/com.microsoft.Word/Altman-z-score-model.png" \* MERGEFORMATINET </w:instrText>
      </w:r>
      <w:r>
        <w:fldChar w:fldCharType="separate"/>
      </w:r>
      <w:r>
        <w:rPr>
          <w:noProof/>
        </w:rPr>
        <w:drawing>
          <wp:inline distT="0" distB="0" distL="0" distR="0" wp14:anchorId="74F6E82B" wp14:editId="4D95D39D">
            <wp:extent cx="5731510" cy="3218815"/>
            <wp:effectExtent l="0" t="0" r="0" b="0"/>
            <wp:docPr id="534086274" name="Picture 1" descr="Altman Z Score - Z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man Z Score - Z TA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fldChar w:fldCharType="end"/>
      </w:r>
    </w:p>
    <w:p w14:paraId="6C765D50" w14:textId="22F8EFC1" w:rsidR="00FB3033" w:rsidRPr="009A56F2" w:rsidRDefault="009A56F2" w:rsidP="009A56F2">
      <w:pPr>
        <w:pStyle w:val="Caption"/>
        <w:jc w:val="center"/>
        <w:rPr>
          <w:sz w:val="24"/>
          <w:szCs w:val="24"/>
          <w:lang w:eastAsia="en-US"/>
        </w:rPr>
      </w:pPr>
      <w:bookmarkStart w:id="2" w:name="_Toc216698478"/>
      <w:r w:rsidRPr="009A56F2">
        <w:rPr>
          <w:sz w:val="24"/>
          <w:szCs w:val="24"/>
        </w:rPr>
        <w:t xml:space="preserve">Figure </w:t>
      </w:r>
      <w:r w:rsidRPr="009A56F2">
        <w:rPr>
          <w:sz w:val="24"/>
          <w:szCs w:val="24"/>
        </w:rPr>
        <w:fldChar w:fldCharType="begin"/>
      </w:r>
      <w:r w:rsidRPr="009A56F2">
        <w:rPr>
          <w:sz w:val="24"/>
          <w:szCs w:val="24"/>
        </w:rPr>
        <w:instrText xml:space="preserve"> SEQ Figure \* ARABIC </w:instrText>
      </w:r>
      <w:r w:rsidRPr="009A56F2">
        <w:rPr>
          <w:sz w:val="24"/>
          <w:szCs w:val="24"/>
        </w:rPr>
        <w:fldChar w:fldCharType="separate"/>
      </w:r>
      <w:r w:rsidR="000B009C">
        <w:rPr>
          <w:noProof/>
          <w:sz w:val="24"/>
          <w:szCs w:val="24"/>
        </w:rPr>
        <w:t>1</w:t>
      </w:r>
      <w:r w:rsidRPr="009A56F2">
        <w:rPr>
          <w:sz w:val="24"/>
          <w:szCs w:val="24"/>
        </w:rPr>
        <w:fldChar w:fldCharType="end"/>
      </w:r>
      <w:r w:rsidRPr="009A56F2">
        <w:rPr>
          <w:sz w:val="24"/>
          <w:szCs w:val="24"/>
          <w:lang w:val="en-US"/>
        </w:rPr>
        <w:t>: ALTMAN Z Score Model</w:t>
      </w:r>
      <w:bookmarkEnd w:id="2"/>
    </w:p>
    <w:p w14:paraId="12FFE703" w14:textId="50EBEF65" w:rsidR="00222111" w:rsidRPr="00FB3033" w:rsidRDefault="00222111" w:rsidP="00222111">
      <w:pPr>
        <w:jc w:val="center"/>
        <w:rPr>
          <w:lang w:eastAsia="en-US"/>
        </w:rPr>
      </w:pPr>
      <w:r>
        <w:rPr>
          <w:lang w:eastAsia="en-US"/>
        </w:rPr>
        <w:t xml:space="preserve">Source: </w:t>
      </w:r>
      <w:r>
        <w:rPr>
          <w:color w:val="000000"/>
        </w:rPr>
        <w:t>(CFI Team, 2023)</w:t>
      </w:r>
    </w:p>
    <w:p w14:paraId="73BAB912" w14:textId="77777777" w:rsidR="00C1577F" w:rsidRDefault="00C1577F">
      <w:pPr>
        <w:suppressAutoHyphens w:val="0"/>
        <w:autoSpaceDN/>
        <w:rPr>
          <w:b/>
          <w:color w:val="5B9BD5"/>
          <w:kern w:val="3"/>
          <w:sz w:val="28"/>
          <w:szCs w:val="26"/>
          <w:lang w:eastAsia="en-US"/>
        </w:rPr>
      </w:pPr>
      <w:r>
        <w:br w:type="page"/>
      </w:r>
    </w:p>
    <w:p w14:paraId="7F34E6E9" w14:textId="5B024A98" w:rsidR="00C1577F" w:rsidRDefault="00D21EA4" w:rsidP="00D21EA4">
      <w:pPr>
        <w:pStyle w:val="Heading1"/>
      </w:pPr>
      <w:bookmarkStart w:id="3" w:name="_Toc216698503"/>
      <w:r>
        <w:lastRenderedPageBreak/>
        <w:t>Task 2</w:t>
      </w:r>
      <w:bookmarkEnd w:id="3"/>
    </w:p>
    <w:p w14:paraId="75660383" w14:textId="5D5ACB44" w:rsidR="008826C4" w:rsidRDefault="008826C4" w:rsidP="00361A5A">
      <w:pPr>
        <w:pStyle w:val="Heading2"/>
      </w:pPr>
      <w:bookmarkStart w:id="4" w:name="_Toc216698504"/>
      <w:r>
        <w:t>Assessments of Cash Operating Cycle</w:t>
      </w:r>
      <w:bookmarkEnd w:id="4"/>
    </w:p>
    <w:p w14:paraId="65A1AEF9" w14:textId="13728F1C" w:rsidR="008826C4" w:rsidRDefault="008826C4" w:rsidP="008826C4">
      <w:pPr>
        <w:suppressAutoHyphens w:val="0"/>
        <w:autoSpaceDN/>
      </w:pPr>
      <w:r>
        <w:t>Cash operating cycle (cash conversion cycle, CCC) is one of the interventions of liquidity strength, which is very crucial in the short run and the efficiency of operating activities in General Electronics</w:t>
      </w:r>
      <w:r w:rsidR="009A785F">
        <w:t xml:space="preserve"> </w:t>
      </w:r>
      <w:r w:rsidR="009A785F">
        <w:rPr>
          <w:color w:val="000000"/>
        </w:rPr>
        <w:t>(Hayes, 2024)</w:t>
      </w:r>
      <w:r>
        <w:t xml:space="preserve">. CCC incorporates the time frame during which the cash will be held up in working, in terms of inventory </w:t>
      </w:r>
      <w:r w:rsidR="00A76D84">
        <w:t>on hand</w:t>
      </w:r>
      <w:r>
        <w:t xml:space="preserve"> and accounts payable before recovery, less </w:t>
      </w:r>
      <w:r w:rsidR="00A76D84">
        <w:t>the</w:t>
      </w:r>
      <w:r>
        <w:t xml:space="preserve"> time of utilisation of supplier financing. An effective CCC is particularly useful where the companies have to </w:t>
      </w:r>
      <w:r w:rsidR="00A76D84">
        <w:t>operate</w:t>
      </w:r>
      <w:r>
        <w:t xml:space="preserve"> </w:t>
      </w:r>
      <w:r w:rsidR="00A76D84">
        <w:t>in</w:t>
      </w:r>
      <w:r>
        <w:t xml:space="preserve"> the capital-intensive and highly competitive industries</w:t>
      </w:r>
      <w:r w:rsidR="00A76D84">
        <w:t>,</w:t>
      </w:r>
      <w:r>
        <w:t xml:space="preserve"> such as consumer electronics</w:t>
      </w:r>
      <w:r w:rsidR="00361964">
        <w:t xml:space="preserve"> </w:t>
      </w:r>
      <w:r w:rsidR="00361964">
        <w:rPr>
          <w:color w:val="000000"/>
        </w:rPr>
        <w:t>(Hayes, 2024)</w:t>
      </w:r>
      <w:r>
        <w:t>.</w:t>
      </w:r>
    </w:p>
    <w:p w14:paraId="06C2865D" w14:textId="1369CF4C" w:rsidR="008826C4" w:rsidRDefault="008826C4" w:rsidP="008826C4">
      <w:pPr>
        <w:suppressAutoHyphens w:val="0"/>
        <w:autoSpaceDN/>
      </w:pPr>
      <w:r>
        <w:t xml:space="preserve">The calculated CCC of General Electronics reveals that the </w:t>
      </w:r>
      <w:r w:rsidR="00A76D84">
        <w:t>five-year</w:t>
      </w:r>
      <w:r>
        <w:t xml:space="preserve"> period exhibited a consistent decrease in the CCC and indicates that there is an increase in inefficiencies in the working capital management. The inventory days have significantly increased</w:t>
      </w:r>
      <w:r w:rsidR="00A76D84">
        <w:t>,</w:t>
      </w:r>
      <w:r>
        <w:t xml:space="preserve"> indicating a fall in the stock turnover and accumulation of </w:t>
      </w:r>
      <w:r w:rsidR="00A76D84">
        <w:t>unsold</w:t>
      </w:r>
      <w:r>
        <w:t xml:space="preserve"> inventory. It is especially critical in a highly dynamic industry regarding technology</w:t>
      </w:r>
      <w:r w:rsidR="00A76D84">
        <w:t>,</w:t>
      </w:r>
      <w:r>
        <w:t xml:space="preserve"> where holding inventory is long</w:t>
      </w:r>
      <w:r w:rsidR="00A76D84">
        <w:t>,</w:t>
      </w:r>
      <w:r>
        <w:t xml:space="preserve"> which enhances product obsolescence and </w:t>
      </w:r>
      <w:r w:rsidR="00A76D84">
        <w:t>narrows</w:t>
      </w:r>
      <w:r>
        <w:t xml:space="preserve"> the margin. The growing inventory days will show a lack of effectiveness in predicting demand and disorganisation between </w:t>
      </w:r>
      <w:r w:rsidR="00A76D84">
        <w:t xml:space="preserve">the </w:t>
      </w:r>
      <w:r>
        <w:t xml:space="preserve">planning of production and </w:t>
      </w:r>
      <w:r w:rsidR="00A76D84">
        <w:t xml:space="preserve">the </w:t>
      </w:r>
      <w:r>
        <w:t>market.</w:t>
      </w:r>
    </w:p>
    <w:p w14:paraId="4DF86501" w14:textId="616B8678" w:rsidR="008826C4" w:rsidRDefault="008826C4" w:rsidP="008826C4">
      <w:pPr>
        <w:suppressAutoHyphens w:val="0"/>
        <w:autoSpaceDN/>
      </w:pPr>
      <w:r>
        <w:t>The number of days outstanding is also very large</w:t>
      </w:r>
      <w:r w:rsidR="00A76D84">
        <w:t>,</w:t>
      </w:r>
      <w:r>
        <w:t xml:space="preserve"> and it is a sign of the slow speed </w:t>
      </w:r>
      <w:r w:rsidR="00A76D84">
        <w:t>of</w:t>
      </w:r>
      <w:r>
        <w:t xml:space="preserve"> paying suppliers. Though the company may have used the high credit terms to remain at the current sales volumes following the </w:t>
      </w:r>
      <w:r w:rsidR="00A76D84">
        <w:t>decreasing</w:t>
      </w:r>
      <w:r>
        <w:t xml:space="preserve"> downward revenues, this has limited the liquidity as the cash is locked up in the receivables. This remains a problem, a fact that means that weaknesses in credit control are structural and not cyclical</w:t>
      </w:r>
      <w:r w:rsidR="00A62AAE">
        <w:t xml:space="preserve"> </w:t>
      </w:r>
      <w:r w:rsidR="00A62AAE">
        <w:rPr>
          <w:color w:val="000000"/>
        </w:rPr>
        <w:t>(BIS, 2020)</w:t>
      </w:r>
      <w:r>
        <w:t>. In comparison, the actual liquidity relief provided by the payables days as an estimated ratio of current liabilities is not very high</w:t>
      </w:r>
      <w:r w:rsidR="00A76D84">
        <w:t>,</w:t>
      </w:r>
      <w:r>
        <w:t xml:space="preserve"> and the solution to the reliance on non-timely supplier payment is not a long-term solution. High payable stretching has the adverse effect of damaging supplier relations</w:t>
      </w:r>
      <w:r w:rsidR="00A76D84">
        <w:t>,</w:t>
      </w:r>
      <w:r>
        <w:t xml:space="preserve"> and it can lead to stricter trade credit conditions that raise the liquidity burden.</w:t>
      </w:r>
    </w:p>
    <w:p w14:paraId="4A4E6F24" w14:textId="40A4C4F9" w:rsidR="00562D17" w:rsidRDefault="00562D17" w:rsidP="00734B29">
      <w:pPr>
        <w:suppressAutoHyphens w:val="0"/>
        <w:autoSpaceDN/>
        <w:jc w:val="center"/>
      </w:pPr>
      <w:r>
        <w:lastRenderedPageBreak/>
        <w:fldChar w:fldCharType="begin"/>
      </w:r>
      <w:r>
        <w:instrText xml:space="preserve"> INCLUDEPICTURE "/Users/apple/Library/Group Containers/UBF8T346G9.ms/WebArchiveCopyPasteTempFiles/com.microsoft.Word/mcs_conversion-cycle-graphic_1100x600_edit.png" \* MERGEFORMATINET </w:instrText>
      </w:r>
      <w:r>
        <w:fldChar w:fldCharType="separate"/>
      </w:r>
      <w:r>
        <w:rPr>
          <w:noProof/>
        </w:rPr>
        <w:drawing>
          <wp:inline distT="0" distB="0" distL="0" distR="0" wp14:anchorId="0B8A2078" wp14:editId="0D4116B7">
            <wp:extent cx="5021319" cy="2743200"/>
            <wp:effectExtent l="0" t="0" r="0" b="0"/>
            <wp:docPr id="127765791" name="Picture 2" descr="Show me the money: Liquidity, cash flow, and the cash conversion cycle |  Our Insights | Plante Mo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w me the money: Liquidity, cash flow, and the cash conversion cycle |  Our Insights | Plante Mor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7361" cy="2746501"/>
                    </a:xfrm>
                    <a:prstGeom prst="rect">
                      <a:avLst/>
                    </a:prstGeom>
                    <a:noFill/>
                    <a:ln>
                      <a:noFill/>
                    </a:ln>
                  </pic:spPr>
                </pic:pic>
              </a:graphicData>
            </a:graphic>
          </wp:inline>
        </w:drawing>
      </w:r>
      <w:r>
        <w:fldChar w:fldCharType="end"/>
      </w:r>
    </w:p>
    <w:p w14:paraId="4CE50F9B" w14:textId="5E5D1B97" w:rsidR="00734B29" w:rsidRPr="009A17A7" w:rsidRDefault="009A17A7" w:rsidP="009A17A7">
      <w:pPr>
        <w:pStyle w:val="Caption"/>
        <w:jc w:val="center"/>
        <w:rPr>
          <w:sz w:val="24"/>
          <w:szCs w:val="24"/>
        </w:rPr>
      </w:pPr>
      <w:bookmarkStart w:id="5" w:name="_Toc216698479"/>
      <w:r w:rsidRPr="009A17A7">
        <w:rPr>
          <w:sz w:val="24"/>
          <w:szCs w:val="24"/>
        </w:rPr>
        <w:t xml:space="preserve">Figure </w:t>
      </w:r>
      <w:r w:rsidRPr="009A17A7">
        <w:rPr>
          <w:sz w:val="24"/>
          <w:szCs w:val="24"/>
        </w:rPr>
        <w:fldChar w:fldCharType="begin"/>
      </w:r>
      <w:r w:rsidRPr="009A17A7">
        <w:rPr>
          <w:sz w:val="24"/>
          <w:szCs w:val="24"/>
        </w:rPr>
        <w:instrText xml:space="preserve"> SEQ Figure \* ARABIC </w:instrText>
      </w:r>
      <w:r w:rsidRPr="009A17A7">
        <w:rPr>
          <w:sz w:val="24"/>
          <w:szCs w:val="24"/>
        </w:rPr>
        <w:fldChar w:fldCharType="separate"/>
      </w:r>
      <w:r w:rsidR="000B009C">
        <w:rPr>
          <w:noProof/>
          <w:sz w:val="24"/>
          <w:szCs w:val="24"/>
        </w:rPr>
        <w:t>2</w:t>
      </w:r>
      <w:r w:rsidRPr="009A17A7">
        <w:rPr>
          <w:sz w:val="24"/>
          <w:szCs w:val="24"/>
        </w:rPr>
        <w:fldChar w:fldCharType="end"/>
      </w:r>
      <w:r w:rsidRPr="009A17A7">
        <w:rPr>
          <w:sz w:val="24"/>
          <w:szCs w:val="24"/>
          <w:lang w:val="en-US"/>
        </w:rPr>
        <w:t>: The Cash Conversion Cycle</w:t>
      </w:r>
      <w:bookmarkEnd w:id="5"/>
    </w:p>
    <w:p w14:paraId="48072131" w14:textId="49518364" w:rsidR="00014531" w:rsidRDefault="00014531" w:rsidP="00734B29">
      <w:pPr>
        <w:suppressAutoHyphens w:val="0"/>
        <w:autoSpaceDN/>
        <w:jc w:val="center"/>
      </w:pPr>
      <w:r>
        <w:t xml:space="preserve">Source: </w:t>
      </w:r>
      <w:r w:rsidR="005D138F">
        <w:rPr>
          <w:color w:val="000000"/>
        </w:rPr>
        <w:t>(Hayes, 2024)</w:t>
      </w:r>
    </w:p>
    <w:p w14:paraId="4D47A42A" w14:textId="0A619A2B" w:rsidR="008826C4" w:rsidRDefault="008826C4" w:rsidP="007547D2">
      <w:pPr>
        <w:pStyle w:val="Heading2"/>
      </w:pPr>
      <w:bookmarkStart w:id="6" w:name="_Toc216698505"/>
      <w:r>
        <w:t>Impact of Liquidity Inefficiencies on Working Capital.</w:t>
      </w:r>
      <w:bookmarkEnd w:id="6"/>
    </w:p>
    <w:p w14:paraId="5071C011" w14:textId="0088F5B1" w:rsidR="008826C4" w:rsidRDefault="008826C4" w:rsidP="008826C4">
      <w:pPr>
        <w:suppressAutoHyphens w:val="0"/>
        <w:autoSpaceDN/>
      </w:pPr>
      <w:r>
        <w:t xml:space="preserve">These inefficiencies witnessed in the cash operating cycle influence the liquidity position of this firm either directly or indirectly. </w:t>
      </w:r>
      <w:r w:rsidR="00730EF9">
        <w:t>Long-term</w:t>
      </w:r>
      <w:r>
        <w:t xml:space="preserve"> CCC also renders the firm less self-sufficient </w:t>
      </w:r>
      <w:r w:rsidR="00D305AD">
        <w:t>in</w:t>
      </w:r>
      <w:r>
        <w:t xml:space="preserve"> financing its operations, therefore more dependent on external sources</w:t>
      </w:r>
      <w:r w:rsidR="005D138F">
        <w:t xml:space="preserve"> </w:t>
      </w:r>
      <w:r w:rsidR="005D138F">
        <w:rPr>
          <w:color w:val="000000"/>
        </w:rPr>
        <w:t>(Hayes, 2024)</w:t>
      </w:r>
      <w:r>
        <w:t>. This reliance is particularly dangerous given the fact that the interest coverage of the company is low, and its ability to generate cash is declining</w:t>
      </w:r>
      <w:r w:rsidR="00730EF9">
        <w:t>,</w:t>
      </w:r>
      <w:r>
        <w:t xml:space="preserve"> as was ascertained in the financial health analysis.</w:t>
      </w:r>
    </w:p>
    <w:p w14:paraId="36E219BA" w14:textId="2F685894" w:rsidR="008826C4" w:rsidRDefault="008826C4" w:rsidP="008826C4">
      <w:pPr>
        <w:suppressAutoHyphens w:val="0"/>
        <w:autoSpaceDN/>
      </w:pPr>
      <w:r>
        <w:t>Weakness in the working capital also limits the ability of managers</w:t>
      </w:r>
      <w:r w:rsidR="000411AE">
        <w:t xml:space="preserve"> </w:t>
      </w:r>
      <w:r w:rsidR="00EF6F8A">
        <w:rPr>
          <w:color w:val="000000"/>
        </w:rPr>
        <w:t>(Ashrafi and Pakdel, 2019)</w:t>
      </w:r>
      <w:r>
        <w:t>. Inventory</w:t>
      </w:r>
      <w:r w:rsidR="00730EF9">
        <w:t>,</w:t>
      </w:r>
      <w:r>
        <w:t xml:space="preserve"> cash and receivables cannot be moved to strategic activities, debt service or contingency reserves. As the liquidity tightens</w:t>
      </w:r>
      <w:r w:rsidR="00730EF9">
        <w:t>,</w:t>
      </w:r>
      <w:r>
        <w:t xml:space="preserve"> the firm would be more vulnerable to external shocks, including the supply chain being disrupted, cost inflation, and </w:t>
      </w:r>
      <w:r w:rsidR="00730EF9">
        <w:t>changes in</w:t>
      </w:r>
      <w:r>
        <w:t xml:space="preserve"> consumer demand. </w:t>
      </w:r>
      <w:r w:rsidR="00730EF9">
        <w:t>Governance-wise</w:t>
      </w:r>
      <w:r>
        <w:t xml:space="preserve">, unrelenting working capital inefficiencies are signs of inadequate operational controls and </w:t>
      </w:r>
      <w:r w:rsidR="00730EF9">
        <w:t xml:space="preserve">a </w:t>
      </w:r>
      <w:r>
        <w:t xml:space="preserve">lack of proper communication between the financial and operational </w:t>
      </w:r>
      <w:r w:rsidR="00730EF9">
        <w:t>decision-making</w:t>
      </w:r>
      <w:r>
        <w:t xml:space="preserve"> processes. These weaknesses will be a risk of derailing larger restructuring activities and stalling the recovery of the firm without action being taken to correct </w:t>
      </w:r>
      <w:r w:rsidR="00730EF9">
        <w:t>them</w:t>
      </w:r>
      <w:r>
        <w:t>.</w:t>
      </w:r>
    </w:p>
    <w:p w14:paraId="1B01CE56" w14:textId="64A5E271" w:rsidR="008826C4" w:rsidRDefault="008826C4" w:rsidP="007547D2">
      <w:pPr>
        <w:pStyle w:val="Heading2"/>
      </w:pPr>
      <w:bookmarkStart w:id="7" w:name="_Toc216698506"/>
      <w:r>
        <w:t>Liquidity Enhancement plans through Working Capital Reforms</w:t>
      </w:r>
      <w:bookmarkEnd w:id="7"/>
    </w:p>
    <w:p w14:paraId="2F5583F2" w14:textId="198D6323" w:rsidR="008826C4" w:rsidRDefault="008826C4" w:rsidP="008826C4">
      <w:pPr>
        <w:suppressAutoHyphens w:val="0"/>
        <w:autoSpaceDN/>
      </w:pPr>
      <w:r>
        <w:t>The CFO should pay attention to certain working capital solutions to decrease the CCC in order to improve liquidity</w:t>
      </w:r>
      <w:r w:rsidR="00386AF6">
        <w:t xml:space="preserve"> </w:t>
      </w:r>
      <w:r w:rsidR="00386AF6">
        <w:rPr>
          <w:color w:val="000000"/>
        </w:rPr>
        <w:t>(Hayes, 2024)</w:t>
      </w:r>
      <w:r>
        <w:t xml:space="preserve">. The inventory management is the most short-term opportunity. Estimation of better demand, better planning of manufacture and rationalisation of the product portfolio would reduce the level of dead stock and release of stranded capital. </w:t>
      </w:r>
      <w:r>
        <w:lastRenderedPageBreak/>
        <w:t xml:space="preserve">The focus on improving the speed and the margin of products would then go further and improve the efficiency of the inventory and reduce </w:t>
      </w:r>
      <w:r w:rsidR="00730EF9">
        <w:t xml:space="preserve">the </w:t>
      </w:r>
      <w:r>
        <w:t>risk of obsolescence.</w:t>
      </w:r>
    </w:p>
    <w:p w14:paraId="7EB3B86C" w14:textId="1DB9FC6F" w:rsidR="008826C4" w:rsidRDefault="008826C4" w:rsidP="008826C4">
      <w:pPr>
        <w:suppressAutoHyphens w:val="0"/>
        <w:autoSpaceDN/>
      </w:pPr>
      <w:r>
        <w:t xml:space="preserve">Receivables management should also embrace tightening of the credit policies and aggressive collections. This may include checking </w:t>
      </w:r>
      <w:r w:rsidR="00D305AD">
        <w:t>the</w:t>
      </w:r>
      <w:r>
        <w:t xml:space="preserve"> credit terms of risky customers, initiating </w:t>
      </w:r>
      <w:r w:rsidR="00730EF9">
        <w:t xml:space="preserve">an </w:t>
      </w:r>
      <w:r>
        <w:t xml:space="preserve">early payment scheme and stricter mechanisms of checking on defaults. Even though this would cause a minor effect on the sales in the </w:t>
      </w:r>
      <w:r w:rsidR="00730EF9">
        <w:t>short term</w:t>
      </w:r>
      <w:r>
        <w:t xml:space="preserve">, the respective increase in cash inflows would have a significant effect on liquidity and the </w:t>
      </w:r>
      <w:r w:rsidR="00730EF9">
        <w:t>minimisation</w:t>
      </w:r>
      <w:r>
        <w:t xml:space="preserve"> of bad debt.</w:t>
      </w:r>
    </w:p>
    <w:p w14:paraId="33B17825" w14:textId="1D941EFE" w:rsidR="0019113F" w:rsidRDefault="008826C4" w:rsidP="008826C4">
      <w:pPr>
        <w:suppressAutoHyphens w:val="0"/>
        <w:autoSpaceDN/>
      </w:pPr>
      <w:r>
        <w:t xml:space="preserve">Payable management should be optimised instead of stretched. The company should also seek to renegotiate the supplier terms through joint agreements, and they might involve the use of supply chain financing solutions that do not have any negative impact </w:t>
      </w:r>
      <w:r w:rsidR="00730EF9">
        <w:t>on</w:t>
      </w:r>
      <w:r>
        <w:t xml:space="preserve"> the relationship between the suppliers and the company</w:t>
      </w:r>
      <w:r w:rsidR="0040422E">
        <w:t xml:space="preserve"> </w:t>
      </w:r>
      <w:r w:rsidR="0040422E">
        <w:rPr>
          <w:color w:val="000000"/>
        </w:rPr>
        <w:t>(</w:t>
      </w:r>
      <w:proofErr w:type="spellStart"/>
      <w:r w:rsidR="0040422E">
        <w:rPr>
          <w:color w:val="000000"/>
        </w:rPr>
        <w:t>Rittin</w:t>
      </w:r>
      <w:proofErr w:type="spellEnd"/>
      <w:r w:rsidR="0040422E">
        <w:rPr>
          <w:color w:val="000000"/>
        </w:rPr>
        <w:t>, 2022)</w:t>
      </w:r>
      <w:r>
        <w:t>. All these reforms would decrease the CCC and increase the operating cash flow and dependence on external financing.</w:t>
      </w:r>
    </w:p>
    <w:p w14:paraId="5B63C800" w14:textId="7E919E4B" w:rsidR="00846653" w:rsidRDefault="00846653" w:rsidP="00846653">
      <w:pPr>
        <w:suppressAutoHyphens w:val="0"/>
        <w:autoSpaceDN/>
        <w:jc w:val="center"/>
      </w:pPr>
      <w:r>
        <w:rPr>
          <w:noProof/>
        </w:rPr>
        <w:drawing>
          <wp:inline distT="0" distB="0" distL="0" distR="0" wp14:anchorId="3372B176" wp14:editId="0BB384C4">
            <wp:extent cx="5038928" cy="2834327"/>
            <wp:effectExtent l="0" t="0" r="3175" b="0"/>
            <wp:docPr id="2056561819" name="Picture 8"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61819" name="Picture 8" descr="A diagram of a company's company's company's company's company's company's company's company's company's company's company's compan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39899" cy="2834873"/>
                    </a:xfrm>
                    <a:prstGeom prst="rect">
                      <a:avLst/>
                    </a:prstGeom>
                  </pic:spPr>
                </pic:pic>
              </a:graphicData>
            </a:graphic>
          </wp:inline>
        </w:drawing>
      </w:r>
    </w:p>
    <w:p w14:paraId="7ADE6269" w14:textId="301AC778" w:rsidR="007A78AF" w:rsidRPr="00E46996" w:rsidRDefault="000B009C" w:rsidP="00583481">
      <w:pPr>
        <w:pStyle w:val="Caption"/>
        <w:jc w:val="center"/>
        <w:rPr>
          <w:sz w:val="24"/>
          <w:szCs w:val="24"/>
        </w:rPr>
      </w:pPr>
      <w:bookmarkStart w:id="8" w:name="_Toc216698480"/>
      <w:r w:rsidRPr="00E46996">
        <w:rPr>
          <w:sz w:val="24"/>
          <w:szCs w:val="24"/>
        </w:rPr>
        <w:t xml:space="preserve">Figure </w:t>
      </w:r>
      <w:r w:rsidRPr="00E46996">
        <w:rPr>
          <w:sz w:val="24"/>
          <w:szCs w:val="24"/>
        </w:rPr>
        <w:fldChar w:fldCharType="begin"/>
      </w:r>
      <w:r w:rsidRPr="00E46996">
        <w:rPr>
          <w:sz w:val="24"/>
          <w:szCs w:val="24"/>
        </w:rPr>
        <w:instrText xml:space="preserve"> SEQ Figure \* ARABIC </w:instrText>
      </w:r>
      <w:r w:rsidRPr="00E46996">
        <w:rPr>
          <w:sz w:val="24"/>
          <w:szCs w:val="24"/>
        </w:rPr>
        <w:fldChar w:fldCharType="separate"/>
      </w:r>
      <w:r>
        <w:rPr>
          <w:sz w:val="24"/>
          <w:szCs w:val="24"/>
        </w:rPr>
        <w:t>3</w:t>
      </w:r>
      <w:r w:rsidRPr="00E46996">
        <w:rPr>
          <w:sz w:val="24"/>
          <w:szCs w:val="24"/>
        </w:rPr>
        <w:fldChar w:fldCharType="end"/>
      </w:r>
      <w:r w:rsidRPr="00E46996">
        <w:rPr>
          <w:sz w:val="24"/>
          <w:szCs w:val="24"/>
          <w:lang w:val="en-US"/>
        </w:rPr>
        <w:t>: Ways to increase working capital</w:t>
      </w:r>
      <w:bookmarkEnd w:id="8"/>
    </w:p>
    <w:p w14:paraId="3189D475" w14:textId="770530D6" w:rsidR="0022785C" w:rsidRDefault="0022785C" w:rsidP="00846653">
      <w:pPr>
        <w:suppressAutoHyphens w:val="0"/>
        <w:autoSpaceDN/>
        <w:jc w:val="center"/>
      </w:pPr>
      <w:r>
        <w:t xml:space="preserve">Source: </w:t>
      </w:r>
      <w:r>
        <w:rPr>
          <w:color w:val="000000"/>
        </w:rPr>
        <w:t>(Ashrafi and Pakdel, 2019)</w:t>
      </w:r>
    </w:p>
    <w:p w14:paraId="39D93A21" w14:textId="2B11A0EF" w:rsidR="008826C4" w:rsidRDefault="008826C4" w:rsidP="007547D2">
      <w:pPr>
        <w:pStyle w:val="Heading2"/>
      </w:pPr>
      <w:bookmarkStart w:id="9" w:name="_Toc216698507"/>
      <w:r>
        <w:t xml:space="preserve">Rapidly, </w:t>
      </w:r>
      <w:r w:rsidR="00730EF9">
        <w:t>short-term</w:t>
      </w:r>
      <w:r>
        <w:t xml:space="preserve"> and </w:t>
      </w:r>
      <w:r w:rsidR="00730EF9">
        <w:t>long-term</w:t>
      </w:r>
      <w:r>
        <w:t xml:space="preserve"> Financing</w:t>
      </w:r>
      <w:bookmarkEnd w:id="9"/>
    </w:p>
    <w:p w14:paraId="5D97C52D" w14:textId="24196A14" w:rsidR="008826C4" w:rsidRDefault="008826C4" w:rsidP="008826C4">
      <w:pPr>
        <w:suppressAutoHyphens w:val="0"/>
        <w:autoSpaceDN/>
      </w:pPr>
      <w:r>
        <w:t xml:space="preserve">The CFO should consider both internal </w:t>
      </w:r>
      <w:r w:rsidR="00730EF9">
        <w:t>remodelling</w:t>
      </w:r>
      <w:r>
        <w:t xml:space="preserve"> and </w:t>
      </w:r>
      <w:r w:rsidR="00730EF9">
        <w:t xml:space="preserve">a </w:t>
      </w:r>
      <w:r>
        <w:t xml:space="preserve">proper balance between the short run and long run financing. Overdraft and revolving credit facilities, which are </w:t>
      </w:r>
      <w:r w:rsidR="00730EF9">
        <w:t>short-term</w:t>
      </w:r>
      <w:r>
        <w:t xml:space="preserve"> forms of financing, are flexible and may be </w:t>
      </w:r>
      <w:r w:rsidR="00730EF9">
        <w:t>utilised</w:t>
      </w:r>
      <w:r>
        <w:t xml:space="preserve"> in financing temporary shortages in working capital. However, excess reliance on short-term funding exposes the company to the refinancing risk and interest rate risk</w:t>
      </w:r>
      <w:r w:rsidR="00730EF9">
        <w:t>,</w:t>
      </w:r>
      <w:r>
        <w:t xml:space="preserve"> particularly when the company is experiencing financial turmoil</w:t>
      </w:r>
      <w:r w:rsidR="003950A5">
        <w:t xml:space="preserve"> </w:t>
      </w:r>
      <w:r w:rsidR="003950A5">
        <w:rPr>
          <w:color w:val="000000"/>
        </w:rPr>
        <w:t>(Chen, Zhang and Yang, 2025)</w:t>
      </w:r>
      <w:r>
        <w:t>.</w:t>
      </w:r>
    </w:p>
    <w:p w14:paraId="22742A3D" w14:textId="060E00F4" w:rsidR="008826C4" w:rsidRDefault="00730EF9" w:rsidP="008826C4">
      <w:pPr>
        <w:suppressAutoHyphens w:val="0"/>
        <w:autoSpaceDN/>
      </w:pPr>
      <w:r>
        <w:lastRenderedPageBreak/>
        <w:t>Long-term</w:t>
      </w:r>
      <w:r w:rsidR="008826C4">
        <w:t xml:space="preserve"> sources of funds, term loans or injection of equity are more stable in that the maturity </w:t>
      </w:r>
      <w:r>
        <w:t>of</w:t>
      </w:r>
      <w:r w:rsidR="008826C4">
        <w:t xml:space="preserve"> the funds is in line with the recovery period of the firm. Such alternatives may be more expensive or cause dilution of ownership</w:t>
      </w:r>
      <w:r>
        <w:t>;</w:t>
      </w:r>
      <w:r w:rsidR="008826C4">
        <w:t xml:space="preserve"> however, </w:t>
      </w:r>
      <w:r>
        <w:t>they</w:t>
      </w:r>
      <w:r w:rsidR="008826C4">
        <w:t xml:space="preserve"> will reduce the rollover risk and make the balance sheet more robust. The capital structure of the firm should be stabilised with </w:t>
      </w:r>
      <w:r>
        <w:t>long-term</w:t>
      </w:r>
      <w:r w:rsidR="008826C4">
        <w:t xml:space="preserve"> financing</w:t>
      </w:r>
      <w:r>
        <w:t>,</w:t>
      </w:r>
      <w:r w:rsidR="008826C4">
        <w:t xml:space="preserve"> and </w:t>
      </w:r>
      <w:r>
        <w:t>short-term</w:t>
      </w:r>
      <w:r w:rsidR="008826C4">
        <w:t xml:space="preserve"> facilities should be able to cover the seasonal or cyclical working capital needs.</w:t>
      </w:r>
    </w:p>
    <w:p w14:paraId="3CBC847D" w14:textId="0315FB18" w:rsidR="007547D2" w:rsidRDefault="008826C4" w:rsidP="008826C4">
      <w:pPr>
        <w:suppressAutoHyphens w:val="0"/>
        <w:autoSpaceDN/>
      </w:pPr>
      <w:r>
        <w:t xml:space="preserve">Lastly, operational </w:t>
      </w:r>
      <w:proofErr w:type="spellStart"/>
      <w:r>
        <w:t>disciplinaire</w:t>
      </w:r>
      <w:proofErr w:type="spellEnd"/>
      <w:r>
        <w:t xml:space="preserve"> is </w:t>
      </w:r>
      <w:r w:rsidR="00D305AD">
        <w:t xml:space="preserve">more </w:t>
      </w:r>
      <w:r>
        <w:t>significant than financing in sustainable liquidity improvement</w:t>
      </w:r>
      <w:r w:rsidR="00025904">
        <w:t xml:space="preserve"> </w:t>
      </w:r>
      <w:r w:rsidR="00025904">
        <w:rPr>
          <w:color w:val="000000"/>
        </w:rPr>
        <w:t>(Lucke, 2024)</w:t>
      </w:r>
      <w:r>
        <w:t xml:space="preserve">. General </w:t>
      </w:r>
      <w:r w:rsidR="00730EF9">
        <w:t>Electric</w:t>
      </w:r>
      <w:r>
        <w:t xml:space="preserve"> will be in a position to restore short-term liquidity with the working capital restructuring, as well as a balanced approach </w:t>
      </w:r>
      <w:r w:rsidR="00730EF9">
        <w:t xml:space="preserve">to </w:t>
      </w:r>
      <w:r>
        <w:t xml:space="preserve">financing strategy, and reduce financial risk and </w:t>
      </w:r>
      <w:r w:rsidR="00730EF9">
        <w:t>subsidise</w:t>
      </w:r>
      <w:r>
        <w:t xml:space="preserve"> its overall turnaround objectives.</w:t>
      </w:r>
    </w:p>
    <w:p w14:paraId="7E75D5CF" w14:textId="77777777" w:rsidR="007547D2" w:rsidRDefault="007547D2">
      <w:pPr>
        <w:suppressAutoHyphens w:val="0"/>
        <w:autoSpaceDN/>
      </w:pPr>
      <w:r>
        <w:br w:type="page"/>
      </w:r>
    </w:p>
    <w:p w14:paraId="19C4FDD0" w14:textId="656888C3" w:rsidR="007547D2" w:rsidRDefault="00D21EA4" w:rsidP="00D21EA4">
      <w:pPr>
        <w:pStyle w:val="Heading1"/>
      </w:pPr>
      <w:bookmarkStart w:id="10" w:name="_Toc216698508"/>
      <w:r>
        <w:lastRenderedPageBreak/>
        <w:t>Task 3</w:t>
      </w:r>
      <w:bookmarkEnd w:id="10"/>
    </w:p>
    <w:p w14:paraId="6BF05794" w14:textId="0BD21EA0" w:rsidR="007547D2" w:rsidRDefault="007547D2" w:rsidP="007547D2">
      <w:pPr>
        <w:pStyle w:val="Heading2"/>
      </w:pPr>
      <w:bookmarkStart w:id="11" w:name="_Toc216698509"/>
      <w:r>
        <w:t xml:space="preserve">A </w:t>
      </w:r>
      <w:r w:rsidR="00730EF9">
        <w:t>Rationalisation</w:t>
      </w:r>
      <w:r>
        <w:t xml:space="preserve"> of the Financial Restructuring</w:t>
      </w:r>
      <w:bookmarkEnd w:id="11"/>
    </w:p>
    <w:p w14:paraId="7E5CB170" w14:textId="55A6EF69" w:rsidR="007547D2" w:rsidRDefault="007547D2" w:rsidP="007547D2">
      <w:pPr>
        <w:suppressAutoHyphens w:val="0"/>
        <w:autoSpaceDN/>
      </w:pPr>
      <w:r>
        <w:t xml:space="preserve">According to the financial health and the working </w:t>
      </w:r>
      <w:r w:rsidR="00BB5F4A">
        <w:t>capital</w:t>
      </w:r>
      <w:r>
        <w:t xml:space="preserve"> analyses, it can be established that General Electronics is adopting </w:t>
      </w:r>
      <w:r w:rsidR="00BB5F4A">
        <w:t xml:space="preserve">an </w:t>
      </w:r>
      <w:r>
        <w:t>unsustainable financial structure</w:t>
      </w:r>
      <w:r w:rsidR="003950A5">
        <w:t xml:space="preserve"> </w:t>
      </w:r>
      <w:r w:rsidR="00AF6DA0">
        <w:rPr>
          <w:color w:val="000000"/>
        </w:rPr>
        <w:t>(Ashrafi and Pakdel, 2019)</w:t>
      </w:r>
      <w:r>
        <w:t>. There are indications of repetitive operating losses, declining equity, increasing leverage and worsening liquidity</w:t>
      </w:r>
      <w:r w:rsidR="00BB5F4A">
        <w:t>,</w:t>
      </w:r>
      <w:r>
        <w:t xml:space="preserve"> which all indicate that operational improvement will not prove sufficient in restoring financial health. As a CFO, it would involve total financial re-engineering to </w:t>
      </w:r>
      <w:r w:rsidR="00BB5F4A">
        <w:t>stabilise</w:t>
      </w:r>
      <w:r>
        <w:t xml:space="preserve"> </w:t>
      </w:r>
      <w:r w:rsidR="00BB5F4A">
        <w:t xml:space="preserve">the </w:t>
      </w:r>
      <w:r>
        <w:t xml:space="preserve">financial balance sheet, restore confidence of the stakeholders and create </w:t>
      </w:r>
      <w:r w:rsidR="00BB5F4A">
        <w:t xml:space="preserve">the </w:t>
      </w:r>
      <w:r>
        <w:t>flexibility required to do long-term strategic repositioning.</w:t>
      </w:r>
    </w:p>
    <w:p w14:paraId="45100C73" w14:textId="7AD46DC4" w:rsidR="007547D2" w:rsidRDefault="007547D2" w:rsidP="007547D2">
      <w:pPr>
        <w:suppressAutoHyphens w:val="0"/>
        <w:autoSpaceDN/>
      </w:pPr>
      <w:r>
        <w:t xml:space="preserve">The </w:t>
      </w:r>
      <w:r w:rsidR="00BB5F4A">
        <w:t>reorganisation</w:t>
      </w:r>
      <w:r>
        <w:t xml:space="preserve"> in this respect of financial aspects has to address three interrelated objectives that are to make the company solvent, improve capital performance, and contribute to the renewal of the </w:t>
      </w:r>
      <w:r w:rsidR="00BB5F4A">
        <w:t>company's</w:t>
      </w:r>
      <w:r>
        <w:t xml:space="preserve"> operations. The restructuring plan offered must be evaluated not only on its </w:t>
      </w:r>
      <w:r w:rsidR="00BB5F4A">
        <w:t>short-term</w:t>
      </w:r>
      <w:r>
        <w:t xml:space="preserve"> financial impact on the business, but also on its impact on the shareholder value, its debt sustainability and its strategic flexibility in the volatile global market.</w:t>
      </w:r>
    </w:p>
    <w:p w14:paraId="13BA6DDF" w14:textId="4D8E9B01" w:rsidR="007547D2" w:rsidRDefault="0088586B" w:rsidP="00447646">
      <w:pPr>
        <w:pStyle w:val="Heading2"/>
      </w:pPr>
      <w:bookmarkStart w:id="12" w:name="_Toc216698510"/>
      <w:r>
        <w:t>Divestment</w:t>
      </w:r>
      <w:r w:rsidR="007547D2">
        <w:t xml:space="preserve"> and Asset Rationalisation</w:t>
      </w:r>
      <w:bookmarkEnd w:id="12"/>
    </w:p>
    <w:p w14:paraId="7215D289" w14:textId="3542F8A6" w:rsidR="007547D2" w:rsidRDefault="007547D2" w:rsidP="007547D2">
      <w:pPr>
        <w:suppressAutoHyphens w:val="0"/>
        <w:autoSpaceDN/>
      </w:pPr>
      <w:r>
        <w:t>One of the restructuring options that General Electronics can achieve with the least amount of time and effort is targeted divestiture</w:t>
      </w:r>
      <w:r w:rsidR="000A3659">
        <w:t xml:space="preserve"> </w:t>
      </w:r>
      <w:r w:rsidR="00704743">
        <w:rPr>
          <w:color w:val="000000"/>
        </w:rPr>
        <w:t>(</w:t>
      </w:r>
      <w:proofErr w:type="spellStart"/>
      <w:r w:rsidR="00704743">
        <w:rPr>
          <w:color w:val="000000"/>
        </w:rPr>
        <w:t>Crinson</w:t>
      </w:r>
      <w:proofErr w:type="spellEnd"/>
      <w:r w:rsidR="00704743">
        <w:rPr>
          <w:color w:val="000000"/>
        </w:rPr>
        <w:t>, 2024)</w:t>
      </w:r>
      <w:r>
        <w:t xml:space="preserve">. The declining asset base and the low asset utilisation ratios of the firm show that there are business units or </w:t>
      </w:r>
      <w:r w:rsidR="0088586B">
        <w:t>non-core</w:t>
      </w:r>
      <w:r>
        <w:t xml:space="preserve"> assets that are not doing well</w:t>
      </w:r>
      <w:r w:rsidR="0088586B">
        <w:t>,</w:t>
      </w:r>
      <w:r>
        <w:t xml:space="preserve"> or at the cost of the strategic priorities of the firm. In order to enable the management to concentrate on the more increasing and more profitable segments, it would be suitable to divest the non-core operations</w:t>
      </w:r>
      <w:r w:rsidR="0088586B">
        <w:t>,</w:t>
      </w:r>
      <w:r>
        <w:t xml:space="preserve"> i.e. legacy product lines, or subsidiaries not viable geographically.</w:t>
      </w:r>
    </w:p>
    <w:p w14:paraId="4A3AB965" w14:textId="3FB54C59" w:rsidR="007547D2" w:rsidRDefault="007547D2" w:rsidP="007547D2">
      <w:pPr>
        <w:suppressAutoHyphens w:val="0"/>
        <w:autoSpaceDN/>
      </w:pPr>
      <w:r>
        <w:t xml:space="preserve">Divestiture has </w:t>
      </w:r>
      <w:r w:rsidR="0088586B">
        <w:t xml:space="preserve">many </w:t>
      </w:r>
      <w:r>
        <w:t>financial advantages that are many</w:t>
      </w:r>
      <w:r w:rsidR="00704743">
        <w:t xml:space="preserve"> </w:t>
      </w:r>
      <w:r w:rsidR="00704743">
        <w:rPr>
          <w:color w:val="000000"/>
        </w:rPr>
        <w:t>(</w:t>
      </w:r>
      <w:proofErr w:type="spellStart"/>
      <w:r w:rsidR="00704743">
        <w:rPr>
          <w:color w:val="000000"/>
        </w:rPr>
        <w:t>Crinson</w:t>
      </w:r>
      <w:proofErr w:type="spellEnd"/>
      <w:r w:rsidR="00704743">
        <w:rPr>
          <w:color w:val="000000"/>
        </w:rPr>
        <w:t>, 2024)</w:t>
      </w:r>
      <w:r>
        <w:t xml:space="preserve">. The positive direct effect of increasing gearing ratios and decreasing interest payments will be possible through repaying debt by asset sales. This would have a deleveraging effect of enhancing interest coverage as well as minimising the insolvency risk, which would stabilise </w:t>
      </w:r>
      <w:r w:rsidR="0088586B">
        <w:t xml:space="preserve">the </w:t>
      </w:r>
      <w:r>
        <w:t xml:space="preserve">credit profile of the firm. In addition, divestiture can increase the degree of return on assets by </w:t>
      </w:r>
      <w:r w:rsidR="0088586B">
        <w:t>excluding</w:t>
      </w:r>
      <w:r>
        <w:t xml:space="preserve"> the asset base to eliminate the assets that are not strategically relevant and productive.</w:t>
      </w:r>
    </w:p>
    <w:p w14:paraId="49E7399F" w14:textId="6BB711FA" w:rsidR="007547D2" w:rsidRDefault="007547D2" w:rsidP="007547D2">
      <w:pPr>
        <w:suppressAutoHyphens w:val="0"/>
        <w:autoSpaceDN/>
      </w:pPr>
      <w:r>
        <w:t>There are, however, risks involved in divestiture as well. Fire-sale disposals in a stricken environment may result in destruction of values in the event that the assets are sold at a lower price than their intrinsic value</w:t>
      </w:r>
      <w:r w:rsidR="003C0C54">
        <w:t xml:space="preserve"> </w:t>
      </w:r>
      <w:r w:rsidR="003C0C54">
        <w:rPr>
          <w:color w:val="000000"/>
        </w:rPr>
        <w:t>(Kenton, 2021)</w:t>
      </w:r>
      <w:r>
        <w:t>.</w:t>
      </w:r>
    </w:p>
    <w:p w14:paraId="0FA68AD1" w14:textId="3770C119" w:rsidR="0088586B" w:rsidRDefault="0088586B" w:rsidP="0088586B">
      <w:pPr>
        <w:suppressAutoHyphens w:val="0"/>
        <w:autoSpaceDN/>
        <w:jc w:val="center"/>
      </w:pPr>
      <w:r>
        <w:rPr>
          <w:noProof/>
        </w:rPr>
        <w:lastRenderedPageBreak/>
        <w:drawing>
          <wp:inline distT="0" distB="0" distL="0" distR="0" wp14:anchorId="7BACB073" wp14:editId="0E38AE71">
            <wp:extent cx="4609255" cy="3356042"/>
            <wp:effectExtent l="0" t="0" r="0" b="0"/>
            <wp:docPr id="1026640331" name="Picture 3"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640331" name="Picture 3" descr="A screen shot of a diagram&#10;&#10;AI-generated content may be incorrect."/>
                    <pic:cNvPicPr/>
                  </pic:nvPicPr>
                  <pic:blipFill rotWithShape="1">
                    <a:blip r:embed="rId12" cstate="print">
                      <a:extLst>
                        <a:ext uri="{28A0092B-C50C-407E-A947-70E740481C1C}">
                          <a14:useLocalDpi xmlns:a14="http://schemas.microsoft.com/office/drawing/2010/main" val="0"/>
                        </a:ext>
                      </a:extLst>
                    </a:blip>
                    <a:srcRect b="6290"/>
                    <a:stretch>
                      <a:fillRect/>
                    </a:stretch>
                  </pic:blipFill>
                  <pic:spPr bwMode="auto">
                    <a:xfrm>
                      <a:off x="0" y="0"/>
                      <a:ext cx="4614827" cy="3360099"/>
                    </a:xfrm>
                    <a:prstGeom prst="rect">
                      <a:avLst/>
                    </a:prstGeom>
                    <a:ln>
                      <a:noFill/>
                    </a:ln>
                    <a:extLst>
                      <a:ext uri="{53640926-AAD7-44D8-BBD7-CCE9431645EC}">
                        <a14:shadowObscured xmlns:a14="http://schemas.microsoft.com/office/drawing/2010/main"/>
                      </a:ext>
                    </a:extLst>
                  </pic:spPr>
                </pic:pic>
              </a:graphicData>
            </a:graphic>
          </wp:inline>
        </w:drawing>
      </w:r>
    </w:p>
    <w:p w14:paraId="05383063" w14:textId="6B26B48D" w:rsidR="003C0C54" w:rsidRPr="00A775D5" w:rsidRDefault="00515F85" w:rsidP="00515F85">
      <w:pPr>
        <w:pStyle w:val="Caption"/>
        <w:jc w:val="center"/>
        <w:rPr>
          <w:sz w:val="24"/>
          <w:szCs w:val="24"/>
        </w:rPr>
      </w:pPr>
      <w:bookmarkStart w:id="13" w:name="_Toc216698481"/>
      <w:r w:rsidRPr="00A775D5">
        <w:rPr>
          <w:sz w:val="24"/>
          <w:szCs w:val="24"/>
        </w:rPr>
        <w:t xml:space="preserve">Figure </w:t>
      </w:r>
      <w:r w:rsidRPr="00A775D5">
        <w:rPr>
          <w:sz w:val="24"/>
          <w:szCs w:val="24"/>
        </w:rPr>
        <w:fldChar w:fldCharType="begin"/>
      </w:r>
      <w:r w:rsidRPr="00A775D5">
        <w:rPr>
          <w:sz w:val="24"/>
          <w:szCs w:val="24"/>
        </w:rPr>
        <w:instrText xml:space="preserve"> SEQ Figure \* ARABIC </w:instrText>
      </w:r>
      <w:r w:rsidRPr="00A775D5">
        <w:rPr>
          <w:sz w:val="24"/>
          <w:szCs w:val="24"/>
        </w:rPr>
        <w:fldChar w:fldCharType="separate"/>
      </w:r>
      <w:r w:rsidR="009158ED">
        <w:rPr>
          <w:noProof/>
          <w:sz w:val="24"/>
          <w:szCs w:val="24"/>
        </w:rPr>
        <w:t>4</w:t>
      </w:r>
      <w:r w:rsidRPr="00A775D5">
        <w:rPr>
          <w:sz w:val="24"/>
          <w:szCs w:val="24"/>
        </w:rPr>
        <w:fldChar w:fldCharType="end"/>
      </w:r>
      <w:r w:rsidRPr="00A775D5">
        <w:rPr>
          <w:sz w:val="24"/>
          <w:szCs w:val="24"/>
          <w:lang w:val="en-US"/>
        </w:rPr>
        <w:t>:</w:t>
      </w:r>
      <w:r w:rsidR="003C0C54" w:rsidRPr="00A775D5">
        <w:rPr>
          <w:sz w:val="24"/>
          <w:szCs w:val="24"/>
          <w:lang w:val="en-US"/>
        </w:rPr>
        <w:t xml:space="preserve"> </w:t>
      </w:r>
      <w:r w:rsidR="006F0B98" w:rsidRPr="00A775D5">
        <w:rPr>
          <w:sz w:val="24"/>
          <w:szCs w:val="24"/>
          <w:lang w:val="en-US"/>
        </w:rPr>
        <w:t>Strategic Divestiture for General Electronics</w:t>
      </w:r>
      <w:bookmarkEnd w:id="13"/>
    </w:p>
    <w:p w14:paraId="0B8D1D88" w14:textId="518A0431" w:rsidR="006F0B98" w:rsidRDefault="006F0B98" w:rsidP="0088586B">
      <w:pPr>
        <w:suppressAutoHyphens w:val="0"/>
        <w:autoSpaceDN/>
        <w:jc w:val="center"/>
      </w:pPr>
      <w:r>
        <w:t>Source: Author’s creation</w:t>
      </w:r>
    </w:p>
    <w:p w14:paraId="469A721C" w14:textId="1365B22A" w:rsidR="007547D2" w:rsidRDefault="007547D2" w:rsidP="00447646">
      <w:pPr>
        <w:pStyle w:val="Heading2"/>
      </w:pPr>
      <w:bookmarkStart w:id="14" w:name="_Toc216698511"/>
      <w:r>
        <w:t>Merger/Strategic Alliance Alternatives</w:t>
      </w:r>
      <w:bookmarkEnd w:id="14"/>
    </w:p>
    <w:p w14:paraId="2E1884D9" w14:textId="2EC9B6AF" w:rsidR="007547D2" w:rsidRDefault="0088586B" w:rsidP="007547D2">
      <w:pPr>
        <w:suppressAutoHyphens w:val="0"/>
        <w:autoSpaceDN/>
      </w:pPr>
      <w:r>
        <w:t>A merger</w:t>
      </w:r>
      <w:r w:rsidR="007547D2">
        <w:t xml:space="preserve"> or strategic alliance is one of the potential paths that the firm can take to recover more quickly because of the diminished competitive advantage of the company. A </w:t>
      </w:r>
      <w:r>
        <w:t>well-structured</w:t>
      </w:r>
      <w:r w:rsidR="007547D2">
        <w:t xml:space="preserve"> merger would help General Electronics to have certain cost economies of scale, market growth</w:t>
      </w:r>
      <w:r>
        <w:t>,</w:t>
      </w:r>
      <w:r w:rsidR="007547D2">
        <w:t xml:space="preserve"> as well as research and development cost sharing in an industry that has experienced </w:t>
      </w:r>
      <w:r>
        <w:t xml:space="preserve">a </w:t>
      </w:r>
      <w:r w:rsidR="007547D2">
        <w:t xml:space="preserve">rapid rate of </w:t>
      </w:r>
      <w:r>
        <w:t>technological change</w:t>
      </w:r>
      <w:r w:rsidR="007547D2">
        <w:t xml:space="preserve"> and high fixed costs.</w:t>
      </w:r>
    </w:p>
    <w:p w14:paraId="7DAD4927" w14:textId="78DCD7A1" w:rsidR="007547D2" w:rsidRDefault="007547D2" w:rsidP="007547D2">
      <w:pPr>
        <w:suppressAutoHyphens w:val="0"/>
        <w:autoSpaceDN/>
      </w:pPr>
      <w:r>
        <w:t xml:space="preserve">Under the shareholder value approach, </w:t>
      </w:r>
      <w:r w:rsidR="0088586B">
        <w:t xml:space="preserve">a </w:t>
      </w:r>
      <w:r>
        <w:t>merger can create merger value through economies of scale, greater price power and access to complementary technologies</w:t>
      </w:r>
      <w:r w:rsidR="00E87022">
        <w:t xml:space="preserve"> </w:t>
      </w:r>
      <w:r w:rsidR="00E87022">
        <w:rPr>
          <w:color w:val="000000"/>
        </w:rPr>
        <w:t>(Billa, 2019)</w:t>
      </w:r>
      <w:r>
        <w:t>. The economies of scale</w:t>
      </w:r>
      <w:r w:rsidR="0088586B">
        <w:t>,</w:t>
      </w:r>
      <w:r>
        <w:t xml:space="preserve"> particularly in procurement cost, </w:t>
      </w:r>
      <w:r w:rsidR="0088586B">
        <w:t>manufacturing</w:t>
      </w:r>
      <w:r>
        <w:t xml:space="preserve"> and distribution</w:t>
      </w:r>
      <w:r w:rsidR="0088586B">
        <w:t>,</w:t>
      </w:r>
      <w:r>
        <w:t xml:space="preserve"> may considerably </w:t>
      </w:r>
      <w:r w:rsidR="0088586B">
        <w:t>increase</w:t>
      </w:r>
      <w:r>
        <w:t xml:space="preserve"> the operating margins and cash flow generation. In addition, a merger with a financially </w:t>
      </w:r>
      <w:r w:rsidR="0088586B">
        <w:t>well-off</w:t>
      </w:r>
      <w:r>
        <w:t xml:space="preserve"> company may assist in accessing capital and reducing refinancing risk.</w:t>
      </w:r>
    </w:p>
    <w:p w14:paraId="7BDC5294" w14:textId="0B997625" w:rsidR="007547D2" w:rsidRDefault="007547D2" w:rsidP="007547D2">
      <w:pPr>
        <w:suppressAutoHyphens w:val="0"/>
        <w:autoSpaceDN/>
      </w:pPr>
      <w:r>
        <w:t xml:space="preserve">Nevertheless, mergers are also associated with serious risks of implementation and assimilation as well. The possible damage to the </w:t>
      </w:r>
      <w:r w:rsidR="0088586B">
        <w:t>value</w:t>
      </w:r>
      <w:r>
        <w:t xml:space="preserve"> of </w:t>
      </w:r>
      <w:r w:rsidR="0088586B">
        <w:t>the company</w:t>
      </w:r>
      <w:r>
        <w:t xml:space="preserve"> is typical because of the cultural incompatibility, the </w:t>
      </w:r>
      <w:r w:rsidR="0088586B">
        <w:t>breakdown</w:t>
      </w:r>
      <w:r>
        <w:t xml:space="preserve"> of operations and an excessive estimate of the synergies. These are risks that are intensified </w:t>
      </w:r>
      <w:r w:rsidR="0088586B">
        <w:t>in</w:t>
      </w:r>
      <w:r>
        <w:t xml:space="preserve"> the already financially struggling firm. Hence</w:t>
      </w:r>
      <w:r w:rsidR="0088586B">
        <w:t>,</w:t>
      </w:r>
      <w:r>
        <w:t xml:space="preserve"> a </w:t>
      </w:r>
      <w:r w:rsidR="0088586B">
        <w:t>full-scale</w:t>
      </w:r>
      <w:r>
        <w:t xml:space="preserve"> merger will be thought over and only undertaken when there is a strategic and financial fit</w:t>
      </w:r>
      <w:r w:rsidR="00E87022">
        <w:t xml:space="preserve"> </w:t>
      </w:r>
      <w:r w:rsidR="00E87022">
        <w:rPr>
          <w:color w:val="000000"/>
        </w:rPr>
        <w:lastRenderedPageBreak/>
        <w:t>(Billa, 2019)</w:t>
      </w:r>
      <w:r>
        <w:t xml:space="preserve">. Most of the benefits of cooperation can also be offered through </w:t>
      </w:r>
      <w:r w:rsidR="0088586B">
        <w:t xml:space="preserve">a </w:t>
      </w:r>
      <w:r>
        <w:t>strategic alliance or joint venture</w:t>
      </w:r>
      <w:r w:rsidR="0088586B">
        <w:t>,</w:t>
      </w:r>
      <w:r>
        <w:t xml:space="preserve"> and this restricts financial and operational risks.</w:t>
      </w:r>
    </w:p>
    <w:p w14:paraId="4E58E9E2" w14:textId="5F6DACD2" w:rsidR="007547D2" w:rsidRDefault="007547D2" w:rsidP="00447646">
      <w:pPr>
        <w:pStyle w:val="Heading2"/>
      </w:pPr>
      <w:bookmarkStart w:id="15" w:name="_Toc216698512"/>
      <w:r>
        <w:t>Capital structure rebalancing and Injection of equity</w:t>
      </w:r>
      <w:bookmarkEnd w:id="15"/>
    </w:p>
    <w:p w14:paraId="44114F27" w14:textId="47622AC7" w:rsidR="007547D2" w:rsidRDefault="007547D2" w:rsidP="007547D2">
      <w:pPr>
        <w:suppressAutoHyphens w:val="0"/>
        <w:autoSpaceDN/>
      </w:pPr>
      <w:r>
        <w:t xml:space="preserve">The best methods of restoring the balance sheet virtue include the injection of equity. Some of the indicators that the current capital structure is over-levered include the poor equity base of the company and the rise in </w:t>
      </w:r>
      <w:r w:rsidR="007B6FAA">
        <w:t xml:space="preserve">the </w:t>
      </w:r>
      <w:r>
        <w:t>debt-to-equity ratio. A right issue or a private placement to raise the equity of the company would have the direct effect of raising the equity of the company shareholders and solvency ratios</w:t>
      </w:r>
      <w:r w:rsidR="002631AC">
        <w:t xml:space="preserve"> </w:t>
      </w:r>
      <w:r w:rsidR="002631AC">
        <w:rPr>
          <w:color w:val="000000"/>
        </w:rPr>
        <w:t>(</w:t>
      </w:r>
      <w:r w:rsidR="002A0811">
        <w:rPr>
          <w:color w:val="000000"/>
        </w:rPr>
        <w:t>McClure</w:t>
      </w:r>
      <w:r w:rsidR="002631AC">
        <w:rPr>
          <w:color w:val="000000"/>
        </w:rPr>
        <w:t>, 2021)</w:t>
      </w:r>
      <w:r>
        <w:t>.</w:t>
      </w:r>
    </w:p>
    <w:p w14:paraId="67167304" w14:textId="0143B0DF" w:rsidR="007547D2" w:rsidRDefault="007547D2" w:rsidP="007547D2">
      <w:pPr>
        <w:suppressAutoHyphens w:val="0"/>
        <w:autoSpaceDN/>
      </w:pPr>
      <w:r>
        <w:t xml:space="preserve">Equity financing enhances greater financial stability as it reduces the amount of </w:t>
      </w:r>
      <w:r w:rsidR="007B6FAA">
        <w:t>debt</w:t>
      </w:r>
      <w:r>
        <w:t xml:space="preserve"> being used and also limits the amount of fixed interest payments, thereby enhancing the cash flow stability. It would also be comforting the lenders and suppliers with better capital adequacy, which may lead to more favourable terms of financing. In the long term, a better equity base can be used to increase the capabilities of the firm to finance the innovation and strategic growth projects.</w:t>
      </w:r>
    </w:p>
    <w:p w14:paraId="63475736" w14:textId="496A24DA" w:rsidR="007547D2" w:rsidRDefault="007547D2" w:rsidP="007547D2">
      <w:pPr>
        <w:suppressAutoHyphens w:val="0"/>
        <w:autoSpaceDN/>
      </w:pPr>
      <w:r>
        <w:t>Equity injection</w:t>
      </w:r>
      <w:r w:rsidR="007B6FAA">
        <w:t>,</w:t>
      </w:r>
      <w:r>
        <w:t xml:space="preserve"> on the other hand</w:t>
      </w:r>
      <w:r w:rsidR="007B6FAA">
        <w:t>,</w:t>
      </w:r>
      <w:r>
        <w:t xml:space="preserve"> comes with the dilution of existing ownership of the current </w:t>
      </w:r>
      <w:r w:rsidR="007B6FAA">
        <w:t>shareholders</w:t>
      </w:r>
      <w:r>
        <w:t xml:space="preserve"> and may not be received well when it is at a low share price</w:t>
      </w:r>
      <w:r w:rsidR="009E0E55">
        <w:t xml:space="preserve"> </w:t>
      </w:r>
      <w:r w:rsidR="009E0E55">
        <w:rPr>
          <w:color w:val="000000"/>
        </w:rPr>
        <w:t>(Olivia, 2024)</w:t>
      </w:r>
      <w:r>
        <w:t>. It is therefore upon the CFO to create a balance between dilution in the short term and long term. An open discussion of a realistic turnaround plan should be there to receive shareholder support and overcome adverse market reactions.</w:t>
      </w:r>
    </w:p>
    <w:p w14:paraId="0E44AF85" w14:textId="20A58433" w:rsidR="00A42BFC" w:rsidRDefault="00A42BFC" w:rsidP="00B10069">
      <w:pPr>
        <w:suppressAutoHyphens w:val="0"/>
        <w:autoSpaceDN/>
        <w:jc w:val="center"/>
      </w:pPr>
      <w:r>
        <w:fldChar w:fldCharType="begin"/>
      </w:r>
      <w:r>
        <w:instrText xml:space="preserve"> INCLUDEPICTURE "/Users/apple/Library/Group Containers/UBF8T346G9.ms/WebArchiveCopyPasteTempFiles/com.microsoft.Word/sba-equity-injection-speritas-capital-LI-web.png" \* MERGEFORMATINET </w:instrText>
      </w:r>
      <w:r>
        <w:fldChar w:fldCharType="separate"/>
      </w:r>
      <w:r>
        <w:rPr>
          <w:noProof/>
        </w:rPr>
        <w:drawing>
          <wp:inline distT="0" distB="0" distL="0" distR="0" wp14:anchorId="78E5992C" wp14:editId="4F2AF7BF">
            <wp:extent cx="5223871" cy="2986392"/>
            <wp:effectExtent l="0" t="0" r="0" b="0"/>
            <wp:docPr id="242624479" name="Picture 4" descr="6 Equity Sources that Meet the SBA's Equity Injection Requirements for a  Business Acquisition&lt;br/&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6 Equity Sources that Meet the SBA's Equity Injection Requirements for a  Business Acquisition&lt;br/&g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26828" cy="2988082"/>
                    </a:xfrm>
                    <a:prstGeom prst="rect">
                      <a:avLst/>
                    </a:prstGeom>
                    <a:noFill/>
                    <a:ln>
                      <a:noFill/>
                    </a:ln>
                  </pic:spPr>
                </pic:pic>
              </a:graphicData>
            </a:graphic>
          </wp:inline>
        </w:drawing>
      </w:r>
      <w:r>
        <w:fldChar w:fldCharType="end"/>
      </w:r>
    </w:p>
    <w:p w14:paraId="53D934FC" w14:textId="497C73DE" w:rsidR="00B10069" w:rsidRPr="009158ED" w:rsidRDefault="00A775D5" w:rsidP="00A775D5">
      <w:pPr>
        <w:pStyle w:val="Caption"/>
        <w:jc w:val="center"/>
        <w:rPr>
          <w:sz w:val="24"/>
          <w:szCs w:val="24"/>
        </w:rPr>
      </w:pPr>
      <w:bookmarkStart w:id="16" w:name="_Toc216698482"/>
      <w:r w:rsidRPr="009158ED">
        <w:rPr>
          <w:sz w:val="24"/>
          <w:szCs w:val="24"/>
        </w:rPr>
        <w:t xml:space="preserve">Figure </w:t>
      </w:r>
      <w:r w:rsidRPr="009158ED">
        <w:rPr>
          <w:sz w:val="24"/>
          <w:szCs w:val="24"/>
        </w:rPr>
        <w:fldChar w:fldCharType="begin"/>
      </w:r>
      <w:r w:rsidRPr="009158ED">
        <w:rPr>
          <w:sz w:val="24"/>
          <w:szCs w:val="24"/>
        </w:rPr>
        <w:instrText xml:space="preserve"> SEQ Figure \* ARABIC </w:instrText>
      </w:r>
      <w:r w:rsidRPr="009158ED">
        <w:rPr>
          <w:sz w:val="24"/>
          <w:szCs w:val="24"/>
        </w:rPr>
        <w:fldChar w:fldCharType="separate"/>
      </w:r>
      <w:r w:rsidR="009158ED">
        <w:rPr>
          <w:noProof/>
          <w:sz w:val="24"/>
          <w:szCs w:val="24"/>
        </w:rPr>
        <w:t>5</w:t>
      </w:r>
      <w:r w:rsidRPr="009158ED">
        <w:rPr>
          <w:sz w:val="24"/>
          <w:szCs w:val="24"/>
        </w:rPr>
        <w:fldChar w:fldCharType="end"/>
      </w:r>
      <w:r w:rsidRPr="009158ED">
        <w:rPr>
          <w:sz w:val="24"/>
          <w:szCs w:val="24"/>
          <w:lang w:val="en-US"/>
        </w:rPr>
        <w:t>:</w:t>
      </w:r>
      <w:r w:rsidR="00B10069" w:rsidRPr="009158ED">
        <w:rPr>
          <w:sz w:val="24"/>
          <w:szCs w:val="24"/>
          <w:lang w:val="en-US"/>
        </w:rPr>
        <w:t xml:space="preserve"> Creative Equity Injection. Sources</w:t>
      </w:r>
      <w:bookmarkEnd w:id="16"/>
    </w:p>
    <w:p w14:paraId="392749BC" w14:textId="3ED7F40F" w:rsidR="00B10069" w:rsidRDefault="00B10069" w:rsidP="00B10069">
      <w:pPr>
        <w:suppressAutoHyphens w:val="0"/>
        <w:autoSpaceDN/>
        <w:jc w:val="center"/>
      </w:pPr>
      <w:r>
        <w:t xml:space="preserve">Source: </w:t>
      </w:r>
      <w:r>
        <w:rPr>
          <w:color w:val="000000"/>
        </w:rPr>
        <w:t>(Olivia, 2024)</w:t>
      </w:r>
    </w:p>
    <w:p w14:paraId="42E9AF00" w14:textId="0367A8E1" w:rsidR="007547D2" w:rsidRDefault="007547D2" w:rsidP="00447646">
      <w:pPr>
        <w:pStyle w:val="Heading2"/>
      </w:pPr>
      <w:bookmarkStart w:id="17" w:name="_Toc216698513"/>
      <w:r>
        <w:lastRenderedPageBreak/>
        <w:t xml:space="preserve">Shareholder Value, Debt Structure and Operational Flexibility </w:t>
      </w:r>
      <w:r w:rsidR="007B6FAA">
        <w:t>Implications</w:t>
      </w:r>
      <w:bookmarkEnd w:id="17"/>
    </w:p>
    <w:p w14:paraId="19EB5A8F" w14:textId="58ED794D" w:rsidR="007547D2" w:rsidRDefault="007547D2" w:rsidP="007547D2">
      <w:pPr>
        <w:suppressAutoHyphens w:val="0"/>
        <w:autoSpaceDN/>
      </w:pPr>
      <w:r>
        <w:t xml:space="preserve">Each of the proposed alternatives </w:t>
      </w:r>
      <w:r w:rsidR="007B6FAA">
        <w:t>for</w:t>
      </w:r>
      <w:r>
        <w:t xml:space="preserve"> restructuring would have significant consequences as far as shareholder value is concerned. This is because the immediate impact of divestitures and equity issues may be a decline in the valuation through the reduction of the scale and dilution. Such actions will nevertheless enhance the </w:t>
      </w:r>
      <w:r w:rsidR="007B6FAA">
        <w:t>long-term</w:t>
      </w:r>
      <w:r>
        <w:t xml:space="preserve"> shareholder value as </w:t>
      </w:r>
      <w:r w:rsidR="007B6FAA">
        <w:t>they</w:t>
      </w:r>
      <w:r>
        <w:t xml:space="preserve"> will eliminate financial risk, stabilise earnings and restore sustainable profitability.</w:t>
      </w:r>
    </w:p>
    <w:p w14:paraId="74FDE554" w14:textId="6012BC35" w:rsidR="007547D2" w:rsidRDefault="007547D2" w:rsidP="007547D2">
      <w:pPr>
        <w:suppressAutoHyphens w:val="0"/>
        <w:autoSpaceDN/>
      </w:pPr>
      <w:r>
        <w:t xml:space="preserve">Restructuring would be of assistance to the debt structure as well. Improved leverage and interest, interest cover and </w:t>
      </w:r>
      <w:r w:rsidR="007B6FAA">
        <w:t>a lower</w:t>
      </w:r>
      <w:r>
        <w:t xml:space="preserve"> likelihood of default would be gained through divestiture growth and equity financing</w:t>
      </w:r>
      <w:r w:rsidR="0078117E">
        <w:t xml:space="preserve"> </w:t>
      </w:r>
      <w:r w:rsidR="0078117E">
        <w:rPr>
          <w:color w:val="000000"/>
        </w:rPr>
        <w:t>(</w:t>
      </w:r>
      <w:proofErr w:type="spellStart"/>
      <w:r w:rsidR="0078117E">
        <w:rPr>
          <w:color w:val="000000"/>
        </w:rPr>
        <w:t>Crinson</w:t>
      </w:r>
      <w:proofErr w:type="spellEnd"/>
      <w:r w:rsidR="0078117E">
        <w:rPr>
          <w:color w:val="000000"/>
        </w:rPr>
        <w:t>, 2024)</w:t>
      </w:r>
      <w:r>
        <w:t>. A more moderate and less complicated capital structure would help the firm to be more resilient to economic shocks and allow it to be more strategically flexible.</w:t>
      </w:r>
    </w:p>
    <w:p w14:paraId="4B53CF5C" w14:textId="447EC9EF" w:rsidR="007547D2" w:rsidRDefault="007547D2" w:rsidP="007547D2">
      <w:pPr>
        <w:suppressAutoHyphens w:val="0"/>
        <w:autoSpaceDN/>
      </w:pPr>
      <w:r>
        <w:t>The other consequence is functional, namely operational flexibility. This reduces the economic strain</w:t>
      </w:r>
      <w:r w:rsidR="00D305AD">
        <w:t>,</w:t>
      </w:r>
      <w:r>
        <w:t xml:space="preserve"> </w:t>
      </w:r>
      <w:r w:rsidR="007B6FAA">
        <w:t>allowing</w:t>
      </w:r>
      <w:r>
        <w:t xml:space="preserve"> the management to focus on the long-term strategic priorities as opposed to survival </w:t>
      </w:r>
      <w:r w:rsidR="007B6FAA">
        <w:t>in</w:t>
      </w:r>
      <w:r>
        <w:t xml:space="preserve"> the </w:t>
      </w:r>
      <w:r w:rsidR="007B6FAA">
        <w:t>short run</w:t>
      </w:r>
      <w:r>
        <w:t>. An improved balance sheet would boost investment in technology, product innovation and market repositioning</w:t>
      </w:r>
      <w:r w:rsidR="007B6FAA">
        <w:t>,</w:t>
      </w:r>
      <w:r>
        <w:t xml:space="preserve"> </w:t>
      </w:r>
      <w:r w:rsidR="007B6FAA">
        <w:t>which</w:t>
      </w:r>
      <w:r>
        <w:t xml:space="preserve"> are significant in the successful competition in the world consumer electronics market.</w:t>
      </w:r>
    </w:p>
    <w:p w14:paraId="6946E266" w14:textId="432E6103" w:rsidR="007547D2" w:rsidRDefault="007547D2" w:rsidP="00447646">
      <w:pPr>
        <w:pStyle w:val="Heading2"/>
      </w:pPr>
      <w:bookmarkStart w:id="18" w:name="_Toc216698514"/>
      <w:r>
        <w:t>International/Ethical-Considerations</w:t>
      </w:r>
      <w:bookmarkEnd w:id="18"/>
    </w:p>
    <w:p w14:paraId="5F68450F" w14:textId="793876C7" w:rsidR="007547D2" w:rsidRDefault="007547D2" w:rsidP="007547D2">
      <w:pPr>
        <w:suppressAutoHyphens w:val="0"/>
        <w:autoSpaceDN/>
      </w:pPr>
      <w:r>
        <w:t xml:space="preserve">As a global company, </w:t>
      </w:r>
      <w:r w:rsidR="007B6FAA">
        <w:t>General Electronics</w:t>
      </w:r>
      <w:r>
        <w:t xml:space="preserve"> ought to be in a position to align its restructuring approach </w:t>
      </w:r>
      <w:r w:rsidR="007B6FAA">
        <w:t>with</w:t>
      </w:r>
      <w:r>
        <w:t xml:space="preserve"> the international and ethical </w:t>
      </w:r>
      <w:r w:rsidR="007B6FAA">
        <w:t>factors</w:t>
      </w:r>
      <w:r>
        <w:t xml:space="preserve">. The currency risk is also best suited </w:t>
      </w:r>
      <w:r w:rsidR="007B6FAA">
        <w:t>for</w:t>
      </w:r>
      <w:r>
        <w:t xml:space="preserve"> revenue and costs that are denominated in different currencies</w:t>
      </w:r>
      <w:r w:rsidR="00E6153E">
        <w:t xml:space="preserve"> </w:t>
      </w:r>
      <w:r w:rsidR="00E6153E">
        <w:rPr>
          <w:color w:val="000000"/>
        </w:rPr>
        <w:t>(Kotak Securities, 2023)</w:t>
      </w:r>
      <w:r>
        <w:t xml:space="preserve">. The financial </w:t>
      </w:r>
      <w:r w:rsidR="007B6FAA">
        <w:t>restructuring-related</w:t>
      </w:r>
      <w:r>
        <w:t xml:space="preserve"> decisions (such as </w:t>
      </w:r>
      <w:r w:rsidR="007B6FAA">
        <w:t>debt</w:t>
      </w:r>
      <w:r>
        <w:t xml:space="preserve"> refinancing or </w:t>
      </w:r>
      <w:r w:rsidR="007B6FAA">
        <w:t>the sale</w:t>
      </w:r>
      <w:r>
        <w:t xml:space="preserve"> of an asset) should consider the foreign exchange exposure</w:t>
      </w:r>
      <w:r w:rsidR="007B6FAA">
        <w:t>,</w:t>
      </w:r>
      <w:r>
        <w:t xml:space="preserve"> and the decisions should consider the availability of hedging instruments to </w:t>
      </w:r>
      <w:r w:rsidR="007B6FAA">
        <w:t>minimise</w:t>
      </w:r>
      <w:r>
        <w:t xml:space="preserve"> the volatility.</w:t>
      </w:r>
    </w:p>
    <w:p w14:paraId="3E2E40C4" w14:textId="22E0913A" w:rsidR="007547D2" w:rsidRDefault="007547D2" w:rsidP="007547D2">
      <w:pPr>
        <w:suppressAutoHyphens w:val="0"/>
        <w:autoSpaceDN/>
      </w:pPr>
      <w:r>
        <w:t>There is also the threat of inflationary pressure</w:t>
      </w:r>
      <w:r w:rsidR="007B6FAA">
        <w:t>,</w:t>
      </w:r>
      <w:r>
        <w:t xml:space="preserve"> particularly in the emerging markets</w:t>
      </w:r>
      <w:r w:rsidR="007B6FAA">
        <w:t>,</w:t>
      </w:r>
      <w:r>
        <w:t xml:space="preserve"> where the input price and inflation of wages may be volatile. The restructured capital foundation that is </w:t>
      </w:r>
      <w:r w:rsidR="007B6FAA">
        <w:t>characterised</w:t>
      </w:r>
      <w:r>
        <w:t xml:space="preserve"> by low fixed cost of financing would enhance the ability of the firm to absorb the inflationary shocks without compromising the liquidity.</w:t>
      </w:r>
    </w:p>
    <w:p w14:paraId="0F7783C3" w14:textId="2F561AE7" w:rsidR="007547D2" w:rsidRDefault="007547D2" w:rsidP="007547D2">
      <w:pPr>
        <w:suppressAutoHyphens w:val="0"/>
        <w:autoSpaceDN/>
      </w:pPr>
      <w:r>
        <w:t xml:space="preserve">Taxation issues are also of great concern. Such </w:t>
      </w:r>
      <w:r w:rsidR="007B6FAA">
        <w:t>transactions</w:t>
      </w:r>
      <w:r>
        <w:t xml:space="preserve"> as divestitures and restructuring may have tax liabilities and tax optimisation opportunities</w:t>
      </w:r>
      <w:r w:rsidR="00F92A51">
        <w:t xml:space="preserve"> </w:t>
      </w:r>
      <w:r w:rsidR="00F92A51">
        <w:rPr>
          <w:color w:val="000000"/>
        </w:rPr>
        <w:t>(Crinson, 2024)</w:t>
      </w:r>
      <w:r>
        <w:t xml:space="preserve">. Though fair tax planning could assist in increasing post-restructuring cash flows, the aggressive tax planning would place the company </w:t>
      </w:r>
      <w:r w:rsidR="007B6FAA">
        <w:t>at</w:t>
      </w:r>
      <w:r>
        <w:t xml:space="preserve"> reputational and regulatory risks. Restructuring finances should be ethical by ensuring transparency and regulatory conformity in addition to being fair to the stakeholders.</w:t>
      </w:r>
    </w:p>
    <w:p w14:paraId="1E0768D4" w14:textId="62A6F3E3" w:rsidR="00D21EA4" w:rsidRDefault="007547D2" w:rsidP="007547D2">
      <w:pPr>
        <w:suppressAutoHyphens w:val="0"/>
        <w:autoSpaceDN/>
      </w:pPr>
      <w:r>
        <w:lastRenderedPageBreak/>
        <w:t xml:space="preserve">The restructuring decisions are also to be examined in reference to corporate social responsibility (CSR). Disposals of assets or </w:t>
      </w:r>
      <w:r w:rsidR="007B6FAA">
        <w:t xml:space="preserve">the </w:t>
      </w:r>
      <w:r>
        <w:t>laying off of individuals can have a severe socio-economic impact, particularly in those regions where the company has a huge number of employees.</w:t>
      </w:r>
    </w:p>
    <w:p w14:paraId="3CA67A49" w14:textId="77777777" w:rsidR="00D21EA4" w:rsidRDefault="00D21EA4">
      <w:pPr>
        <w:suppressAutoHyphens w:val="0"/>
        <w:autoSpaceDN/>
      </w:pPr>
      <w:r>
        <w:br w:type="page"/>
      </w:r>
    </w:p>
    <w:p w14:paraId="4599E54A" w14:textId="77777777" w:rsidR="00174068" w:rsidRDefault="00D21EA4" w:rsidP="00D21EA4">
      <w:pPr>
        <w:pStyle w:val="Heading1"/>
      </w:pPr>
      <w:bookmarkStart w:id="19" w:name="_Toc216698515"/>
      <w:r>
        <w:lastRenderedPageBreak/>
        <w:t>Task 4</w:t>
      </w:r>
      <w:bookmarkEnd w:id="19"/>
    </w:p>
    <w:p w14:paraId="01B71F89" w14:textId="7A3960B2" w:rsidR="00174068" w:rsidRDefault="00174068" w:rsidP="00174068">
      <w:r>
        <w:t xml:space="preserve">The capital investment appraisal of Projects A, B and C will provide a quantitative basis upon which the projects can be measured </w:t>
      </w:r>
      <w:r w:rsidR="00C25789">
        <w:t>based on</w:t>
      </w:r>
      <w:r>
        <w:t xml:space="preserve"> financial worthiness and contribution to the shareholder wealth. It has been assigned the priority as </w:t>
      </w:r>
      <w:r w:rsidR="004A5827">
        <w:t xml:space="preserve">the </w:t>
      </w:r>
      <w:r>
        <w:t>Net Present Value (NPV) approach has direct links with the objective of maximising the firm value because of discounting of the cash inflows in the future at the cost of capital of the firm</w:t>
      </w:r>
      <w:r w:rsidR="008F5840">
        <w:t xml:space="preserve"> </w:t>
      </w:r>
      <w:r w:rsidR="008F5840">
        <w:rPr>
          <w:color w:val="000000"/>
        </w:rPr>
        <w:t>(Fernando, 2024)</w:t>
      </w:r>
      <w:r>
        <w:t>. The auxiliary indicators</w:t>
      </w:r>
      <w:r w:rsidR="004A5827">
        <w:t>,</w:t>
      </w:r>
      <w:r>
        <w:t xml:space="preserve"> such as payback profile, cash flow timing and volatility</w:t>
      </w:r>
      <w:r w:rsidR="004A5827">
        <w:t>,</w:t>
      </w:r>
      <w:r>
        <w:t xml:space="preserve"> are also considered to facilitate a </w:t>
      </w:r>
      <w:r w:rsidR="004A5827">
        <w:t>risk-based</w:t>
      </w:r>
      <w:r>
        <w:t xml:space="preserve"> decision.</w:t>
      </w:r>
    </w:p>
    <w:p w14:paraId="69418DD4" w14:textId="10F89FB1" w:rsidR="00174068" w:rsidRDefault="00174068" w:rsidP="00174068">
      <w:r>
        <w:t xml:space="preserve">When the discount rate is 10 </w:t>
      </w:r>
      <w:r w:rsidR="004A5827">
        <w:t>per cent</w:t>
      </w:r>
      <w:r>
        <w:t xml:space="preserve">, project A will report a positive NPV of approximately </w:t>
      </w:r>
      <w:r w:rsidR="00A105EC">
        <w:t>£</w:t>
      </w:r>
      <w:r>
        <w:t xml:space="preserve"> 1.32 million. This finding implies that the project would be capable of recovering its initial investment </w:t>
      </w:r>
      <w:r w:rsidR="004A5827">
        <w:t xml:space="preserve">of </w:t>
      </w:r>
      <w:r w:rsidR="00A105EC">
        <w:t>£</w:t>
      </w:r>
      <w:r>
        <w:t>40 million and generate a small surplus</w:t>
      </w:r>
      <w:r w:rsidR="004A5827">
        <w:t>,</w:t>
      </w:r>
      <w:r>
        <w:t xml:space="preserve"> taking into consideration the time value of money. The size of capital invested is</w:t>
      </w:r>
      <w:r w:rsidR="00415C60">
        <w:t>,</w:t>
      </w:r>
      <w:r>
        <w:t xml:space="preserve"> however</w:t>
      </w:r>
      <w:r w:rsidR="00415C60">
        <w:t>,</w:t>
      </w:r>
      <w:r>
        <w:t xml:space="preserve"> quite huge in comparison to the size of NPV</w:t>
      </w:r>
      <w:r w:rsidR="00415C60">
        <w:t>,</w:t>
      </w:r>
      <w:r>
        <w:t xml:space="preserve"> which means that value creation in terms of pounds invested is low. The cash flows of the project are concentrated </w:t>
      </w:r>
      <w:r w:rsidR="00415C60">
        <w:t>in</w:t>
      </w:r>
      <w:r>
        <w:t xml:space="preserve"> the initial years but then </w:t>
      </w:r>
      <w:r w:rsidR="00415C60">
        <w:t>reduce</w:t>
      </w:r>
      <w:r>
        <w:t xml:space="preserve"> </w:t>
      </w:r>
      <w:r w:rsidR="00C33C6D">
        <w:t>in</w:t>
      </w:r>
      <w:r>
        <w:t xml:space="preserve"> the later years</w:t>
      </w:r>
      <w:r w:rsidR="00C33C6D">
        <w:t>,</w:t>
      </w:r>
      <w:r>
        <w:t xml:space="preserve"> which means that it would be moderate in the short term but not strong in the long-term earnings. Even though such a profile may be appealing to those companies who take issues about faster cash recovery, sustainability and also </w:t>
      </w:r>
      <w:r w:rsidR="00C33C6D">
        <w:t xml:space="preserve">the </w:t>
      </w:r>
      <w:r>
        <w:t>possibility of reinvestment is also a question.</w:t>
      </w:r>
    </w:p>
    <w:p w14:paraId="12EAEDAA" w14:textId="35DDDA75" w:rsidR="00174068" w:rsidRDefault="00174068" w:rsidP="00174068">
      <w:r>
        <w:t xml:space="preserve">The project B NPV is below </w:t>
      </w:r>
      <w:r w:rsidR="00A105EC">
        <w:t>£</w:t>
      </w:r>
      <w:r>
        <w:t>7.25 million</w:t>
      </w:r>
      <w:r w:rsidR="00C33C6D">
        <w:t>,</w:t>
      </w:r>
      <w:r>
        <w:t xml:space="preserve"> indicating that the discounted cash inflows of project B </w:t>
      </w:r>
      <w:r w:rsidR="00C33C6D">
        <w:t>are</w:t>
      </w:r>
      <w:r>
        <w:t xml:space="preserve"> not sufficient to fund the initial project cost of </w:t>
      </w:r>
      <w:r w:rsidR="00A105EC">
        <w:t>£</w:t>
      </w:r>
      <w:r>
        <w:t xml:space="preserve">30 million. Although the annual rates of cash inflow in the project </w:t>
      </w:r>
      <w:r w:rsidR="00C33C6D">
        <w:t>are</w:t>
      </w:r>
      <w:r>
        <w:t xml:space="preserve"> stable and predictable in the next five years</w:t>
      </w:r>
      <w:r w:rsidR="00C33C6D">
        <w:t>,</w:t>
      </w:r>
      <w:r>
        <w:t xml:space="preserve"> </w:t>
      </w:r>
      <w:r w:rsidR="00A105EC">
        <w:t>£</w:t>
      </w:r>
      <w:r>
        <w:t>6 million, the cash returns of the project are poor as compared to the cost of capital. Project B is good, financially, to eliminate the value of the shareholders and cannot be considered passable under the NPV rules</w:t>
      </w:r>
      <w:r w:rsidR="00E05E7C">
        <w:t xml:space="preserve"> </w:t>
      </w:r>
      <w:r w:rsidR="00E05E7C">
        <w:rPr>
          <w:color w:val="000000"/>
        </w:rPr>
        <w:t>(Fernando, 2024)</w:t>
      </w:r>
      <w:r>
        <w:t xml:space="preserve">. Its stability in cash flow is never sufficient to counter its low profitability since </w:t>
      </w:r>
      <w:r w:rsidR="00C33C6D">
        <w:t xml:space="preserve">a </w:t>
      </w:r>
      <w:r>
        <w:t>low risk level is never effective to warrant an investment where the structurally poor returns are present.</w:t>
      </w:r>
    </w:p>
    <w:p w14:paraId="59AC4F99" w14:textId="0BAAF955" w:rsidR="00174068" w:rsidRDefault="00174068" w:rsidP="00174068">
      <w:r>
        <w:t xml:space="preserve">Project C is the one with the largest NPV of approximately </w:t>
      </w:r>
      <w:r w:rsidR="00A105EC">
        <w:t>£</w:t>
      </w:r>
      <w:r>
        <w:t xml:space="preserve">4.22 million in spite of the </w:t>
      </w:r>
      <w:r w:rsidR="00D305AD">
        <w:t>highest</w:t>
      </w:r>
      <w:r>
        <w:t xml:space="preserve"> initial cost of </w:t>
      </w:r>
      <w:r w:rsidR="00A105EC">
        <w:t>£</w:t>
      </w:r>
      <w:r>
        <w:t xml:space="preserve">50 million. This means a </w:t>
      </w:r>
      <w:r w:rsidR="00C33C6D">
        <w:t>high-quality</w:t>
      </w:r>
      <w:r>
        <w:t xml:space="preserve"> value creation is made absolute. The cash flow of the project is skewed to the back</w:t>
      </w:r>
      <w:r w:rsidR="00C33C6D">
        <w:t>,</w:t>
      </w:r>
      <w:r>
        <w:t xml:space="preserve"> with the larger inflows of the project to be in the Years 3-5. Even though this presents the company with greater forecasting risk and discounting impact, it is </w:t>
      </w:r>
      <w:r w:rsidR="00C33C6D">
        <w:t>a</w:t>
      </w:r>
      <w:r>
        <w:t xml:space="preserve"> sign of greater growth potential and scalability. The later inflows of cash are high, and this would mean that Project C might be linked to the strategic projects such as expansion capacity, innovation or penetration that usually require a higher amount of startup capital but would be high in </w:t>
      </w:r>
      <w:r w:rsidR="00C33C6D">
        <w:t>long-run</w:t>
      </w:r>
      <w:r>
        <w:t xml:space="preserve"> returns.</w:t>
      </w:r>
    </w:p>
    <w:p w14:paraId="42768D4E" w14:textId="7F1ABECD" w:rsidR="00174068" w:rsidRDefault="00174068" w:rsidP="00174068">
      <w:r>
        <w:lastRenderedPageBreak/>
        <w:t>Overall, the NPV analysis can certainly trace the boundary among the projects in terms of the value creation</w:t>
      </w:r>
      <w:r w:rsidR="00624766">
        <w:t xml:space="preserve"> </w:t>
      </w:r>
      <w:r w:rsidR="00624766">
        <w:rPr>
          <w:color w:val="000000"/>
        </w:rPr>
        <w:t>(Fernando, 2024)</w:t>
      </w:r>
      <w:r>
        <w:t xml:space="preserve">. Project C is superior to the absolute wealth creation </w:t>
      </w:r>
      <w:r w:rsidR="004E1776">
        <w:t>for</w:t>
      </w:r>
      <w:r>
        <w:t xml:space="preserve"> the shareholder compared to Project A</w:t>
      </w:r>
      <w:r w:rsidR="004E1776">
        <w:t>,</w:t>
      </w:r>
      <w:r>
        <w:t xml:space="preserve"> which is financially active with less strategic value</w:t>
      </w:r>
      <w:r w:rsidR="004E1776">
        <w:t>,</w:t>
      </w:r>
      <w:r>
        <w:t xml:space="preserve"> and Project B is not financially viable.</w:t>
      </w:r>
    </w:p>
    <w:p w14:paraId="5917B251" w14:textId="17834DF6" w:rsidR="00174068" w:rsidRDefault="00174068" w:rsidP="00880212">
      <w:pPr>
        <w:pStyle w:val="Heading2"/>
      </w:pPr>
      <w:bookmarkStart w:id="20" w:name="_Toc216698516"/>
      <w:r>
        <w:t>Rationing Capitals and efficient choice of projects</w:t>
      </w:r>
      <w:bookmarkEnd w:id="20"/>
    </w:p>
    <w:p w14:paraId="7D20A41D" w14:textId="32C0B71C" w:rsidR="00174068" w:rsidRDefault="00174068" w:rsidP="00174068">
      <w:r>
        <w:t>Capital rationing restricts the investment choice</w:t>
      </w:r>
      <w:r w:rsidR="004E1776">
        <w:t>,</w:t>
      </w:r>
      <w:r>
        <w:t xml:space="preserve"> and the maximum amount of investment that could be made is </w:t>
      </w:r>
      <w:r w:rsidR="00A105EC">
        <w:t>£</w:t>
      </w:r>
      <w:r>
        <w:t xml:space="preserve"> 60 million</w:t>
      </w:r>
      <w:r w:rsidR="00F61EDA">
        <w:t xml:space="preserve"> </w:t>
      </w:r>
      <w:r w:rsidR="00F61EDA">
        <w:rPr>
          <w:color w:val="000000"/>
        </w:rPr>
        <w:t>(Hayes, 2022)</w:t>
      </w:r>
      <w:r>
        <w:t>. This constraint demands the selection of the mix of projects, which will maximise the total NPV and not violate the constraint of capital.</w:t>
      </w:r>
    </w:p>
    <w:p w14:paraId="6844F2CE" w14:textId="1260AB58" w:rsidR="00174068" w:rsidRDefault="00174068" w:rsidP="00174068">
      <w:r>
        <w:t xml:space="preserve">Considering the initial investment needs, the overall cost of </w:t>
      </w:r>
      <w:r w:rsidR="00A105EC">
        <w:t>£</w:t>
      </w:r>
      <w:r>
        <w:t>90 million of Project A (</w:t>
      </w:r>
      <w:r w:rsidR="00A105EC">
        <w:t>£</w:t>
      </w:r>
      <w:r>
        <w:t>40 million) and Project C (</w:t>
      </w:r>
      <w:r w:rsidR="00A105EC">
        <w:t>£</w:t>
      </w:r>
      <w:r>
        <w:t xml:space="preserve">50 million) exceeds the amount of the available budget and therefore cannot be carried out concurrently. Similarly, when Project B is applied to Project A or Project C, value will not be added as Project B has </w:t>
      </w:r>
      <w:r w:rsidR="004E1776">
        <w:t xml:space="preserve">a </w:t>
      </w:r>
      <w:r>
        <w:t>negative NPV</w:t>
      </w:r>
      <w:r w:rsidR="004E1776">
        <w:t>,</w:t>
      </w:r>
      <w:r>
        <w:t xml:space="preserve"> and it will dilute returns.</w:t>
      </w:r>
    </w:p>
    <w:p w14:paraId="3823B5DB" w14:textId="3409A9A0" w:rsidR="00174068" w:rsidRDefault="00174068" w:rsidP="00174068">
      <w:r>
        <w:t xml:space="preserve">Under these limitations, the available feasible investment options will be either to select Project A, Project B and/or Project C alone. Among the available variants, it is clear that Project C is the most favourable since it provides the optimal NPV within the </w:t>
      </w:r>
      <w:r w:rsidR="00A105EC">
        <w:t>£</w:t>
      </w:r>
      <w:r>
        <w:t>60 million capital constraint. Project A would result in a significantly reduced aggregate NPV than Project B would</w:t>
      </w:r>
      <w:r w:rsidR="004E1776">
        <w:t>,</w:t>
      </w:r>
      <w:r>
        <w:t xml:space="preserve"> which would aggressively reduce firm value.</w:t>
      </w:r>
    </w:p>
    <w:p w14:paraId="4D047769" w14:textId="65F34FBE" w:rsidR="00174068" w:rsidRDefault="00174068" w:rsidP="00174068">
      <w:r>
        <w:t xml:space="preserve">With regards to capital rationing, the choice to undertake Project C is the most optimal method of </w:t>
      </w:r>
      <w:r w:rsidR="004E1776">
        <w:t>utilising</w:t>
      </w:r>
      <w:r>
        <w:t xml:space="preserve"> the scarce financial resources. This conforms to the financial theory in which</w:t>
      </w:r>
      <w:r w:rsidR="004E1776">
        <w:t>,</w:t>
      </w:r>
      <w:r>
        <w:t xml:space="preserve"> when capital is scarce</w:t>
      </w:r>
      <w:r w:rsidR="00D305AD">
        <w:t>,</w:t>
      </w:r>
      <w:r>
        <w:t xml:space="preserve"> project ranking and selections must be in </w:t>
      </w:r>
      <w:r w:rsidR="00E3374A">
        <w:t>regard</w:t>
      </w:r>
      <w:r>
        <w:t xml:space="preserve"> to their contribution to the shareholder wealth rather than the fact that a project is absolutely affordable or considered safe</w:t>
      </w:r>
      <w:r w:rsidR="007471E2">
        <w:t xml:space="preserve"> </w:t>
      </w:r>
      <w:r w:rsidR="007471E2">
        <w:rPr>
          <w:color w:val="000000"/>
        </w:rPr>
        <w:t>(Monroe, 2024)</w:t>
      </w:r>
      <w:r>
        <w:t>.</w:t>
      </w:r>
    </w:p>
    <w:p w14:paraId="3F65E3B7" w14:textId="75B7C7C5" w:rsidR="00174068" w:rsidRDefault="00174068" w:rsidP="00880212">
      <w:pPr>
        <w:pStyle w:val="Heading2"/>
      </w:pPr>
      <w:bookmarkStart w:id="21" w:name="_Toc216698517"/>
      <w:r>
        <w:t>Financial Performance Grounds Rationale</w:t>
      </w:r>
      <w:bookmarkEnd w:id="21"/>
    </w:p>
    <w:p w14:paraId="42DDC4E3" w14:textId="22FC7C07" w:rsidR="00174068" w:rsidRDefault="00174068" w:rsidP="00174068">
      <w:r>
        <w:t>The ultimate move to proceed with Project C can be further justified by ascribing the results of an investment appraisal to the financial performance of the firm in general</w:t>
      </w:r>
      <w:r w:rsidR="00E3374A">
        <w:t>,</w:t>
      </w:r>
      <w:r>
        <w:t xml:space="preserve"> particularly the profitability and liquidity.</w:t>
      </w:r>
    </w:p>
    <w:p w14:paraId="50D71766" w14:textId="424721BC" w:rsidR="00174068" w:rsidRDefault="00174068" w:rsidP="00174068">
      <w:r>
        <w:t>Project C offers the greatest addition to profitability in the future. The larger the NPV is</w:t>
      </w:r>
      <w:r w:rsidR="00E3374A">
        <w:t>,</w:t>
      </w:r>
      <w:r>
        <w:t xml:space="preserve"> the </w:t>
      </w:r>
      <w:r w:rsidR="00D305AD">
        <w:t xml:space="preserve">greater the </w:t>
      </w:r>
      <w:r>
        <w:t xml:space="preserve">measure of operating cash flows against the level of investment. Such a project could improve the returns on capital invested in the case of a firm where the operating margins have been stable, or even on </w:t>
      </w:r>
      <w:r w:rsidR="00E3374A">
        <w:t>an</w:t>
      </w:r>
      <w:r>
        <w:t xml:space="preserve"> </w:t>
      </w:r>
      <w:r w:rsidR="00E3374A">
        <w:t>increasing</w:t>
      </w:r>
      <w:r>
        <w:t xml:space="preserve"> path, and the ratio of profitability in the long term. On the other hand</w:t>
      </w:r>
      <w:r w:rsidR="00E3374A">
        <w:t>,</w:t>
      </w:r>
      <w:r>
        <w:t xml:space="preserve"> the low NPV of Project A would mean that the project will not cause the growth of earnings with any substantial effect theoretically and would give the firm under its strategic leverage.</w:t>
      </w:r>
    </w:p>
    <w:p w14:paraId="66A98336" w14:textId="5C46C663" w:rsidR="00174068" w:rsidRDefault="00174068" w:rsidP="00174068">
      <w:r>
        <w:lastRenderedPageBreak/>
        <w:t>Liquidity problems also exist</w:t>
      </w:r>
      <w:r w:rsidR="00E3374A">
        <w:t>,</w:t>
      </w:r>
      <w:r>
        <w:t xml:space="preserve"> particularly with the cash flows of Project C being back-loaded. </w:t>
      </w:r>
      <w:r w:rsidR="00E3374A">
        <w:t>Although</w:t>
      </w:r>
      <w:r>
        <w:t xml:space="preserve"> such </w:t>
      </w:r>
      <w:r w:rsidR="00E3374A">
        <w:t xml:space="preserve">a </w:t>
      </w:r>
      <w:r>
        <w:t>structure leaves the company at a disadvantage in the context of the intensified reliance on internal liquidity or short-term financing within the first years, the company can afford to address the risk depending on the current state of the working capital and accessibility to credit facilities</w:t>
      </w:r>
      <w:r w:rsidR="00470E38">
        <w:t xml:space="preserve"> </w:t>
      </w:r>
      <w:r w:rsidR="00470E38">
        <w:rPr>
          <w:color w:val="000000"/>
        </w:rPr>
        <w:t>(Hayes, 2025b)</w:t>
      </w:r>
      <w:r>
        <w:t xml:space="preserve">. In case the company possesses adequate current and quick </w:t>
      </w:r>
      <w:r w:rsidR="00E3374A">
        <w:t>ratios</w:t>
      </w:r>
      <w:r>
        <w:t xml:space="preserve">, and the operating cash inflows, owing to the current operations, do not change abruptly, the liquidity pressure of the temporary nature associated with Project C can be easily overcome. Moreover, the surgeries of cash </w:t>
      </w:r>
      <w:r w:rsidR="00475744">
        <w:t xml:space="preserve">flow </w:t>
      </w:r>
      <w:r>
        <w:t xml:space="preserve">in the later years increase the future liquidity and debt-servicing capacity and cause the company to possess more financial flexibility in the </w:t>
      </w:r>
      <w:r w:rsidR="00475744">
        <w:t>long term</w:t>
      </w:r>
      <w:r w:rsidR="00470E38">
        <w:t xml:space="preserve"> </w:t>
      </w:r>
      <w:r w:rsidR="00470E38">
        <w:rPr>
          <w:color w:val="000000"/>
        </w:rPr>
        <w:t>(Hayes, 2025b)</w:t>
      </w:r>
      <w:r>
        <w:t>.</w:t>
      </w:r>
    </w:p>
    <w:p w14:paraId="101BA2AF" w14:textId="7E8A26E6" w:rsidR="00174068" w:rsidRDefault="00174068" w:rsidP="00174068">
      <w:r>
        <w:t>Project B</w:t>
      </w:r>
      <w:r w:rsidR="00475744">
        <w:t>,</w:t>
      </w:r>
      <w:r>
        <w:t xml:space="preserve"> </w:t>
      </w:r>
      <w:r w:rsidR="00475744">
        <w:t>which</w:t>
      </w:r>
      <w:r>
        <w:t xml:space="preserve"> is stable and has stable inflows</w:t>
      </w:r>
      <w:r w:rsidR="00475744">
        <w:t>,</w:t>
      </w:r>
      <w:r>
        <w:t xml:space="preserve"> is not profitable enough to justify the capital use. Such a </w:t>
      </w:r>
      <w:r w:rsidR="00475744">
        <w:t>project's</w:t>
      </w:r>
      <w:r>
        <w:t xml:space="preserve"> use of funds would dilute the overall metrics of returns and could reduce the possibility of investing in the future because the funds would be pegged </w:t>
      </w:r>
      <w:r w:rsidR="00475744">
        <w:t>to</w:t>
      </w:r>
      <w:r>
        <w:t xml:space="preserve"> low-return assets.</w:t>
      </w:r>
    </w:p>
    <w:p w14:paraId="30D81CD7" w14:textId="71C448DF" w:rsidR="00C63896" w:rsidRDefault="00C63896" w:rsidP="00D36F40">
      <w:pPr>
        <w:jc w:val="center"/>
      </w:pPr>
      <w:r>
        <w:rPr>
          <w:noProof/>
        </w:rPr>
        <w:drawing>
          <wp:inline distT="0" distB="0" distL="0" distR="0" wp14:anchorId="122C97B6" wp14:editId="779B5E38">
            <wp:extent cx="5215381" cy="2850205"/>
            <wp:effectExtent l="0" t="0" r="0" b="0"/>
            <wp:docPr id="493317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17199" name="Picture 493317199"/>
                    <pic:cNvPicPr/>
                  </pic:nvPicPr>
                  <pic:blipFill rotWithShape="1">
                    <a:blip r:embed="rId14" cstate="print">
                      <a:extLst>
                        <a:ext uri="{28A0092B-C50C-407E-A947-70E740481C1C}">
                          <a14:useLocalDpi xmlns:a14="http://schemas.microsoft.com/office/drawing/2010/main" val="0"/>
                        </a:ext>
                      </a:extLst>
                    </a:blip>
                    <a:srcRect t="10336" b="6467"/>
                    <a:stretch>
                      <a:fillRect/>
                    </a:stretch>
                  </pic:blipFill>
                  <pic:spPr bwMode="auto">
                    <a:xfrm>
                      <a:off x="0" y="0"/>
                      <a:ext cx="5219539" cy="2852477"/>
                    </a:xfrm>
                    <a:prstGeom prst="rect">
                      <a:avLst/>
                    </a:prstGeom>
                    <a:ln>
                      <a:noFill/>
                    </a:ln>
                    <a:extLst>
                      <a:ext uri="{53640926-AAD7-44D8-BBD7-CCE9431645EC}">
                        <a14:shadowObscured xmlns:a14="http://schemas.microsoft.com/office/drawing/2010/main"/>
                      </a:ext>
                    </a:extLst>
                  </pic:spPr>
                </pic:pic>
              </a:graphicData>
            </a:graphic>
          </wp:inline>
        </w:drawing>
      </w:r>
    </w:p>
    <w:p w14:paraId="79C92540" w14:textId="4D016529" w:rsidR="00D36F40" w:rsidRPr="00F47923" w:rsidRDefault="009158ED" w:rsidP="009158ED">
      <w:pPr>
        <w:pStyle w:val="Caption"/>
        <w:jc w:val="center"/>
        <w:rPr>
          <w:sz w:val="24"/>
          <w:szCs w:val="24"/>
        </w:rPr>
      </w:pPr>
      <w:bookmarkStart w:id="22" w:name="_Toc216698483"/>
      <w:r w:rsidRPr="00F47923">
        <w:rPr>
          <w:sz w:val="24"/>
          <w:szCs w:val="24"/>
        </w:rPr>
        <w:t xml:space="preserve">Figure </w:t>
      </w:r>
      <w:r w:rsidRPr="00F47923">
        <w:rPr>
          <w:sz w:val="24"/>
          <w:szCs w:val="24"/>
        </w:rPr>
        <w:fldChar w:fldCharType="begin"/>
      </w:r>
      <w:r w:rsidRPr="00F47923">
        <w:rPr>
          <w:sz w:val="24"/>
          <w:szCs w:val="24"/>
        </w:rPr>
        <w:instrText xml:space="preserve"> SEQ Figure \* ARABIC </w:instrText>
      </w:r>
      <w:r w:rsidRPr="00F47923">
        <w:rPr>
          <w:sz w:val="24"/>
          <w:szCs w:val="24"/>
        </w:rPr>
        <w:fldChar w:fldCharType="separate"/>
      </w:r>
      <w:r w:rsidRPr="00F47923">
        <w:rPr>
          <w:noProof/>
          <w:sz w:val="24"/>
          <w:szCs w:val="24"/>
        </w:rPr>
        <w:t>6</w:t>
      </w:r>
      <w:r w:rsidRPr="00F47923">
        <w:rPr>
          <w:sz w:val="24"/>
          <w:szCs w:val="24"/>
        </w:rPr>
        <w:fldChar w:fldCharType="end"/>
      </w:r>
      <w:r w:rsidRPr="00F47923">
        <w:rPr>
          <w:sz w:val="24"/>
          <w:szCs w:val="24"/>
          <w:lang w:val="en-US"/>
        </w:rPr>
        <w:t>:</w:t>
      </w:r>
      <w:r w:rsidR="0076642C" w:rsidRPr="00F47923">
        <w:rPr>
          <w:sz w:val="24"/>
          <w:szCs w:val="24"/>
          <w:lang w:val="en-US"/>
        </w:rPr>
        <w:t xml:space="preserve"> Should Project C Be Pursued</w:t>
      </w:r>
      <w:bookmarkEnd w:id="22"/>
    </w:p>
    <w:p w14:paraId="5C7EA764" w14:textId="6CCB32F4" w:rsidR="0076642C" w:rsidRDefault="0076642C" w:rsidP="00D36F40">
      <w:pPr>
        <w:jc w:val="center"/>
      </w:pPr>
      <w:r>
        <w:t>Source: Author’s Creation</w:t>
      </w:r>
    </w:p>
    <w:p w14:paraId="0F3CD4EA" w14:textId="275B6D2A" w:rsidR="00174068" w:rsidRDefault="00174068" w:rsidP="00887A5D">
      <w:pPr>
        <w:pStyle w:val="Heading2"/>
      </w:pPr>
      <w:bookmarkStart w:id="23" w:name="_Toc216698518"/>
      <w:r>
        <w:t>Risk Characteristics and Cash Flow Volatility</w:t>
      </w:r>
      <w:bookmarkEnd w:id="23"/>
    </w:p>
    <w:p w14:paraId="2BC0D779" w14:textId="1503332D" w:rsidR="00174068" w:rsidRDefault="00174068" w:rsidP="00174068">
      <w:r>
        <w:t>Risk analysis is also a significant practice that is employed to explain the final ruling on the investment. Each project has a risk profile which is unique</w:t>
      </w:r>
      <w:r w:rsidR="00475744">
        <w:t>,</w:t>
      </w:r>
      <w:r>
        <w:t xml:space="preserve"> given the timing of the cash flows, volatility and sensitivity to the economic conditions.</w:t>
      </w:r>
    </w:p>
    <w:p w14:paraId="2016F4DB" w14:textId="75625ADD" w:rsidR="00174068" w:rsidRDefault="00174068" w:rsidP="00174068">
      <w:r>
        <w:t>Project A is of moderate risk, and the cash flows are quite predictable</w:t>
      </w:r>
      <w:r w:rsidR="00475744">
        <w:t>,</w:t>
      </w:r>
      <w:r>
        <w:t xml:space="preserve"> although declining. </w:t>
      </w:r>
      <w:r w:rsidR="00387E8C">
        <w:t>Since</w:t>
      </w:r>
      <w:r>
        <w:t xml:space="preserve"> early inflows will reduce the exposure to </w:t>
      </w:r>
      <w:r w:rsidR="00387E8C">
        <w:t>long-term</w:t>
      </w:r>
      <w:r>
        <w:t xml:space="preserve"> uncertainty, the declining trend will </w:t>
      </w:r>
      <w:r>
        <w:lastRenderedPageBreak/>
        <w:t>be the indicator of the exposure to the competitive forces or technology obsolescence. This renders it less tactical</w:t>
      </w:r>
      <w:r w:rsidR="00387E8C">
        <w:t>,</w:t>
      </w:r>
      <w:r>
        <w:t xml:space="preserve"> particularly in dynamic markets.</w:t>
      </w:r>
    </w:p>
    <w:p w14:paraId="2BBC3C5E" w14:textId="6AA09747" w:rsidR="00174068" w:rsidRDefault="0024640A" w:rsidP="00174068">
      <w:r>
        <w:t>Project</w:t>
      </w:r>
      <w:r w:rsidR="00174068">
        <w:t xml:space="preserve"> B has minimum volatility regarding cash flow, and the inflows are fixed during the five years. This stability</w:t>
      </w:r>
      <w:r>
        <w:t>,</w:t>
      </w:r>
      <w:r w:rsidR="00174068">
        <w:t xml:space="preserve"> however</w:t>
      </w:r>
      <w:r>
        <w:t>,</w:t>
      </w:r>
      <w:r w:rsidR="00174068">
        <w:t xml:space="preserve"> masks the structural weakness, as the returns are not high </w:t>
      </w:r>
      <w:r>
        <w:t xml:space="preserve">enough </w:t>
      </w:r>
      <w:r w:rsidR="00174068">
        <w:t>to cover the cost of capital. This illustrates one of the most critical concepts in the field of financial management</w:t>
      </w:r>
      <w:r>
        <w:t>,</w:t>
      </w:r>
      <w:r w:rsidR="00174068">
        <w:t xml:space="preserve"> which is that low volatility does not mean low risk as long as the project is not performing at the minimum levels of returns</w:t>
      </w:r>
      <w:r w:rsidR="00EA04A1">
        <w:t xml:space="preserve"> </w:t>
      </w:r>
      <w:r w:rsidR="00C14B8B">
        <w:rPr>
          <w:color w:val="000000"/>
        </w:rPr>
        <w:t>(Kumaraswamy, 2023)</w:t>
      </w:r>
      <w:r w:rsidR="00174068">
        <w:t>.</w:t>
      </w:r>
    </w:p>
    <w:p w14:paraId="6F64AE93" w14:textId="1432CB7A" w:rsidR="00174068" w:rsidRDefault="00174068" w:rsidP="00174068">
      <w:r>
        <w:t>Project C is more prone to forecasting risk since it is pegged on big cash flows later in the project. These inflows are better subject to macroeconomic trends, demand fluctuations and execution risk. The larger NPV is</w:t>
      </w:r>
      <w:r w:rsidR="002843D4">
        <w:t>,</w:t>
      </w:r>
      <w:r>
        <w:t xml:space="preserve"> though giving some buffer against the error of estimation, i.e. whether the actual cash flows are not </w:t>
      </w:r>
      <w:r w:rsidR="002843D4">
        <w:t>as</w:t>
      </w:r>
      <w:r>
        <w:t xml:space="preserve"> large as it has been projected</w:t>
      </w:r>
      <w:r w:rsidR="002843D4">
        <w:t>,</w:t>
      </w:r>
      <w:r>
        <w:t xml:space="preserve"> the project will still give good returns. In practice</w:t>
      </w:r>
      <w:r w:rsidR="002843D4">
        <w:t>,</w:t>
      </w:r>
      <w:r>
        <w:t xml:space="preserve"> it is found that companies will assume higher cash flow risk where it is compensated with higher anticipated returns, in part because the risks can be mitigated through gradual investment, alliance or business flexibility.</w:t>
      </w:r>
    </w:p>
    <w:p w14:paraId="048A21BC" w14:textId="3E212FB8" w:rsidR="00174068" w:rsidRDefault="00174068" w:rsidP="00174068">
      <w:r>
        <w:t xml:space="preserve">The ultimate investment suggestion is as </w:t>
      </w:r>
      <w:r w:rsidR="00D305AD">
        <w:t>follows</w:t>
      </w:r>
      <w:r>
        <w:t>:</w:t>
      </w:r>
    </w:p>
    <w:p w14:paraId="423CE52A" w14:textId="77777777" w:rsidR="00174068" w:rsidRDefault="00174068" w:rsidP="00174068">
      <w:r>
        <w:t>Based on the evaluation of the investment valuation calculations, capital rationing limitation, financial performance variable and riskiness qualities, the ultimate choice would be to invest in Project C alone.</w:t>
      </w:r>
    </w:p>
    <w:p w14:paraId="35305B1E" w14:textId="7DABB640" w:rsidR="00174068" w:rsidRDefault="00174068" w:rsidP="00174068">
      <w:r>
        <w:t>Project C will optimise the shareholder wealth by giving the highest NPV of the present capital budget</w:t>
      </w:r>
      <w:r w:rsidR="002843D4">
        <w:t>,</w:t>
      </w:r>
      <w:r>
        <w:t xml:space="preserve"> which is </w:t>
      </w:r>
      <w:r w:rsidR="00A105EC">
        <w:t>£</w:t>
      </w:r>
      <w:r>
        <w:t xml:space="preserve">60 million. It is in line with long-term profitability targets, enhances future cash generating power and has strategic growth potential even though the risk in </w:t>
      </w:r>
      <w:r w:rsidR="002843D4">
        <w:t xml:space="preserve">the </w:t>
      </w:r>
      <w:r>
        <w:t xml:space="preserve">short run is high. The firm should address early liquidity strains by carrying out good working capital management or through </w:t>
      </w:r>
      <w:r w:rsidR="002843D4">
        <w:t>short-term</w:t>
      </w:r>
      <w:r>
        <w:t xml:space="preserve"> funding so that </w:t>
      </w:r>
      <w:r w:rsidR="002843D4">
        <w:t>long-term</w:t>
      </w:r>
      <w:r>
        <w:t xml:space="preserve"> returns </w:t>
      </w:r>
      <w:r w:rsidR="002843D4">
        <w:t>on</w:t>
      </w:r>
      <w:r>
        <w:t xml:space="preserve"> the project may be realised.</w:t>
      </w:r>
    </w:p>
    <w:p w14:paraId="6DBA8719" w14:textId="6126060D" w:rsidR="008826C4" w:rsidRDefault="00174068" w:rsidP="00174068">
      <w:r>
        <w:t xml:space="preserve">The present state of affairs should not permit the pursuit of both project A and </w:t>
      </w:r>
      <w:r w:rsidR="002843D4">
        <w:t xml:space="preserve">project </w:t>
      </w:r>
      <w:r>
        <w:t xml:space="preserve">B, because project A is not </w:t>
      </w:r>
      <w:r w:rsidR="002843D4">
        <w:t>value-creating</w:t>
      </w:r>
      <w:r>
        <w:t xml:space="preserve"> enough in relation to its capital requirement</w:t>
      </w:r>
      <w:r w:rsidR="002843D4">
        <w:t>,</w:t>
      </w:r>
      <w:r>
        <w:t xml:space="preserve"> whereas project B is not even a viable financial project. The cancellation of such projects assists in saving capital </w:t>
      </w:r>
      <w:r w:rsidR="008B1678">
        <w:t>for</w:t>
      </w:r>
      <w:r>
        <w:t xml:space="preserve"> other</w:t>
      </w:r>
      <w:r w:rsidR="008B1678">
        <w:t>,</w:t>
      </w:r>
      <w:r>
        <w:t xml:space="preserve"> more profitable projects and assists in good financial management</w:t>
      </w:r>
      <w:r w:rsidR="00C14B8B">
        <w:t xml:space="preserve"> </w:t>
      </w:r>
      <w:r w:rsidR="00C14B8B">
        <w:rPr>
          <w:color w:val="000000"/>
        </w:rPr>
        <w:t>(Kumaraswamy, 2023)</w:t>
      </w:r>
      <w:r>
        <w:t>.</w:t>
      </w:r>
      <w:r w:rsidR="008826C4">
        <w:br w:type="page"/>
      </w:r>
    </w:p>
    <w:p w14:paraId="0000001D" w14:textId="00378A1F" w:rsidR="00CE63E5" w:rsidRDefault="001A6B4B">
      <w:pPr>
        <w:pStyle w:val="Heading1"/>
      </w:pPr>
      <w:bookmarkStart w:id="24" w:name="_Toc216698519"/>
      <w:r>
        <w:lastRenderedPageBreak/>
        <w:t>Conclusion</w:t>
      </w:r>
      <w:bookmarkEnd w:id="24"/>
    </w:p>
    <w:p w14:paraId="4A0208DF" w14:textId="1C100224" w:rsidR="00BA3E59" w:rsidRDefault="00BA3E59" w:rsidP="00CA4111">
      <w:r w:rsidRPr="00BA3E59">
        <w:t xml:space="preserve">This report has demonstrated that financial analysis is a stringent procedure that forms the basis of dealing with both the short-term financial stresses and long-term strategic issues. The financial health analysis shows the aspects of </w:t>
      </w:r>
      <w:r w:rsidR="00FB3033">
        <w:t>weakness</w:t>
      </w:r>
      <w:r w:rsidRPr="00BA3E59">
        <w:t xml:space="preserve"> that should be improved in terms of liquidity control and efficient use of capital. Working capital reforms and selective financial restructuring are demonstrated to be required in the process of restoring flexibility and reducing financial risk. Above all, the investment appraisal conducted with capital rationing will determine the importance of ensuring that attention is paid to projects that have a high likelihood of maximising the shareholder value</w:t>
      </w:r>
      <w:r w:rsidR="002A0811">
        <w:t>,</w:t>
      </w:r>
      <w:r w:rsidRPr="00BA3E59">
        <w:t xml:space="preserve"> rather than attempting to focus on scale or what is perceived as stability. The point-based conclusion of the report is that the overall bound of the sustainable performance and long-term development of the company is defined by the possibility to choose the most value-generating investment and to fit it to the financial opportunities and risk distribution of the company.</w:t>
      </w:r>
    </w:p>
    <w:p w14:paraId="0000001E" w14:textId="33AB344C" w:rsidR="00CE63E5" w:rsidRDefault="001A6B4B" w:rsidP="00CA4111">
      <w:pPr>
        <w:rPr>
          <w:b/>
          <w:sz w:val="32"/>
          <w:szCs w:val="32"/>
        </w:rPr>
      </w:pPr>
      <w:r>
        <w:br w:type="page"/>
      </w:r>
    </w:p>
    <w:p w14:paraId="0000001F" w14:textId="77777777" w:rsidR="00CE63E5" w:rsidRDefault="001A6B4B">
      <w:pPr>
        <w:pStyle w:val="Heading1"/>
      </w:pPr>
      <w:bookmarkStart w:id="25" w:name="_Toc216698520"/>
      <w:r>
        <w:lastRenderedPageBreak/>
        <w:t>References</w:t>
      </w:r>
      <w:bookmarkEnd w:id="25"/>
    </w:p>
    <w:p w14:paraId="789390B4" w14:textId="77777777" w:rsidR="00D305AD" w:rsidRPr="00D305AD" w:rsidRDefault="00D305AD" w:rsidP="00D305AD">
      <w:pPr>
        <w:rPr>
          <w:lang/>
        </w:rPr>
      </w:pPr>
      <w:r w:rsidRPr="00D305AD">
        <w:rPr>
          <w:lang/>
        </w:rPr>
        <w:t>Alarussi, A.S.A. (2021). Financial ratios and efficiency in Malaysian listed companies. </w:t>
      </w:r>
      <w:r w:rsidRPr="00D305AD">
        <w:rPr>
          <w:i/>
          <w:iCs/>
          <w:lang/>
        </w:rPr>
        <w:t>Asian Journal of Economics and Banking</w:t>
      </w:r>
      <w:r w:rsidRPr="00D305AD">
        <w:rPr>
          <w:lang/>
        </w:rPr>
        <w:t>, 5(2), pp.116–135. doi:https://doi.org/10.1108/ajeb-06-2020-0014.</w:t>
      </w:r>
    </w:p>
    <w:p w14:paraId="50234911" w14:textId="1FF6D04C" w:rsidR="00D305AD" w:rsidRPr="00D305AD" w:rsidRDefault="00D305AD" w:rsidP="00D305AD">
      <w:pPr>
        <w:rPr>
          <w:lang/>
        </w:rPr>
      </w:pPr>
      <w:r w:rsidRPr="00D305AD">
        <w:rPr>
          <w:lang/>
        </w:rPr>
        <w:t xml:space="preserve">Ashrafi, M. and Pakdel, M. (2019). Relationship between Working Capital Management and the Performance of </w:t>
      </w:r>
      <w:r w:rsidR="00443D7B">
        <w:rPr>
          <w:lang/>
        </w:rPr>
        <w:t xml:space="preserve">a </w:t>
      </w:r>
      <w:r w:rsidRPr="00D305AD">
        <w:rPr>
          <w:lang/>
        </w:rPr>
        <w:t>Firm in Different Business Cycles. </w:t>
      </w:r>
      <w:r w:rsidRPr="00D305AD">
        <w:rPr>
          <w:i/>
          <w:iCs/>
          <w:lang/>
        </w:rPr>
        <w:t>Dutch Journal of Finance and Management</w:t>
      </w:r>
      <w:r w:rsidRPr="00D305AD">
        <w:rPr>
          <w:lang/>
        </w:rPr>
        <w:t>, 3(1). doi:https://doi.org/10.29333/djfm/5874.</w:t>
      </w:r>
    </w:p>
    <w:p w14:paraId="74B6FECB" w14:textId="77777777" w:rsidR="00D305AD" w:rsidRPr="00D305AD" w:rsidRDefault="00D305AD" w:rsidP="00D305AD">
      <w:pPr>
        <w:rPr>
          <w:lang/>
        </w:rPr>
      </w:pPr>
      <w:r w:rsidRPr="00D305AD">
        <w:rPr>
          <w:lang/>
        </w:rPr>
        <w:t>Billa (2019). </w:t>
      </w:r>
      <w:r w:rsidRPr="00D305AD">
        <w:rPr>
          <w:i/>
          <w:iCs/>
          <w:lang/>
        </w:rPr>
        <w:t>Value Creation in Mergers and Acquisitions | ISBInsight</w:t>
      </w:r>
      <w:r w:rsidRPr="00D305AD">
        <w:rPr>
          <w:lang/>
        </w:rPr>
        <w:t>. [online] ISBInsight | Research Magazine | Indian School of Business (ISB). Available at: https://isbinsight.isb.edu/value-creation-mergers-acquisitions/.</w:t>
      </w:r>
    </w:p>
    <w:p w14:paraId="2B59A7FC" w14:textId="07E9D947" w:rsidR="00D305AD" w:rsidRPr="00D305AD" w:rsidRDefault="00D305AD" w:rsidP="00D305AD">
      <w:pPr>
        <w:rPr>
          <w:lang/>
        </w:rPr>
      </w:pPr>
      <w:r w:rsidRPr="00D305AD">
        <w:rPr>
          <w:lang/>
        </w:rPr>
        <w:t>BIS (2020). </w:t>
      </w:r>
      <w:r w:rsidRPr="00D305AD">
        <w:rPr>
          <w:i/>
          <w:iCs/>
          <w:lang/>
        </w:rPr>
        <w:t xml:space="preserve">Credit </w:t>
      </w:r>
      <w:r w:rsidR="00443D7B">
        <w:rPr>
          <w:i/>
          <w:iCs/>
          <w:lang/>
        </w:rPr>
        <w:t>Risk Management</w:t>
      </w:r>
      <w:r w:rsidRPr="00D305AD">
        <w:rPr>
          <w:i/>
          <w:iCs/>
          <w:lang/>
        </w:rPr>
        <w:t xml:space="preserve"> Principles for the Management of Credit Risk</w:t>
      </w:r>
      <w:r w:rsidRPr="00D305AD">
        <w:rPr>
          <w:lang/>
        </w:rPr>
        <w:t>. [online] Available at: https://www.bis.org/publ/bcbsc125.pdf.</w:t>
      </w:r>
    </w:p>
    <w:p w14:paraId="298E3A4D" w14:textId="77777777" w:rsidR="00D305AD" w:rsidRPr="00D305AD" w:rsidRDefault="00D305AD" w:rsidP="00D305AD">
      <w:pPr>
        <w:rPr>
          <w:lang/>
        </w:rPr>
      </w:pPr>
      <w:r w:rsidRPr="00D305AD">
        <w:rPr>
          <w:lang/>
        </w:rPr>
        <w:t>CFI Team (2023). </w:t>
      </w:r>
      <w:r w:rsidRPr="00D305AD">
        <w:rPr>
          <w:i/>
          <w:iCs/>
          <w:lang/>
        </w:rPr>
        <w:t>Altman’s Z-Score Model</w:t>
      </w:r>
      <w:r w:rsidRPr="00D305AD">
        <w:rPr>
          <w:lang/>
        </w:rPr>
        <w:t>. [online] Corporate Finance Institute. Available at: https://corporatefinanceinstitute.com/resources/commercial-lending/altmans-z-score-model/.</w:t>
      </w:r>
    </w:p>
    <w:p w14:paraId="505F67F3" w14:textId="77777777" w:rsidR="00D305AD" w:rsidRPr="00D305AD" w:rsidRDefault="00D305AD" w:rsidP="00D305AD">
      <w:pPr>
        <w:rPr>
          <w:lang/>
        </w:rPr>
      </w:pPr>
      <w:r w:rsidRPr="00D305AD">
        <w:rPr>
          <w:lang/>
        </w:rPr>
        <w:t>Chandra, S. and Juliawati, C. (2020). Effects of Long Term Debt to Total Assets, Short Term Debt to Total Assets, Total Asset Turnover, and Inventory Turnover on Profitability of Manufacturing Companies in Consumer Goods Subsector Listed on IDX. </w:t>
      </w:r>
      <w:r w:rsidRPr="00D305AD">
        <w:rPr>
          <w:i/>
          <w:iCs/>
          <w:lang/>
        </w:rPr>
        <w:t>Journal of Applied Business and Technology</w:t>
      </w:r>
      <w:r w:rsidRPr="00D305AD">
        <w:rPr>
          <w:lang/>
        </w:rPr>
        <w:t>, 1(3), pp.212–222. doi:https://doi.org/10.35145/jabt.v1i3.47.</w:t>
      </w:r>
    </w:p>
    <w:p w14:paraId="7723B628" w14:textId="2D79F729" w:rsidR="00D305AD" w:rsidRPr="00D305AD" w:rsidRDefault="00D305AD" w:rsidP="00D305AD">
      <w:pPr>
        <w:rPr>
          <w:lang/>
        </w:rPr>
      </w:pPr>
      <w:r w:rsidRPr="00D305AD">
        <w:rPr>
          <w:lang/>
        </w:rPr>
        <w:t>Chen, L., Zhang, K. and Yang, X. (2025). The long-term and short-term effects of interest rate volatility on corporate bankruptcy risk: An industry and supply chain perspective. </w:t>
      </w:r>
      <w:r w:rsidRPr="00D305AD">
        <w:rPr>
          <w:i/>
          <w:iCs/>
          <w:lang/>
        </w:rPr>
        <w:t>PLoS ONE</w:t>
      </w:r>
      <w:r w:rsidRPr="00D305AD">
        <w:rPr>
          <w:lang/>
        </w:rPr>
        <w:t xml:space="preserve">, [online] 20(2), pp.e0317185–e0317185. </w:t>
      </w:r>
      <w:r w:rsidR="00443D7B">
        <w:rPr>
          <w:lang/>
        </w:rPr>
        <w:t>Doi</w:t>
      </w:r>
      <w:r w:rsidRPr="00D305AD">
        <w:rPr>
          <w:lang/>
        </w:rPr>
        <w:t>:https://doi.org/10.1371/journal.pone.0317185.</w:t>
      </w:r>
    </w:p>
    <w:p w14:paraId="3010176A" w14:textId="77777777" w:rsidR="00D305AD" w:rsidRPr="00D305AD" w:rsidRDefault="00D305AD" w:rsidP="00D305AD">
      <w:pPr>
        <w:rPr>
          <w:lang/>
        </w:rPr>
      </w:pPr>
      <w:r w:rsidRPr="00D305AD">
        <w:rPr>
          <w:lang/>
        </w:rPr>
        <w:t>Crinson, P. (2024). </w:t>
      </w:r>
      <w:r w:rsidRPr="00D305AD">
        <w:rPr>
          <w:i/>
          <w:iCs/>
          <w:lang/>
        </w:rPr>
        <w:t>Divestiture</w:t>
      </w:r>
      <w:r w:rsidRPr="00D305AD">
        <w:rPr>
          <w:lang/>
        </w:rPr>
        <w:t>. [online] OneMoneyWay. Available at: https://onemoneyway.com/en/dictionary/divestiture/.</w:t>
      </w:r>
    </w:p>
    <w:p w14:paraId="745F1326" w14:textId="77777777" w:rsidR="00D305AD" w:rsidRPr="00D305AD" w:rsidRDefault="00D305AD" w:rsidP="00D305AD">
      <w:pPr>
        <w:rPr>
          <w:lang/>
        </w:rPr>
      </w:pPr>
      <w:r w:rsidRPr="00D305AD">
        <w:rPr>
          <w:lang/>
        </w:rPr>
        <w:t>Fernando, J. (2024). </w:t>
      </w:r>
      <w:r w:rsidRPr="00D305AD">
        <w:rPr>
          <w:i/>
          <w:iCs/>
          <w:lang/>
        </w:rPr>
        <w:t>Net present value (NPV): What it Means and Steps to Calculate It</w:t>
      </w:r>
      <w:r w:rsidRPr="00D305AD">
        <w:rPr>
          <w:lang/>
        </w:rPr>
        <w:t>. [online] Investopedia. Available at: https://www.investopedia.com/terms/n/npv.asp.</w:t>
      </w:r>
    </w:p>
    <w:p w14:paraId="7E6E8A3E" w14:textId="77777777" w:rsidR="00D305AD" w:rsidRPr="00D305AD" w:rsidRDefault="00D305AD" w:rsidP="00D305AD">
      <w:pPr>
        <w:rPr>
          <w:lang/>
        </w:rPr>
      </w:pPr>
      <w:r w:rsidRPr="00D305AD">
        <w:rPr>
          <w:lang/>
        </w:rPr>
        <w:t>Hayes, A. (2022). </w:t>
      </w:r>
      <w:r w:rsidRPr="00D305AD">
        <w:rPr>
          <w:i/>
          <w:iCs/>
          <w:lang/>
        </w:rPr>
        <w:t>Introduction to Capital Rationing</w:t>
      </w:r>
      <w:r w:rsidRPr="00D305AD">
        <w:rPr>
          <w:lang/>
        </w:rPr>
        <w:t>. [online] Investopedia. Available at: https://www.investopedia.com/terms/c/capitalrationing.asp.</w:t>
      </w:r>
    </w:p>
    <w:p w14:paraId="71BA6D06" w14:textId="77777777" w:rsidR="00D305AD" w:rsidRPr="00D305AD" w:rsidRDefault="00D305AD" w:rsidP="00D305AD">
      <w:pPr>
        <w:rPr>
          <w:lang/>
        </w:rPr>
      </w:pPr>
      <w:r w:rsidRPr="00D305AD">
        <w:rPr>
          <w:lang/>
        </w:rPr>
        <w:t>Hayes, A. (2024). </w:t>
      </w:r>
      <w:r w:rsidRPr="00D305AD">
        <w:rPr>
          <w:i/>
          <w:iCs/>
          <w:lang/>
        </w:rPr>
        <w:t>Cash Conversion Cycle - CCC</w:t>
      </w:r>
      <w:r w:rsidRPr="00D305AD">
        <w:rPr>
          <w:lang/>
        </w:rPr>
        <w:t>. [online] Investopedia. Available at: https://www.investopedia.com/terms/c/cashconversioncycle.asp.</w:t>
      </w:r>
    </w:p>
    <w:p w14:paraId="17F56CCD" w14:textId="77777777" w:rsidR="00D305AD" w:rsidRPr="00D305AD" w:rsidRDefault="00D305AD" w:rsidP="00D305AD">
      <w:pPr>
        <w:rPr>
          <w:lang/>
        </w:rPr>
      </w:pPr>
      <w:r w:rsidRPr="00D305AD">
        <w:rPr>
          <w:lang/>
        </w:rPr>
        <w:t>Hayes, A. (2025). </w:t>
      </w:r>
      <w:r w:rsidRPr="00D305AD">
        <w:rPr>
          <w:i/>
          <w:iCs/>
          <w:lang/>
        </w:rPr>
        <w:t>Understanding Liquidity Ratios: Types and Their Importance</w:t>
      </w:r>
      <w:r w:rsidRPr="00D305AD">
        <w:rPr>
          <w:lang/>
        </w:rPr>
        <w:t>. [online] Investopedia. Available at: https://www.investopedia.com/terms/l/liquidityratios.asp.</w:t>
      </w:r>
    </w:p>
    <w:p w14:paraId="3D5BC46C" w14:textId="4A34E63D" w:rsidR="00D305AD" w:rsidRPr="00D305AD" w:rsidRDefault="00D305AD" w:rsidP="00D305AD">
      <w:pPr>
        <w:rPr>
          <w:lang/>
        </w:rPr>
      </w:pPr>
      <w:r w:rsidRPr="00D305AD">
        <w:rPr>
          <w:lang/>
        </w:rPr>
        <w:lastRenderedPageBreak/>
        <w:t xml:space="preserve">K. H. I. Madushanka and M. Jathurika (2018). The Impact of Liquidity Ratios on Profitability (With special reference to Listed Manufacturing Companies in Sri Lanka). </w:t>
      </w:r>
      <w:r w:rsidR="00443D7B">
        <w:rPr>
          <w:lang/>
        </w:rPr>
        <w:t>Doi</w:t>
      </w:r>
      <w:r w:rsidRPr="00D305AD">
        <w:rPr>
          <w:lang/>
        </w:rPr>
        <w:t>:https://doi.org/10.5281/zenodo.2539287.</w:t>
      </w:r>
    </w:p>
    <w:p w14:paraId="048B35CF" w14:textId="77777777" w:rsidR="00D305AD" w:rsidRPr="00D305AD" w:rsidRDefault="00D305AD" w:rsidP="00D305AD">
      <w:pPr>
        <w:rPr>
          <w:lang/>
        </w:rPr>
      </w:pPr>
      <w:r w:rsidRPr="00D305AD">
        <w:rPr>
          <w:lang/>
        </w:rPr>
        <w:t>Kenton, W. (2021). </w:t>
      </w:r>
      <w:r w:rsidRPr="00D305AD">
        <w:rPr>
          <w:i/>
          <w:iCs/>
          <w:lang/>
        </w:rPr>
        <w:t>What Is a Fire Sale in Finance?</w:t>
      </w:r>
      <w:r w:rsidRPr="00D305AD">
        <w:rPr>
          <w:lang/>
        </w:rPr>
        <w:t> [online] Investopedia. Available at: https://www.investopedia.com/terms/f/firesale.asp.</w:t>
      </w:r>
    </w:p>
    <w:p w14:paraId="6B9C001E" w14:textId="77777777" w:rsidR="00D305AD" w:rsidRPr="00D305AD" w:rsidRDefault="00D305AD" w:rsidP="00D305AD">
      <w:pPr>
        <w:rPr>
          <w:lang/>
        </w:rPr>
      </w:pPr>
      <w:r w:rsidRPr="00D305AD">
        <w:rPr>
          <w:lang/>
        </w:rPr>
        <w:t>Kotak Securities (2023). </w:t>
      </w:r>
      <w:r w:rsidRPr="00D305AD">
        <w:rPr>
          <w:i/>
          <w:iCs/>
          <w:lang/>
        </w:rPr>
        <w:t>Understanding Currency Risk &amp; Its Types</w:t>
      </w:r>
      <w:r w:rsidRPr="00D305AD">
        <w:rPr>
          <w:lang/>
        </w:rPr>
        <w:t>. [online] Kotak Securities. Available at: https://www.kotaksecurities.com/investing-guide/currency/understanding-currecny-risk-and-its-types/.</w:t>
      </w:r>
    </w:p>
    <w:p w14:paraId="5ABD6865" w14:textId="210C0E10" w:rsidR="00D305AD" w:rsidRPr="00D305AD" w:rsidRDefault="00D305AD" w:rsidP="00D305AD">
      <w:pPr>
        <w:rPr>
          <w:lang/>
        </w:rPr>
      </w:pPr>
      <w:r w:rsidRPr="00D305AD">
        <w:rPr>
          <w:lang/>
        </w:rPr>
        <w:t>Kumaraswamy, S. (2023). </w:t>
      </w:r>
      <w:r w:rsidRPr="00D305AD">
        <w:rPr>
          <w:i/>
          <w:iCs/>
          <w:lang/>
        </w:rPr>
        <w:t>A Comprehensive Guide to Financial Management 2023 - 2024</w:t>
      </w:r>
      <w:r w:rsidRPr="00D305AD">
        <w:rPr>
          <w:lang/>
        </w:rPr>
        <w:t xml:space="preserve">. [online] </w:t>
      </w:r>
      <w:r w:rsidR="00443D7B">
        <w:rPr>
          <w:lang/>
        </w:rPr>
        <w:t>Happy</w:t>
      </w:r>
      <w:r w:rsidRPr="00D305AD">
        <w:rPr>
          <w:lang/>
        </w:rPr>
        <w:t>. Available at: https://happay.com/blog/financial-management/.</w:t>
      </w:r>
    </w:p>
    <w:p w14:paraId="2F5AE14E" w14:textId="77777777" w:rsidR="00D305AD" w:rsidRPr="00D305AD" w:rsidRDefault="00D305AD" w:rsidP="00D305AD">
      <w:pPr>
        <w:rPr>
          <w:lang/>
        </w:rPr>
      </w:pPr>
      <w:r w:rsidRPr="00D305AD">
        <w:rPr>
          <w:lang/>
        </w:rPr>
        <w:t>Lucke, L. (2024). </w:t>
      </w:r>
      <w:r w:rsidRPr="00D305AD">
        <w:rPr>
          <w:i/>
          <w:iCs/>
          <w:lang/>
        </w:rPr>
        <w:t>Liquidity and Sustainability: Key Factors for Nonprofit Success - Grassi</w:t>
      </w:r>
      <w:r w:rsidRPr="00D305AD">
        <w:rPr>
          <w:lang/>
        </w:rPr>
        <w:t>. [online] Grassi. Available at: https://www.grassiadvisors.com/blog/liquidity-and-sustainability-key-factors-for-nonprofit-success/.</w:t>
      </w:r>
    </w:p>
    <w:p w14:paraId="4C82356B" w14:textId="79E006FD" w:rsidR="00D305AD" w:rsidRPr="00D305AD" w:rsidRDefault="00443D7B" w:rsidP="00D305AD">
      <w:pPr>
        <w:rPr>
          <w:lang/>
        </w:rPr>
      </w:pPr>
      <w:r>
        <w:rPr>
          <w:lang/>
        </w:rPr>
        <w:t>McClure</w:t>
      </w:r>
      <w:r w:rsidR="00D305AD" w:rsidRPr="00D305AD">
        <w:rPr>
          <w:lang/>
        </w:rPr>
        <w:t>, B. (2021). </w:t>
      </w:r>
      <w:r w:rsidR="00D305AD" w:rsidRPr="00D305AD">
        <w:rPr>
          <w:i/>
          <w:iCs/>
          <w:lang/>
        </w:rPr>
        <w:t>Understanding Rights Issues</w:t>
      </w:r>
      <w:r w:rsidR="00D305AD" w:rsidRPr="00D305AD">
        <w:rPr>
          <w:lang/>
        </w:rPr>
        <w:t>. [online] Investopedia. Available at: https://www.investopedia.com/investing/understanding-rights-issues/.</w:t>
      </w:r>
    </w:p>
    <w:p w14:paraId="3A4819AC" w14:textId="77777777" w:rsidR="00D305AD" w:rsidRPr="00D305AD" w:rsidRDefault="00D305AD" w:rsidP="00D305AD">
      <w:pPr>
        <w:rPr>
          <w:lang/>
        </w:rPr>
      </w:pPr>
      <w:r w:rsidRPr="00D305AD">
        <w:rPr>
          <w:lang/>
        </w:rPr>
        <w:t>McLean, L. and Talbert, M. (2017). The Income Statement. </w:t>
      </w:r>
      <w:r w:rsidRPr="00D305AD">
        <w:rPr>
          <w:i/>
          <w:iCs/>
          <w:lang/>
        </w:rPr>
        <w:t>Springer eBooks</w:t>
      </w:r>
      <w:r w:rsidRPr="00D305AD">
        <w:rPr>
          <w:lang/>
        </w:rPr>
        <w:t>, pp.95–102. doi:https://doi.org/10.1007/978-3-319-22954-6_7.</w:t>
      </w:r>
    </w:p>
    <w:p w14:paraId="7B0DA01E" w14:textId="77777777" w:rsidR="00D305AD" w:rsidRPr="00D305AD" w:rsidRDefault="00D305AD" w:rsidP="00D305AD">
      <w:pPr>
        <w:rPr>
          <w:lang/>
        </w:rPr>
      </w:pPr>
      <w:r w:rsidRPr="00D305AD">
        <w:rPr>
          <w:lang/>
        </w:rPr>
        <w:t>Monroe (2024). </w:t>
      </w:r>
      <w:r w:rsidRPr="00D305AD">
        <w:rPr>
          <w:i/>
          <w:iCs/>
          <w:lang/>
        </w:rPr>
        <w:t>Finance Theory - an overview | ScienceDirect Topics</w:t>
      </w:r>
      <w:r w:rsidRPr="00D305AD">
        <w:rPr>
          <w:lang/>
        </w:rPr>
        <w:t>. [online] www.sciencedirect.com. Available at: https://www.sciencedirect.com/topics/social-sciences/finance-theory.</w:t>
      </w:r>
    </w:p>
    <w:p w14:paraId="54C4876C" w14:textId="77777777" w:rsidR="00D305AD" w:rsidRPr="00D305AD" w:rsidRDefault="00D305AD" w:rsidP="00D305AD">
      <w:pPr>
        <w:rPr>
          <w:lang/>
        </w:rPr>
      </w:pPr>
      <w:r w:rsidRPr="00D305AD">
        <w:rPr>
          <w:lang/>
        </w:rPr>
        <w:t>Olivia (2024). </w:t>
      </w:r>
      <w:r w:rsidRPr="00D305AD">
        <w:rPr>
          <w:i/>
          <w:iCs/>
          <w:lang/>
        </w:rPr>
        <w:t>Equity Dilution in India - Definition, Working, Causes, Effects - Treelife</w:t>
      </w:r>
      <w:r w:rsidRPr="00D305AD">
        <w:rPr>
          <w:lang/>
        </w:rPr>
        <w:t>. [online] Treelife. Available at: https://treelife.in/legal/equity-dilution-in-india/ [Accessed 8 Dec. 2025].</w:t>
      </w:r>
    </w:p>
    <w:p w14:paraId="128C2310" w14:textId="77777777" w:rsidR="00D305AD" w:rsidRPr="00D305AD" w:rsidRDefault="00D305AD" w:rsidP="00D305AD">
      <w:pPr>
        <w:rPr>
          <w:lang/>
        </w:rPr>
      </w:pPr>
      <w:r w:rsidRPr="00D305AD">
        <w:rPr>
          <w:lang/>
        </w:rPr>
        <w:t>Rittin (2022). </w:t>
      </w:r>
      <w:r w:rsidRPr="00D305AD">
        <w:rPr>
          <w:i/>
          <w:iCs/>
          <w:lang/>
        </w:rPr>
        <w:t>The Benefits of Supply Chain Finance</w:t>
      </w:r>
      <w:r w:rsidRPr="00D305AD">
        <w:rPr>
          <w:lang/>
        </w:rPr>
        <w:t>. [online] Oracle NetSuite. Available at: https://www.netsuite.com/portal/resource/articles/accounting/supply-chain-finance.shtml.</w:t>
      </w:r>
    </w:p>
    <w:p w14:paraId="2529D4B6" w14:textId="22791498" w:rsidR="00D305AD" w:rsidRPr="00D305AD" w:rsidRDefault="00D305AD" w:rsidP="00D305AD">
      <w:pPr>
        <w:rPr>
          <w:lang/>
        </w:rPr>
      </w:pPr>
      <w:r w:rsidRPr="00D305AD">
        <w:rPr>
          <w:lang/>
        </w:rPr>
        <w:t xml:space="preserve">Tulung, J.E., Sondakh, J.J., Camelia, J. and Karel, F. (2024). Effects of capital ratio, quality of receivables, liquidity, and gearing ratio on profitability: A study </w:t>
      </w:r>
      <w:r w:rsidR="00443D7B">
        <w:rPr>
          <w:lang/>
        </w:rPr>
        <w:t xml:space="preserve">of </w:t>
      </w:r>
      <w:r w:rsidRPr="00D305AD">
        <w:rPr>
          <w:lang/>
        </w:rPr>
        <w:t>financial institutions’ governance. </w:t>
      </w:r>
      <w:r w:rsidRPr="00D305AD">
        <w:rPr>
          <w:i/>
          <w:iCs/>
          <w:lang/>
        </w:rPr>
        <w:t>Journal of Governance and Regulation</w:t>
      </w:r>
      <w:r w:rsidRPr="00D305AD">
        <w:rPr>
          <w:lang/>
        </w:rPr>
        <w:t>, 13(3), pp.46–56. doi:https://doi.org/10.22495/jgrv13i3art4.</w:t>
      </w:r>
    </w:p>
    <w:p w14:paraId="50D210EC" w14:textId="77777777" w:rsidR="00D305AD" w:rsidRPr="00D305AD" w:rsidRDefault="00D305AD" w:rsidP="00D305AD">
      <w:pPr>
        <w:rPr>
          <w:lang/>
        </w:rPr>
      </w:pPr>
      <w:r w:rsidRPr="00D305AD">
        <w:rPr>
          <w:lang/>
        </w:rPr>
        <w:t>Ziarko, A.R. (2020). Profitability Ratios in Risk Analysis. </w:t>
      </w:r>
      <w:r w:rsidRPr="00D305AD">
        <w:rPr>
          <w:i/>
          <w:iCs/>
          <w:lang/>
        </w:rPr>
        <w:t>Contemporary Trends and Challenges in Finance</w:t>
      </w:r>
      <w:r w:rsidRPr="00D305AD">
        <w:rPr>
          <w:lang/>
        </w:rPr>
        <w:t>, pp.77–88. doi:https://doi.org/10.1007/978-3-030-43078-8_7.</w:t>
      </w:r>
    </w:p>
    <w:p w14:paraId="211F64A3" w14:textId="267B9179" w:rsidR="00A06AE6" w:rsidRDefault="00A06AE6" w:rsidP="00A06AE6">
      <w:pPr>
        <w:rPr>
          <w:lang/>
        </w:rPr>
      </w:pPr>
    </w:p>
    <w:p w14:paraId="500A85C2" w14:textId="7322ABDF" w:rsidR="002432B2" w:rsidRDefault="002432B2">
      <w:pPr>
        <w:suppressAutoHyphens w:val="0"/>
        <w:autoSpaceDN/>
        <w:rPr>
          <w:lang/>
        </w:rPr>
      </w:pPr>
      <w:r>
        <w:rPr>
          <w:lang/>
        </w:rPr>
        <w:br w:type="page"/>
      </w:r>
    </w:p>
    <w:p w14:paraId="14287F6D" w14:textId="2A33B076" w:rsidR="002432B2" w:rsidRDefault="002432B2" w:rsidP="007E0A38">
      <w:pPr>
        <w:pStyle w:val="Heading1"/>
        <w:rPr>
          <w:lang/>
        </w:rPr>
      </w:pPr>
      <w:bookmarkStart w:id="26" w:name="_Toc216698521"/>
      <w:r>
        <w:rPr>
          <w:lang/>
        </w:rPr>
        <w:lastRenderedPageBreak/>
        <w:t>Appe</w:t>
      </w:r>
      <w:r w:rsidR="007E0A38">
        <w:rPr>
          <w:lang/>
        </w:rPr>
        <w:t>ndices</w:t>
      </w:r>
      <w:bookmarkEnd w:id="26"/>
    </w:p>
    <w:p w14:paraId="267CF7D2" w14:textId="2CF3DBF1" w:rsidR="007E0A38" w:rsidRDefault="0015220B" w:rsidP="007E0A38">
      <w:pPr>
        <w:rPr>
          <w:lang w:eastAsia="en-US"/>
        </w:rPr>
      </w:pPr>
      <w:r>
        <w:rPr>
          <w:noProof/>
          <w:lang w:eastAsia="en-US"/>
        </w:rPr>
        <w:drawing>
          <wp:inline distT="0" distB="0" distL="0" distR="0" wp14:anchorId="224964C0" wp14:editId="6D5FE5B4">
            <wp:extent cx="5731510" cy="3582035"/>
            <wp:effectExtent l="0" t="0" r="0" b="0"/>
            <wp:docPr id="685391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391435" name="Picture 68539143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9E2D8FC" w14:textId="02277485" w:rsidR="00B833FA" w:rsidRDefault="001A02BB" w:rsidP="007E0A38">
      <w:pPr>
        <w:rPr>
          <w:lang w:eastAsia="en-US"/>
        </w:rPr>
      </w:pPr>
      <w:r>
        <w:rPr>
          <w:noProof/>
          <w:lang w:eastAsia="en-US"/>
        </w:rPr>
        <w:drawing>
          <wp:inline distT="0" distB="0" distL="0" distR="0" wp14:anchorId="3EADC5B8" wp14:editId="1E9A6759">
            <wp:extent cx="5731510" cy="3582035"/>
            <wp:effectExtent l="0" t="0" r="0" b="0"/>
            <wp:docPr id="9538235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23513" name="Picture 9538235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DEACCD1" w14:textId="5F01042F" w:rsidR="001A02BB" w:rsidRDefault="00F83672" w:rsidP="007E0A38">
      <w:pPr>
        <w:rPr>
          <w:lang w:eastAsia="en-US"/>
        </w:rPr>
      </w:pPr>
      <w:r>
        <w:rPr>
          <w:noProof/>
          <w:lang w:eastAsia="en-US"/>
        </w:rPr>
        <w:lastRenderedPageBreak/>
        <w:drawing>
          <wp:inline distT="0" distB="0" distL="0" distR="0" wp14:anchorId="450A5877" wp14:editId="34935E70">
            <wp:extent cx="5731510" cy="3582035"/>
            <wp:effectExtent l="0" t="0" r="0" b="0"/>
            <wp:docPr id="7098937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93795" name="Picture 70989379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7E297D1" w14:textId="5CC2E271" w:rsidR="00F83672" w:rsidRDefault="00443D7B" w:rsidP="007E0A38">
      <w:pPr>
        <w:rPr>
          <w:lang w:eastAsia="en-US"/>
        </w:rPr>
      </w:pPr>
      <w:r>
        <w:rPr>
          <w:noProof/>
          <w:lang w:eastAsia="en-US"/>
        </w:rPr>
        <w:drawing>
          <wp:inline distT="0" distB="0" distL="0" distR="0" wp14:anchorId="3B75E045" wp14:editId="1D52B2BA">
            <wp:extent cx="5731510" cy="3582035"/>
            <wp:effectExtent l="0" t="0" r="0" b="0"/>
            <wp:docPr id="2204367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436754" name="Picture 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F7DE48D" w14:textId="2654E29C" w:rsidR="00432E21" w:rsidRDefault="003B77F8" w:rsidP="007E0A38">
      <w:pPr>
        <w:rPr>
          <w:lang w:eastAsia="en-US"/>
        </w:rPr>
      </w:pPr>
      <w:r>
        <w:rPr>
          <w:noProof/>
          <w:lang w:eastAsia="en-US"/>
        </w:rPr>
        <w:lastRenderedPageBreak/>
        <w:drawing>
          <wp:inline distT="0" distB="0" distL="0" distR="0" wp14:anchorId="21863B30" wp14:editId="2B2D7B7D">
            <wp:extent cx="5731510" cy="3582035"/>
            <wp:effectExtent l="0" t="0" r="0" b="0"/>
            <wp:docPr id="2027580531"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80531" name="Picture 5"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FF0C97E" w14:textId="64B6BC7A" w:rsidR="003B77F8" w:rsidRDefault="00443D7B" w:rsidP="007E0A38">
      <w:pPr>
        <w:rPr>
          <w:lang w:eastAsia="en-US"/>
        </w:rPr>
      </w:pPr>
      <w:r>
        <w:rPr>
          <w:noProof/>
          <w:lang w:eastAsia="en-US"/>
        </w:rPr>
        <w:drawing>
          <wp:inline distT="0" distB="0" distL="0" distR="0" wp14:anchorId="5169738E" wp14:editId="3A45A834">
            <wp:extent cx="5731510" cy="3582035"/>
            <wp:effectExtent l="0" t="0" r="0" b="0"/>
            <wp:docPr id="171832357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23570" name="Picture 2"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1103820" w14:textId="116A99EB" w:rsidR="003B77F8" w:rsidRPr="007E0A38" w:rsidRDefault="00F47BFB" w:rsidP="007E0A38">
      <w:pPr>
        <w:rPr>
          <w:lang w:eastAsia="en-US"/>
        </w:rPr>
      </w:pPr>
      <w:r>
        <w:rPr>
          <w:noProof/>
          <w:lang w:eastAsia="en-US"/>
        </w:rPr>
        <w:lastRenderedPageBreak/>
        <w:drawing>
          <wp:inline distT="0" distB="0" distL="0" distR="0" wp14:anchorId="419F8731" wp14:editId="506258E4">
            <wp:extent cx="5731510" cy="3582035"/>
            <wp:effectExtent l="0" t="0" r="0" b="0"/>
            <wp:docPr id="18491286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28671" name="Picture 184912867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7A9F84D" w14:textId="77777777" w:rsidR="007E0A38" w:rsidRPr="00A06AE6" w:rsidRDefault="007E0A38" w:rsidP="00A06AE6">
      <w:pPr>
        <w:rPr>
          <w:lang/>
        </w:rPr>
      </w:pPr>
    </w:p>
    <w:p w14:paraId="00000020" w14:textId="77777777" w:rsidR="00CE63E5" w:rsidRPr="00F43BE6" w:rsidRDefault="00CE63E5">
      <w:pPr>
        <w:rPr>
          <w:lang/>
        </w:rPr>
      </w:pPr>
    </w:p>
    <w:sectPr w:rsidR="00CE63E5" w:rsidRPr="00F43BE6">
      <w:footerReference w:type="default" r:id="rId2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D974F" w14:textId="77777777" w:rsidR="00776D97" w:rsidRDefault="00776D97">
      <w:pPr>
        <w:spacing w:line="240" w:lineRule="auto"/>
      </w:pPr>
      <w:r>
        <w:separator/>
      </w:r>
    </w:p>
  </w:endnote>
  <w:endnote w:type="continuationSeparator" w:id="0">
    <w:p w14:paraId="430A8BAE" w14:textId="77777777" w:rsidR="00776D97" w:rsidRDefault="00776D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angal">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1" w14:textId="79A569A6" w:rsidR="00CE63E5" w:rsidRDefault="001A6B4B">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A2595">
      <w:rPr>
        <w:noProof/>
        <w:color w:val="000000"/>
      </w:rPr>
      <w:t>2</w:t>
    </w:r>
    <w:r>
      <w:rPr>
        <w:color w:val="000000"/>
      </w:rPr>
      <w:fldChar w:fldCharType="end"/>
    </w:r>
  </w:p>
  <w:p w14:paraId="00000022" w14:textId="77777777" w:rsidR="00CE63E5" w:rsidRDefault="00CE63E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4144A" w14:textId="77777777" w:rsidR="00776D97" w:rsidRDefault="00776D97">
      <w:pPr>
        <w:spacing w:line="240" w:lineRule="auto"/>
      </w:pPr>
      <w:r>
        <w:separator/>
      </w:r>
    </w:p>
  </w:footnote>
  <w:footnote w:type="continuationSeparator" w:id="0">
    <w:p w14:paraId="7D9638DA" w14:textId="77777777" w:rsidR="00776D97" w:rsidRDefault="00776D9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3E5"/>
    <w:rsid w:val="00014531"/>
    <w:rsid w:val="00025904"/>
    <w:rsid w:val="00033E67"/>
    <w:rsid w:val="000353DF"/>
    <w:rsid w:val="000411AE"/>
    <w:rsid w:val="00057654"/>
    <w:rsid w:val="0006278D"/>
    <w:rsid w:val="000A2F1F"/>
    <w:rsid w:val="000A3659"/>
    <w:rsid w:val="000B009C"/>
    <w:rsid w:val="000D232B"/>
    <w:rsid w:val="00104979"/>
    <w:rsid w:val="00125CB6"/>
    <w:rsid w:val="0015220B"/>
    <w:rsid w:val="00174068"/>
    <w:rsid w:val="0019113F"/>
    <w:rsid w:val="001A02BB"/>
    <w:rsid w:val="001A036D"/>
    <w:rsid w:val="001A6B4B"/>
    <w:rsid w:val="00222111"/>
    <w:rsid w:val="0022785C"/>
    <w:rsid w:val="002432B2"/>
    <w:rsid w:val="0024640A"/>
    <w:rsid w:val="002631AC"/>
    <w:rsid w:val="002843D4"/>
    <w:rsid w:val="002A0811"/>
    <w:rsid w:val="00337D61"/>
    <w:rsid w:val="00361964"/>
    <w:rsid w:val="00361A5A"/>
    <w:rsid w:val="00386AF6"/>
    <w:rsid w:val="00387E8C"/>
    <w:rsid w:val="003950A5"/>
    <w:rsid w:val="003B77F8"/>
    <w:rsid w:val="003C0C54"/>
    <w:rsid w:val="0040422E"/>
    <w:rsid w:val="00415C60"/>
    <w:rsid w:val="00432E21"/>
    <w:rsid w:val="00443D7B"/>
    <w:rsid w:val="00447646"/>
    <w:rsid w:val="00470E38"/>
    <w:rsid w:val="00475744"/>
    <w:rsid w:val="004A2595"/>
    <w:rsid w:val="004A5827"/>
    <w:rsid w:val="004E1776"/>
    <w:rsid w:val="004E5234"/>
    <w:rsid w:val="00507E12"/>
    <w:rsid w:val="00515F85"/>
    <w:rsid w:val="00562D17"/>
    <w:rsid w:val="00583481"/>
    <w:rsid w:val="005D138F"/>
    <w:rsid w:val="005D76D8"/>
    <w:rsid w:val="00624766"/>
    <w:rsid w:val="006F0B98"/>
    <w:rsid w:val="007008F6"/>
    <w:rsid w:val="00704743"/>
    <w:rsid w:val="00730EF9"/>
    <w:rsid w:val="00734B29"/>
    <w:rsid w:val="007471E2"/>
    <w:rsid w:val="007547D2"/>
    <w:rsid w:val="0075757E"/>
    <w:rsid w:val="0076642C"/>
    <w:rsid w:val="00775AD5"/>
    <w:rsid w:val="00776D97"/>
    <w:rsid w:val="0078117E"/>
    <w:rsid w:val="007A78AF"/>
    <w:rsid w:val="007B6FAA"/>
    <w:rsid w:val="007E0A38"/>
    <w:rsid w:val="00846653"/>
    <w:rsid w:val="00856C1C"/>
    <w:rsid w:val="0086001F"/>
    <w:rsid w:val="00880212"/>
    <w:rsid w:val="008826C4"/>
    <w:rsid w:val="0088586B"/>
    <w:rsid w:val="00887A5D"/>
    <w:rsid w:val="00892D25"/>
    <w:rsid w:val="008956CE"/>
    <w:rsid w:val="008B1678"/>
    <w:rsid w:val="008D4D1A"/>
    <w:rsid w:val="008F5840"/>
    <w:rsid w:val="00910A45"/>
    <w:rsid w:val="009158ED"/>
    <w:rsid w:val="00934083"/>
    <w:rsid w:val="009457F6"/>
    <w:rsid w:val="0096289F"/>
    <w:rsid w:val="009A17A7"/>
    <w:rsid w:val="009A56F2"/>
    <w:rsid w:val="009A785F"/>
    <w:rsid w:val="009E0E55"/>
    <w:rsid w:val="00A06AE6"/>
    <w:rsid w:val="00A105EC"/>
    <w:rsid w:val="00A42BFC"/>
    <w:rsid w:val="00A62AAE"/>
    <w:rsid w:val="00A76D84"/>
    <w:rsid w:val="00A775D5"/>
    <w:rsid w:val="00AE2183"/>
    <w:rsid w:val="00AF6DA0"/>
    <w:rsid w:val="00B02286"/>
    <w:rsid w:val="00B10069"/>
    <w:rsid w:val="00B700F3"/>
    <w:rsid w:val="00B710EB"/>
    <w:rsid w:val="00B833FA"/>
    <w:rsid w:val="00BA3E59"/>
    <w:rsid w:val="00BB5F4A"/>
    <w:rsid w:val="00BC15F3"/>
    <w:rsid w:val="00BC72CA"/>
    <w:rsid w:val="00C14B8B"/>
    <w:rsid w:val="00C1577F"/>
    <w:rsid w:val="00C25789"/>
    <w:rsid w:val="00C33C6D"/>
    <w:rsid w:val="00C63896"/>
    <w:rsid w:val="00C64A49"/>
    <w:rsid w:val="00C934C8"/>
    <w:rsid w:val="00CA4111"/>
    <w:rsid w:val="00CE63E5"/>
    <w:rsid w:val="00CF794C"/>
    <w:rsid w:val="00D13379"/>
    <w:rsid w:val="00D21EA4"/>
    <w:rsid w:val="00D305AD"/>
    <w:rsid w:val="00D36F40"/>
    <w:rsid w:val="00DB79FE"/>
    <w:rsid w:val="00DE50BD"/>
    <w:rsid w:val="00E05E7C"/>
    <w:rsid w:val="00E12F7A"/>
    <w:rsid w:val="00E17DE6"/>
    <w:rsid w:val="00E3374A"/>
    <w:rsid w:val="00E46996"/>
    <w:rsid w:val="00E6153E"/>
    <w:rsid w:val="00E87022"/>
    <w:rsid w:val="00EA04A1"/>
    <w:rsid w:val="00EE4B77"/>
    <w:rsid w:val="00EF6F8A"/>
    <w:rsid w:val="00F1300F"/>
    <w:rsid w:val="00F43BE6"/>
    <w:rsid w:val="00F43F19"/>
    <w:rsid w:val="00F47923"/>
    <w:rsid w:val="00F47BFB"/>
    <w:rsid w:val="00F61973"/>
    <w:rsid w:val="00F61EDA"/>
    <w:rsid w:val="00F66BE6"/>
    <w:rsid w:val="00F83672"/>
    <w:rsid w:val="00F92A51"/>
    <w:rsid w:val="00F959EB"/>
    <w:rsid w:val="00FB3033"/>
    <w:rsid w:val="00FD7705"/>
  </w:rsids>
  <m:mathPr>
    <m:mathFont m:val="Cambria Math"/>
    <m:brkBin m:val="before"/>
    <m:brkBinSub m:val="--"/>
    <m:smallFrac m:val="0"/>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342052"/>
  <w15:docId w15:val="{B85BBA25-555B-4F79-9ADD-DDD2EC053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028"/>
    <w:pPr>
      <w:suppressAutoHyphens/>
      <w:autoSpaceDN w:val="0"/>
    </w:pPr>
  </w:style>
  <w:style w:type="paragraph" w:styleId="Heading1">
    <w:name w:val="heading 1"/>
    <w:basedOn w:val="Normal"/>
    <w:next w:val="Normal"/>
    <w:link w:val="Heading1Char"/>
    <w:uiPriority w:val="9"/>
    <w:qFormat/>
    <w:rsid w:val="00BB5455"/>
    <w:pPr>
      <w:keepNext/>
      <w:keepLines/>
      <w:outlineLvl w:val="0"/>
    </w:pPr>
    <w:rPr>
      <w:b/>
      <w:color w:val="0070C0"/>
      <w:kern w:val="3"/>
      <w:sz w:val="32"/>
      <w:szCs w:val="32"/>
      <w:lang w:eastAsia="en-US"/>
    </w:rPr>
  </w:style>
  <w:style w:type="paragraph" w:styleId="Heading2">
    <w:name w:val="heading 2"/>
    <w:basedOn w:val="Normal"/>
    <w:next w:val="Normal"/>
    <w:link w:val="Heading2Char"/>
    <w:uiPriority w:val="9"/>
    <w:unhideWhenUsed/>
    <w:qFormat/>
    <w:rsid w:val="00CB68ED"/>
    <w:pPr>
      <w:keepNext/>
      <w:keepLines/>
      <w:outlineLvl w:val="1"/>
    </w:pPr>
    <w:rPr>
      <w:b/>
      <w:color w:val="5B9BD5"/>
      <w:kern w:val="3"/>
      <w:sz w:val="28"/>
      <w:szCs w:val="26"/>
      <w:lang w:eastAsia="en-US"/>
    </w:rPr>
  </w:style>
  <w:style w:type="paragraph" w:styleId="Heading3">
    <w:name w:val="heading 3"/>
    <w:basedOn w:val="Normal"/>
    <w:next w:val="Normal"/>
    <w:link w:val="Heading3Char"/>
    <w:uiPriority w:val="9"/>
    <w:semiHidden/>
    <w:unhideWhenUsed/>
    <w:qFormat/>
    <w:rsid w:val="00A3386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3386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3864"/>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33864"/>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477A"/>
    <w:pPr>
      <w:spacing w:line="240" w:lineRule="auto"/>
      <w:contextualSpacing/>
      <w:jc w:val="center"/>
    </w:pPr>
    <w:rPr>
      <w:rFonts w:eastAsiaTheme="majorEastAsia" w:cstheme="majorBidi"/>
      <w:b/>
      <w:i/>
      <w:spacing w:val="-10"/>
      <w:kern w:val="28"/>
      <w:sz w:val="56"/>
      <w:szCs w:val="56"/>
    </w:rPr>
  </w:style>
  <w:style w:type="character" w:customStyle="1" w:styleId="Heading1Char">
    <w:name w:val="Heading 1 Char"/>
    <w:basedOn w:val="DefaultParagraphFont"/>
    <w:link w:val="Heading1"/>
    <w:uiPriority w:val="9"/>
    <w:rsid w:val="00BB5455"/>
    <w:rPr>
      <w:rFonts w:ascii="Times New Roman" w:hAnsi="Times New Roman" w:cs="Times New Roman"/>
      <w:b/>
      <w:color w:val="0070C0"/>
      <w:kern w:val="3"/>
      <w:sz w:val="32"/>
      <w:szCs w:val="32"/>
      <w:lang w:val="en-US"/>
    </w:rPr>
  </w:style>
  <w:style w:type="character" w:customStyle="1" w:styleId="Heading2Char">
    <w:name w:val="Heading 2 Char"/>
    <w:basedOn w:val="DefaultParagraphFont"/>
    <w:link w:val="Heading2"/>
    <w:uiPriority w:val="9"/>
    <w:rsid w:val="00CB68ED"/>
    <w:rPr>
      <w:rFonts w:ascii="Times New Roman" w:hAnsi="Times New Roman" w:cs="Times New Roman"/>
      <w:b/>
      <w:color w:val="5B9BD5"/>
      <w:kern w:val="3"/>
      <w:sz w:val="28"/>
      <w:szCs w:val="26"/>
      <w:lang w:val="en-US"/>
    </w:rPr>
  </w:style>
  <w:style w:type="character" w:customStyle="1" w:styleId="TitleChar">
    <w:name w:val="Title Char"/>
    <w:basedOn w:val="DefaultParagraphFont"/>
    <w:link w:val="Title"/>
    <w:uiPriority w:val="10"/>
    <w:rsid w:val="0054477A"/>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semiHidden/>
    <w:rsid w:val="00A33864"/>
    <w:rPr>
      <w:rFonts w:asciiTheme="majorHAnsi" w:eastAsiaTheme="majorEastAsia" w:hAnsiTheme="majorHAnsi" w:cstheme="majorBidi"/>
      <w:color w:val="1F3763" w:themeColor="accent1" w:themeShade="7F"/>
      <w:kern w:val="0"/>
      <w:sz w:val="24"/>
      <w:szCs w:val="24"/>
      <w:lang w:eastAsia="en-GB"/>
    </w:rPr>
  </w:style>
  <w:style w:type="character" w:customStyle="1" w:styleId="Heading4Char">
    <w:name w:val="Heading 4 Char"/>
    <w:basedOn w:val="DefaultParagraphFont"/>
    <w:link w:val="Heading4"/>
    <w:uiPriority w:val="9"/>
    <w:semiHidden/>
    <w:rsid w:val="00A33864"/>
    <w:rPr>
      <w:rFonts w:asciiTheme="majorHAnsi" w:eastAsiaTheme="majorEastAsia" w:hAnsiTheme="majorHAnsi" w:cstheme="majorBidi"/>
      <w:i/>
      <w:iCs/>
      <w:color w:val="2F5496" w:themeColor="accent1" w:themeShade="BF"/>
      <w:kern w:val="0"/>
      <w:sz w:val="24"/>
      <w:szCs w:val="24"/>
      <w:lang w:eastAsia="en-GB"/>
    </w:rPr>
  </w:style>
  <w:style w:type="character" w:customStyle="1" w:styleId="Heading5Char">
    <w:name w:val="Heading 5 Char"/>
    <w:basedOn w:val="DefaultParagraphFont"/>
    <w:link w:val="Heading5"/>
    <w:uiPriority w:val="9"/>
    <w:semiHidden/>
    <w:rsid w:val="00A33864"/>
    <w:rPr>
      <w:rFonts w:asciiTheme="majorHAnsi" w:eastAsiaTheme="majorEastAsia" w:hAnsiTheme="majorHAnsi" w:cstheme="majorBidi"/>
      <w:color w:val="2F5496" w:themeColor="accent1" w:themeShade="BF"/>
      <w:kern w:val="0"/>
      <w:sz w:val="24"/>
      <w:szCs w:val="24"/>
      <w:lang w:eastAsia="en-GB"/>
    </w:rPr>
  </w:style>
  <w:style w:type="character" w:customStyle="1" w:styleId="Heading6Char">
    <w:name w:val="Heading 6 Char"/>
    <w:basedOn w:val="DefaultParagraphFont"/>
    <w:link w:val="Heading6"/>
    <w:uiPriority w:val="9"/>
    <w:semiHidden/>
    <w:rsid w:val="00A33864"/>
    <w:rPr>
      <w:rFonts w:asciiTheme="majorHAnsi" w:eastAsiaTheme="majorEastAsia" w:hAnsiTheme="majorHAnsi" w:cstheme="majorBidi"/>
      <w:color w:val="1F3763" w:themeColor="accent1" w:themeShade="7F"/>
      <w:kern w:val="0"/>
      <w:sz w:val="24"/>
      <w:szCs w:val="24"/>
      <w:lang w:eastAsia="en-GB"/>
    </w:rPr>
  </w:style>
  <w:style w:type="paragraph" w:styleId="TOC1">
    <w:name w:val="toc 1"/>
    <w:basedOn w:val="Normal"/>
    <w:next w:val="Normal"/>
    <w:autoRedefine/>
    <w:uiPriority w:val="39"/>
    <w:unhideWhenUsed/>
    <w:rsid w:val="00A33864"/>
    <w:pPr>
      <w:spacing w:after="100"/>
    </w:pPr>
  </w:style>
  <w:style w:type="paragraph" w:styleId="TOC2">
    <w:name w:val="toc 2"/>
    <w:basedOn w:val="Normal"/>
    <w:next w:val="Normal"/>
    <w:autoRedefine/>
    <w:uiPriority w:val="39"/>
    <w:unhideWhenUsed/>
    <w:rsid w:val="00A33864"/>
    <w:pPr>
      <w:spacing w:after="100"/>
      <w:ind w:left="240"/>
    </w:pPr>
  </w:style>
  <w:style w:type="character" w:styleId="Hyperlink">
    <w:name w:val="Hyperlink"/>
    <w:basedOn w:val="DefaultParagraphFont"/>
    <w:uiPriority w:val="99"/>
    <w:unhideWhenUsed/>
    <w:rsid w:val="00A33864"/>
    <w:rPr>
      <w:color w:val="0563C1" w:themeColor="hyperlink"/>
      <w:u w:val="single"/>
    </w:rPr>
  </w:style>
  <w:style w:type="paragraph" w:styleId="Header">
    <w:name w:val="header"/>
    <w:basedOn w:val="Normal"/>
    <w:link w:val="HeaderChar"/>
    <w:uiPriority w:val="99"/>
    <w:unhideWhenUsed/>
    <w:rsid w:val="001D27AB"/>
    <w:pPr>
      <w:tabs>
        <w:tab w:val="center" w:pos="4513"/>
        <w:tab w:val="right" w:pos="9026"/>
      </w:tabs>
      <w:spacing w:line="240" w:lineRule="auto"/>
    </w:pPr>
  </w:style>
  <w:style w:type="character" w:customStyle="1" w:styleId="HeaderChar">
    <w:name w:val="Header Char"/>
    <w:basedOn w:val="DefaultParagraphFont"/>
    <w:link w:val="Header"/>
    <w:uiPriority w:val="99"/>
    <w:rsid w:val="001D27AB"/>
    <w:rPr>
      <w:rFonts w:ascii="Times New Roman" w:hAnsi="Times New Roman" w:cs="Times New Roman"/>
      <w:kern w:val="0"/>
      <w:sz w:val="24"/>
      <w:szCs w:val="24"/>
      <w:lang w:eastAsia="en-GB"/>
    </w:rPr>
  </w:style>
  <w:style w:type="paragraph" w:styleId="Footer">
    <w:name w:val="footer"/>
    <w:basedOn w:val="Normal"/>
    <w:link w:val="FooterChar"/>
    <w:uiPriority w:val="99"/>
    <w:unhideWhenUsed/>
    <w:rsid w:val="001D27AB"/>
    <w:pPr>
      <w:tabs>
        <w:tab w:val="center" w:pos="4513"/>
        <w:tab w:val="right" w:pos="9026"/>
      </w:tabs>
      <w:spacing w:line="240" w:lineRule="auto"/>
    </w:pPr>
  </w:style>
  <w:style w:type="character" w:customStyle="1" w:styleId="FooterChar">
    <w:name w:val="Footer Char"/>
    <w:basedOn w:val="DefaultParagraphFont"/>
    <w:link w:val="Footer"/>
    <w:uiPriority w:val="99"/>
    <w:rsid w:val="001D27AB"/>
    <w:rPr>
      <w:rFonts w:ascii="Times New Roman" w:hAnsi="Times New Roman" w:cs="Times New Roman"/>
      <w:kern w:val="0"/>
      <w:sz w:val="24"/>
      <w:szCs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9A56F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432B2"/>
    <w:rPr>
      <w:color w:val="605E5C"/>
      <w:shd w:val="clear" w:color="auto" w:fill="E1DFDD"/>
    </w:rPr>
  </w:style>
  <w:style w:type="paragraph" w:styleId="TableofFigures">
    <w:name w:val="table of figures"/>
    <w:basedOn w:val="Normal"/>
    <w:next w:val="Normal"/>
    <w:uiPriority w:val="99"/>
    <w:unhideWhenUsed/>
    <w:rsid w:val="00892D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44E4F6-89EC-2C44-9939-C292D3972165}">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5d5rmz4lYt1hVomMruEOd6YVaw==">CgMxLjAyCGguZ2pkZ3hzMgloLjMwajB6bGwyCWguMWZvYjl0ZTIJaC4zem55c2g3MgloLjJldDkycDA4AHIhMUVZc0lkTFI4N3B3Q3hlMHJLbXZfWnFRWWE3elZxZXJI</go:docsCustomData>
</go:gDocsCustomXmlDataStorage>
</file>

<file path=customXml/itemProps1.xml><?xml version="1.0" encoding="utf-8"?>
<ds:datastoreItem xmlns:ds="http://schemas.openxmlformats.org/officeDocument/2006/customXml" ds:itemID="{7EA61784-0D0E-D545-9CFF-C10B8DF619A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6530</Words>
  <Characters>37222</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Sayem</cp:lastModifiedBy>
  <cp:revision>6</cp:revision>
  <dcterms:created xsi:type="dcterms:W3CDTF">2025-12-22T05:10:00Z</dcterms:created>
  <dcterms:modified xsi:type="dcterms:W3CDTF">2025-12-22T09:07:00Z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documentId_9971</vt:lpwstr>
  </property>
  <property fmtid="{D5CDD505-2E9C-101B-9397-08002B2CF9AE}" pid="3" name="grammarly_documentContext">
    <vt:lpwstr>{"goals":[],"domain":"general","emotions":[],"dialect":"british"}</vt:lpwstr>
  </property>
</Properties>
</file>