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369D8" w:rsidRPr="00F10DC8" w:rsidRDefault="006369D8" w:rsidP="006369D8">
      <w:pPr>
        <w:pStyle w:val="TOCHeading"/>
        <w:rPr>
          <w:rFonts w:eastAsiaTheme="minorHAnsi" w:cs="Arial"/>
          <w:b/>
          <w:bCs w:val="0"/>
          <w:kern w:val="2"/>
          <w:sz w:val="24"/>
          <w:szCs w:val="24"/>
          <w:lang w:val="en-IN"/>
          <w14:ligatures w14:val="standardContextual"/>
        </w:rPr>
      </w:pPr>
      <w:r w:rsidRPr="009C4AEF">
        <w:rPr>
          <w:rFonts w:cs="Arial"/>
          <w:b/>
          <w:noProof/>
          <w:sz w:val="32"/>
          <w:szCs w:val="32"/>
        </w:rPr>
        <w:drawing>
          <wp:anchor distT="0" distB="0" distL="114300" distR="114300" simplePos="0" relativeHeight="251659264" behindDoc="0" locked="0" layoutInCell="1" allowOverlap="1" wp14:anchorId="27CCAF0F" wp14:editId="7264A89D">
            <wp:simplePos x="0" y="0"/>
            <wp:positionH relativeFrom="margin">
              <wp:align>center</wp:align>
            </wp:positionH>
            <wp:positionV relativeFrom="paragraph">
              <wp:posOffset>-342519</wp:posOffset>
            </wp:positionV>
            <wp:extent cx="3817620" cy="998220"/>
            <wp:effectExtent l="0" t="0" r="0" b="0"/>
            <wp:wrapNone/>
            <wp:docPr id="113704468" name="Picture 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04468" name="Picture 4"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7620" cy="998220"/>
                    </a:xfrm>
                    <a:prstGeom prst="rect">
                      <a:avLst/>
                    </a:prstGeom>
                    <a:noFill/>
                    <a:ln>
                      <a:noFill/>
                    </a:ln>
                  </pic:spPr>
                </pic:pic>
              </a:graphicData>
            </a:graphic>
          </wp:anchor>
        </w:drawing>
      </w:r>
    </w:p>
    <w:p w:rsidR="006369D8" w:rsidRPr="009C4AEF" w:rsidRDefault="006369D8" w:rsidP="006369D8">
      <w:pPr>
        <w:jc w:val="center"/>
        <w:rPr>
          <w:rFonts w:cs="Arial"/>
          <w:b/>
          <w:bCs/>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Programme:  Master of Business Administration</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Module:  </w:t>
      </w:r>
      <w:r>
        <w:rPr>
          <w:rFonts w:cs="Arial"/>
          <w:b/>
          <w:sz w:val="32"/>
          <w:szCs w:val="32"/>
        </w:rPr>
        <w:t>Business Development Proposal</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Module Code:   LCMB70</w:t>
      </w:r>
      <w:r>
        <w:rPr>
          <w:rFonts w:cs="Arial"/>
          <w:b/>
          <w:sz w:val="32"/>
          <w:szCs w:val="32"/>
        </w:rPr>
        <w:t>37</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Student Name:    Meet </w:t>
      </w:r>
      <w:proofErr w:type="spellStart"/>
      <w:r w:rsidRPr="009C4AEF">
        <w:rPr>
          <w:rFonts w:cs="Arial"/>
          <w:b/>
          <w:sz w:val="32"/>
          <w:szCs w:val="32"/>
        </w:rPr>
        <w:t>Rajubhai</w:t>
      </w:r>
      <w:proofErr w:type="spellEnd"/>
      <w:r w:rsidRPr="009C4AEF">
        <w:rPr>
          <w:rFonts w:cs="Arial"/>
          <w:b/>
          <w:sz w:val="32"/>
          <w:szCs w:val="32"/>
        </w:rPr>
        <w:t xml:space="preserve"> Patel</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Student ID: 2418458</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Word Count: </w:t>
      </w:r>
      <w:r>
        <w:rPr>
          <w:rFonts w:cs="Arial"/>
          <w:b/>
          <w:sz w:val="32"/>
          <w:szCs w:val="32"/>
        </w:rPr>
        <w:t>14147</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Lecturer: </w:t>
      </w:r>
      <w:proofErr w:type="spellStart"/>
      <w:r w:rsidRPr="00ED0DC3">
        <w:rPr>
          <w:rFonts w:cs="Arial"/>
          <w:b/>
          <w:bCs/>
          <w:sz w:val="32"/>
          <w:szCs w:val="32"/>
          <w:lang w:val="en-IN"/>
        </w:rPr>
        <w:t>Balendran</w:t>
      </w:r>
      <w:proofErr w:type="spellEnd"/>
      <w:r w:rsidRPr="00ED0DC3">
        <w:rPr>
          <w:rFonts w:cs="Arial"/>
          <w:b/>
          <w:bCs/>
          <w:sz w:val="32"/>
          <w:szCs w:val="32"/>
          <w:lang w:val="en-IN"/>
        </w:rPr>
        <w:t xml:space="preserve"> Kandasamy</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Submission Date: </w:t>
      </w:r>
      <w:r>
        <w:rPr>
          <w:rFonts w:cs="Arial"/>
          <w:b/>
          <w:sz w:val="32"/>
          <w:szCs w:val="32"/>
        </w:rPr>
        <w:t>0</w:t>
      </w:r>
      <w:r w:rsidR="005B5F99">
        <w:rPr>
          <w:rFonts w:cs="Arial"/>
          <w:b/>
          <w:sz w:val="32"/>
          <w:szCs w:val="32"/>
        </w:rPr>
        <w:t>3</w:t>
      </w:r>
      <w:r w:rsidRPr="009C4AEF">
        <w:rPr>
          <w:rFonts w:cs="Arial"/>
          <w:b/>
          <w:sz w:val="32"/>
          <w:szCs w:val="32"/>
        </w:rPr>
        <w:t>/</w:t>
      </w:r>
      <w:r w:rsidR="005B5F99">
        <w:rPr>
          <w:rFonts w:cs="Arial"/>
          <w:b/>
          <w:sz w:val="32"/>
          <w:szCs w:val="32"/>
        </w:rPr>
        <w:t>02</w:t>
      </w:r>
      <w:r w:rsidRPr="009C4AEF">
        <w:rPr>
          <w:rFonts w:cs="Arial"/>
          <w:b/>
          <w:sz w:val="32"/>
          <w:szCs w:val="32"/>
        </w:rPr>
        <w:t>/202</w:t>
      </w:r>
      <w:r w:rsidR="005B5F99">
        <w:rPr>
          <w:rFonts w:cs="Arial"/>
          <w:b/>
          <w:sz w:val="32"/>
          <w:szCs w:val="32"/>
        </w:rPr>
        <w:t>6</w:t>
      </w:r>
    </w:p>
    <w:p w:rsidR="006369D8" w:rsidRPr="009C4AEF" w:rsidRDefault="006369D8" w:rsidP="006369D8">
      <w:pPr>
        <w:spacing w:line="240" w:lineRule="auto"/>
        <w:jc w:val="center"/>
        <w:rPr>
          <w:rFonts w:cs="Arial"/>
          <w:b/>
          <w:sz w:val="32"/>
          <w:szCs w:val="32"/>
        </w:rPr>
      </w:pPr>
    </w:p>
    <w:p w:rsidR="006369D8" w:rsidRPr="009C4AEF" w:rsidRDefault="006369D8" w:rsidP="006369D8">
      <w:pPr>
        <w:spacing w:line="240" w:lineRule="auto"/>
        <w:jc w:val="center"/>
        <w:rPr>
          <w:rFonts w:cs="Arial"/>
          <w:b/>
          <w:sz w:val="32"/>
          <w:szCs w:val="32"/>
        </w:rPr>
      </w:pPr>
      <w:r w:rsidRPr="009C4AEF">
        <w:rPr>
          <w:rFonts w:cs="Arial"/>
          <w:b/>
          <w:sz w:val="32"/>
          <w:szCs w:val="32"/>
        </w:rPr>
        <w:t xml:space="preserve">Assessment component: </w:t>
      </w:r>
      <w:r w:rsidRPr="00ED0DC3">
        <w:rPr>
          <w:rFonts w:cs="Arial"/>
          <w:b/>
          <w:sz w:val="32"/>
          <w:szCs w:val="32"/>
        </w:rPr>
        <w:t>Business Development Proposal</w:t>
      </w:r>
      <w:r>
        <w:rPr>
          <w:rFonts w:cs="Arial"/>
          <w:b/>
          <w:sz w:val="32"/>
          <w:szCs w:val="32"/>
        </w:rPr>
        <w:t xml:space="preserve"> </w:t>
      </w:r>
      <w:r w:rsidRPr="00ED0DC3">
        <w:rPr>
          <w:rFonts w:cs="Arial"/>
          <w:b/>
          <w:sz w:val="32"/>
          <w:szCs w:val="32"/>
        </w:rPr>
        <w:t>of Discsoul</w:t>
      </w:r>
      <w:r>
        <w:rPr>
          <w:rFonts w:cs="Arial"/>
          <w:b/>
          <w:sz w:val="32"/>
          <w:szCs w:val="32"/>
        </w:rPr>
        <w:t xml:space="preserve"> Music Application</w:t>
      </w:r>
      <w:r w:rsidRPr="00ED0DC3">
        <w:rPr>
          <w:rFonts w:cs="Arial"/>
          <w:b/>
          <w:sz w:val="32"/>
          <w:szCs w:val="32"/>
        </w:rPr>
        <w:t>: The Integrated Music, Video, and Podcast Streaming Platform.</w:t>
      </w:r>
    </w:p>
    <w:p w:rsidR="006369D8" w:rsidRPr="009C4AEF" w:rsidRDefault="006369D8" w:rsidP="006369D8">
      <w:pPr>
        <w:spacing w:line="240" w:lineRule="auto"/>
        <w:jc w:val="center"/>
        <w:rPr>
          <w:rFonts w:cs="Arial"/>
          <w:b/>
          <w:sz w:val="32"/>
          <w:szCs w:val="32"/>
        </w:rPr>
      </w:pPr>
    </w:p>
    <w:p w:rsidR="006369D8" w:rsidRDefault="006369D8" w:rsidP="006369D8">
      <w:pPr>
        <w:spacing w:line="240" w:lineRule="auto"/>
        <w:jc w:val="center"/>
        <w:rPr>
          <w:rFonts w:cs="Arial"/>
          <w:b/>
          <w:sz w:val="32"/>
          <w:szCs w:val="32"/>
        </w:rPr>
      </w:pPr>
      <w:r>
        <w:rPr>
          <w:rFonts w:cs="Arial"/>
          <w:b/>
          <w:sz w:val="32"/>
          <w:szCs w:val="32"/>
        </w:rPr>
        <w:t xml:space="preserve"> </w:t>
      </w:r>
      <w:r w:rsidRPr="009C4AEF">
        <w:rPr>
          <w:rFonts w:cs="Arial"/>
          <w:noProof/>
        </w:rPr>
        <w:drawing>
          <wp:inline distT="0" distB="0" distL="0" distR="0" wp14:anchorId="1AA58AE5" wp14:editId="5BCE3068">
            <wp:extent cx="2465251" cy="1440180"/>
            <wp:effectExtent l="0" t="0" r="0" b="7620"/>
            <wp:docPr id="767268822" name="Picture 1" descr="A logo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68822" name="Picture 1" descr="A logo on a blue background&#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l="17647" t="29412" r="13882" b="30588"/>
                    <a:stretch>
                      <a:fillRect/>
                    </a:stretch>
                  </pic:blipFill>
                  <pic:spPr bwMode="auto">
                    <a:xfrm>
                      <a:off x="0" y="0"/>
                      <a:ext cx="2556166" cy="1493292"/>
                    </a:xfrm>
                    <a:prstGeom prst="rect">
                      <a:avLst/>
                    </a:prstGeom>
                    <a:noFill/>
                    <a:ln>
                      <a:noFill/>
                    </a:ln>
                    <a:extLst>
                      <a:ext uri="{53640926-AAD7-44D8-BBD7-CCE9431645EC}">
                        <a14:shadowObscured xmlns:a14="http://schemas.microsoft.com/office/drawing/2010/main"/>
                      </a:ext>
                    </a:extLst>
                  </pic:spPr>
                </pic:pic>
              </a:graphicData>
            </a:graphic>
          </wp:inline>
        </w:drawing>
      </w:r>
    </w:p>
    <w:p w:rsidR="0051269A" w:rsidRPr="0051269A" w:rsidRDefault="0051269A" w:rsidP="0051269A">
      <w:r w:rsidRPr="0051269A">
        <w:lastRenderedPageBreak/>
        <w:drawing>
          <wp:inline distT="0" distB="0" distL="0" distR="0">
            <wp:extent cx="2849880" cy="1165860"/>
            <wp:effectExtent l="0" t="0" r="7620" b="0"/>
            <wp:docPr id="18859982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0051269A" w:rsidRPr="0051269A" w:rsidRDefault="0051269A" w:rsidP="0051269A">
      <w:pPr>
        <w:rPr>
          <w:b/>
        </w:rPr>
      </w:pPr>
    </w:p>
    <w:p w:rsidR="0051269A" w:rsidRPr="0051269A" w:rsidRDefault="0051269A" w:rsidP="0051269A">
      <w:r w:rsidRPr="0051269A">
        <w:rPr>
          <w:b/>
        </w:rPr>
        <w:t>Master’s Degrees by Examination and Dissertation</w:t>
      </w:r>
    </w:p>
    <w:p w:rsidR="0051269A" w:rsidRPr="0051269A" w:rsidRDefault="0051269A" w:rsidP="0051269A">
      <w:r w:rsidRPr="0051269A">
        <w:rPr>
          <w:b/>
        </w:rPr>
        <w:t>Declaration Form</w:t>
      </w:r>
      <w:r w:rsidRPr="0051269A">
        <w:t>.</w:t>
      </w:r>
    </w:p>
    <w:p w:rsidR="0051269A" w:rsidRPr="0051269A" w:rsidRDefault="0051269A" w:rsidP="0051269A"/>
    <w:p w:rsidR="0051269A" w:rsidRPr="0051269A" w:rsidRDefault="0051269A" w:rsidP="0051269A">
      <w:r w:rsidRPr="0051269A">
        <w:t xml:space="preserve">I, </w:t>
      </w:r>
      <w:r>
        <w:t xml:space="preserve">Meet </w:t>
      </w:r>
      <w:proofErr w:type="spellStart"/>
      <w:r>
        <w:t>Rajubhai</w:t>
      </w:r>
      <w:proofErr w:type="spellEnd"/>
      <w:r>
        <w:t xml:space="preserve"> Patel</w:t>
      </w:r>
      <w:r w:rsidRPr="0051269A">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51269A" w:rsidRPr="0051269A" w:rsidRDefault="0051269A" w:rsidP="0051269A">
      <w:r w:rsidRPr="0051269A">
        <w:t xml:space="preserve"> </w:t>
      </w:r>
    </w:p>
    <w:p w:rsidR="0051269A" w:rsidRPr="0051269A" w:rsidRDefault="0051269A" w:rsidP="0051269A">
      <w:r w:rsidRPr="0051269A">
        <w:t xml:space="preserve">Signature: </w:t>
      </w:r>
      <w:r>
        <w:t>Meet Patel</w:t>
      </w:r>
    </w:p>
    <w:p w:rsidR="0051269A" w:rsidRPr="0051269A" w:rsidRDefault="0051269A" w:rsidP="0051269A">
      <w:r w:rsidRPr="0051269A">
        <w:t xml:space="preserve"> </w:t>
      </w:r>
    </w:p>
    <w:p w:rsidR="0051269A" w:rsidRPr="0051269A" w:rsidRDefault="0051269A" w:rsidP="0051269A">
      <w:r w:rsidRPr="0051269A">
        <w:t>Date:</w:t>
      </w:r>
      <w:r>
        <w:t xml:space="preserve"> 03/02/2026</w:t>
      </w:r>
    </w:p>
    <w:p w:rsidR="00C57603" w:rsidRPr="00C57603" w:rsidRDefault="00C57603" w:rsidP="00C57603"/>
    <w:p w:rsidR="00C57603" w:rsidRPr="00C57603" w:rsidRDefault="00C57603" w:rsidP="00C57603">
      <w:pPr>
        <w:pStyle w:val="Title"/>
      </w:pPr>
    </w:p>
    <w:p w:rsidR="00C57603" w:rsidRPr="00C57603" w:rsidRDefault="00C57603" w:rsidP="00C57603">
      <w:pPr>
        <w:pStyle w:val="Title"/>
        <w:jc w:val="both"/>
      </w:pPr>
    </w:p>
    <w:p w:rsidR="00C57603" w:rsidRPr="00C57603" w:rsidRDefault="00C57603" w:rsidP="00C57603">
      <w:pPr>
        <w:pStyle w:val="Title"/>
        <w:jc w:val="both"/>
      </w:pPr>
    </w:p>
    <w:p w:rsidR="00C57603" w:rsidRPr="00C57603" w:rsidRDefault="00C57603" w:rsidP="00C57603">
      <w:pPr>
        <w:pStyle w:val="Title"/>
        <w:jc w:val="both"/>
      </w:pPr>
    </w:p>
    <w:p w:rsidR="00C57603" w:rsidRPr="00C57603" w:rsidRDefault="00C57603" w:rsidP="00C57603">
      <w:pPr>
        <w:pStyle w:val="Title"/>
        <w:jc w:val="both"/>
      </w:pPr>
    </w:p>
    <w:p w:rsidR="00C57603" w:rsidRPr="00C57603" w:rsidRDefault="00C57603" w:rsidP="00C57603">
      <w:pPr>
        <w:pStyle w:val="Title"/>
        <w:jc w:val="both"/>
      </w:pPr>
    </w:p>
    <w:p w:rsidR="00C57603" w:rsidRPr="00C57603" w:rsidRDefault="00C57603" w:rsidP="00C57603">
      <w:pPr>
        <w:pStyle w:val="Title"/>
        <w:jc w:val="both"/>
      </w:pPr>
    </w:p>
    <w:p w:rsidR="003B4489" w:rsidRDefault="003B4489" w:rsidP="00DB61C6">
      <w:pPr>
        <w:pStyle w:val="Title"/>
        <w:jc w:val="both"/>
      </w:pPr>
    </w:p>
    <w:p w:rsidR="003B4489" w:rsidRDefault="003B4489" w:rsidP="00DB61C6">
      <w:pPr>
        <w:pStyle w:val="Title"/>
        <w:jc w:val="both"/>
      </w:pPr>
    </w:p>
    <w:p w:rsidR="003B4489" w:rsidRPr="003B4489" w:rsidRDefault="003B4489" w:rsidP="003B4489"/>
    <w:p w:rsidR="003B4489" w:rsidRDefault="003B4489" w:rsidP="00DB61C6">
      <w:pPr>
        <w:pStyle w:val="Title"/>
        <w:jc w:val="both"/>
      </w:pPr>
    </w:p>
    <w:p w:rsidR="003B4489" w:rsidRDefault="003B4489" w:rsidP="00DB61C6">
      <w:pPr>
        <w:pStyle w:val="Title"/>
        <w:jc w:val="both"/>
      </w:pPr>
    </w:p>
    <w:p w:rsidR="003B4489" w:rsidRDefault="003B4489" w:rsidP="00DB61C6">
      <w:pPr>
        <w:pStyle w:val="Title"/>
        <w:jc w:val="both"/>
      </w:pPr>
    </w:p>
    <w:p w:rsidR="006369D8" w:rsidRDefault="006369D8" w:rsidP="00DB61C6">
      <w:pPr>
        <w:pStyle w:val="Title"/>
        <w:jc w:val="both"/>
      </w:pPr>
    </w:p>
    <w:p w:rsidR="00A50ABD" w:rsidRDefault="00A50ABD" w:rsidP="00DB61C6">
      <w:pPr>
        <w:pStyle w:val="Title"/>
        <w:jc w:val="both"/>
      </w:pPr>
    </w:p>
    <w:p w:rsidR="00A50ABD" w:rsidRDefault="00A50ABD" w:rsidP="00DB61C6">
      <w:pPr>
        <w:pStyle w:val="Title"/>
        <w:jc w:val="both"/>
      </w:pPr>
    </w:p>
    <w:p w:rsidR="00A50ABD" w:rsidRDefault="00A50ABD" w:rsidP="008E2276">
      <w:pPr>
        <w:pStyle w:val="Title"/>
        <w:jc w:val="center"/>
      </w:pPr>
      <w:bookmarkStart w:id="0" w:name="_Toc220991297"/>
      <w:r w:rsidRPr="00A50ABD">
        <w:lastRenderedPageBreak/>
        <w:t>Acknowledgements</w:t>
      </w:r>
      <w:bookmarkEnd w:id="0"/>
    </w:p>
    <w:p w:rsidR="00A50ABD" w:rsidRDefault="00A50ABD" w:rsidP="00A50ABD">
      <w:pPr>
        <w:jc w:val="both"/>
        <w:rPr>
          <w:lang w:val="en-IN"/>
        </w:rPr>
      </w:pPr>
      <w:r w:rsidRPr="00A50ABD">
        <w:rPr>
          <w:lang w:val="en-IN"/>
        </w:rPr>
        <w:t xml:space="preserve">I would like to give a heart-felt thankfulness to the academic staff at the University of Wales Trinity Saint David whose guidance and support I found very useful in the execution of this assignment. The module tutor is given special praise, as he offered great feedback and academic guidance, which played a significant role in the creation of this work. I also </w:t>
      </w:r>
      <w:r w:rsidRPr="00A50ABD">
        <w:rPr>
          <w:lang w:val="en-IN"/>
        </w:rPr>
        <w:t>recognize</w:t>
      </w:r>
      <w:r w:rsidRPr="00A50ABD">
        <w:rPr>
          <w:lang w:val="en-IN"/>
        </w:rPr>
        <w:t xml:space="preserve"> the usage of scholarly literature, industry reports, and professional frameworks which utilized the analysis. Lastly, it is heartedly appreciated that family and peers provided a constant source of encouragement, motivation, and understanding throughout the research and the process of writing the research.</w:t>
      </w: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A50ABD">
      <w:pPr>
        <w:jc w:val="both"/>
        <w:rPr>
          <w:lang w:val="en-IN"/>
        </w:rPr>
      </w:pPr>
    </w:p>
    <w:p w:rsidR="00A50ABD" w:rsidRDefault="00A50ABD" w:rsidP="008E2276">
      <w:pPr>
        <w:pStyle w:val="Title"/>
        <w:jc w:val="center"/>
        <w:rPr>
          <w:lang w:val="en-IN"/>
        </w:rPr>
      </w:pPr>
      <w:bookmarkStart w:id="1" w:name="_Toc220991298"/>
      <w:r>
        <w:rPr>
          <w:lang w:val="en-IN"/>
        </w:rPr>
        <w:lastRenderedPageBreak/>
        <w:t>Abstract</w:t>
      </w:r>
      <w:bookmarkEnd w:id="1"/>
    </w:p>
    <w:p w:rsidR="00A50ABD" w:rsidRDefault="00A50ABD" w:rsidP="005B5F99">
      <w:pPr>
        <w:jc w:val="both"/>
      </w:pPr>
      <w:r w:rsidRPr="00A50ABD">
        <w:t xml:space="preserve">The assignment is a strategic, operational, and financial analysis of Discsoul, the proposed integrated music and video streaming platform that is intended to work in the digital entertainment industry of the world. The paper is an analysis of how Discsoul is responding to changing consumer preferences by adopting a hybrid business model that will integrate subscription packages, access through advertisements, and live concert experiences that are monetised. The evaluation uses the known academic and professional models, such as PESTEL analysis, digital platform theory, enterprise risk management, and financial forecasting, to evaluate the commercial feasibility and sustainability of the platform in the long term. </w:t>
      </w:r>
    </w:p>
    <w:p w:rsidR="005B5F99" w:rsidRDefault="00A50ABD" w:rsidP="005B5F99">
      <w:pPr>
        <w:jc w:val="both"/>
      </w:pPr>
      <w:r w:rsidRPr="00A50ABD">
        <w:t xml:space="preserve">The major areas of concern are market dynamics, revenue generation strategies, operational workflows, human resource capital allocation and risk management in a multi-sided platform structure. With the help of break-even analysis and performance indicators, financial projections are created to help estimate profitability, the sustainability of cash flow and returns to investors. Moreover, the research also takes into account regulatory compliance, data protection, and cybersecurity risks, which are related to the operation of a digital media platform in various jurisdictions. </w:t>
      </w:r>
    </w:p>
    <w:p w:rsidR="00A50ABD" w:rsidRDefault="00A50ABD" w:rsidP="005B5F99">
      <w:pPr>
        <w:jc w:val="both"/>
      </w:pPr>
      <w:r w:rsidRPr="00A50ABD">
        <w:t>The results show that Discsoul can attain scalable growth and financial sustainability, provided with the help of restrained cost management, powerful governance, and talent management. In general, the assignment shows that Discsoul is a commercially viable and strategically sound digital entertainment business in a competitive world market.</w:t>
      </w: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5B5F99">
      <w:pPr>
        <w:jc w:val="both"/>
      </w:pPr>
    </w:p>
    <w:p w:rsidR="005B5F99" w:rsidRDefault="005B5F99" w:rsidP="00B62AFC">
      <w:pPr>
        <w:jc w:val="center"/>
        <w:rPr>
          <w:b/>
          <w:bCs/>
          <w:sz w:val="32"/>
          <w:szCs w:val="32"/>
        </w:rPr>
      </w:pPr>
      <w:r w:rsidRPr="005B5F99">
        <w:rPr>
          <w:b/>
          <w:bCs/>
          <w:sz w:val="32"/>
          <w:szCs w:val="32"/>
        </w:rPr>
        <w:lastRenderedPageBreak/>
        <w:t>Table of Content</w:t>
      </w:r>
    </w:p>
    <w:p w:rsidR="00B62AFC" w:rsidRDefault="00B62AFC">
      <w:pPr>
        <w:pStyle w:val="TOC1"/>
        <w:tabs>
          <w:tab w:val="right" w:leader="dot" w:pos="9016"/>
        </w:tabs>
        <w:rPr>
          <w:rFonts w:asciiTheme="minorHAnsi" w:eastAsiaTheme="minorEastAsia" w:hAnsiTheme="minorHAnsi"/>
          <w:noProof/>
          <w:lang w:val="en-IN" w:eastAsia="en-IN"/>
        </w:rPr>
      </w:pPr>
      <w:r>
        <w:rPr>
          <w:b/>
          <w:bCs/>
          <w:sz w:val="32"/>
          <w:szCs w:val="32"/>
        </w:rPr>
        <w:fldChar w:fldCharType="begin"/>
      </w:r>
      <w:r>
        <w:rPr>
          <w:b/>
          <w:bCs/>
          <w:sz w:val="32"/>
          <w:szCs w:val="32"/>
        </w:rPr>
        <w:instrText xml:space="preserve"> TOC \h \z \t "Heading 1,2,Heading 2,3,Title,1" </w:instrText>
      </w:r>
      <w:r>
        <w:rPr>
          <w:b/>
          <w:bCs/>
          <w:sz w:val="32"/>
          <w:szCs w:val="32"/>
        </w:rPr>
        <w:fldChar w:fldCharType="separate"/>
      </w:r>
      <w:hyperlink w:anchor="_Toc220991297" w:history="1">
        <w:r w:rsidRPr="003F5DF2">
          <w:rPr>
            <w:rStyle w:val="Hyperlink"/>
            <w:noProof/>
          </w:rPr>
          <w:t>Acknowledgements</w:t>
        </w:r>
        <w:r>
          <w:rPr>
            <w:noProof/>
            <w:webHidden/>
          </w:rPr>
          <w:tab/>
        </w:r>
        <w:r>
          <w:rPr>
            <w:noProof/>
            <w:webHidden/>
          </w:rPr>
          <w:fldChar w:fldCharType="begin"/>
        </w:r>
        <w:r>
          <w:rPr>
            <w:noProof/>
            <w:webHidden/>
          </w:rPr>
          <w:instrText xml:space="preserve"> PAGEREF _Toc220991297 \h </w:instrText>
        </w:r>
        <w:r>
          <w:rPr>
            <w:noProof/>
            <w:webHidden/>
          </w:rPr>
        </w:r>
        <w:r>
          <w:rPr>
            <w:noProof/>
            <w:webHidden/>
          </w:rPr>
          <w:fldChar w:fldCharType="separate"/>
        </w:r>
        <w:r w:rsidR="00974704">
          <w:rPr>
            <w:noProof/>
            <w:webHidden/>
          </w:rPr>
          <w:t>3</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298" w:history="1">
        <w:r w:rsidRPr="003F5DF2">
          <w:rPr>
            <w:rStyle w:val="Hyperlink"/>
            <w:noProof/>
            <w:lang w:val="en-IN"/>
          </w:rPr>
          <w:t>Abstract</w:t>
        </w:r>
        <w:r>
          <w:rPr>
            <w:noProof/>
            <w:webHidden/>
          </w:rPr>
          <w:tab/>
        </w:r>
        <w:r>
          <w:rPr>
            <w:noProof/>
            <w:webHidden/>
          </w:rPr>
          <w:fldChar w:fldCharType="begin"/>
        </w:r>
        <w:r>
          <w:rPr>
            <w:noProof/>
            <w:webHidden/>
          </w:rPr>
          <w:instrText xml:space="preserve"> PAGEREF _Toc220991298 \h </w:instrText>
        </w:r>
        <w:r>
          <w:rPr>
            <w:noProof/>
            <w:webHidden/>
          </w:rPr>
        </w:r>
        <w:r>
          <w:rPr>
            <w:noProof/>
            <w:webHidden/>
          </w:rPr>
          <w:fldChar w:fldCharType="separate"/>
        </w:r>
        <w:r w:rsidR="00974704">
          <w:rPr>
            <w:noProof/>
            <w:webHidden/>
          </w:rPr>
          <w:t>4</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299" w:history="1">
        <w:r w:rsidRPr="003F5DF2">
          <w:rPr>
            <w:rStyle w:val="Hyperlink"/>
            <w:noProof/>
          </w:rPr>
          <w:t>Chapter 1: Executive Summary</w:t>
        </w:r>
        <w:r>
          <w:rPr>
            <w:noProof/>
            <w:webHidden/>
          </w:rPr>
          <w:tab/>
        </w:r>
        <w:r>
          <w:rPr>
            <w:noProof/>
            <w:webHidden/>
          </w:rPr>
          <w:fldChar w:fldCharType="begin"/>
        </w:r>
        <w:r>
          <w:rPr>
            <w:noProof/>
            <w:webHidden/>
          </w:rPr>
          <w:instrText xml:space="preserve"> PAGEREF _Toc220991299 \h </w:instrText>
        </w:r>
        <w:r>
          <w:rPr>
            <w:noProof/>
            <w:webHidden/>
          </w:rPr>
        </w:r>
        <w:r>
          <w:rPr>
            <w:noProof/>
            <w:webHidden/>
          </w:rPr>
          <w:fldChar w:fldCharType="separate"/>
        </w:r>
        <w:r w:rsidR="00974704">
          <w:rPr>
            <w:noProof/>
            <w:webHidden/>
          </w:rPr>
          <w:t>9</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00" w:history="1">
        <w:r w:rsidRPr="003F5DF2">
          <w:rPr>
            <w:rStyle w:val="Hyperlink"/>
            <w:noProof/>
          </w:rPr>
          <w:t>Chapter 2: Company Description</w:t>
        </w:r>
        <w:r>
          <w:rPr>
            <w:noProof/>
            <w:webHidden/>
          </w:rPr>
          <w:tab/>
        </w:r>
        <w:r>
          <w:rPr>
            <w:noProof/>
            <w:webHidden/>
          </w:rPr>
          <w:fldChar w:fldCharType="begin"/>
        </w:r>
        <w:r>
          <w:rPr>
            <w:noProof/>
            <w:webHidden/>
          </w:rPr>
          <w:instrText xml:space="preserve"> PAGEREF _Toc220991300 \h </w:instrText>
        </w:r>
        <w:r>
          <w:rPr>
            <w:noProof/>
            <w:webHidden/>
          </w:rPr>
        </w:r>
        <w:r>
          <w:rPr>
            <w:noProof/>
            <w:webHidden/>
          </w:rPr>
          <w:fldChar w:fldCharType="separate"/>
        </w:r>
        <w:r w:rsidR="00974704">
          <w:rPr>
            <w:noProof/>
            <w:webHidden/>
          </w:rPr>
          <w:t>11</w:t>
        </w:r>
        <w:r>
          <w:rPr>
            <w:noProof/>
            <w:webHidden/>
          </w:rPr>
          <w:fldChar w:fldCharType="end"/>
        </w:r>
      </w:hyperlink>
    </w:p>
    <w:p w:rsidR="00B62AFC" w:rsidRDefault="00B62AFC">
      <w:pPr>
        <w:pStyle w:val="TOC2"/>
        <w:tabs>
          <w:tab w:val="right" w:leader="dot" w:pos="9016"/>
        </w:tabs>
        <w:rPr>
          <w:noProof/>
        </w:rPr>
      </w:pPr>
      <w:hyperlink w:anchor="_Toc220991301" w:history="1">
        <w:r w:rsidRPr="003F5DF2">
          <w:rPr>
            <w:rStyle w:val="Hyperlink"/>
            <w:noProof/>
          </w:rPr>
          <w:t>2.1 Business Identity and Legal Structure</w:t>
        </w:r>
        <w:r>
          <w:rPr>
            <w:noProof/>
            <w:webHidden/>
          </w:rPr>
          <w:tab/>
        </w:r>
        <w:r>
          <w:rPr>
            <w:noProof/>
            <w:webHidden/>
          </w:rPr>
          <w:fldChar w:fldCharType="begin"/>
        </w:r>
        <w:r>
          <w:rPr>
            <w:noProof/>
            <w:webHidden/>
          </w:rPr>
          <w:instrText xml:space="preserve"> PAGEREF _Toc220991301 \h </w:instrText>
        </w:r>
        <w:r>
          <w:rPr>
            <w:noProof/>
            <w:webHidden/>
          </w:rPr>
        </w:r>
        <w:r>
          <w:rPr>
            <w:noProof/>
            <w:webHidden/>
          </w:rPr>
          <w:fldChar w:fldCharType="separate"/>
        </w:r>
        <w:r w:rsidR="00974704">
          <w:rPr>
            <w:noProof/>
            <w:webHidden/>
          </w:rPr>
          <w:t>11</w:t>
        </w:r>
        <w:r>
          <w:rPr>
            <w:noProof/>
            <w:webHidden/>
          </w:rPr>
          <w:fldChar w:fldCharType="end"/>
        </w:r>
      </w:hyperlink>
    </w:p>
    <w:p w:rsidR="00B62AFC" w:rsidRDefault="00B62AFC">
      <w:pPr>
        <w:pStyle w:val="TOC2"/>
        <w:tabs>
          <w:tab w:val="right" w:leader="dot" w:pos="9016"/>
        </w:tabs>
        <w:rPr>
          <w:noProof/>
        </w:rPr>
      </w:pPr>
      <w:hyperlink w:anchor="_Toc220991302" w:history="1">
        <w:r w:rsidRPr="003F5DF2">
          <w:rPr>
            <w:rStyle w:val="Hyperlink"/>
            <w:noProof/>
          </w:rPr>
          <w:t>2.2 Mission, Vision and Core Values</w:t>
        </w:r>
        <w:r>
          <w:rPr>
            <w:noProof/>
            <w:webHidden/>
          </w:rPr>
          <w:tab/>
        </w:r>
        <w:r>
          <w:rPr>
            <w:noProof/>
            <w:webHidden/>
          </w:rPr>
          <w:fldChar w:fldCharType="begin"/>
        </w:r>
        <w:r>
          <w:rPr>
            <w:noProof/>
            <w:webHidden/>
          </w:rPr>
          <w:instrText xml:space="preserve"> PAGEREF _Toc220991302 \h </w:instrText>
        </w:r>
        <w:r>
          <w:rPr>
            <w:noProof/>
            <w:webHidden/>
          </w:rPr>
        </w:r>
        <w:r>
          <w:rPr>
            <w:noProof/>
            <w:webHidden/>
          </w:rPr>
          <w:fldChar w:fldCharType="separate"/>
        </w:r>
        <w:r w:rsidR="00974704">
          <w:rPr>
            <w:noProof/>
            <w:webHidden/>
          </w:rPr>
          <w:t>12</w:t>
        </w:r>
        <w:r>
          <w:rPr>
            <w:noProof/>
            <w:webHidden/>
          </w:rPr>
          <w:fldChar w:fldCharType="end"/>
        </w:r>
      </w:hyperlink>
    </w:p>
    <w:p w:rsidR="00B62AFC" w:rsidRDefault="00B62AFC">
      <w:pPr>
        <w:pStyle w:val="TOC2"/>
        <w:tabs>
          <w:tab w:val="right" w:leader="dot" w:pos="9016"/>
        </w:tabs>
        <w:rPr>
          <w:noProof/>
        </w:rPr>
      </w:pPr>
      <w:hyperlink w:anchor="_Toc220991303" w:history="1">
        <w:r w:rsidRPr="003F5DF2">
          <w:rPr>
            <w:rStyle w:val="Hyperlink"/>
            <w:noProof/>
          </w:rPr>
          <w:t>2.3 Founding Background and Business Inspiration</w:t>
        </w:r>
        <w:r>
          <w:rPr>
            <w:noProof/>
            <w:webHidden/>
          </w:rPr>
          <w:tab/>
        </w:r>
        <w:r>
          <w:rPr>
            <w:noProof/>
            <w:webHidden/>
          </w:rPr>
          <w:fldChar w:fldCharType="begin"/>
        </w:r>
        <w:r>
          <w:rPr>
            <w:noProof/>
            <w:webHidden/>
          </w:rPr>
          <w:instrText xml:space="preserve"> PAGEREF _Toc220991303 \h </w:instrText>
        </w:r>
        <w:r>
          <w:rPr>
            <w:noProof/>
            <w:webHidden/>
          </w:rPr>
        </w:r>
        <w:r>
          <w:rPr>
            <w:noProof/>
            <w:webHidden/>
          </w:rPr>
          <w:fldChar w:fldCharType="separate"/>
        </w:r>
        <w:r w:rsidR="00974704">
          <w:rPr>
            <w:noProof/>
            <w:webHidden/>
          </w:rPr>
          <w:t>12</w:t>
        </w:r>
        <w:r>
          <w:rPr>
            <w:noProof/>
            <w:webHidden/>
          </w:rPr>
          <w:fldChar w:fldCharType="end"/>
        </w:r>
      </w:hyperlink>
    </w:p>
    <w:p w:rsidR="00B62AFC" w:rsidRDefault="00B62AFC">
      <w:pPr>
        <w:pStyle w:val="TOC2"/>
        <w:tabs>
          <w:tab w:val="right" w:leader="dot" w:pos="9016"/>
        </w:tabs>
        <w:rPr>
          <w:noProof/>
        </w:rPr>
      </w:pPr>
      <w:hyperlink w:anchor="_Toc220991304" w:history="1">
        <w:r w:rsidRPr="003F5DF2">
          <w:rPr>
            <w:rStyle w:val="Hyperlink"/>
            <w:noProof/>
          </w:rPr>
          <w:t>2.4 Service Overview and Problem Solved</w:t>
        </w:r>
        <w:r>
          <w:rPr>
            <w:noProof/>
            <w:webHidden/>
          </w:rPr>
          <w:tab/>
        </w:r>
        <w:r>
          <w:rPr>
            <w:noProof/>
            <w:webHidden/>
          </w:rPr>
          <w:fldChar w:fldCharType="begin"/>
        </w:r>
        <w:r>
          <w:rPr>
            <w:noProof/>
            <w:webHidden/>
          </w:rPr>
          <w:instrText xml:space="preserve"> PAGEREF _Toc220991304 \h </w:instrText>
        </w:r>
        <w:r>
          <w:rPr>
            <w:noProof/>
            <w:webHidden/>
          </w:rPr>
        </w:r>
        <w:r>
          <w:rPr>
            <w:noProof/>
            <w:webHidden/>
          </w:rPr>
          <w:fldChar w:fldCharType="separate"/>
        </w:r>
        <w:r w:rsidR="00974704">
          <w:rPr>
            <w:noProof/>
            <w:webHidden/>
          </w:rPr>
          <w:t>13</w:t>
        </w:r>
        <w:r>
          <w:rPr>
            <w:noProof/>
            <w:webHidden/>
          </w:rPr>
          <w:fldChar w:fldCharType="end"/>
        </w:r>
      </w:hyperlink>
    </w:p>
    <w:p w:rsidR="00B62AFC" w:rsidRDefault="00B62AFC">
      <w:pPr>
        <w:pStyle w:val="TOC2"/>
        <w:tabs>
          <w:tab w:val="right" w:leader="dot" w:pos="9016"/>
        </w:tabs>
        <w:rPr>
          <w:noProof/>
        </w:rPr>
      </w:pPr>
      <w:hyperlink w:anchor="_Toc220991305" w:history="1">
        <w:r w:rsidRPr="003F5DF2">
          <w:rPr>
            <w:rStyle w:val="Hyperlink"/>
            <w:noProof/>
          </w:rPr>
          <w:t>2.5 Unique Value Proposition and Strategic Advantage</w:t>
        </w:r>
        <w:r>
          <w:rPr>
            <w:noProof/>
            <w:webHidden/>
          </w:rPr>
          <w:tab/>
        </w:r>
        <w:r>
          <w:rPr>
            <w:noProof/>
            <w:webHidden/>
          </w:rPr>
          <w:fldChar w:fldCharType="begin"/>
        </w:r>
        <w:r>
          <w:rPr>
            <w:noProof/>
            <w:webHidden/>
          </w:rPr>
          <w:instrText xml:space="preserve"> PAGEREF _Toc220991305 \h </w:instrText>
        </w:r>
        <w:r>
          <w:rPr>
            <w:noProof/>
            <w:webHidden/>
          </w:rPr>
        </w:r>
        <w:r>
          <w:rPr>
            <w:noProof/>
            <w:webHidden/>
          </w:rPr>
          <w:fldChar w:fldCharType="separate"/>
        </w:r>
        <w:r w:rsidR="00974704">
          <w:rPr>
            <w:noProof/>
            <w:webHidden/>
          </w:rPr>
          <w:t>15</w:t>
        </w:r>
        <w:r>
          <w:rPr>
            <w:noProof/>
            <w:webHidden/>
          </w:rPr>
          <w:fldChar w:fldCharType="end"/>
        </w:r>
      </w:hyperlink>
    </w:p>
    <w:p w:rsidR="00B62AFC" w:rsidRDefault="00B62AFC">
      <w:pPr>
        <w:pStyle w:val="TOC2"/>
        <w:tabs>
          <w:tab w:val="right" w:leader="dot" w:pos="9016"/>
        </w:tabs>
        <w:rPr>
          <w:noProof/>
        </w:rPr>
      </w:pPr>
      <w:hyperlink w:anchor="_Toc220991306" w:history="1">
        <w:r w:rsidRPr="003F5DF2">
          <w:rPr>
            <w:rStyle w:val="Hyperlink"/>
            <w:noProof/>
          </w:rPr>
          <w:t>2.6 Alignment with Trends and UK Policies</w:t>
        </w:r>
        <w:r>
          <w:rPr>
            <w:noProof/>
            <w:webHidden/>
          </w:rPr>
          <w:tab/>
        </w:r>
        <w:r>
          <w:rPr>
            <w:noProof/>
            <w:webHidden/>
          </w:rPr>
          <w:fldChar w:fldCharType="begin"/>
        </w:r>
        <w:r>
          <w:rPr>
            <w:noProof/>
            <w:webHidden/>
          </w:rPr>
          <w:instrText xml:space="preserve"> PAGEREF _Toc220991306 \h </w:instrText>
        </w:r>
        <w:r>
          <w:rPr>
            <w:noProof/>
            <w:webHidden/>
          </w:rPr>
        </w:r>
        <w:r>
          <w:rPr>
            <w:noProof/>
            <w:webHidden/>
          </w:rPr>
          <w:fldChar w:fldCharType="separate"/>
        </w:r>
        <w:r w:rsidR="00974704">
          <w:rPr>
            <w:noProof/>
            <w:webHidden/>
          </w:rPr>
          <w:t>16</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07" w:history="1">
        <w:r w:rsidRPr="003F5DF2">
          <w:rPr>
            <w:rStyle w:val="Hyperlink"/>
            <w:noProof/>
            <w:lang w:val="en-IN"/>
          </w:rPr>
          <w:t>Chapter 3: Market Research and Validation</w:t>
        </w:r>
        <w:r>
          <w:rPr>
            <w:noProof/>
            <w:webHidden/>
          </w:rPr>
          <w:tab/>
        </w:r>
        <w:r>
          <w:rPr>
            <w:noProof/>
            <w:webHidden/>
          </w:rPr>
          <w:fldChar w:fldCharType="begin"/>
        </w:r>
        <w:r>
          <w:rPr>
            <w:noProof/>
            <w:webHidden/>
          </w:rPr>
          <w:instrText xml:space="preserve"> PAGEREF _Toc220991307 \h </w:instrText>
        </w:r>
        <w:r>
          <w:rPr>
            <w:noProof/>
            <w:webHidden/>
          </w:rPr>
        </w:r>
        <w:r>
          <w:rPr>
            <w:noProof/>
            <w:webHidden/>
          </w:rPr>
          <w:fldChar w:fldCharType="separate"/>
        </w:r>
        <w:r w:rsidR="00974704">
          <w:rPr>
            <w:noProof/>
            <w:webHidden/>
          </w:rPr>
          <w:t>16</w:t>
        </w:r>
        <w:r>
          <w:rPr>
            <w:noProof/>
            <w:webHidden/>
          </w:rPr>
          <w:fldChar w:fldCharType="end"/>
        </w:r>
      </w:hyperlink>
    </w:p>
    <w:p w:rsidR="00B62AFC" w:rsidRDefault="00B62AFC">
      <w:pPr>
        <w:pStyle w:val="TOC2"/>
        <w:tabs>
          <w:tab w:val="right" w:leader="dot" w:pos="9016"/>
        </w:tabs>
        <w:rPr>
          <w:noProof/>
        </w:rPr>
      </w:pPr>
      <w:hyperlink w:anchor="_Toc220991308" w:history="1">
        <w:r w:rsidRPr="003F5DF2">
          <w:rPr>
            <w:rStyle w:val="Hyperlink"/>
            <w:noProof/>
            <w:lang w:val="en-IN"/>
          </w:rPr>
          <w:t>3.1 Industry Overview</w:t>
        </w:r>
        <w:r>
          <w:rPr>
            <w:noProof/>
            <w:webHidden/>
          </w:rPr>
          <w:tab/>
        </w:r>
        <w:r>
          <w:rPr>
            <w:noProof/>
            <w:webHidden/>
          </w:rPr>
          <w:fldChar w:fldCharType="begin"/>
        </w:r>
        <w:r>
          <w:rPr>
            <w:noProof/>
            <w:webHidden/>
          </w:rPr>
          <w:instrText xml:space="preserve"> PAGEREF _Toc220991308 \h </w:instrText>
        </w:r>
        <w:r>
          <w:rPr>
            <w:noProof/>
            <w:webHidden/>
          </w:rPr>
        </w:r>
        <w:r>
          <w:rPr>
            <w:noProof/>
            <w:webHidden/>
          </w:rPr>
          <w:fldChar w:fldCharType="separate"/>
        </w:r>
        <w:r w:rsidR="00974704">
          <w:rPr>
            <w:noProof/>
            <w:webHidden/>
          </w:rPr>
          <w:t>16</w:t>
        </w:r>
        <w:r>
          <w:rPr>
            <w:noProof/>
            <w:webHidden/>
          </w:rPr>
          <w:fldChar w:fldCharType="end"/>
        </w:r>
      </w:hyperlink>
    </w:p>
    <w:p w:rsidR="00B62AFC" w:rsidRDefault="00B62AFC">
      <w:pPr>
        <w:pStyle w:val="TOC2"/>
        <w:tabs>
          <w:tab w:val="right" w:leader="dot" w:pos="9016"/>
        </w:tabs>
        <w:rPr>
          <w:noProof/>
        </w:rPr>
      </w:pPr>
      <w:hyperlink w:anchor="_Toc220991309" w:history="1">
        <w:r w:rsidRPr="003F5DF2">
          <w:rPr>
            <w:rStyle w:val="Hyperlink"/>
            <w:noProof/>
            <w:lang w:val="en-IN"/>
          </w:rPr>
          <w:t>3.2 Target Market Segmentation and Customer Profile (STP Framework)</w:t>
        </w:r>
        <w:r>
          <w:rPr>
            <w:noProof/>
            <w:webHidden/>
          </w:rPr>
          <w:tab/>
        </w:r>
        <w:r>
          <w:rPr>
            <w:noProof/>
            <w:webHidden/>
          </w:rPr>
          <w:fldChar w:fldCharType="begin"/>
        </w:r>
        <w:r>
          <w:rPr>
            <w:noProof/>
            <w:webHidden/>
          </w:rPr>
          <w:instrText xml:space="preserve"> PAGEREF _Toc220991309 \h </w:instrText>
        </w:r>
        <w:r>
          <w:rPr>
            <w:noProof/>
            <w:webHidden/>
          </w:rPr>
        </w:r>
        <w:r>
          <w:rPr>
            <w:noProof/>
            <w:webHidden/>
          </w:rPr>
          <w:fldChar w:fldCharType="separate"/>
        </w:r>
        <w:r w:rsidR="00974704">
          <w:rPr>
            <w:noProof/>
            <w:webHidden/>
          </w:rPr>
          <w:t>17</w:t>
        </w:r>
        <w:r>
          <w:rPr>
            <w:noProof/>
            <w:webHidden/>
          </w:rPr>
          <w:fldChar w:fldCharType="end"/>
        </w:r>
      </w:hyperlink>
    </w:p>
    <w:p w:rsidR="00B62AFC" w:rsidRDefault="00B62AFC">
      <w:pPr>
        <w:pStyle w:val="TOC2"/>
        <w:tabs>
          <w:tab w:val="right" w:leader="dot" w:pos="9016"/>
        </w:tabs>
        <w:rPr>
          <w:noProof/>
        </w:rPr>
      </w:pPr>
      <w:hyperlink w:anchor="_Toc220991310" w:history="1">
        <w:r w:rsidRPr="003F5DF2">
          <w:rPr>
            <w:rStyle w:val="Hyperlink"/>
            <w:noProof/>
            <w:lang w:val="en-IN"/>
          </w:rPr>
          <w:t>3.3 Customer Need and Demand</w:t>
        </w:r>
        <w:r>
          <w:rPr>
            <w:noProof/>
            <w:webHidden/>
          </w:rPr>
          <w:tab/>
        </w:r>
        <w:r>
          <w:rPr>
            <w:noProof/>
            <w:webHidden/>
          </w:rPr>
          <w:fldChar w:fldCharType="begin"/>
        </w:r>
        <w:r>
          <w:rPr>
            <w:noProof/>
            <w:webHidden/>
          </w:rPr>
          <w:instrText xml:space="preserve"> PAGEREF _Toc220991310 \h </w:instrText>
        </w:r>
        <w:r>
          <w:rPr>
            <w:noProof/>
            <w:webHidden/>
          </w:rPr>
        </w:r>
        <w:r>
          <w:rPr>
            <w:noProof/>
            <w:webHidden/>
          </w:rPr>
          <w:fldChar w:fldCharType="separate"/>
        </w:r>
        <w:r w:rsidR="00974704">
          <w:rPr>
            <w:noProof/>
            <w:webHidden/>
          </w:rPr>
          <w:t>18</w:t>
        </w:r>
        <w:r>
          <w:rPr>
            <w:noProof/>
            <w:webHidden/>
          </w:rPr>
          <w:fldChar w:fldCharType="end"/>
        </w:r>
      </w:hyperlink>
    </w:p>
    <w:p w:rsidR="00B62AFC" w:rsidRDefault="00B62AFC">
      <w:pPr>
        <w:pStyle w:val="TOC2"/>
        <w:tabs>
          <w:tab w:val="right" w:leader="dot" w:pos="9016"/>
        </w:tabs>
        <w:rPr>
          <w:noProof/>
        </w:rPr>
      </w:pPr>
      <w:hyperlink w:anchor="_Toc220991311" w:history="1">
        <w:r w:rsidRPr="003F5DF2">
          <w:rPr>
            <w:rStyle w:val="Hyperlink"/>
            <w:noProof/>
            <w:lang w:val="en-IN"/>
          </w:rPr>
          <w:t>3.4 Competitive Analysis</w:t>
        </w:r>
        <w:r>
          <w:rPr>
            <w:noProof/>
            <w:webHidden/>
          </w:rPr>
          <w:tab/>
        </w:r>
        <w:r>
          <w:rPr>
            <w:noProof/>
            <w:webHidden/>
          </w:rPr>
          <w:fldChar w:fldCharType="begin"/>
        </w:r>
        <w:r>
          <w:rPr>
            <w:noProof/>
            <w:webHidden/>
          </w:rPr>
          <w:instrText xml:space="preserve"> PAGEREF _Toc220991311 \h </w:instrText>
        </w:r>
        <w:r>
          <w:rPr>
            <w:noProof/>
            <w:webHidden/>
          </w:rPr>
        </w:r>
        <w:r>
          <w:rPr>
            <w:noProof/>
            <w:webHidden/>
          </w:rPr>
          <w:fldChar w:fldCharType="separate"/>
        </w:r>
        <w:r w:rsidR="00974704">
          <w:rPr>
            <w:noProof/>
            <w:webHidden/>
          </w:rPr>
          <w:t>19</w:t>
        </w:r>
        <w:r>
          <w:rPr>
            <w:noProof/>
            <w:webHidden/>
          </w:rPr>
          <w:fldChar w:fldCharType="end"/>
        </w:r>
      </w:hyperlink>
    </w:p>
    <w:p w:rsidR="00B62AFC" w:rsidRDefault="00B62AFC">
      <w:pPr>
        <w:pStyle w:val="TOC2"/>
        <w:tabs>
          <w:tab w:val="right" w:leader="dot" w:pos="9016"/>
        </w:tabs>
        <w:rPr>
          <w:noProof/>
        </w:rPr>
      </w:pPr>
      <w:hyperlink w:anchor="_Toc220991312" w:history="1">
        <w:r w:rsidRPr="003F5DF2">
          <w:rPr>
            <w:rStyle w:val="Hyperlink"/>
            <w:noProof/>
            <w:lang w:val="en-IN"/>
          </w:rPr>
          <w:t>3.5 Validation Techniques</w:t>
        </w:r>
        <w:r>
          <w:rPr>
            <w:noProof/>
            <w:webHidden/>
          </w:rPr>
          <w:tab/>
        </w:r>
        <w:r>
          <w:rPr>
            <w:noProof/>
            <w:webHidden/>
          </w:rPr>
          <w:fldChar w:fldCharType="begin"/>
        </w:r>
        <w:r>
          <w:rPr>
            <w:noProof/>
            <w:webHidden/>
          </w:rPr>
          <w:instrText xml:space="preserve"> PAGEREF _Toc220991312 \h </w:instrText>
        </w:r>
        <w:r>
          <w:rPr>
            <w:noProof/>
            <w:webHidden/>
          </w:rPr>
        </w:r>
        <w:r>
          <w:rPr>
            <w:noProof/>
            <w:webHidden/>
          </w:rPr>
          <w:fldChar w:fldCharType="separate"/>
        </w:r>
        <w:r w:rsidR="00974704">
          <w:rPr>
            <w:noProof/>
            <w:webHidden/>
          </w:rPr>
          <w:t>20</w:t>
        </w:r>
        <w:r>
          <w:rPr>
            <w:noProof/>
            <w:webHidden/>
          </w:rPr>
          <w:fldChar w:fldCharType="end"/>
        </w:r>
      </w:hyperlink>
    </w:p>
    <w:p w:rsidR="00B62AFC" w:rsidRDefault="00B62AFC">
      <w:pPr>
        <w:pStyle w:val="TOC2"/>
        <w:tabs>
          <w:tab w:val="right" w:leader="dot" w:pos="9016"/>
        </w:tabs>
        <w:rPr>
          <w:noProof/>
        </w:rPr>
      </w:pPr>
      <w:hyperlink w:anchor="_Toc220991313" w:history="1">
        <w:r w:rsidRPr="003F5DF2">
          <w:rPr>
            <w:rStyle w:val="Hyperlink"/>
            <w:noProof/>
            <w:lang w:val="en-IN"/>
          </w:rPr>
          <w:t>3.6 Labour and Government Support in the UK</w:t>
        </w:r>
        <w:r>
          <w:rPr>
            <w:noProof/>
            <w:webHidden/>
          </w:rPr>
          <w:tab/>
        </w:r>
        <w:r>
          <w:rPr>
            <w:noProof/>
            <w:webHidden/>
          </w:rPr>
          <w:fldChar w:fldCharType="begin"/>
        </w:r>
        <w:r>
          <w:rPr>
            <w:noProof/>
            <w:webHidden/>
          </w:rPr>
          <w:instrText xml:space="preserve"> PAGEREF _Toc220991313 \h </w:instrText>
        </w:r>
        <w:r>
          <w:rPr>
            <w:noProof/>
            <w:webHidden/>
          </w:rPr>
        </w:r>
        <w:r>
          <w:rPr>
            <w:noProof/>
            <w:webHidden/>
          </w:rPr>
          <w:fldChar w:fldCharType="separate"/>
        </w:r>
        <w:r w:rsidR="00974704">
          <w:rPr>
            <w:noProof/>
            <w:webHidden/>
          </w:rPr>
          <w:t>20</w:t>
        </w:r>
        <w:r>
          <w:rPr>
            <w:noProof/>
            <w:webHidden/>
          </w:rPr>
          <w:fldChar w:fldCharType="end"/>
        </w:r>
      </w:hyperlink>
    </w:p>
    <w:p w:rsidR="00B62AFC" w:rsidRDefault="00B62AFC">
      <w:pPr>
        <w:pStyle w:val="TOC2"/>
        <w:tabs>
          <w:tab w:val="right" w:leader="dot" w:pos="9016"/>
        </w:tabs>
        <w:rPr>
          <w:noProof/>
        </w:rPr>
      </w:pPr>
      <w:hyperlink w:anchor="_Toc220991314" w:history="1">
        <w:r w:rsidRPr="003F5DF2">
          <w:rPr>
            <w:rStyle w:val="Hyperlink"/>
            <w:noProof/>
            <w:lang w:val="en-IN"/>
          </w:rPr>
          <w:t>3.7 Summary</w:t>
        </w:r>
        <w:r>
          <w:rPr>
            <w:noProof/>
            <w:webHidden/>
          </w:rPr>
          <w:tab/>
        </w:r>
        <w:r>
          <w:rPr>
            <w:noProof/>
            <w:webHidden/>
          </w:rPr>
          <w:fldChar w:fldCharType="begin"/>
        </w:r>
        <w:r>
          <w:rPr>
            <w:noProof/>
            <w:webHidden/>
          </w:rPr>
          <w:instrText xml:space="preserve"> PAGEREF _Toc220991314 \h </w:instrText>
        </w:r>
        <w:r>
          <w:rPr>
            <w:noProof/>
            <w:webHidden/>
          </w:rPr>
        </w:r>
        <w:r>
          <w:rPr>
            <w:noProof/>
            <w:webHidden/>
          </w:rPr>
          <w:fldChar w:fldCharType="separate"/>
        </w:r>
        <w:r w:rsidR="00974704">
          <w:rPr>
            <w:noProof/>
            <w:webHidden/>
          </w:rPr>
          <w:t>20</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15" w:history="1">
        <w:r w:rsidRPr="003F5DF2">
          <w:rPr>
            <w:rStyle w:val="Hyperlink"/>
            <w:noProof/>
          </w:rPr>
          <w:t>Chapter 4: Marketing and Sales Strategy</w:t>
        </w:r>
        <w:r>
          <w:rPr>
            <w:noProof/>
            <w:webHidden/>
          </w:rPr>
          <w:tab/>
        </w:r>
        <w:r>
          <w:rPr>
            <w:noProof/>
            <w:webHidden/>
          </w:rPr>
          <w:fldChar w:fldCharType="begin"/>
        </w:r>
        <w:r>
          <w:rPr>
            <w:noProof/>
            <w:webHidden/>
          </w:rPr>
          <w:instrText xml:space="preserve"> PAGEREF _Toc220991315 \h </w:instrText>
        </w:r>
        <w:r>
          <w:rPr>
            <w:noProof/>
            <w:webHidden/>
          </w:rPr>
        </w:r>
        <w:r>
          <w:rPr>
            <w:noProof/>
            <w:webHidden/>
          </w:rPr>
          <w:fldChar w:fldCharType="separate"/>
        </w:r>
        <w:r w:rsidR="00974704">
          <w:rPr>
            <w:noProof/>
            <w:webHidden/>
          </w:rPr>
          <w:t>21</w:t>
        </w:r>
        <w:r>
          <w:rPr>
            <w:noProof/>
            <w:webHidden/>
          </w:rPr>
          <w:fldChar w:fldCharType="end"/>
        </w:r>
      </w:hyperlink>
    </w:p>
    <w:p w:rsidR="00B62AFC" w:rsidRDefault="00B62AFC">
      <w:pPr>
        <w:pStyle w:val="TOC2"/>
        <w:tabs>
          <w:tab w:val="right" w:leader="dot" w:pos="9016"/>
        </w:tabs>
        <w:rPr>
          <w:noProof/>
        </w:rPr>
      </w:pPr>
      <w:hyperlink w:anchor="_Toc220991316" w:history="1">
        <w:r w:rsidRPr="003F5DF2">
          <w:rPr>
            <w:rStyle w:val="Hyperlink"/>
            <w:noProof/>
          </w:rPr>
          <w:t>4.1 Unique Selling Proposition (USP)</w:t>
        </w:r>
        <w:r>
          <w:rPr>
            <w:noProof/>
            <w:webHidden/>
          </w:rPr>
          <w:tab/>
        </w:r>
        <w:r>
          <w:rPr>
            <w:noProof/>
            <w:webHidden/>
          </w:rPr>
          <w:fldChar w:fldCharType="begin"/>
        </w:r>
        <w:r>
          <w:rPr>
            <w:noProof/>
            <w:webHidden/>
          </w:rPr>
          <w:instrText xml:space="preserve"> PAGEREF _Toc220991316 \h </w:instrText>
        </w:r>
        <w:r>
          <w:rPr>
            <w:noProof/>
            <w:webHidden/>
          </w:rPr>
        </w:r>
        <w:r>
          <w:rPr>
            <w:noProof/>
            <w:webHidden/>
          </w:rPr>
          <w:fldChar w:fldCharType="separate"/>
        </w:r>
        <w:r w:rsidR="00974704">
          <w:rPr>
            <w:noProof/>
            <w:webHidden/>
          </w:rPr>
          <w:t>21</w:t>
        </w:r>
        <w:r>
          <w:rPr>
            <w:noProof/>
            <w:webHidden/>
          </w:rPr>
          <w:fldChar w:fldCharType="end"/>
        </w:r>
      </w:hyperlink>
    </w:p>
    <w:p w:rsidR="00B62AFC" w:rsidRDefault="00B62AFC">
      <w:pPr>
        <w:pStyle w:val="TOC2"/>
        <w:tabs>
          <w:tab w:val="right" w:leader="dot" w:pos="9016"/>
        </w:tabs>
        <w:rPr>
          <w:noProof/>
        </w:rPr>
      </w:pPr>
      <w:hyperlink w:anchor="_Toc220991317" w:history="1">
        <w:r w:rsidRPr="003F5DF2">
          <w:rPr>
            <w:rStyle w:val="Hyperlink"/>
            <w:noProof/>
          </w:rPr>
          <w:t>4.2 Branding and Positioning</w:t>
        </w:r>
        <w:r>
          <w:rPr>
            <w:noProof/>
            <w:webHidden/>
          </w:rPr>
          <w:tab/>
        </w:r>
        <w:r>
          <w:rPr>
            <w:noProof/>
            <w:webHidden/>
          </w:rPr>
          <w:fldChar w:fldCharType="begin"/>
        </w:r>
        <w:r>
          <w:rPr>
            <w:noProof/>
            <w:webHidden/>
          </w:rPr>
          <w:instrText xml:space="preserve"> PAGEREF _Toc220991317 \h </w:instrText>
        </w:r>
        <w:r>
          <w:rPr>
            <w:noProof/>
            <w:webHidden/>
          </w:rPr>
        </w:r>
        <w:r>
          <w:rPr>
            <w:noProof/>
            <w:webHidden/>
          </w:rPr>
          <w:fldChar w:fldCharType="separate"/>
        </w:r>
        <w:r w:rsidR="00974704">
          <w:rPr>
            <w:noProof/>
            <w:webHidden/>
          </w:rPr>
          <w:t>21</w:t>
        </w:r>
        <w:r>
          <w:rPr>
            <w:noProof/>
            <w:webHidden/>
          </w:rPr>
          <w:fldChar w:fldCharType="end"/>
        </w:r>
      </w:hyperlink>
    </w:p>
    <w:p w:rsidR="00B62AFC" w:rsidRDefault="00B62AFC">
      <w:pPr>
        <w:pStyle w:val="TOC2"/>
        <w:tabs>
          <w:tab w:val="right" w:leader="dot" w:pos="9016"/>
        </w:tabs>
        <w:rPr>
          <w:noProof/>
        </w:rPr>
      </w:pPr>
      <w:hyperlink w:anchor="_Toc220991318" w:history="1">
        <w:r w:rsidRPr="003F5DF2">
          <w:rPr>
            <w:rStyle w:val="Hyperlink"/>
            <w:noProof/>
          </w:rPr>
          <w:t>4.3 Marketing Mix (7Ps)</w:t>
        </w:r>
        <w:r>
          <w:rPr>
            <w:noProof/>
            <w:webHidden/>
          </w:rPr>
          <w:tab/>
        </w:r>
        <w:r>
          <w:rPr>
            <w:noProof/>
            <w:webHidden/>
          </w:rPr>
          <w:fldChar w:fldCharType="begin"/>
        </w:r>
        <w:r>
          <w:rPr>
            <w:noProof/>
            <w:webHidden/>
          </w:rPr>
          <w:instrText xml:space="preserve"> PAGEREF _Toc220991318 \h </w:instrText>
        </w:r>
        <w:r>
          <w:rPr>
            <w:noProof/>
            <w:webHidden/>
          </w:rPr>
        </w:r>
        <w:r>
          <w:rPr>
            <w:noProof/>
            <w:webHidden/>
          </w:rPr>
          <w:fldChar w:fldCharType="separate"/>
        </w:r>
        <w:r w:rsidR="00974704">
          <w:rPr>
            <w:noProof/>
            <w:webHidden/>
          </w:rPr>
          <w:t>22</w:t>
        </w:r>
        <w:r>
          <w:rPr>
            <w:noProof/>
            <w:webHidden/>
          </w:rPr>
          <w:fldChar w:fldCharType="end"/>
        </w:r>
      </w:hyperlink>
    </w:p>
    <w:p w:rsidR="00B62AFC" w:rsidRDefault="00B62AFC">
      <w:pPr>
        <w:pStyle w:val="TOC2"/>
        <w:tabs>
          <w:tab w:val="right" w:leader="dot" w:pos="9016"/>
        </w:tabs>
        <w:rPr>
          <w:noProof/>
        </w:rPr>
      </w:pPr>
      <w:hyperlink w:anchor="_Toc220991319" w:history="1">
        <w:r w:rsidRPr="003F5DF2">
          <w:rPr>
            <w:rStyle w:val="Hyperlink"/>
            <w:noProof/>
          </w:rPr>
          <w:t>4.4 Sales Channels</w:t>
        </w:r>
        <w:r>
          <w:rPr>
            <w:noProof/>
            <w:webHidden/>
          </w:rPr>
          <w:tab/>
        </w:r>
        <w:r>
          <w:rPr>
            <w:noProof/>
            <w:webHidden/>
          </w:rPr>
          <w:fldChar w:fldCharType="begin"/>
        </w:r>
        <w:r>
          <w:rPr>
            <w:noProof/>
            <w:webHidden/>
          </w:rPr>
          <w:instrText xml:space="preserve"> PAGEREF _Toc220991319 \h </w:instrText>
        </w:r>
        <w:r>
          <w:rPr>
            <w:noProof/>
            <w:webHidden/>
          </w:rPr>
        </w:r>
        <w:r>
          <w:rPr>
            <w:noProof/>
            <w:webHidden/>
          </w:rPr>
          <w:fldChar w:fldCharType="separate"/>
        </w:r>
        <w:r w:rsidR="00974704">
          <w:rPr>
            <w:noProof/>
            <w:webHidden/>
          </w:rPr>
          <w:t>23</w:t>
        </w:r>
        <w:r>
          <w:rPr>
            <w:noProof/>
            <w:webHidden/>
          </w:rPr>
          <w:fldChar w:fldCharType="end"/>
        </w:r>
      </w:hyperlink>
    </w:p>
    <w:p w:rsidR="00B62AFC" w:rsidRDefault="00B62AFC">
      <w:pPr>
        <w:pStyle w:val="TOC2"/>
        <w:tabs>
          <w:tab w:val="right" w:leader="dot" w:pos="9016"/>
        </w:tabs>
        <w:rPr>
          <w:noProof/>
        </w:rPr>
      </w:pPr>
      <w:hyperlink w:anchor="_Toc220991320" w:history="1">
        <w:r w:rsidRPr="003F5DF2">
          <w:rPr>
            <w:rStyle w:val="Hyperlink"/>
            <w:noProof/>
          </w:rPr>
          <w:t>4.5 Customer Acquisition and Retention Strategies</w:t>
        </w:r>
        <w:r>
          <w:rPr>
            <w:noProof/>
            <w:webHidden/>
          </w:rPr>
          <w:tab/>
        </w:r>
        <w:r>
          <w:rPr>
            <w:noProof/>
            <w:webHidden/>
          </w:rPr>
          <w:fldChar w:fldCharType="begin"/>
        </w:r>
        <w:r>
          <w:rPr>
            <w:noProof/>
            <w:webHidden/>
          </w:rPr>
          <w:instrText xml:space="preserve"> PAGEREF _Toc220991320 \h </w:instrText>
        </w:r>
        <w:r>
          <w:rPr>
            <w:noProof/>
            <w:webHidden/>
          </w:rPr>
        </w:r>
        <w:r>
          <w:rPr>
            <w:noProof/>
            <w:webHidden/>
          </w:rPr>
          <w:fldChar w:fldCharType="separate"/>
        </w:r>
        <w:r w:rsidR="00974704">
          <w:rPr>
            <w:noProof/>
            <w:webHidden/>
          </w:rPr>
          <w:t>23</w:t>
        </w:r>
        <w:r>
          <w:rPr>
            <w:noProof/>
            <w:webHidden/>
          </w:rPr>
          <w:fldChar w:fldCharType="end"/>
        </w:r>
      </w:hyperlink>
    </w:p>
    <w:p w:rsidR="00B62AFC" w:rsidRDefault="00B62AFC">
      <w:pPr>
        <w:pStyle w:val="TOC2"/>
        <w:tabs>
          <w:tab w:val="right" w:leader="dot" w:pos="9016"/>
        </w:tabs>
        <w:rPr>
          <w:noProof/>
        </w:rPr>
      </w:pPr>
      <w:hyperlink w:anchor="_Toc220991321" w:history="1">
        <w:r w:rsidRPr="003F5DF2">
          <w:rPr>
            <w:rStyle w:val="Hyperlink"/>
            <w:noProof/>
          </w:rPr>
          <w:t>4.6 Digital Strategy</w:t>
        </w:r>
        <w:r>
          <w:rPr>
            <w:noProof/>
            <w:webHidden/>
          </w:rPr>
          <w:tab/>
        </w:r>
        <w:r>
          <w:rPr>
            <w:noProof/>
            <w:webHidden/>
          </w:rPr>
          <w:fldChar w:fldCharType="begin"/>
        </w:r>
        <w:r>
          <w:rPr>
            <w:noProof/>
            <w:webHidden/>
          </w:rPr>
          <w:instrText xml:space="preserve"> PAGEREF _Toc220991321 \h </w:instrText>
        </w:r>
        <w:r>
          <w:rPr>
            <w:noProof/>
            <w:webHidden/>
          </w:rPr>
        </w:r>
        <w:r>
          <w:rPr>
            <w:noProof/>
            <w:webHidden/>
          </w:rPr>
          <w:fldChar w:fldCharType="separate"/>
        </w:r>
        <w:r w:rsidR="00974704">
          <w:rPr>
            <w:noProof/>
            <w:webHidden/>
          </w:rPr>
          <w:t>24</w:t>
        </w:r>
        <w:r>
          <w:rPr>
            <w:noProof/>
            <w:webHidden/>
          </w:rPr>
          <w:fldChar w:fldCharType="end"/>
        </w:r>
      </w:hyperlink>
    </w:p>
    <w:p w:rsidR="00B62AFC" w:rsidRDefault="00B62AFC">
      <w:pPr>
        <w:pStyle w:val="TOC2"/>
        <w:tabs>
          <w:tab w:val="right" w:leader="dot" w:pos="9016"/>
        </w:tabs>
        <w:rPr>
          <w:noProof/>
        </w:rPr>
      </w:pPr>
      <w:hyperlink w:anchor="_Toc220991322" w:history="1">
        <w:r w:rsidRPr="003F5DF2">
          <w:rPr>
            <w:rStyle w:val="Hyperlink"/>
            <w:noProof/>
          </w:rPr>
          <w:t>4.7 Marketing Budget</w:t>
        </w:r>
        <w:r>
          <w:rPr>
            <w:noProof/>
            <w:webHidden/>
          </w:rPr>
          <w:tab/>
        </w:r>
        <w:r>
          <w:rPr>
            <w:noProof/>
            <w:webHidden/>
          </w:rPr>
          <w:fldChar w:fldCharType="begin"/>
        </w:r>
        <w:r>
          <w:rPr>
            <w:noProof/>
            <w:webHidden/>
          </w:rPr>
          <w:instrText xml:space="preserve"> PAGEREF _Toc220991322 \h </w:instrText>
        </w:r>
        <w:r>
          <w:rPr>
            <w:noProof/>
            <w:webHidden/>
          </w:rPr>
        </w:r>
        <w:r>
          <w:rPr>
            <w:noProof/>
            <w:webHidden/>
          </w:rPr>
          <w:fldChar w:fldCharType="separate"/>
        </w:r>
        <w:r w:rsidR="00974704">
          <w:rPr>
            <w:noProof/>
            <w:webHidden/>
          </w:rPr>
          <w:t>25</w:t>
        </w:r>
        <w:r>
          <w:rPr>
            <w:noProof/>
            <w:webHidden/>
          </w:rPr>
          <w:fldChar w:fldCharType="end"/>
        </w:r>
      </w:hyperlink>
    </w:p>
    <w:p w:rsidR="00B62AFC" w:rsidRDefault="00B62AFC">
      <w:pPr>
        <w:pStyle w:val="TOC2"/>
        <w:tabs>
          <w:tab w:val="right" w:leader="dot" w:pos="9016"/>
        </w:tabs>
        <w:rPr>
          <w:noProof/>
        </w:rPr>
      </w:pPr>
      <w:hyperlink w:anchor="_Toc220991323" w:history="1">
        <w:r w:rsidRPr="003F5DF2">
          <w:rPr>
            <w:rStyle w:val="Hyperlink"/>
            <w:noProof/>
          </w:rPr>
          <w:t>4.8 Summary</w:t>
        </w:r>
        <w:r>
          <w:rPr>
            <w:noProof/>
            <w:webHidden/>
          </w:rPr>
          <w:tab/>
        </w:r>
        <w:r>
          <w:rPr>
            <w:noProof/>
            <w:webHidden/>
          </w:rPr>
          <w:fldChar w:fldCharType="begin"/>
        </w:r>
        <w:r>
          <w:rPr>
            <w:noProof/>
            <w:webHidden/>
          </w:rPr>
          <w:instrText xml:space="preserve"> PAGEREF _Toc220991323 \h </w:instrText>
        </w:r>
        <w:r>
          <w:rPr>
            <w:noProof/>
            <w:webHidden/>
          </w:rPr>
        </w:r>
        <w:r>
          <w:rPr>
            <w:noProof/>
            <w:webHidden/>
          </w:rPr>
          <w:fldChar w:fldCharType="separate"/>
        </w:r>
        <w:r w:rsidR="00974704">
          <w:rPr>
            <w:noProof/>
            <w:webHidden/>
          </w:rPr>
          <w:t>25</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24" w:history="1">
        <w:r w:rsidRPr="003F5DF2">
          <w:rPr>
            <w:rStyle w:val="Hyperlink"/>
            <w:noProof/>
          </w:rPr>
          <w:t>Chapter 5: Operations Plan</w:t>
        </w:r>
        <w:r>
          <w:rPr>
            <w:noProof/>
            <w:webHidden/>
          </w:rPr>
          <w:tab/>
        </w:r>
        <w:r>
          <w:rPr>
            <w:noProof/>
            <w:webHidden/>
          </w:rPr>
          <w:fldChar w:fldCharType="begin"/>
        </w:r>
        <w:r>
          <w:rPr>
            <w:noProof/>
            <w:webHidden/>
          </w:rPr>
          <w:instrText xml:space="preserve"> PAGEREF _Toc220991324 \h </w:instrText>
        </w:r>
        <w:r>
          <w:rPr>
            <w:noProof/>
            <w:webHidden/>
          </w:rPr>
        </w:r>
        <w:r>
          <w:rPr>
            <w:noProof/>
            <w:webHidden/>
          </w:rPr>
          <w:fldChar w:fldCharType="separate"/>
        </w:r>
        <w:r w:rsidR="00974704">
          <w:rPr>
            <w:noProof/>
            <w:webHidden/>
          </w:rPr>
          <w:t>25</w:t>
        </w:r>
        <w:r>
          <w:rPr>
            <w:noProof/>
            <w:webHidden/>
          </w:rPr>
          <w:fldChar w:fldCharType="end"/>
        </w:r>
      </w:hyperlink>
    </w:p>
    <w:p w:rsidR="00B62AFC" w:rsidRDefault="00B62AFC">
      <w:pPr>
        <w:pStyle w:val="TOC2"/>
        <w:tabs>
          <w:tab w:val="right" w:leader="dot" w:pos="9016"/>
        </w:tabs>
        <w:rPr>
          <w:noProof/>
        </w:rPr>
      </w:pPr>
      <w:hyperlink w:anchor="_Toc220991325" w:history="1">
        <w:r w:rsidRPr="003F5DF2">
          <w:rPr>
            <w:rStyle w:val="Hyperlink"/>
            <w:noProof/>
          </w:rPr>
          <w:t>5.1 Introduction to the Operations Plan</w:t>
        </w:r>
        <w:r>
          <w:rPr>
            <w:noProof/>
            <w:webHidden/>
          </w:rPr>
          <w:tab/>
        </w:r>
        <w:r>
          <w:rPr>
            <w:noProof/>
            <w:webHidden/>
          </w:rPr>
          <w:fldChar w:fldCharType="begin"/>
        </w:r>
        <w:r>
          <w:rPr>
            <w:noProof/>
            <w:webHidden/>
          </w:rPr>
          <w:instrText xml:space="preserve"> PAGEREF _Toc220991325 \h </w:instrText>
        </w:r>
        <w:r>
          <w:rPr>
            <w:noProof/>
            <w:webHidden/>
          </w:rPr>
        </w:r>
        <w:r>
          <w:rPr>
            <w:noProof/>
            <w:webHidden/>
          </w:rPr>
          <w:fldChar w:fldCharType="separate"/>
        </w:r>
        <w:r w:rsidR="00974704">
          <w:rPr>
            <w:noProof/>
            <w:webHidden/>
          </w:rPr>
          <w:t>25</w:t>
        </w:r>
        <w:r>
          <w:rPr>
            <w:noProof/>
            <w:webHidden/>
          </w:rPr>
          <w:fldChar w:fldCharType="end"/>
        </w:r>
      </w:hyperlink>
    </w:p>
    <w:p w:rsidR="00B62AFC" w:rsidRDefault="00B62AFC">
      <w:pPr>
        <w:pStyle w:val="TOC2"/>
        <w:tabs>
          <w:tab w:val="right" w:leader="dot" w:pos="9016"/>
        </w:tabs>
        <w:rPr>
          <w:noProof/>
        </w:rPr>
      </w:pPr>
      <w:hyperlink w:anchor="_Toc220991326" w:history="1">
        <w:r w:rsidRPr="003F5DF2">
          <w:rPr>
            <w:rStyle w:val="Hyperlink"/>
            <w:noProof/>
          </w:rPr>
          <w:t>5.2 Workflow and Service Delivery Model</w:t>
        </w:r>
        <w:r>
          <w:rPr>
            <w:noProof/>
            <w:webHidden/>
          </w:rPr>
          <w:tab/>
        </w:r>
        <w:r>
          <w:rPr>
            <w:noProof/>
            <w:webHidden/>
          </w:rPr>
          <w:fldChar w:fldCharType="begin"/>
        </w:r>
        <w:r>
          <w:rPr>
            <w:noProof/>
            <w:webHidden/>
          </w:rPr>
          <w:instrText xml:space="preserve"> PAGEREF _Toc220991326 \h </w:instrText>
        </w:r>
        <w:r>
          <w:rPr>
            <w:noProof/>
            <w:webHidden/>
          </w:rPr>
        </w:r>
        <w:r>
          <w:rPr>
            <w:noProof/>
            <w:webHidden/>
          </w:rPr>
          <w:fldChar w:fldCharType="separate"/>
        </w:r>
        <w:r w:rsidR="00974704">
          <w:rPr>
            <w:noProof/>
            <w:webHidden/>
          </w:rPr>
          <w:t>26</w:t>
        </w:r>
        <w:r>
          <w:rPr>
            <w:noProof/>
            <w:webHidden/>
          </w:rPr>
          <w:fldChar w:fldCharType="end"/>
        </w:r>
      </w:hyperlink>
    </w:p>
    <w:p w:rsidR="00B62AFC" w:rsidRDefault="00B62AFC">
      <w:pPr>
        <w:pStyle w:val="TOC2"/>
        <w:tabs>
          <w:tab w:val="right" w:leader="dot" w:pos="9016"/>
        </w:tabs>
        <w:rPr>
          <w:noProof/>
        </w:rPr>
      </w:pPr>
      <w:hyperlink w:anchor="_Toc220991327" w:history="1">
        <w:r w:rsidRPr="003F5DF2">
          <w:rPr>
            <w:rStyle w:val="Hyperlink"/>
            <w:noProof/>
          </w:rPr>
          <w:t>5.3 Staffing Plan and Human Resource Structure</w:t>
        </w:r>
        <w:r>
          <w:rPr>
            <w:noProof/>
            <w:webHidden/>
          </w:rPr>
          <w:tab/>
        </w:r>
        <w:r>
          <w:rPr>
            <w:noProof/>
            <w:webHidden/>
          </w:rPr>
          <w:fldChar w:fldCharType="begin"/>
        </w:r>
        <w:r>
          <w:rPr>
            <w:noProof/>
            <w:webHidden/>
          </w:rPr>
          <w:instrText xml:space="preserve"> PAGEREF _Toc220991327 \h </w:instrText>
        </w:r>
        <w:r>
          <w:rPr>
            <w:noProof/>
            <w:webHidden/>
          </w:rPr>
        </w:r>
        <w:r>
          <w:rPr>
            <w:noProof/>
            <w:webHidden/>
          </w:rPr>
          <w:fldChar w:fldCharType="separate"/>
        </w:r>
        <w:r w:rsidR="00974704">
          <w:rPr>
            <w:noProof/>
            <w:webHidden/>
          </w:rPr>
          <w:t>27</w:t>
        </w:r>
        <w:r>
          <w:rPr>
            <w:noProof/>
            <w:webHidden/>
          </w:rPr>
          <w:fldChar w:fldCharType="end"/>
        </w:r>
      </w:hyperlink>
    </w:p>
    <w:p w:rsidR="00B62AFC" w:rsidRDefault="00B62AFC">
      <w:pPr>
        <w:pStyle w:val="TOC2"/>
        <w:tabs>
          <w:tab w:val="right" w:leader="dot" w:pos="9016"/>
        </w:tabs>
        <w:rPr>
          <w:noProof/>
        </w:rPr>
      </w:pPr>
      <w:hyperlink w:anchor="_Toc220991328" w:history="1">
        <w:r w:rsidRPr="003F5DF2">
          <w:rPr>
            <w:rStyle w:val="Hyperlink"/>
            <w:noProof/>
          </w:rPr>
          <w:t>5.4 Legal and Regulatory Compliance</w:t>
        </w:r>
        <w:r>
          <w:rPr>
            <w:noProof/>
            <w:webHidden/>
          </w:rPr>
          <w:tab/>
        </w:r>
        <w:r>
          <w:rPr>
            <w:noProof/>
            <w:webHidden/>
          </w:rPr>
          <w:fldChar w:fldCharType="begin"/>
        </w:r>
        <w:r>
          <w:rPr>
            <w:noProof/>
            <w:webHidden/>
          </w:rPr>
          <w:instrText xml:space="preserve"> PAGEREF _Toc220991328 \h </w:instrText>
        </w:r>
        <w:r>
          <w:rPr>
            <w:noProof/>
            <w:webHidden/>
          </w:rPr>
        </w:r>
        <w:r>
          <w:rPr>
            <w:noProof/>
            <w:webHidden/>
          </w:rPr>
          <w:fldChar w:fldCharType="separate"/>
        </w:r>
        <w:r w:rsidR="00974704">
          <w:rPr>
            <w:noProof/>
            <w:webHidden/>
          </w:rPr>
          <w:t>28</w:t>
        </w:r>
        <w:r>
          <w:rPr>
            <w:noProof/>
            <w:webHidden/>
          </w:rPr>
          <w:fldChar w:fldCharType="end"/>
        </w:r>
      </w:hyperlink>
    </w:p>
    <w:p w:rsidR="00B62AFC" w:rsidRDefault="00B62AFC">
      <w:pPr>
        <w:pStyle w:val="TOC2"/>
        <w:tabs>
          <w:tab w:val="right" w:leader="dot" w:pos="9016"/>
        </w:tabs>
        <w:rPr>
          <w:noProof/>
        </w:rPr>
      </w:pPr>
      <w:hyperlink w:anchor="_Toc220991329" w:history="1">
        <w:r w:rsidRPr="003F5DF2">
          <w:rPr>
            <w:rStyle w:val="Hyperlink"/>
            <w:noProof/>
          </w:rPr>
          <w:t>5.5 Technology Infrastructure and Operational Tools</w:t>
        </w:r>
        <w:r>
          <w:rPr>
            <w:noProof/>
            <w:webHidden/>
          </w:rPr>
          <w:tab/>
        </w:r>
        <w:r>
          <w:rPr>
            <w:noProof/>
            <w:webHidden/>
          </w:rPr>
          <w:fldChar w:fldCharType="begin"/>
        </w:r>
        <w:r>
          <w:rPr>
            <w:noProof/>
            <w:webHidden/>
          </w:rPr>
          <w:instrText xml:space="preserve"> PAGEREF _Toc220991329 \h </w:instrText>
        </w:r>
        <w:r>
          <w:rPr>
            <w:noProof/>
            <w:webHidden/>
          </w:rPr>
        </w:r>
        <w:r>
          <w:rPr>
            <w:noProof/>
            <w:webHidden/>
          </w:rPr>
          <w:fldChar w:fldCharType="separate"/>
        </w:r>
        <w:r w:rsidR="00974704">
          <w:rPr>
            <w:noProof/>
            <w:webHidden/>
          </w:rPr>
          <w:t>29</w:t>
        </w:r>
        <w:r>
          <w:rPr>
            <w:noProof/>
            <w:webHidden/>
          </w:rPr>
          <w:fldChar w:fldCharType="end"/>
        </w:r>
      </w:hyperlink>
    </w:p>
    <w:p w:rsidR="00B62AFC" w:rsidRDefault="00B62AFC">
      <w:pPr>
        <w:pStyle w:val="TOC2"/>
        <w:tabs>
          <w:tab w:val="right" w:leader="dot" w:pos="9016"/>
        </w:tabs>
        <w:rPr>
          <w:noProof/>
        </w:rPr>
      </w:pPr>
      <w:hyperlink w:anchor="_Toc220991330" w:history="1">
        <w:r w:rsidRPr="003F5DF2">
          <w:rPr>
            <w:rStyle w:val="Hyperlink"/>
            <w:noProof/>
          </w:rPr>
          <w:t>5.6 Licensing and Regulatory Registrations</w:t>
        </w:r>
        <w:r>
          <w:rPr>
            <w:noProof/>
            <w:webHidden/>
          </w:rPr>
          <w:tab/>
        </w:r>
        <w:r>
          <w:rPr>
            <w:noProof/>
            <w:webHidden/>
          </w:rPr>
          <w:fldChar w:fldCharType="begin"/>
        </w:r>
        <w:r>
          <w:rPr>
            <w:noProof/>
            <w:webHidden/>
          </w:rPr>
          <w:instrText xml:space="preserve"> PAGEREF _Toc220991330 \h </w:instrText>
        </w:r>
        <w:r>
          <w:rPr>
            <w:noProof/>
            <w:webHidden/>
          </w:rPr>
        </w:r>
        <w:r>
          <w:rPr>
            <w:noProof/>
            <w:webHidden/>
          </w:rPr>
          <w:fldChar w:fldCharType="separate"/>
        </w:r>
        <w:r w:rsidR="00974704">
          <w:rPr>
            <w:noProof/>
            <w:webHidden/>
          </w:rPr>
          <w:t>29</w:t>
        </w:r>
        <w:r>
          <w:rPr>
            <w:noProof/>
            <w:webHidden/>
          </w:rPr>
          <w:fldChar w:fldCharType="end"/>
        </w:r>
      </w:hyperlink>
    </w:p>
    <w:p w:rsidR="00B62AFC" w:rsidRDefault="00B62AFC">
      <w:pPr>
        <w:pStyle w:val="TOC2"/>
        <w:tabs>
          <w:tab w:val="right" w:leader="dot" w:pos="9016"/>
        </w:tabs>
        <w:rPr>
          <w:noProof/>
        </w:rPr>
      </w:pPr>
      <w:hyperlink w:anchor="_Toc220991331" w:history="1">
        <w:r w:rsidRPr="003F5DF2">
          <w:rPr>
            <w:rStyle w:val="Hyperlink"/>
            <w:noProof/>
          </w:rPr>
          <w:t>5.7 Physical Setup and Remote Operations</w:t>
        </w:r>
        <w:r>
          <w:rPr>
            <w:noProof/>
            <w:webHidden/>
          </w:rPr>
          <w:tab/>
        </w:r>
        <w:r>
          <w:rPr>
            <w:noProof/>
            <w:webHidden/>
          </w:rPr>
          <w:fldChar w:fldCharType="begin"/>
        </w:r>
        <w:r>
          <w:rPr>
            <w:noProof/>
            <w:webHidden/>
          </w:rPr>
          <w:instrText xml:space="preserve"> PAGEREF _Toc220991331 \h </w:instrText>
        </w:r>
        <w:r>
          <w:rPr>
            <w:noProof/>
            <w:webHidden/>
          </w:rPr>
        </w:r>
        <w:r>
          <w:rPr>
            <w:noProof/>
            <w:webHidden/>
          </w:rPr>
          <w:fldChar w:fldCharType="separate"/>
        </w:r>
        <w:r w:rsidR="00974704">
          <w:rPr>
            <w:noProof/>
            <w:webHidden/>
          </w:rPr>
          <w:t>30</w:t>
        </w:r>
        <w:r>
          <w:rPr>
            <w:noProof/>
            <w:webHidden/>
          </w:rPr>
          <w:fldChar w:fldCharType="end"/>
        </w:r>
      </w:hyperlink>
    </w:p>
    <w:p w:rsidR="00B62AFC" w:rsidRDefault="00B62AFC">
      <w:pPr>
        <w:pStyle w:val="TOC2"/>
        <w:tabs>
          <w:tab w:val="right" w:leader="dot" w:pos="9016"/>
        </w:tabs>
        <w:rPr>
          <w:noProof/>
        </w:rPr>
      </w:pPr>
      <w:hyperlink w:anchor="_Toc220991332" w:history="1">
        <w:r w:rsidRPr="003F5DF2">
          <w:rPr>
            <w:rStyle w:val="Hyperlink"/>
            <w:noProof/>
          </w:rPr>
          <w:t>5.8 Key Performance Indicators and Quality Assurance</w:t>
        </w:r>
        <w:r>
          <w:rPr>
            <w:noProof/>
            <w:webHidden/>
          </w:rPr>
          <w:tab/>
        </w:r>
        <w:r>
          <w:rPr>
            <w:noProof/>
            <w:webHidden/>
          </w:rPr>
          <w:fldChar w:fldCharType="begin"/>
        </w:r>
        <w:r>
          <w:rPr>
            <w:noProof/>
            <w:webHidden/>
          </w:rPr>
          <w:instrText xml:space="preserve"> PAGEREF _Toc220991332 \h </w:instrText>
        </w:r>
        <w:r>
          <w:rPr>
            <w:noProof/>
            <w:webHidden/>
          </w:rPr>
        </w:r>
        <w:r>
          <w:rPr>
            <w:noProof/>
            <w:webHidden/>
          </w:rPr>
          <w:fldChar w:fldCharType="separate"/>
        </w:r>
        <w:r w:rsidR="00974704">
          <w:rPr>
            <w:noProof/>
            <w:webHidden/>
          </w:rPr>
          <w:t>30</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33" w:history="1">
        <w:r w:rsidRPr="003F5DF2">
          <w:rPr>
            <w:rStyle w:val="Hyperlink"/>
            <w:noProof/>
          </w:rPr>
          <w:t>Chapter 6: Human Resource Capital Allocation</w:t>
        </w:r>
        <w:r>
          <w:rPr>
            <w:noProof/>
            <w:webHidden/>
          </w:rPr>
          <w:tab/>
        </w:r>
        <w:r>
          <w:rPr>
            <w:noProof/>
            <w:webHidden/>
          </w:rPr>
          <w:fldChar w:fldCharType="begin"/>
        </w:r>
        <w:r>
          <w:rPr>
            <w:noProof/>
            <w:webHidden/>
          </w:rPr>
          <w:instrText xml:space="preserve"> PAGEREF _Toc220991333 \h </w:instrText>
        </w:r>
        <w:r>
          <w:rPr>
            <w:noProof/>
            <w:webHidden/>
          </w:rPr>
        </w:r>
        <w:r>
          <w:rPr>
            <w:noProof/>
            <w:webHidden/>
          </w:rPr>
          <w:fldChar w:fldCharType="separate"/>
        </w:r>
        <w:r w:rsidR="00974704">
          <w:rPr>
            <w:noProof/>
            <w:webHidden/>
          </w:rPr>
          <w:t>31</w:t>
        </w:r>
        <w:r>
          <w:rPr>
            <w:noProof/>
            <w:webHidden/>
          </w:rPr>
          <w:fldChar w:fldCharType="end"/>
        </w:r>
      </w:hyperlink>
    </w:p>
    <w:p w:rsidR="00B62AFC" w:rsidRDefault="00B62AFC">
      <w:pPr>
        <w:pStyle w:val="TOC2"/>
        <w:tabs>
          <w:tab w:val="right" w:leader="dot" w:pos="9016"/>
        </w:tabs>
        <w:rPr>
          <w:noProof/>
        </w:rPr>
      </w:pPr>
      <w:hyperlink w:anchor="_Toc220991334" w:history="1">
        <w:r w:rsidRPr="003F5DF2">
          <w:rPr>
            <w:rStyle w:val="Hyperlink"/>
            <w:noProof/>
          </w:rPr>
          <w:t>6.1 HR Structure Overview</w:t>
        </w:r>
        <w:r>
          <w:rPr>
            <w:noProof/>
            <w:webHidden/>
          </w:rPr>
          <w:tab/>
        </w:r>
        <w:r>
          <w:rPr>
            <w:noProof/>
            <w:webHidden/>
          </w:rPr>
          <w:fldChar w:fldCharType="begin"/>
        </w:r>
        <w:r>
          <w:rPr>
            <w:noProof/>
            <w:webHidden/>
          </w:rPr>
          <w:instrText xml:space="preserve"> PAGEREF _Toc220991334 \h </w:instrText>
        </w:r>
        <w:r>
          <w:rPr>
            <w:noProof/>
            <w:webHidden/>
          </w:rPr>
        </w:r>
        <w:r>
          <w:rPr>
            <w:noProof/>
            <w:webHidden/>
          </w:rPr>
          <w:fldChar w:fldCharType="separate"/>
        </w:r>
        <w:r w:rsidR="00974704">
          <w:rPr>
            <w:noProof/>
            <w:webHidden/>
          </w:rPr>
          <w:t>31</w:t>
        </w:r>
        <w:r>
          <w:rPr>
            <w:noProof/>
            <w:webHidden/>
          </w:rPr>
          <w:fldChar w:fldCharType="end"/>
        </w:r>
      </w:hyperlink>
    </w:p>
    <w:p w:rsidR="00B62AFC" w:rsidRDefault="00B62AFC">
      <w:pPr>
        <w:pStyle w:val="TOC2"/>
        <w:tabs>
          <w:tab w:val="right" w:leader="dot" w:pos="9016"/>
        </w:tabs>
        <w:rPr>
          <w:noProof/>
        </w:rPr>
      </w:pPr>
      <w:hyperlink w:anchor="_Toc220991335" w:history="1">
        <w:r w:rsidRPr="003F5DF2">
          <w:rPr>
            <w:rStyle w:val="Hyperlink"/>
            <w:noProof/>
            <w:lang w:val="en-IN"/>
          </w:rPr>
          <w:t>6.2 Role Allocation and Responsibilities</w:t>
        </w:r>
        <w:r>
          <w:rPr>
            <w:noProof/>
            <w:webHidden/>
          </w:rPr>
          <w:tab/>
        </w:r>
        <w:r>
          <w:rPr>
            <w:noProof/>
            <w:webHidden/>
          </w:rPr>
          <w:fldChar w:fldCharType="begin"/>
        </w:r>
        <w:r>
          <w:rPr>
            <w:noProof/>
            <w:webHidden/>
          </w:rPr>
          <w:instrText xml:space="preserve"> PAGEREF _Toc220991335 \h </w:instrText>
        </w:r>
        <w:r>
          <w:rPr>
            <w:noProof/>
            <w:webHidden/>
          </w:rPr>
        </w:r>
        <w:r>
          <w:rPr>
            <w:noProof/>
            <w:webHidden/>
          </w:rPr>
          <w:fldChar w:fldCharType="separate"/>
        </w:r>
        <w:r w:rsidR="00974704">
          <w:rPr>
            <w:noProof/>
            <w:webHidden/>
          </w:rPr>
          <w:t>33</w:t>
        </w:r>
        <w:r>
          <w:rPr>
            <w:noProof/>
            <w:webHidden/>
          </w:rPr>
          <w:fldChar w:fldCharType="end"/>
        </w:r>
      </w:hyperlink>
    </w:p>
    <w:p w:rsidR="00B62AFC" w:rsidRDefault="00B62AFC">
      <w:pPr>
        <w:pStyle w:val="TOC2"/>
        <w:tabs>
          <w:tab w:val="right" w:leader="dot" w:pos="9016"/>
        </w:tabs>
        <w:rPr>
          <w:noProof/>
        </w:rPr>
      </w:pPr>
      <w:hyperlink w:anchor="_Toc220991336" w:history="1">
        <w:r w:rsidRPr="003F5DF2">
          <w:rPr>
            <w:rStyle w:val="Hyperlink"/>
            <w:noProof/>
          </w:rPr>
          <w:t>6.3 Human Capital Forecast: Year One vs Year Two</w:t>
        </w:r>
        <w:r>
          <w:rPr>
            <w:noProof/>
            <w:webHidden/>
          </w:rPr>
          <w:tab/>
        </w:r>
        <w:r>
          <w:rPr>
            <w:noProof/>
            <w:webHidden/>
          </w:rPr>
          <w:fldChar w:fldCharType="begin"/>
        </w:r>
        <w:r>
          <w:rPr>
            <w:noProof/>
            <w:webHidden/>
          </w:rPr>
          <w:instrText xml:space="preserve"> PAGEREF _Toc220991336 \h </w:instrText>
        </w:r>
        <w:r>
          <w:rPr>
            <w:noProof/>
            <w:webHidden/>
          </w:rPr>
        </w:r>
        <w:r>
          <w:rPr>
            <w:noProof/>
            <w:webHidden/>
          </w:rPr>
          <w:fldChar w:fldCharType="separate"/>
        </w:r>
        <w:r w:rsidR="00974704">
          <w:rPr>
            <w:noProof/>
            <w:webHidden/>
          </w:rPr>
          <w:t>35</w:t>
        </w:r>
        <w:r>
          <w:rPr>
            <w:noProof/>
            <w:webHidden/>
          </w:rPr>
          <w:fldChar w:fldCharType="end"/>
        </w:r>
      </w:hyperlink>
    </w:p>
    <w:p w:rsidR="00B62AFC" w:rsidRDefault="00B62AFC">
      <w:pPr>
        <w:pStyle w:val="TOC2"/>
        <w:tabs>
          <w:tab w:val="right" w:leader="dot" w:pos="9016"/>
        </w:tabs>
        <w:rPr>
          <w:noProof/>
        </w:rPr>
      </w:pPr>
      <w:hyperlink w:anchor="_Toc220991337" w:history="1">
        <w:r w:rsidRPr="003F5DF2">
          <w:rPr>
            <w:rStyle w:val="Hyperlink"/>
            <w:noProof/>
          </w:rPr>
          <w:t>6.4 Part-Time Internship and Early-Career Talent Model</w:t>
        </w:r>
        <w:r>
          <w:rPr>
            <w:noProof/>
            <w:webHidden/>
          </w:rPr>
          <w:tab/>
        </w:r>
        <w:r>
          <w:rPr>
            <w:noProof/>
            <w:webHidden/>
          </w:rPr>
          <w:fldChar w:fldCharType="begin"/>
        </w:r>
        <w:r>
          <w:rPr>
            <w:noProof/>
            <w:webHidden/>
          </w:rPr>
          <w:instrText xml:space="preserve"> PAGEREF _Toc220991337 \h </w:instrText>
        </w:r>
        <w:r>
          <w:rPr>
            <w:noProof/>
            <w:webHidden/>
          </w:rPr>
        </w:r>
        <w:r>
          <w:rPr>
            <w:noProof/>
            <w:webHidden/>
          </w:rPr>
          <w:fldChar w:fldCharType="separate"/>
        </w:r>
        <w:r w:rsidR="00974704">
          <w:rPr>
            <w:noProof/>
            <w:webHidden/>
          </w:rPr>
          <w:t>37</w:t>
        </w:r>
        <w:r>
          <w:rPr>
            <w:noProof/>
            <w:webHidden/>
          </w:rPr>
          <w:fldChar w:fldCharType="end"/>
        </w:r>
      </w:hyperlink>
    </w:p>
    <w:p w:rsidR="00B62AFC" w:rsidRDefault="00B62AFC">
      <w:pPr>
        <w:pStyle w:val="TOC2"/>
        <w:tabs>
          <w:tab w:val="right" w:leader="dot" w:pos="9016"/>
        </w:tabs>
        <w:rPr>
          <w:noProof/>
        </w:rPr>
      </w:pPr>
      <w:hyperlink w:anchor="_Toc220991338" w:history="1">
        <w:r w:rsidRPr="003F5DF2">
          <w:rPr>
            <w:rStyle w:val="Hyperlink"/>
            <w:noProof/>
            <w:lang w:val="en-IN"/>
          </w:rPr>
          <w:t>6.5 Compensation, Incentives, and Reward Strategy</w:t>
        </w:r>
        <w:r>
          <w:rPr>
            <w:noProof/>
            <w:webHidden/>
          </w:rPr>
          <w:tab/>
        </w:r>
        <w:r>
          <w:rPr>
            <w:noProof/>
            <w:webHidden/>
          </w:rPr>
          <w:fldChar w:fldCharType="begin"/>
        </w:r>
        <w:r>
          <w:rPr>
            <w:noProof/>
            <w:webHidden/>
          </w:rPr>
          <w:instrText xml:space="preserve"> PAGEREF _Toc220991338 \h </w:instrText>
        </w:r>
        <w:r>
          <w:rPr>
            <w:noProof/>
            <w:webHidden/>
          </w:rPr>
        </w:r>
        <w:r>
          <w:rPr>
            <w:noProof/>
            <w:webHidden/>
          </w:rPr>
          <w:fldChar w:fldCharType="separate"/>
        </w:r>
        <w:r w:rsidR="00974704">
          <w:rPr>
            <w:noProof/>
            <w:webHidden/>
          </w:rPr>
          <w:t>37</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39" w:history="1">
        <w:r w:rsidRPr="003F5DF2">
          <w:rPr>
            <w:rStyle w:val="Hyperlink"/>
            <w:noProof/>
            <w:lang w:val="en-IN"/>
          </w:rPr>
          <w:t>Chapter 7: Financial Plan</w:t>
        </w:r>
        <w:r>
          <w:rPr>
            <w:noProof/>
            <w:webHidden/>
          </w:rPr>
          <w:tab/>
        </w:r>
        <w:r>
          <w:rPr>
            <w:noProof/>
            <w:webHidden/>
          </w:rPr>
          <w:fldChar w:fldCharType="begin"/>
        </w:r>
        <w:r>
          <w:rPr>
            <w:noProof/>
            <w:webHidden/>
          </w:rPr>
          <w:instrText xml:space="preserve"> PAGEREF _Toc220991339 \h </w:instrText>
        </w:r>
        <w:r>
          <w:rPr>
            <w:noProof/>
            <w:webHidden/>
          </w:rPr>
        </w:r>
        <w:r>
          <w:rPr>
            <w:noProof/>
            <w:webHidden/>
          </w:rPr>
          <w:fldChar w:fldCharType="separate"/>
        </w:r>
        <w:r w:rsidR="00974704">
          <w:rPr>
            <w:noProof/>
            <w:webHidden/>
          </w:rPr>
          <w:t>38</w:t>
        </w:r>
        <w:r>
          <w:rPr>
            <w:noProof/>
            <w:webHidden/>
          </w:rPr>
          <w:fldChar w:fldCharType="end"/>
        </w:r>
      </w:hyperlink>
    </w:p>
    <w:p w:rsidR="00B62AFC" w:rsidRDefault="00B62AFC">
      <w:pPr>
        <w:pStyle w:val="TOC2"/>
        <w:tabs>
          <w:tab w:val="right" w:leader="dot" w:pos="9016"/>
        </w:tabs>
        <w:rPr>
          <w:noProof/>
        </w:rPr>
      </w:pPr>
      <w:hyperlink w:anchor="_Toc220991340" w:history="1">
        <w:r w:rsidRPr="003F5DF2">
          <w:rPr>
            <w:rStyle w:val="Hyperlink"/>
            <w:noProof/>
            <w:lang w:val="en-IN"/>
          </w:rPr>
          <w:t>7.1 Revenue Model and Pricing Logic</w:t>
        </w:r>
        <w:r>
          <w:rPr>
            <w:noProof/>
            <w:webHidden/>
          </w:rPr>
          <w:tab/>
        </w:r>
        <w:r>
          <w:rPr>
            <w:noProof/>
            <w:webHidden/>
          </w:rPr>
          <w:fldChar w:fldCharType="begin"/>
        </w:r>
        <w:r>
          <w:rPr>
            <w:noProof/>
            <w:webHidden/>
          </w:rPr>
          <w:instrText xml:space="preserve"> PAGEREF _Toc220991340 \h </w:instrText>
        </w:r>
        <w:r>
          <w:rPr>
            <w:noProof/>
            <w:webHidden/>
          </w:rPr>
        </w:r>
        <w:r>
          <w:rPr>
            <w:noProof/>
            <w:webHidden/>
          </w:rPr>
          <w:fldChar w:fldCharType="separate"/>
        </w:r>
        <w:r w:rsidR="00974704">
          <w:rPr>
            <w:noProof/>
            <w:webHidden/>
          </w:rPr>
          <w:t>38</w:t>
        </w:r>
        <w:r>
          <w:rPr>
            <w:noProof/>
            <w:webHidden/>
          </w:rPr>
          <w:fldChar w:fldCharType="end"/>
        </w:r>
      </w:hyperlink>
    </w:p>
    <w:p w:rsidR="00B62AFC" w:rsidRDefault="00B62AFC">
      <w:pPr>
        <w:pStyle w:val="TOC3"/>
        <w:tabs>
          <w:tab w:val="right" w:leader="dot" w:pos="9016"/>
        </w:tabs>
        <w:rPr>
          <w:noProof/>
        </w:rPr>
      </w:pPr>
      <w:hyperlink w:anchor="_Toc220991341" w:history="1">
        <w:r w:rsidRPr="003F5DF2">
          <w:rPr>
            <w:rStyle w:val="Hyperlink"/>
            <w:noProof/>
            <w:lang w:val="en-IN"/>
          </w:rPr>
          <w:t>7.1.1 Subscription Revenue</w:t>
        </w:r>
        <w:r>
          <w:rPr>
            <w:noProof/>
            <w:webHidden/>
          </w:rPr>
          <w:tab/>
        </w:r>
        <w:r>
          <w:rPr>
            <w:noProof/>
            <w:webHidden/>
          </w:rPr>
          <w:fldChar w:fldCharType="begin"/>
        </w:r>
        <w:r>
          <w:rPr>
            <w:noProof/>
            <w:webHidden/>
          </w:rPr>
          <w:instrText xml:space="preserve"> PAGEREF _Toc220991341 \h </w:instrText>
        </w:r>
        <w:r>
          <w:rPr>
            <w:noProof/>
            <w:webHidden/>
          </w:rPr>
        </w:r>
        <w:r>
          <w:rPr>
            <w:noProof/>
            <w:webHidden/>
          </w:rPr>
          <w:fldChar w:fldCharType="separate"/>
        </w:r>
        <w:r w:rsidR="00974704">
          <w:rPr>
            <w:noProof/>
            <w:webHidden/>
          </w:rPr>
          <w:t>39</w:t>
        </w:r>
        <w:r>
          <w:rPr>
            <w:noProof/>
            <w:webHidden/>
          </w:rPr>
          <w:fldChar w:fldCharType="end"/>
        </w:r>
      </w:hyperlink>
    </w:p>
    <w:p w:rsidR="00B62AFC" w:rsidRDefault="00B62AFC">
      <w:pPr>
        <w:pStyle w:val="TOC3"/>
        <w:tabs>
          <w:tab w:val="right" w:leader="dot" w:pos="9016"/>
        </w:tabs>
        <w:rPr>
          <w:noProof/>
        </w:rPr>
      </w:pPr>
      <w:hyperlink w:anchor="_Toc220991342" w:history="1">
        <w:r w:rsidRPr="003F5DF2">
          <w:rPr>
            <w:rStyle w:val="Hyperlink"/>
            <w:noProof/>
          </w:rPr>
          <w:t>7.1.3 Live Concert and Ticketing Revenue</w:t>
        </w:r>
        <w:r>
          <w:rPr>
            <w:noProof/>
            <w:webHidden/>
          </w:rPr>
          <w:tab/>
        </w:r>
        <w:r>
          <w:rPr>
            <w:noProof/>
            <w:webHidden/>
          </w:rPr>
          <w:fldChar w:fldCharType="begin"/>
        </w:r>
        <w:r>
          <w:rPr>
            <w:noProof/>
            <w:webHidden/>
          </w:rPr>
          <w:instrText xml:space="preserve"> PAGEREF _Toc220991342 \h </w:instrText>
        </w:r>
        <w:r>
          <w:rPr>
            <w:noProof/>
            <w:webHidden/>
          </w:rPr>
        </w:r>
        <w:r>
          <w:rPr>
            <w:noProof/>
            <w:webHidden/>
          </w:rPr>
          <w:fldChar w:fldCharType="separate"/>
        </w:r>
        <w:r w:rsidR="00974704">
          <w:rPr>
            <w:noProof/>
            <w:webHidden/>
          </w:rPr>
          <w:t>39</w:t>
        </w:r>
        <w:r>
          <w:rPr>
            <w:noProof/>
            <w:webHidden/>
          </w:rPr>
          <w:fldChar w:fldCharType="end"/>
        </w:r>
      </w:hyperlink>
    </w:p>
    <w:p w:rsidR="00B62AFC" w:rsidRDefault="00B62AFC">
      <w:pPr>
        <w:pStyle w:val="TOC2"/>
        <w:tabs>
          <w:tab w:val="right" w:leader="dot" w:pos="9016"/>
        </w:tabs>
        <w:rPr>
          <w:noProof/>
        </w:rPr>
      </w:pPr>
      <w:hyperlink w:anchor="_Toc220991343" w:history="1">
        <w:r w:rsidRPr="003F5DF2">
          <w:rPr>
            <w:rStyle w:val="Hyperlink"/>
            <w:noProof/>
          </w:rPr>
          <w:t>7.2 Forecasting Assumptions, Demand and Capacity</w:t>
        </w:r>
        <w:r>
          <w:rPr>
            <w:noProof/>
            <w:webHidden/>
          </w:rPr>
          <w:tab/>
        </w:r>
        <w:r>
          <w:rPr>
            <w:noProof/>
            <w:webHidden/>
          </w:rPr>
          <w:fldChar w:fldCharType="begin"/>
        </w:r>
        <w:r>
          <w:rPr>
            <w:noProof/>
            <w:webHidden/>
          </w:rPr>
          <w:instrText xml:space="preserve"> PAGEREF _Toc220991343 \h </w:instrText>
        </w:r>
        <w:r>
          <w:rPr>
            <w:noProof/>
            <w:webHidden/>
          </w:rPr>
        </w:r>
        <w:r>
          <w:rPr>
            <w:noProof/>
            <w:webHidden/>
          </w:rPr>
          <w:fldChar w:fldCharType="separate"/>
        </w:r>
        <w:r w:rsidR="00974704">
          <w:rPr>
            <w:noProof/>
            <w:webHidden/>
          </w:rPr>
          <w:t>40</w:t>
        </w:r>
        <w:r>
          <w:rPr>
            <w:noProof/>
            <w:webHidden/>
          </w:rPr>
          <w:fldChar w:fldCharType="end"/>
        </w:r>
      </w:hyperlink>
    </w:p>
    <w:p w:rsidR="00B62AFC" w:rsidRDefault="00B62AFC">
      <w:pPr>
        <w:pStyle w:val="TOC3"/>
        <w:tabs>
          <w:tab w:val="right" w:leader="dot" w:pos="9016"/>
        </w:tabs>
        <w:rPr>
          <w:noProof/>
        </w:rPr>
      </w:pPr>
      <w:hyperlink w:anchor="_Toc220991344" w:history="1">
        <w:r w:rsidRPr="003F5DF2">
          <w:rPr>
            <w:rStyle w:val="Hyperlink"/>
            <w:noProof/>
          </w:rPr>
          <w:t>7.2.1 User Growth Assumptions</w:t>
        </w:r>
        <w:r>
          <w:rPr>
            <w:noProof/>
            <w:webHidden/>
          </w:rPr>
          <w:tab/>
        </w:r>
        <w:r>
          <w:rPr>
            <w:noProof/>
            <w:webHidden/>
          </w:rPr>
          <w:fldChar w:fldCharType="begin"/>
        </w:r>
        <w:r>
          <w:rPr>
            <w:noProof/>
            <w:webHidden/>
          </w:rPr>
          <w:instrText xml:space="preserve"> PAGEREF _Toc220991344 \h </w:instrText>
        </w:r>
        <w:r>
          <w:rPr>
            <w:noProof/>
            <w:webHidden/>
          </w:rPr>
        </w:r>
        <w:r>
          <w:rPr>
            <w:noProof/>
            <w:webHidden/>
          </w:rPr>
          <w:fldChar w:fldCharType="separate"/>
        </w:r>
        <w:r w:rsidR="00974704">
          <w:rPr>
            <w:noProof/>
            <w:webHidden/>
          </w:rPr>
          <w:t>40</w:t>
        </w:r>
        <w:r>
          <w:rPr>
            <w:noProof/>
            <w:webHidden/>
          </w:rPr>
          <w:fldChar w:fldCharType="end"/>
        </w:r>
      </w:hyperlink>
    </w:p>
    <w:p w:rsidR="00B62AFC" w:rsidRDefault="00B62AFC">
      <w:pPr>
        <w:pStyle w:val="TOC3"/>
        <w:tabs>
          <w:tab w:val="right" w:leader="dot" w:pos="9016"/>
        </w:tabs>
        <w:rPr>
          <w:noProof/>
        </w:rPr>
      </w:pPr>
      <w:hyperlink w:anchor="_Toc220991345" w:history="1">
        <w:r w:rsidRPr="003F5DF2">
          <w:rPr>
            <w:rStyle w:val="Hyperlink"/>
            <w:noProof/>
          </w:rPr>
          <w:t>7.2.2 Capacity and Infrastructure Assumption</w:t>
        </w:r>
        <w:r>
          <w:rPr>
            <w:noProof/>
            <w:webHidden/>
          </w:rPr>
          <w:tab/>
        </w:r>
        <w:r>
          <w:rPr>
            <w:noProof/>
            <w:webHidden/>
          </w:rPr>
          <w:fldChar w:fldCharType="begin"/>
        </w:r>
        <w:r>
          <w:rPr>
            <w:noProof/>
            <w:webHidden/>
          </w:rPr>
          <w:instrText xml:space="preserve"> PAGEREF _Toc220991345 \h </w:instrText>
        </w:r>
        <w:r>
          <w:rPr>
            <w:noProof/>
            <w:webHidden/>
          </w:rPr>
        </w:r>
        <w:r>
          <w:rPr>
            <w:noProof/>
            <w:webHidden/>
          </w:rPr>
          <w:fldChar w:fldCharType="separate"/>
        </w:r>
        <w:r w:rsidR="00974704">
          <w:rPr>
            <w:noProof/>
            <w:webHidden/>
          </w:rPr>
          <w:t>40</w:t>
        </w:r>
        <w:r>
          <w:rPr>
            <w:noProof/>
            <w:webHidden/>
          </w:rPr>
          <w:fldChar w:fldCharType="end"/>
        </w:r>
      </w:hyperlink>
    </w:p>
    <w:p w:rsidR="00B62AFC" w:rsidRDefault="00B62AFC">
      <w:pPr>
        <w:pStyle w:val="TOC3"/>
        <w:tabs>
          <w:tab w:val="right" w:leader="dot" w:pos="9016"/>
        </w:tabs>
        <w:rPr>
          <w:noProof/>
        </w:rPr>
      </w:pPr>
      <w:hyperlink w:anchor="_Toc220991346" w:history="1">
        <w:r w:rsidRPr="003F5DF2">
          <w:rPr>
            <w:rStyle w:val="Hyperlink"/>
            <w:noProof/>
          </w:rPr>
          <w:t>7.2.3 Revenue Growth Assumptions</w:t>
        </w:r>
        <w:r>
          <w:rPr>
            <w:noProof/>
            <w:webHidden/>
          </w:rPr>
          <w:tab/>
        </w:r>
        <w:r>
          <w:rPr>
            <w:noProof/>
            <w:webHidden/>
          </w:rPr>
          <w:fldChar w:fldCharType="begin"/>
        </w:r>
        <w:r>
          <w:rPr>
            <w:noProof/>
            <w:webHidden/>
          </w:rPr>
          <w:instrText xml:space="preserve"> PAGEREF _Toc220991346 \h </w:instrText>
        </w:r>
        <w:r>
          <w:rPr>
            <w:noProof/>
            <w:webHidden/>
          </w:rPr>
        </w:r>
        <w:r>
          <w:rPr>
            <w:noProof/>
            <w:webHidden/>
          </w:rPr>
          <w:fldChar w:fldCharType="separate"/>
        </w:r>
        <w:r w:rsidR="00974704">
          <w:rPr>
            <w:noProof/>
            <w:webHidden/>
          </w:rPr>
          <w:t>40</w:t>
        </w:r>
        <w:r>
          <w:rPr>
            <w:noProof/>
            <w:webHidden/>
          </w:rPr>
          <w:fldChar w:fldCharType="end"/>
        </w:r>
      </w:hyperlink>
    </w:p>
    <w:p w:rsidR="00B62AFC" w:rsidRDefault="00B62AFC">
      <w:pPr>
        <w:pStyle w:val="TOC2"/>
        <w:tabs>
          <w:tab w:val="right" w:leader="dot" w:pos="9016"/>
        </w:tabs>
        <w:rPr>
          <w:noProof/>
        </w:rPr>
      </w:pPr>
      <w:hyperlink w:anchor="_Toc220991347" w:history="1">
        <w:r w:rsidRPr="003F5DF2">
          <w:rPr>
            <w:rStyle w:val="Hyperlink"/>
            <w:noProof/>
          </w:rPr>
          <w:t>7.3 Twenty-Four Month P&amp;L Forecast (Quarterly View)</w:t>
        </w:r>
        <w:r>
          <w:rPr>
            <w:noProof/>
            <w:webHidden/>
          </w:rPr>
          <w:tab/>
        </w:r>
        <w:r>
          <w:rPr>
            <w:noProof/>
            <w:webHidden/>
          </w:rPr>
          <w:fldChar w:fldCharType="begin"/>
        </w:r>
        <w:r>
          <w:rPr>
            <w:noProof/>
            <w:webHidden/>
          </w:rPr>
          <w:instrText xml:space="preserve"> PAGEREF _Toc220991347 \h </w:instrText>
        </w:r>
        <w:r>
          <w:rPr>
            <w:noProof/>
            <w:webHidden/>
          </w:rPr>
        </w:r>
        <w:r>
          <w:rPr>
            <w:noProof/>
            <w:webHidden/>
          </w:rPr>
          <w:fldChar w:fldCharType="separate"/>
        </w:r>
        <w:r w:rsidR="00974704">
          <w:rPr>
            <w:noProof/>
            <w:webHidden/>
          </w:rPr>
          <w:t>40</w:t>
        </w:r>
        <w:r>
          <w:rPr>
            <w:noProof/>
            <w:webHidden/>
          </w:rPr>
          <w:fldChar w:fldCharType="end"/>
        </w:r>
      </w:hyperlink>
    </w:p>
    <w:p w:rsidR="00B62AFC" w:rsidRDefault="00B62AFC">
      <w:pPr>
        <w:pStyle w:val="TOC2"/>
        <w:tabs>
          <w:tab w:val="right" w:leader="dot" w:pos="9016"/>
        </w:tabs>
        <w:rPr>
          <w:noProof/>
        </w:rPr>
      </w:pPr>
      <w:hyperlink w:anchor="_Toc220991348" w:history="1">
        <w:r w:rsidRPr="003F5DF2">
          <w:rPr>
            <w:rStyle w:val="Hyperlink"/>
            <w:noProof/>
          </w:rPr>
          <w:t>7.4 Cash Flow and Runway</w:t>
        </w:r>
        <w:r>
          <w:rPr>
            <w:noProof/>
            <w:webHidden/>
          </w:rPr>
          <w:tab/>
        </w:r>
        <w:r>
          <w:rPr>
            <w:noProof/>
            <w:webHidden/>
          </w:rPr>
          <w:fldChar w:fldCharType="begin"/>
        </w:r>
        <w:r>
          <w:rPr>
            <w:noProof/>
            <w:webHidden/>
          </w:rPr>
          <w:instrText xml:space="preserve"> PAGEREF _Toc220991348 \h </w:instrText>
        </w:r>
        <w:r>
          <w:rPr>
            <w:noProof/>
            <w:webHidden/>
          </w:rPr>
        </w:r>
        <w:r>
          <w:rPr>
            <w:noProof/>
            <w:webHidden/>
          </w:rPr>
          <w:fldChar w:fldCharType="separate"/>
        </w:r>
        <w:r w:rsidR="00974704">
          <w:rPr>
            <w:noProof/>
            <w:webHidden/>
          </w:rPr>
          <w:t>41</w:t>
        </w:r>
        <w:r>
          <w:rPr>
            <w:noProof/>
            <w:webHidden/>
          </w:rPr>
          <w:fldChar w:fldCharType="end"/>
        </w:r>
      </w:hyperlink>
    </w:p>
    <w:p w:rsidR="00B62AFC" w:rsidRDefault="00B62AFC">
      <w:pPr>
        <w:pStyle w:val="TOC3"/>
        <w:tabs>
          <w:tab w:val="right" w:leader="dot" w:pos="9016"/>
        </w:tabs>
        <w:rPr>
          <w:noProof/>
        </w:rPr>
      </w:pPr>
      <w:hyperlink w:anchor="_Toc220991349" w:history="1">
        <w:r w:rsidRPr="003F5DF2">
          <w:rPr>
            <w:rStyle w:val="Hyperlink"/>
            <w:noProof/>
          </w:rPr>
          <w:t>7.4.1 Initial Capital Allocation</w:t>
        </w:r>
        <w:r>
          <w:rPr>
            <w:noProof/>
            <w:webHidden/>
          </w:rPr>
          <w:tab/>
        </w:r>
        <w:r>
          <w:rPr>
            <w:noProof/>
            <w:webHidden/>
          </w:rPr>
          <w:fldChar w:fldCharType="begin"/>
        </w:r>
        <w:r>
          <w:rPr>
            <w:noProof/>
            <w:webHidden/>
          </w:rPr>
          <w:instrText xml:space="preserve"> PAGEREF _Toc220991349 \h </w:instrText>
        </w:r>
        <w:r>
          <w:rPr>
            <w:noProof/>
            <w:webHidden/>
          </w:rPr>
        </w:r>
        <w:r>
          <w:rPr>
            <w:noProof/>
            <w:webHidden/>
          </w:rPr>
          <w:fldChar w:fldCharType="separate"/>
        </w:r>
        <w:r w:rsidR="00974704">
          <w:rPr>
            <w:noProof/>
            <w:webHidden/>
          </w:rPr>
          <w:t>41</w:t>
        </w:r>
        <w:r>
          <w:rPr>
            <w:noProof/>
            <w:webHidden/>
          </w:rPr>
          <w:fldChar w:fldCharType="end"/>
        </w:r>
      </w:hyperlink>
    </w:p>
    <w:p w:rsidR="00B62AFC" w:rsidRDefault="00B62AFC">
      <w:pPr>
        <w:pStyle w:val="TOC3"/>
        <w:tabs>
          <w:tab w:val="right" w:leader="dot" w:pos="9016"/>
        </w:tabs>
        <w:rPr>
          <w:noProof/>
        </w:rPr>
      </w:pPr>
      <w:hyperlink w:anchor="_Toc220991350" w:history="1">
        <w:r w:rsidRPr="003F5DF2">
          <w:rPr>
            <w:rStyle w:val="Hyperlink"/>
            <w:noProof/>
          </w:rPr>
          <w:t>7.4.2 Monthly Cash Burn and Runway</w:t>
        </w:r>
        <w:r>
          <w:rPr>
            <w:noProof/>
            <w:webHidden/>
          </w:rPr>
          <w:tab/>
        </w:r>
        <w:r>
          <w:rPr>
            <w:noProof/>
            <w:webHidden/>
          </w:rPr>
          <w:fldChar w:fldCharType="begin"/>
        </w:r>
        <w:r>
          <w:rPr>
            <w:noProof/>
            <w:webHidden/>
          </w:rPr>
          <w:instrText xml:space="preserve"> PAGEREF _Toc220991350 \h </w:instrText>
        </w:r>
        <w:r>
          <w:rPr>
            <w:noProof/>
            <w:webHidden/>
          </w:rPr>
        </w:r>
        <w:r>
          <w:rPr>
            <w:noProof/>
            <w:webHidden/>
          </w:rPr>
          <w:fldChar w:fldCharType="separate"/>
        </w:r>
        <w:r w:rsidR="00974704">
          <w:rPr>
            <w:noProof/>
            <w:webHidden/>
          </w:rPr>
          <w:t>42</w:t>
        </w:r>
        <w:r>
          <w:rPr>
            <w:noProof/>
            <w:webHidden/>
          </w:rPr>
          <w:fldChar w:fldCharType="end"/>
        </w:r>
      </w:hyperlink>
    </w:p>
    <w:p w:rsidR="00B62AFC" w:rsidRDefault="00B62AFC">
      <w:pPr>
        <w:pStyle w:val="TOC2"/>
        <w:tabs>
          <w:tab w:val="right" w:leader="dot" w:pos="9016"/>
        </w:tabs>
        <w:rPr>
          <w:noProof/>
        </w:rPr>
      </w:pPr>
      <w:hyperlink w:anchor="_Toc220991351" w:history="1">
        <w:r w:rsidRPr="003F5DF2">
          <w:rPr>
            <w:rStyle w:val="Hyperlink"/>
            <w:noProof/>
            <w:lang w:val="en-IN"/>
          </w:rPr>
          <w:t>7.5 Cost Architecture: The United Kingdom</w:t>
        </w:r>
        <w:r>
          <w:rPr>
            <w:noProof/>
            <w:webHidden/>
          </w:rPr>
          <w:tab/>
        </w:r>
        <w:r>
          <w:rPr>
            <w:noProof/>
            <w:webHidden/>
          </w:rPr>
          <w:fldChar w:fldCharType="begin"/>
        </w:r>
        <w:r>
          <w:rPr>
            <w:noProof/>
            <w:webHidden/>
          </w:rPr>
          <w:instrText xml:space="preserve"> PAGEREF _Toc220991351 \h </w:instrText>
        </w:r>
        <w:r>
          <w:rPr>
            <w:noProof/>
            <w:webHidden/>
          </w:rPr>
        </w:r>
        <w:r>
          <w:rPr>
            <w:noProof/>
            <w:webHidden/>
          </w:rPr>
          <w:fldChar w:fldCharType="separate"/>
        </w:r>
        <w:r w:rsidR="00974704">
          <w:rPr>
            <w:noProof/>
            <w:webHidden/>
          </w:rPr>
          <w:t>42</w:t>
        </w:r>
        <w:r>
          <w:rPr>
            <w:noProof/>
            <w:webHidden/>
          </w:rPr>
          <w:fldChar w:fldCharType="end"/>
        </w:r>
      </w:hyperlink>
    </w:p>
    <w:p w:rsidR="00B62AFC" w:rsidRDefault="00B62AFC">
      <w:pPr>
        <w:pStyle w:val="TOC3"/>
        <w:tabs>
          <w:tab w:val="right" w:leader="dot" w:pos="9016"/>
        </w:tabs>
        <w:rPr>
          <w:noProof/>
        </w:rPr>
      </w:pPr>
      <w:hyperlink w:anchor="_Toc220991352" w:history="1">
        <w:r w:rsidRPr="003F5DF2">
          <w:rPr>
            <w:rStyle w:val="Hyperlink"/>
            <w:noProof/>
          </w:rPr>
          <w:t>7.5.1 Cost Behaviour Analysis</w:t>
        </w:r>
        <w:r>
          <w:rPr>
            <w:noProof/>
            <w:webHidden/>
          </w:rPr>
          <w:tab/>
        </w:r>
        <w:r>
          <w:rPr>
            <w:noProof/>
            <w:webHidden/>
          </w:rPr>
          <w:fldChar w:fldCharType="begin"/>
        </w:r>
        <w:r>
          <w:rPr>
            <w:noProof/>
            <w:webHidden/>
          </w:rPr>
          <w:instrText xml:space="preserve"> PAGEREF _Toc220991352 \h </w:instrText>
        </w:r>
        <w:r>
          <w:rPr>
            <w:noProof/>
            <w:webHidden/>
          </w:rPr>
        </w:r>
        <w:r>
          <w:rPr>
            <w:noProof/>
            <w:webHidden/>
          </w:rPr>
          <w:fldChar w:fldCharType="separate"/>
        </w:r>
        <w:r w:rsidR="00974704">
          <w:rPr>
            <w:noProof/>
            <w:webHidden/>
          </w:rPr>
          <w:t>42</w:t>
        </w:r>
        <w:r>
          <w:rPr>
            <w:noProof/>
            <w:webHidden/>
          </w:rPr>
          <w:fldChar w:fldCharType="end"/>
        </w:r>
      </w:hyperlink>
    </w:p>
    <w:p w:rsidR="00B62AFC" w:rsidRDefault="00B62AFC">
      <w:pPr>
        <w:pStyle w:val="TOC2"/>
        <w:tabs>
          <w:tab w:val="right" w:leader="dot" w:pos="9016"/>
        </w:tabs>
        <w:rPr>
          <w:noProof/>
        </w:rPr>
      </w:pPr>
      <w:hyperlink w:anchor="_Toc220991353" w:history="1">
        <w:r w:rsidRPr="003F5DF2">
          <w:rPr>
            <w:rStyle w:val="Hyperlink"/>
            <w:noProof/>
          </w:rPr>
          <w:t>7.6 Tooling and Platform Budget</w:t>
        </w:r>
        <w:r>
          <w:rPr>
            <w:noProof/>
            <w:webHidden/>
          </w:rPr>
          <w:tab/>
        </w:r>
        <w:r>
          <w:rPr>
            <w:noProof/>
            <w:webHidden/>
          </w:rPr>
          <w:fldChar w:fldCharType="begin"/>
        </w:r>
        <w:r>
          <w:rPr>
            <w:noProof/>
            <w:webHidden/>
          </w:rPr>
          <w:instrText xml:space="preserve"> PAGEREF _Toc220991353 \h </w:instrText>
        </w:r>
        <w:r>
          <w:rPr>
            <w:noProof/>
            <w:webHidden/>
          </w:rPr>
        </w:r>
        <w:r>
          <w:rPr>
            <w:noProof/>
            <w:webHidden/>
          </w:rPr>
          <w:fldChar w:fldCharType="separate"/>
        </w:r>
        <w:r w:rsidR="00974704">
          <w:rPr>
            <w:noProof/>
            <w:webHidden/>
          </w:rPr>
          <w:t>43</w:t>
        </w:r>
        <w:r>
          <w:rPr>
            <w:noProof/>
            <w:webHidden/>
          </w:rPr>
          <w:fldChar w:fldCharType="end"/>
        </w:r>
      </w:hyperlink>
    </w:p>
    <w:p w:rsidR="00B62AFC" w:rsidRDefault="00B62AFC">
      <w:pPr>
        <w:pStyle w:val="TOC3"/>
        <w:tabs>
          <w:tab w:val="right" w:leader="dot" w:pos="9016"/>
        </w:tabs>
        <w:rPr>
          <w:noProof/>
        </w:rPr>
      </w:pPr>
      <w:hyperlink w:anchor="_Toc220991354" w:history="1">
        <w:r w:rsidRPr="003F5DF2">
          <w:rPr>
            <w:rStyle w:val="Hyperlink"/>
            <w:noProof/>
          </w:rPr>
          <w:t>7.6.1 Capital vs Operating Expenditure</w:t>
        </w:r>
        <w:r>
          <w:rPr>
            <w:noProof/>
            <w:webHidden/>
          </w:rPr>
          <w:tab/>
        </w:r>
        <w:r>
          <w:rPr>
            <w:noProof/>
            <w:webHidden/>
          </w:rPr>
          <w:fldChar w:fldCharType="begin"/>
        </w:r>
        <w:r>
          <w:rPr>
            <w:noProof/>
            <w:webHidden/>
          </w:rPr>
          <w:instrText xml:space="preserve"> PAGEREF _Toc220991354 \h </w:instrText>
        </w:r>
        <w:r>
          <w:rPr>
            <w:noProof/>
            <w:webHidden/>
          </w:rPr>
        </w:r>
        <w:r>
          <w:rPr>
            <w:noProof/>
            <w:webHidden/>
          </w:rPr>
          <w:fldChar w:fldCharType="separate"/>
        </w:r>
        <w:r w:rsidR="00974704">
          <w:rPr>
            <w:noProof/>
            <w:webHidden/>
          </w:rPr>
          <w:t>43</w:t>
        </w:r>
        <w:r>
          <w:rPr>
            <w:noProof/>
            <w:webHidden/>
          </w:rPr>
          <w:fldChar w:fldCharType="end"/>
        </w:r>
      </w:hyperlink>
    </w:p>
    <w:p w:rsidR="00B62AFC" w:rsidRDefault="00B62AFC">
      <w:pPr>
        <w:pStyle w:val="TOC2"/>
        <w:tabs>
          <w:tab w:val="right" w:leader="dot" w:pos="9016"/>
        </w:tabs>
        <w:rPr>
          <w:noProof/>
        </w:rPr>
      </w:pPr>
      <w:hyperlink w:anchor="_Toc220991355" w:history="1">
        <w:r w:rsidRPr="003F5DF2">
          <w:rPr>
            <w:rStyle w:val="Hyperlink"/>
            <w:noProof/>
          </w:rPr>
          <w:t>7.7 Unit Economics, CAC, LTV, and Payback</w:t>
        </w:r>
        <w:r>
          <w:rPr>
            <w:noProof/>
            <w:webHidden/>
          </w:rPr>
          <w:tab/>
        </w:r>
        <w:r>
          <w:rPr>
            <w:noProof/>
            <w:webHidden/>
          </w:rPr>
          <w:fldChar w:fldCharType="begin"/>
        </w:r>
        <w:r>
          <w:rPr>
            <w:noProof/>
            <w:webHidden/>
          </w:rPr>
          <w:instrText xml:space="preserve"> PAGEREF _Toc220991355 \h </w:instrText>
        </w:r>
        <w:r>
          <w:rPr>
            <w:noProof/>
            <w:webHidden/>
          </w:rPr>
        </w:r>
        <w:r>
          <w:rPr>
            <w:noProof/>
            <w:webHidden/>
          </w:rPr>
          <w:fldChar w:fldCharType="separate"/>
        </w:r>
        <w:r w:rsidR="00974704">
          <w:rPr>
            <w:noProof/>
            <w:webHidden/>
          </w:rPr>
          <w:t>44</w:t>
        </w:r>
        <w:r>
          <w:rPr>
            <w:noProof/>
            <w:webHidden/>
          </w:rPr>
          <w:fldChar w:fldCharType="end"/>
        </w:r>
      </w:hyperlink>
    </w:p>
    <w:p w:rsidR="00B62AFC" w:rsidRDefault="00B62AFC">
      <w:pPr>
        <w:pStyle w:val="TOC3"/>
        <w:tabs>
          <w:tab w:val="right" w:leader="dot" w:pos="9016"/>
        </w:tabs>
        <w:rPr>
          <w:noProof/>
        </w:rPr>
      </w:pPr>
      <w:hyperlink w:anchor="_Toc220991356" w:history="1">
        <w:r w:rsidRPr="003F5DF2">
          <w:rPr>
            <w:rStyle w:val="Hyperlink"/>
            <w:noProof/>
          </w:rPr>
          <w:t>7.7.1 Customer Acquisition Cost (CAC)</w:t>
        </w:r>
        <w:r>
          <w:rPr>
            <w:noProof/>
            <w:webHidden/>
          </w:rPr>
          <w:tab/>
        </w:r>
        <w:r>
          <w:rPr>
            <w:noProof/>
            <w:webHidden/>
          </w:rPr>
          <w:fldChar w:fldCharType="begin"/>
        </w:r>
        <w:r>
          <w:rPr>
            <w:noProof/>
            <w:webHidden/>
          </w:rPr>
          <w:instrText xml:space="preserve"> PAGEREF _Toc220991356 \h </w:instrText>
        </w:r>
        <w:r>
          <w:rPr>
            <w:noProof/>
            <w:webHidden/>
          </w:rPr>
        </w:r>
        <w:r>
          <w:rPr>
            <w:noProof/>
            <w:webHidden/>
          </w:rPr>
          <w:fldChar w:fldCharType="separate"/>
        </w:r>
        <w:r w:rsidR="00974704">
          <w:rPr>
            <w:noProof/>
            <w:webHidden/>
          </w:rPr>
          <w:t>44</w:t>
        </w:r>
        <w:r>
          <w:rPr>
            <w:noProof/>
            <w:webHidden/>
          </w:rPr>
          <w:fldChar w:fldCharType="end"/>
        </w:r>
      </w:hyperlink>
    </w:p>
    <w:p w:rsidR="00B62AFC" w:rsidRDefault="00B62AFC">
      <w:pPr>
        <w:pStyle w:val="TOC3"/>
        <w:tabs>
          <w:tab w:val="right" w:leader="dot" w:pos="9016"/>
        </w:tabs>
        <w:rPr>
          <w:noProof/>
        </w:rPr>
      </w:pPr>
      <w:hyperlink w:anchor="_Toc220991357" w:history="1">
        <w:r w:rsidRPr="003F5DF2">
          <w:rPr>
            <w:rStyle w:val="Hyperlink"/>
            <w:noProof/>
          </w:rPr>
          <w:t>7.7.2 Customer Lifetime Value (LTV)</w:t>
        </w:r>
        <w:r>
          <w:rPr>
            <w:noProof/>
            <w:webHidden/>
          </w:rPr>
          <w:tab/>
        </w:r>
        <w:r>
          <w:rPr>
            <w:noProof/>
            <w:webHidden/>
          </w:rPr>
          <w:fldChar w:fldCharType="begin"/>
        </w:r>
        <w:r>
          <w:rPr>
            <w:noProof/>
            <w:webHidden/>
          </w:rPr>
          <w:instrText xml:space="preserve"> PAGEREF _Toc220991357 \h </w:instrText>
        </w:r>
        <w:r>
          <w:rPr>
            <w:noProof/>
            <w:webHidden/>
          </w:rPr>
        </w:r>
        <w:r>
          <w:rPr>
            <w:noProof/>
            <w:webHidden/>
          </w:rPr>
          <w:fldChar w:fldCharType="separate"/>
        </w:r>
        <w:r w:rsidR="00974704">
          <w:rPr>
            <w:noProof/>
            <w:webHidden/>
          </w:rPr>
          <w:t>44</w:t>
        </w:r>
        <w:r>
          <w:rPr>
            <w:noProof/>
            <w:webHidden/>
          </w:rPr>
          <w:fldChar w:fldCharType="end"/>
        </w:r>
      </w:hyperlink>
    </w:p>
    <w:p w:rsidR="00B62AFC" w:rsidRDefault="00B62AFC">
      <w:pPr>
        <w:pStyle w:val="TOC3"/>
        <w:tabs>
          <w:tab w:val="right" w:leader="dot" w:pos="9016"/>
        </w:tabs>
        <w:rPr>
          <w:noProof/>
        </w:rPr>
      </w:pPr>
      <w:hyperlink w:anchor="_Toc220991358" w:history="1">
        <w:r w:rsidRPr="003F5DF2">
          <w:rPr>
            <w:rStyle w:val="Hyperlink"/>
            <w:noProof/>
          </w:rPr>
          <w:t>7.7.3 LTV / CAC Ratio and Payback</w:t>
        </w:r>
        <w:r>
          <w:rPr>
            <w:noProof/>
            <w:webHidden/>
          </w:rPr>
          <w:tab/>
        </w:r>
        <w:r>
          <w:rPr>
            <w:noProof/>
            <w:webHidden/>
          </w:rPr>
          <w:fldChar w:fldCharType="begin"/>
        </w:r>
        <w:r>
          <w:rPr>
            <w:noProof/>
            <w:webHidden/>
          </w:rPr>
          <w:instrText xml:space="preserve"> PAGEREF _Toc220991358 \h </w:instrText>
        </w:r>
        <w:r>
          <w:rPr>
            <w:noProof/>
            <w:webHidden/>
          </w:rPr>
        </w:r>
        <w:r>
          <w:rPr>
            <w:noProof/>
            <w:webHidden/>
          </w:rPr>
          <w:fldChar w:fldCharType="separate"/>
        </w:r>
        <w:r w:rsidR="00974704">
          <w:rPr>
            <w:noProof/>
            <w:webHidden/>
          </w:rPr>
          <w:t>44</w:t>
        </w:r>
        <w:r>
          <w:rPr>
            <w:noProof/>
            <w:webHidden/>
          </w:rPr>
          <w:fldChar w:fldCharType="end"/>
        </w:r>
      </w:hyperlink>
    </w:p>
    <w:p w:rsidR="00B62AFC" w:rsidRDefault="00B62AFC">
      <w:pPr>
        <w:pStyle w:val="TOC2"/>
        <w:tabs>
          <w:tab w:val="right" w:leader="dot" w:pos="9016"/>
        </w:tabs>
        <w:rPr>
          <w:noProof/>
        </w:rPr>
      </w:pPr>
      <w:hyperlink w:anchor="_Toc220991359" w:history="1">
        <w:r w:rsidRPr="003F5DF2">
          <w:rPr>
            <w:rStyle w:val="Hyperlink"/>
            <w:noProof/>
          </w:rPr>
          <w:t>7.8 Break-Even and Sensitivity Analysis</w:t>
        </w:r>
        <w:r>
          <w:rPr>
            <w:noProof/>
            <w:webHidden/>
          </w:rPr>
          <w:tab/>
        </w:r>
        <w:r>
          <w:rPr>
            <w:noProof/>
            <w:webHidden/>
          </w:rPr>
          <w:fldChar w:fldCharType="begin"/>
        </w:r>
        <w:r>
          <w:rPr>
            <w:noProof/>
            <w:webHidden/>
          </w:rPr>
          <w:instrText xml:space="preserve"> PAGEREF _Toc220991359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3"/>
        <w:tabs>
          <w:tab w:val="right" w:leader="dot" w:pos="9016"/>
        </w:tabs>
        <w:rPr>
          <w:noProof/>
        </w:rPr>
      </w:pPr>
      <w:hyperlink w:anchor="_Toc220991360" w:history="1">
        <w:r w:rsidRPr="003F5DF2">
          <w:rPr>
            <w:rStyle w:val="Hyperlink"/>
            <w:noProof/>
          </w:rPr>
          <w:t>7.8.1 Break-Even Point</w:t>
        </w:r>
        <w:r>
          <w:rPr>
            <w:noProof/>
            <w:webHidden/>
          </w:rPr>
          <w:tab/>
        </w:r>
        <w:r>
          <w:rPr>
            <w:noProof/>
            <w:webHidden/>
          </w:rPr>
          <w:fldChar w:fldCharType="begin"/>
        </w:r>
        <w:r>
          <w:rPr>
            <w:noProof/>
            <w:webHidden/>
          </w:rPr>
          <w:instrText xml:space="preserve"> PAGEREF _Toc220991360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3"/>
        <w:tabs>
          <w:tab w:val="right" w:leader="dot" w:pos="9016"/>
        </w:tabs>
        <w:rPr>
          <w:noProof/>
        </w:rPr>
      </w:pPr>
      <w:hyperlink w:anchor="_Toc220991361" w:history="1">
        <w:r w:rsidRPr="003F5DF2">
          <w:rPr>
            <w:rStyle w:val="Hyperlink"/>
            <w:noProof/>
          </w:rPr>
          <w:t>7.8.2 Sensitivity Analysis</w:t>
        </w:r>
        <w:r>
          <w:rPr>
            <w:noProof/>
            <w:webHidden/>
          </w:rPr>
          <w:tab/>
        </w:r>
        <w:r>
          <w:rPr>
            <w:noProof/>
            <w:webHidden/>
          </w:rPr>
          <w:fldChar w:fldCharType="begin"/>
        </w:r>
        <w:r>
          <w:rPr>
            <w:noProof/>
            <w:webHidden/>
          </w:rPr>
          <w:instrText xml:space="preserve"> PAGEREF _Toc220991361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2"/>
        <w:tabs>
          <w:tab w:val="right" w:leader="dot" w:pos="9016"/>
        </w:tabs>
        <w:rPr>
          <w:noProof/>
        </w:rPr>
      </w:pPr>
      <w:hyperlink w:anchor="_Toc220991362" w:history="1">
        <w:r w:rsidRPr="003F5DF2">
          <w:rPr>
            <w:rStyle w:val="Hyperlink"/>
            <w:noProof/>
          </w:rPr>
          <w:t>7.9 Tax and Compliance Considerations</w:t>
        </w:r>
        <w:r>
          <w:rPr>
            <w:noProof/>
            <w:webHidden/>
          </w:rPr>
          <w:tab/>
        </w:r>
        <w:r>
          <w:rPr>
            <w:noProof/>
            <w:webHidden/>
          </w:rPr>
          <w:fldChar w:fldCharType="begin"/>
        </w:r>
        <w:r>
          <w:rPr>
            <w:noProof/>
            <w:webHidden/>
          </w:rPr>
          <w:instrText xml:space="preserve"> PAGEREF _Toc220991362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2"/>
        <w:tabs>
          <w:tab w:val="right" w:leader="dot" w:pos="9016"/>
        </w:tabs>
        <w:rPr>
          <w:noProof/>
        </w:rPr>
      </w:pPr>
      <w:hyperlink w:anchor="_Toc220991363" w:history="1">
        <w:r w:rsidRPr="003F5DF2">
          <w:rPr>
            <w:rStyle w:val="Hyperlink"/>
            <w:noProof/>
          </w:rPr>
          <w:t>7.10 Financial Controls and Reporting</w:t>
        </w:r>
        <w:r>
          <w:rPr>
            <w:noProof/>
            <w:webHidden/>
          </w:rPr>
          <w:tab/>
        </w:r>
        <w:r>
          <w:rPr>
            <w:noProof/>
            <w:webHidden/>
          </w:rPr>
          <w:fldChar w:fldCharType="begin"/>
        </w:r>
        <w:r>
          <w:rPr>
            <w:noProof/>
            <w:webHidden/>
          </w:rPr>
          <w:instrText xml:space="preserve"> PAGEREF _Toc220991363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3"/>
        <w:tabs>
          <w:tab w:val="right" w:leader="dot" w:pos="9016"/>
        </w:tabs>
        <w:rPr>
          <w:noProof/>
        </w:rPr>
      </w:pPr>
      <w:hyperlink w:anchor="_Toc220991364" w:history="1">
        <w:r w:rsidRPr="003F5DF2">
          <w:rPr>
            <w:rStyle w:val="Hyperlink"/>
            <w:noProof/>
          </w:rPr>
          <w:t>7.10.1 Control Framework</w:t>
        </w:r>
        <w:r>
          <w:rPr>
            <w:noProof/>
            <w:webHidden/>
          </w:rPr>
          <w:tab/>
        </w:r>
        <w:r>
          <w:rPr>
            <w:noProof/>
            <w:webHidden/>
          </w:rPr>
          <w:fldChar w:fldCharType="begin"/>
        </w:r>
        <w:r>
          <w:rPr>
            <w:noProof/>
            <w:webHidden/>
          </w:rPr>
          <w:instrText xml:space="preserve"> PAGEREF _Toc220991364 \h </w:instrText>
        </w:r>
        <w:r>
          <w:rPr>
            <w:noProof/>
            <w:webHidden/>
          </w:rPr>
        </w:r>
        <w:r>
          <w:rPr>
            <w:noProof/>
            <w:webHidden/>
          </w:rPr>
          <w:fldChar w:fldCharType="separate"/>
        </w:r>
        <w:r w:rsidR="00974704">
          <w:rPr>
            <w:noProof/>
            <w:webHidden/>
          </w:rPr>
          <w:t>45</w:t>
        </w:r>
        <w:r>
          <w:rPr>
            <w:noProof/>
            <w:webHidden/>
          </w:rPr>
          <w:fldChar w:fldCharType="end"/>
        </w:r>
      </w:hyperlink>
    </w:p>
    <w:p w:rsidR="00B62AFC" w:rsidRDefault="00B62AFC">
      <w:pPr>
        <w:pStyle w:val="TOC2"/>
        <w:tabs>
          <w:tab w:val="right" w:leader="dot" w:pos="9016"/>
        </w:tabs>
        <w:rPr>
          <w:noProof/>
        </w:rPr>
      </w:pPr>
      <w:hyperlink w:anchor="_Toc220991365" w:history="1">
        <w:r w:rsidRPr="003F5DF2">
          <w:rPr>
            <w:rStyle w:val="Hyperlink"/>
            <w:noProof/>
            <w:lang w:val="en-IN"/>
          </w:rPr>
          <w:t>7.11 Evidence, Benchmarks, Success and Failure Parallels</w:t>
        </w:r>
        <w:r>
          <w:rPr>
            <w:noProof/>
            <w:webHidden/>
          </w:rPr>
          <w:tab/>
        </w:r>
        <w:r>
          <w:rPr>
            <w:noProof/>
            <w:webHidden/>
          </w:rPr>
          <w:fldChar w:fldCharType="begin"/>
        </w:r>
        <w:r>
          <w:rPr>
            <w:noProof/>
            <w:webHidden/>
          </w:rPr>
          <w:instrText xml:space="preserve"> PAGEREF _Toc220991365 \h </w:instrText>
        </w:r>
        <w:r>
          <w:rPr>
            <w:noProof/>
            <w:webHidden/>
          </w:rPr>
        </w:r>
        <w:r>
          <w:rPr>
            <w:noProof/>
            <w:webHidden/>
          </w:rPr>
          <w:fldChar w:fldCharType="separate"/>
        </w:r>
        <w:r w:rsidR="00974704">
          <w:rPr>
            <w:noProof/>
            <w:webHidden/>
          </w:rPr>
          <w:t>46</w:t>
        </w:r>
        <w:r>
          <w:rPr>
            <w:noProof/>
            <w:webHidden/>
          </w:rPr>
          <w:fldChar w:fldCharType="end"/>
        </w:r>
      </w:hyperlink>
    </w:p>
    <w:p w:rsidR="00B62AFC" w:rsidRDefault="00B62AFC">
      <w:pPr>
        <w:pStyle w:val="TOC3"/>
        <w:tabs>
          <w:tab w:val="right" w:leader="dot" w:pos="9016"/>
        </w:tabs>
        <w:rPr>
          <w:noProof/>
        </w:rPr>
      </w:pPr>
      <w:hyperlink w:anchor="_Toc220991366" w:history="1">
        <w:r w:rsidRPr="003F5DF2">
          <w:rPr>
            <w:rStyle w:val="Hyperlink"/>
            <w:noProof/>
          </w:rPr>
          <w:t>7.11.1 Industry Benchmarks</w:t>
        </w:r>
        <w:r>
          <w:rPr>
            <w:noProof/>
            <w:webHidden/>
          </w:rPr>
          <w:tab/>
        </w:r>
        <w:r>
          <w:rPr>
            <w:noProof/>
            <w:webHidden/>
          </w:rPr>
          <w:fldChar w:fldCharType="begin"/>
        </w:r>
        <w:r>
          <w:rPr>
            <w:noProof/>
            <w:webHidden/>
          </w:rPr>
          <w:instrText xml:space="preserve"> PAGEREF _Toc220991366 \h </w:instrText>
        </w:r>
        <w:r>
          <w:rPr>
            <w:noProof/>
            <w:webHidden/>
          </w:rPr>
        </w:r>
        <w:r>
          <w:rPr>
            <w:noProof/>
            <w:webHidden/>
          </w:rPr>
          <w:fldChar w:fldCharType="separate"/>
        </w:r>
        <w:r w:rsidR="00974704">
          <w:rPr>
            <w:noProof/>
            <w:webHidden/>
          </w:rPr>
          <w:t>46</w:t>
        </w:r>
        <w:r>
          <w:rPr>
            <w:noProof/>
            <w:webHidden/>
          </w:rPr>
          <w:fldChar w:fldCharType="end"/>
        </w:r>
      </w:hyperlink>
    </w:p>
    <w:p w:rsidR="00B62AFC" w:rsidRDefault="00B62AFC">
      <w:pPr>
        <w:pStyle w:val="TOC3"/>
        <w:tabs>
          <w:tab w:val="right" w:leader="dot" w:pos="9016"/>
        </w:tabs>
        <w:rPr>
          <w:noProof/>
        </w:rPr>
      </w:pPr>
      <w:hyperlink w:anchor="_Toc220991367" w:history="1">
        <w:r w:rsidRPr="003F5DF2">
          <w:rPr>
            <w:rStyle w:val="Hyperlink"/>
            <w:noProof/>
          </w:rPr>
          <w:t>7.11.2 Success Parallels</w:t>
        </w:r>
        <w:r>
          <w:rPr>
            <w:noProof/>
            <w:webHidden/>
          </w:rPr>
          <w:tab/>
        </w:r>
        <w:r>
          <w:rPr>
            <w:noProof/>
            <w:webHidden/>
          </w:rPr>
          <w:fldChar w:fldCharType="begin"/>
        </w:r>
        <w:r>
          <w:rPr>
            <w:noProof/>
            <w:webHidden/>
          </w:rPr>
          <w:instrText xml:space="preserve"> PAGEREF _Toc220991367 \h </w:instrText>
        </w:r>
        <w:r>
          <w:rPr>
            <w:noProof/>
            <w:webHidden/>
          </w:rPr>
        </w:r>
        <w:r>
          <w:rPr>
            <w:noProof/>
            <w:webHidden/>
          </w:rPr>
          <w:fldChar w:fldCharType="separate"/>
        </w:r>
        <w:r w:rsidR="00974704">
          <w:rPr>
            <w:noProof/>
            <w:webHidden/>
          </w:rPr>
          <w:t>46</w:t>
        </w:r>
        <w:r>
          <w:rPr>
            <w:noProof/>
            <w:webHidden/>
          </w:rPr>
          <w:fldChar w:fldCharType="end"/>
        </w:r>
      </w:hyperlink>
    </w:p>
    <w:p w:rsidR="00B62AFC" w:rsidRDefault="00B62AFC">
      <w:pPr>
        <w:pStyle w:val="TOC3"/>
        <w:tabs>
          <w:tab w:val="right" w:leader="dot" w:pos="9016"/>
        </w:tabs>
        <w:rPr>
          <w:noProof/>
        </w:rPr>
      </w:pPr>
      <w:hyperlink w:anchor="_Toc220991368" w:history="1">
        <w:r w:rsidRPr="003F5DF2">
          <w:rPr>
            <w:rStyle w:val="Hyperlink"/>
            <w:noProof/>
          </w:rPr>
          <w:t>7.11.3 Failure Parallels</w:t>
        </w:r>
        <w:r>
          <w:rPr>
            <w:noProof/>
            <w:webHidden/>
          </w:rPr>
          <w:tab/>
        </w:r>
        <w:r>
          <w:rPr>
            <w:noProof/>
            <w:webHidden/>
          </w:rPr>
          <w:fldChar w:fldCharType="begin"/>
        </w:r>
        <w:r>
          <w:rPr>
            <w:noProof/>
            <w:webHidden/>
          </w:rPr>
          <w:instrText xml:space="preserve"> PAGEREF _Toc220991368 \h </w:instrText>
        </w:r>
        <w:r>
          <w:rPr>
            <w:noProof/>
            <w:webHidden/>
          </w:rPr>
        </w:r>
        <w:r>
          <w:rPr>
            <w:noProof/>
            <w:webHidden/>
          </w:rPr>
          <w:fldChar w:fldCharType="separate"/>
        </w:r>
        <w:r w:rsidR="00974704">
          <w:rPr>
            <w:noProof/>
            <w:webHidden/>
          </w:rPr>
          <w:t>46</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69" w:history="1">
        <w:r w:rsidRPr="003F5DF2">
          <w:rPr>
            <w:rStyle w:val="Hyperlink"/>
            <w:noProof/>
          </w:rPr>
          <w:t>Chapter 8: Risk Analysis and Management</w:t>
        </w:r>
        <w:r>
          <w:rPr>
            <w:noProof/>
            <w:webHidden/>
          </w:rPr>
          <w:tab/>
        </w:r>
        <w:r>
          <w:rPr>
            <w:noProof/>
            <w:webHidden/>
          </w:rPr>
          <w:fldChar w:fldCharType="begin"/>
        </w:r>
        <w:r>
          <w:rPr>
            <w:noProof/>
            <w:webHidden/>
          </w:rPr>
          <w:instrText xml:space="preserve"> PAGEREF _Toc220991369 \h </w:instrText>
        </w:r>
        <w:r>
          <w:rPr>
            <w:noProof/>
            <w:webHidden/>
          </w:rPr>
        </w:r>
        <w:r>
          <w:rPr>
            <w:noProof/>
            <w:webHidden/>
          </w:rPr>
          <w:fldChar w:fldCharType="separate"/>
        </w:r>
        <w:r w:rsidR="00974704">
          <w:rPr>
            <w:noProof/>
            <w:webHidden/>
          </w:rPr>
          <w:t>47</w:t>
        </w:r>
        <w:r>
          <w:rPr>
            <w:noProof/>
            <w:webHidden/>
          </w:rPr>
          <w:fldChar w:fldCharType="end"/>
        </w:r>
      </w:hyperlink>
    </w:p>
    <w:p w:rsidR="00B62AFC" w:rsidRDefault="00B62AFC">
      <w:pPr>
        <w:pStyle w:val="TOC2"/>
        <w:tabs>
          <w:tab w:val="right" w:leader="dot" w:pos="9016"/>
        </w:tabs>
        <w:rPr>
          <w:noProof/>
        </w:rPr>
      </w:pPr>
      <w:hyperlink w:anchor="_Toc220991370" w:history="1">
        <w:r w:rsidRPr="003F5DF2">
          <w:rPr>
            <w:rStyle w:val="Hyperlink"/>
            <w:noProof/>
          </w:rPr>
          <w:t>8.0 Introduction</w:t>
        </w:r>
        <w:r>
          <w:rPr>
            <w:noProof/>
            <w:webHidden/>
          </w:rPr>
          <w:tab/>
        </w:r>
        <w:r>
          <w:rPr>
            <w:noProof/>
            <w:webHidden/>
          </w:rPr>
          <w:fldChar w:fldCharType="begin"/>
        </w:r>
        <w:r>
          <w:rPr>
            <w:noProof/>
            <w:webHidden/>
          </w:rPr>
          <w:instrText xml:space="preserve"> PAGEREF _Toc220991370 \h </w:instrText>
        </w:r>
        <w:r>
          <w:rPr>
            <w:noProof/>
            <w:webHidden/>
          </w:rPr>
        </w:r>
        <w:r>
          <w:rPr>
            <w:noProof/>
            <w:webHidden/>
          </w:rPr>
          <w:fldChar w:fldCharType="separate"/>
        </w:r>
        <w:r w:rsidR="00974704">
          <w:rPr>
            <w:noProof/>
            <w:webHidden/>
          </w:rPr>
          <w:t>47</w:t>
        </w:r>
        <w:r>
          <w:rPr>
            <w:noProof/>
            <w:webHidden/>
          </w:rPr>
          <w:fldChar w:fldCharType="end"/>
        </w:r>
      </w:hyperlink>
    </w:p>
    <w:p w:rsidR="00B62AFC" w:rsidRDefault="00B62AFC">
      <w:pPr>
        <w:pStyle w:val="TOC2"/>
        <w:tabs>
          <w:tab w:val="right" w:leader="dot" w:pos="9016"/>
        </w:tabs>
        <w:rPr>
          <w:noProof/>
        </w:rPr>
      </w:pPr>
      <w:hyperlink w:anchor="_Toc220991371" w:history="1">
        <w:r w:rsidRPr="003F5DF2">
          <w:rPr>
            <w:rStyle w:val="Hyperlink"/>
            <w:noProof/>
          </w:rPr>
          <w:t>8.1 Risk Policy and Governance</w:t>
        </w:r>
        <w:r>
          <w:rPr>
            <w:noProof/>
            <w:webHidden/>
          </w:rPr>
          <w:tab/>
        </w:r>
        <w:r>
          <w:rPr>
            <w:noProof/>
            <w:webHidden/>
          </w:rPr>
          <w:fldChar w:fldCharType="begin"/>
        </w:r>
        <w:r>
          <w:rPr>
            <w:noProof/>
            <w:webHidden/>
          </w:rPr>
          <w:instrText xml:space="preserve"> PAGEREF _Toc220991371 \h </w:instrText>
        </w:r>
        <w:r>
          <w:rPr>
            <w:noProof/>
            <w:webHidden/>
          </w:rPr>
        </w:r>
        <w:r>
          <w:rPr>
            <w:noProof/>
            <w:webHidden/>
          </w:rPr>
          <w:fldChar w:fldCharType="separate"/>
        </w:r>
        <w:r w:rsidR="00974704">
          <w:rPr>
            <w:noProof/>
            <w:webHidden/>
          </w:rPr>
          <w:t>48</w:t>
        </w:r>
        <w:r>
          <w:rPr>
            <w:noProof/>
            <w:webHidden/>
          </w:rPr>
          <w:fldChar w:fldCharType="end"/>
        </w:r>
      </w:hyperlink>
    </w:p>
    <w:p w:rsidR="00B62AFC" w:rsidRDefault="00B62AFC">
      <w:pPr>
        <w:pStyle w:val="TOC2"/>
        <w:tabs>
          <w:tab w:val="right" w:leader="dot" w:pos="9016"/>
        </w:tabs>
        <w:rPr>
          <w:noProof/>
        </w:rPr>
      </w:pPr>
      <w:hyperlink w:anchor="_Toc220991372" w:history="1">
        <w:r w:rsidRPr="003F5DF2">
          <w:rPr>
            <w:rStyle w:val="Hyperlink"/>
            <w:noProof/>
          </w:rPr>
          <w:t>8.2 Risk Heat Map</w:t>
        </w:r>
        <w:r>
          <w:rPr>
            <w:noProof/>
            <w:webHidden/>
          </w:rPr>
          <w:tab/>
        </w:r>
        <w:r>
          <w:rPr>
            <w:noProof/>
            <w:webHidden/>
          </w:rPr>
          <w:fldChar w:fldCharType="begin"/>
        </w:r>
        <w:r>
          <w:rPr>
            <w:noProof/>
            <w:webHidden/>
          </w:rPr>
          <w:instrText xml:space="preserve"> PAGEREF _Toc220991372 \h </w:instrText>
        </w:r>
        <w:r>
          <w:rPr>
            <w:noProof/>
            <w:webHidden/>
          </w:rPr>
        </w:r>
        <w:r>
          <w:rPr>
            <w:noProof/>
            <w:webHidden/>
          </w:rPr>
          <w:fldChar w:fldCharType="separate"/>
        </w:r>
        <w:r w:rsidR="00974704">
          <w:rPr>
            <w:noProof/>
            <w:webHidden/>
          </w:rPr>
          <w:t>49</w:t>
        </w:r>
        <w:r>
          <w:rPr>
            <w:noProof/>
            <w:webHidden/>
          </w:rPr>
          <w:fldChar w:fldCharType="end"/>
        </w:r>
      </w:hyperlink>
    </w:p>
    <w:p w:rsidR="00B62AFC" w:rsidRDefault="00B62AFC">
      <w:pPr>
        <w:pStyle w:val="TOC2"/>
        <w:tabs>
          <w:tab w:val="right" w:leader="dot" w:pos="9016"/>
        </w:tabs>
        <w:rPr>
          <w:noProof/>
        </w:rPr>
      </w:pPr>
      <w:hyperlink w:anchor="_Toc220991373" w:history="1">
        <w:r w:rsidRPr="003F5DF2">
          <w:rPr>
            <w:rStyle w:val="Hyperlink"/>
            <w:noProof/>
          </w:rPr>
          <w:t>8.3 Risk Register (Controls and Contingency).</w:t>
        </w:r>
        <w:r>
          <w:rPr>
            <w:noProof/>
            <w:webHidden/>
          </w:rPr>
          <w:tab/>
        </w:r>
        <w:r>
          <w:rPr>
            <w:noProof/>
            <w:webHidden/>
          </w:rPr>
          <w:fldChar w:fldCharType="begin"/>
        </w:r>
        <w:r>
          <w:rPr>
            <w:noProof/>
            <w:webHidden/>
          </w:rPr>
          <w:instrText xml:space="preserve"> PAGEREF _Toc220991373 \h </w:instrText>
        </w:r>
        <w:r>
          <w:rPr>
            <w:noProof/>
            <w:webHidden/>
          </w:rPr>
        </w:r>
        <w:r>
          <w:rPr>
            <w:noProof/>
            <w:webHidden/>
          </w:rPr>
          <w:fldChar w:fldCharType="separate"/>
        </w:r>
        <w:r w:rsidR="00974704">
          <w:rPr>
            <w:noProof/>
            <w:webHidden/>
          </w:rPr>
          <w:t>50</w:t>
        </w:r>
        <w:r>
          <w:rPr>
            <w:noProof/>
            <w:webHidden/>
          </w:rPr>
          <w:fldChar w:fldCharType="end"/>
        </w:r>
      </w:hyperlink>
    </w:p>
    <w:p w:rsidR="00B62AFC" w:rsidRDefault="00B62AFC">
      <w:pPr>
        <w:pStyle w:val="TOC2"/>
        <w:tabs>
          <w:tab w:val="right" w:leader="dot" w:pos="9016"/>
        </w:tabs>
        <w:rPr>
          <w:noProof/>
        </w:rPr>
      </w:pPr>
      <w:hyperlink w:anchor="_Toc220991374" w:history="1">
        <w:r w:rsidRPr="003F5DF2">
          <w:rPr>
            <w:rStyle w:val="Hyperlink"/>
            <w:noProof/>
            <w:lang w:val="en-IN"/>
          </w:rPr>
          <w:t>8.4 Scenario Tests</w:t>
        </w:r>
        <w:r>
          <w:rPr>
            <w:noProof/>
            <w:webHidden/>
          </w:rPr>
          <w:tab/>
        </w:r>
        <w:r>
          <w:rPr>
            <w:noProof/>
            <w:webHidden/>
          </w:rPr>
          <w:fldChar w:fldCharType="begin"/>
        </w:r>
        <w:r>
          <w:rPr>
            <w:noProof/>
            <w:webHidden/>
          </w:rPr>
          <w:instrText xml:space="preserve"> PAGEREF _Toc220991374 \h </w:instrText>
        </w:r>
        <w:r>
          <w:rPr>
            <w:noProof/>
            <w:webHidden/>
          </w:rPr>
        </w:r>
        <w:r>
          <w:rPr>
            <w:noProof/>
            <w:webHidden/>
          </w:rPr>
          <w:fldChar w:fldCharType="separate"/>
        </w:r>
        <w:r w:rsidR="00974704">
          <w:rPr>
            <w:noProof/>
            <w:webHidden/>
          </w:rPr>
          <w:t>51</w:t>
        </w:r>
        <w:r>
          <w:rPr>
            <w:noProof/>
            <w:webHidden/>
          </w:rPr>
          <w:fldChar w:fldCharType="end"/>
        </w:r>
      </w:hyperlink>
    </w:p>
    <w:p w:rsidR="00B62AFC" w:rsidRDefault="00B62AFC">
      <w:pPr>
        <w:pStyle w:val="TOC2"/>
        <w:tabs>
          <w:tab w:val="right" w:leader="dot" w:pos="9016"/>
        </w:tabs>
        <w:rPr>
          <w:noProof/>
        </w:rPr>
      </w:pPr>
      <w:hyperlink w:anchor="_Toc220991375" w:history="1">
        <w:r w:rsidRPr="003F5DF2">
          <w:rPr>
            <w:rStyle w:val="Hyperlink"/>
            <w:noProof/>
          </w:rPr>
          <w:t>8.5 Business Continuity and Incident Response.</w:t>
        </w:r>
        <w:r>
          <w:rPr>
            <w:noProof/>
            <w:webHidden/>
          </w:rPr>
          <w:tab/>
        </w:r>
        <w:r>
          <w:rPr>
            <w:noProof/>
            <w:webHidden/>
          </w:rPr>
          <w:fldChar w:fldCharType="begin"/>
        </w:r>
        <w:r>
          <w:rPr>
            <w:noProof/>
            <w:webHidden/>
          </w:rPr>
          <w:instrText xml:space="preserve"> PAGEREF _Toc220991375 \h </w:instrText>
        </w:r>
        <w:r>
          <w:rPr>
            <w:noProof/>
            <w:webHidden/>
          </w:rPr>
        </w:r>
        <w:r>
          <w:rPr>
            <w:noProof/>
            <w:webHidden/>
          </w:rPr>
          <w:fldChar w:fldCharType="separate"/>
        </w:r>
        <w:r w:rsidR="00974704">
          <w:rPr>
            <w:noProof/>
            <w:webHidden/>
          </w:rPr>
          <w:t>51</w:t>
        </w:r>
        <w:r>
          <w:rPr>
            <w:noProof/>
            <w:webHidden/>
          </w:rPr>
          <w:fldChar w:fldCharType="end"/>
        </w:r>
      </w:hyperlink>
    </w:p>
    <w:p w:rsidR="00B62AFC" w:rsidRDefault="00B62AFC">
      <w:pPr>
        <w:pStyle w:val="TOC2"/>
        <w:tabs>
          <w:tab w:val="right" w:leader="dot" w:pos="9016"/>
        </w:tabs>
        <w:rPr>
          <w:noProof/>
        </w:rPr>
      </w:pPr>
      <w:hyperlink w:anchor="_Toc220991376" w:history="1">
        <w:r w:rsidRPr="003F5DF2">
          <w:rPr>
            <w:rStyle w:val="Hyperlink"/>
            <w:noProof/>
          </w:rPr>
          <w:t>8.6 Compliance Monitoring</w:t>
        </w:r>
        <w:r>
          <w:rPr>
            <w:noProof/>
            <w:webHidden/>
          </w:rPr>
          <w:tab/>
        </w:r>
        <w:r>
          <w:rPr>
            <w:noProof/>
            <w:webHidden/>
          </w:rPr>
          <w:fldChar w:fldCharType="begin"/>
        </w:r>
        <w:r>
          <w:rPr>
            <w:noProof/>
            <w:webHidden/>
          </w:rPr>
          <w:instrText xml:space="preserve"> PAGEREF _Toc220991376 \h </w:instrText>
        </w:r>
        <w:r>
          <w:rPr>
            <w:noProof/>
            <w:webHidden/>
          </w:rPr>
        </w:r>
        <w:r>
          <w:rPr>
            <w:noProof/>
            <w:webHidden/>
          </w:rPr>
          <w:fldChar w:fldCharType="separate"/>
        </w:r>
        <w:r w:rsidR="00974704">
          <w:rPr>
            <w:noProof/>
            <w:webHidden/>
          </w:rPr>
          <w:t>52</w:t>
        </w:r>
        <w:r>
          <w:rPr>
            <w:noProof/>
            <w:webHidden/>
          </w:rPr>
          <w:fldChar w:fldCharType="end"/>
        </w:r>
      </w:hyperlink>
    </w:p>
    <w:p w:rsidR="00B62AFC" w:rsidRDefault="00B62AFC">
      <w:pPr>
        <w:pStyle w:val="TOC2"/>
        <w:tabs>
          <w:tab w:val="right" w:leader="dot" w:pos="9016"/>
        </w:tabs>
        <w:rPr>
          <w:noProof/>
        </w:rPr>
      </w:pPr>
      <w:hyperlink w:anchor="_Toc220991377" w:history="1">
        <w:r w:rsidRPr="003F5DF2">
          <w:rPr>
            <w:rStyle w:val="Hyperlink"/>
            <w:noProof/>
          </w:rPr>
          <w:t>8.7 Summary</w:t>
        </w:r>
        <w:r>
          <w:rPr>
            <w:noProof/>
            <w:webHidden/>
          </w:rPr>
          <w:tab/>
        </w:r>
        <w:r>
          <w:rPr>
            <w:noProof/>
            <w:webHidden/>
          </w:rPr>
          <w:fldChar w:fldCharType="begin"/>
        </w:r>
        <w:r>
          <w:rPr>
            <w:noProof/>
            <w:webHidden/>
          </w:rPr>
          <w:instrText xml:space="preserve"> PAGEREF _Toc220991377 \h </w:instrText>
        </w:r>
        <w:r>
          <w:rPr>
            <w:noProof/>
            <w:webHidden/>
          </w:rPr>
        </w:r>
        <w:r>
          <w:rPr>
            <w:noProof/>
            <w:webHidden/>
          </w:rPr>
          <w:fldChar w:fldCharType="separate"/>
        </w:r>
        <w:r w:rsidR="00974704">
          <w:rPr>
            <w:noProof/>
            <w:webHidden/>
          </w:rPr>
          <w:t>52</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78" w:history="1">
        <w:r w:rsidRPr="003F5DF2">
          <w:rPr>
            <w:rStyle w:val="Hyperlink"/>
            <w:noProof/>
          </w:rPr>
          <w:t>Chapter 09: Implementation Plan</w:t>
        </w:r>
        <w:r>
          <w:rPr>
            <w:noProof/>
            <w:webHidden/>
          </w:rPr>
          <w:tab/>
        </w:r>
        <w:r>
          <w:rPr>
            <w:noProof/>
            <w:webHidden/>
          </w:rPr>
          <w:fldChar w:fldCharType="begin"/>
        </w:r>
        <w:r>
          <w:rPr>
            <w:noProof/>
            <w:webHidden/>
          </w:rPr>
          <w:instrText xml:space="preserve"> PAGEREF _Toc220991378 \h </w:instrText>
        </w:r>
        <w:r>
          <w:rPr>
            <w:noProof/>
            <w:webHidden/>
          </w:rPr>
        </w:r>
        <w:r>
          <w:rPr>
            <w:noProof/>
            <w:webHidden/>
          </w:rPr>
          <w:fldChar w:fldCharType="separate"/>
        </w:r>
        <w:r w:rsidR="00974704">
          <w:rPr>
            <w:noProof/>
            <w:webHidden/>
          </w:rPr>
          <w:t>52</w:t>
        </w:r>
        <w:r>
          <w:rPr>
            <w:noProof/>
            <w:webHidden/>
          </w:rPr>
          <w:fldChar w:fldCharType="end"/>
        </w:r>
      </w:hyperlink>
    </w:p>
    <w:p w:rsidR="00B62AFC" w:rsidRDefault="00B62AFC">
      <w:pPr>
        <w:pStyle w:val="TOC2"/>
        <w:tabs>
          <w:tab w:val="right" w:leader="dot" w:pos="9016"/>
        </w:tabs>
        <w:rPr>
          <w:noProof/>
        </w:rPr>
      </w:pPr>
      <w:hyperlink w:anchor="_Toc220991379" w:history="1">
        <w:r w:rsidRPr="003F5DF2">
          <w:rPr>
            <w:rStyle w:val="Hyperlink"/>
            <w:noProof/>
          </w:rPr>
          <w:t>9.1 24-Month Roadmap (Phased Implementation)</w:t>
        </w:r>
        <w:r>
          <w:rPr>
            <w:noProof/>
            <w:webHidden/>
          </w:rPr>
          <w:tab/>
        </w:r>
        <w:r>
          <w:rPr>
            <w:noProof/>
            <w:webHidden/>
          </w:rPr>
          <w:fldChar w:fldCharType="begin"/>
        </w:r>
        <w:r>
          <w:rPr>
            <w:noProof/>
            <w:webHidden/>
          </w:rPr>
          <w:instrText xml:space="preserve"> PAGEREF _Toc220991379 \h </w:instrText>
        </w:r>
        <w:r>
          <w:rPr>
            <w:noProof/>
            <w:webHidden/>
          </w:rPr>
        </w:r>
        <w:r>
          <w:rPr>
            <w:noProof/>
            <w:webHidden/>
          </w:rPr>
          <w:fldChar w:fldCharType="separate"/>
        </w:r>
        <w:r w:rsidR="00974704">
          <w:rPr>
            <w:noProof/>
            <w:webHidden/>
          </w:rPr>
          <w:t>52</w:t>
        </w:r>
        <w:r>
          <w:rPr>
            <w:noProof/>
            <w:webHidden/>
          </w:rPr>
          <w:fldChar w:fldCharType="end"/>
        </w:r>
      </w:hyperlink>
    </w:p>
    <w:p w:rsidR="00B62AFC" w:rsidRDefault="00B62AFC">
      <w:pPr>
        <w:pStyle w:val="TOC2"/>
        <w:tabs>
          <w:tab w:val="right" w:leader="dot" w:pos="9016"/>
        </w:tabs>
        <w:rPr>
          <w:noProof/>
        </w:rPr>
      </w:pPr>
      <w:hyperlink w:anchor="_Toc220991380" w:history="1">
        <w:r w:rsidRPr="003F5DF2">
          <w:rPr>
            <w:rStyle w:val="Hyperlink"/>
            <w:noProof/>
          </w:rPr>
          <w:t>9.2 Workstreams and Milestones</w:t>
        </w:r>
        <w:r>
          <w:rPr>
            <w:noProof/>
            <w:webHidden/>
          </w:rPr>
          <w:tab/>
        </w:r>
        <w:r>
          <w:rPr>
            <w:noProof/>
            <w:webHidden/>
          </w:rPr>
          <w:fldChar w:fldCharType="begin"/>
        </w:r>
        <w:r>
          <w:rPr>
            <w:noProof/>
            <w:webHidden/>
          </w:rPr>
          <w:instrText xml:space="preserve"> PAGEREF _Toc220991380 \h </w:instrText>
        </w:r>
        <w:r>
          <w:rPr>
            <w:noProof/>
            <w:webHidden/>
          </w:rPr>
        </w:r>
        <w:r>
          <w:rPr>
            <w:noProof/>
            <w:webHidden/>
          </w:rPr>
          <w:fldChar w:fldCharType="separate"/>
        </w:r>
        <w:r w:rsidR="00974704">
          <w:rPr>
            <w:noProof/>
            <w:webHidden/>
          </w:rPr>
          <w:t>53</w:t>
        </w:r>
        <w:r>
          <w:rPr>
            <w:noProof/>
            <w:webHidden/>
          </w:rPr>
          <w:fldChar w:fldCharType="end"/>
        </w:r>
      </w:hyperlink>
    </w:p>
    <w:p w:rsidR="00B62AFC" w:rsidRDefault="00B62AFC">
      <w:pPr>
        <w:pStyle w:val="TOC2"/>
        <w:tabs>
          <w:tab w:val="right" w:leader="dot" w:pos="9016"/>
        </w:tabs>
        <w:rPr>
          <w:noProof/>
        </w:rPr>
      </w:pPr>
      <w:hyperlink w:anchor="_Toc220991381" w:history="1">
        <w:r w:rsidRPr="003F5DF2">
          <w:rPr>
            <w:rStyle w:val="Hyperlink"/>
            <w:noProof/>
          </w:rPr>
          <w:t>Table 9.3: RACI Framework</w:t>
        </w:r>
        <w:r>
          <w:rPr>
            <w:noProof/>
            <w:webHidden/>
          </w:rPr>
          <w:tab/>
        </w:r>
        <w:r>
          <w:rPr>
            <w:noProof/>
            <w:webHidden/>
          </w:rPr>
          <w:fldChar w:fldCharType="begin"/>
        </w:r>
        <w:r>
          <w:rPr>
            <w:noProof/>
            <w:webHidden/>
          </w:rPr>
          <w:instrText xml:space="preserve"> PAGEREF _Toc220991381 \h </w:instrText>
        </w:r>
        <w:r>
          <w:rPr>
            <w:noProof/>
            <w:webHidden/>
          </w:rPr>
        </w:r>
        <w:r>
          <w:rPr>
            <w:noProof/>
            <w:webHidden/>
          </w:rPr>
          <w:fldChar w:fldCharType="separate"/>
        </w:r>
        <w:r w:rsidR="00974704">
          <w:rPr>
            <w:noProof/>
            <w:webHidden/>
          </w:rPr>
          <w:t>54</w:t>
        </w:r>
        <w:r>
          <w:rPr>
            <w:noProof/>
            <w:webHidden/>
          </w:rPr>
          <w:fldChar w:fldCharType="end"/>
        </w:r>
      </w:hyperlink>
    </w:p>
    <w:p w:rsidR="00B62AFC" w:rsidRDefault="00B62AFC">
      <w:pPr>
        <w:pStyle w:val="TOC2"/>
        <w:tabs>
          <w:tab w:val="right" w:leader="dot" w:pos="9016"/>
        </w:tabs>
        <w:rPr>
          <w:noProof/>
        </w:rPr>
      </w:pPr>
      <w:hyperlink w:anchor="_Toc220991382" w:history="1">
        <w:r w:rsidRPr="003F5DF2">
          <w:rPr>
            <w:rStyle w:val="Hyperlink"/>
            <w:noProof/>
            <w:lang w:val="en-IN"/>
          </w:rPr>
          <w:t>9.4 Resource and Budget Notes</w:t>
        </w:r>
        <w:r>
          <w:rPr>
            <w:noProof/>
            <w:webHidden/>
          </w:rPr>
          <w:tab/>
        </w:r>
        <w:r>
          <w:rPr>
            <w:noProof/>
            <w:webHidden/>
          </w:rPr>
          <w:fldChar w:fldCharType="begin"/>
        </w:r>
        <w:r>
          <w:rPr>
            <w:noProof/>
            <w:webHidden/>
          </w:rPr>
          <w:instrText xml:space="preserve"> PAGEREF _Toc220991382 \h </w:instrText>
        </w:r>
        <w:r>
          <w:rPr>
            <w:noProof/>
            <w:webHidden/>
          </w:rPr>
        </w:r>
        <w:r>
          <w:rPr>
            <w:noProof/>
            <w:webHidden/>
          </w:rPr>
          <w:fldChar w:fldCharType="separate"/>
        </w:r>
        <w:r w:rsidR="00974704">
          <w:rPr>
            <w:noProof/>
            <w:webHidden/>
          </w:rPr>
          <w:t>54</w:t>
        </w:r>
        <w:r>
          <w:rPr>
            <w:noProof/>
            <w:webHidden/>
          </w:rPr>
          <w:fldChar w:fldCharType="end"/>
        </w:r>
      </w:hyperlink>
    </w:p>
    <w:p w:rsidR="00B62AFC" w:rsidRDefault="00B62AFC">
      <w:pPr>
        <w:pStyle w:val="TOC2"/>
        <w:tabs>
          <w:tab w:val="right" w:leader="dot" w:pos="9016"/>
        </w:tabs>
        <w:rPr>
          <w:noProof/>
        </w:rPr>
      </w:pPr>
      <w:hyperlink w:anchor="_Toc220991383" w:history="1">
        <w:r w:rsidRPr="003F5DF2">
          <w:rPr>
            <w:rStyle w:val="Hyperlink"/>
            <w:noProof/>
          </w:rPr>
          <w:t>9.5 KPIs and Stage Gates</w:t>
        </w:r>
        <w:r>
          <w:rPr>
            <w:noProof/>
            <w:webHidden/>
          </w:rPr>
          <w:tab/>
        </w:r>
        <w:r>
          <w:rPr>
            <w:noProof/>
            <w:webHidden/>
          </w:rPr>
          <w:fldChar w:fldCharType="begin"/>
        </w:r>
        <w:r>
          <w:rPr>
            <w:noProof/>
            <w:webHidden/>
          </w:rPr>
          <w:instrText xml:space="preserve"> PAGEREF _Toc220991383 \h </w:instrText>
        </w:r>
        <w:r>
          <w:rPr>
            <w:noProof/>
            <w:webHidden/>
          </w:rPr>
        </w:r>
        <w:r>
          <w:rPr>
            <w:noProof/>
            <w:webHidden/>
          </w:rPr>
          <w:fldChar w:fldCharType="separate"/>
        </w:r>
        <w:r w:rsidR="00974704">
          <w:rPr>
            <w:noProof/>
            <w:webHidden/>
          </w:rPr>
          <w:t>54</w:t>
        </w:r>
        <w:r>
          <w:rPr>
            <w:noProof/>
            <w:webHidden/>
          </w:rPr>
          <w:fldChar w:fldCharType="end"/>
        </w:r>
      </w:hyperlink>
    </w:p>
    <w:p w:rsidR="00B62AFC" w:rsidRDefault="00B62AFC">
      <w:pPr>
        <w:pStyle w:val="TOC2"/>
        <w:tabs>
          <w:tab w:val="right" w:leader="dot" w:pos="9016"/>
        </w:tabs>
        <w:rPr>
          <w:noProof/>
        </w:rPr>
      </w:pPr>
      <w:hyperlink w:anchor="_Toc220991384" w:history="1">
        <w:r w:rsidRPr="003F5DF2">
          <w:rPr>
            <w:rStyle w:val="Hyperlink"/>
            <w:noProof/>
          </w:rPr>
          <w:t>9.6 Change Management</w:t>
        </w:r>
        <w:r>
          <w:rPr>
            <w:noProof/>
            <w:webHidden/>
          </w:rPr>
          <w:tab/>
        </w:r>
        <w:r>
          <w:rPr>
            <w:noProof/>
            <w:webHidden/>
          </w:rPr>
          <w:fldChar w:fldCharType="begin"/>
        </w:r>
        <w:r>
          <w:rPr>
            <w:noProof/>
            <w:webHidden/>
          </w:rPr>
          <w:instrText xml:space="preserve"> PAGEREF _Toc220991384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85" w:history="1">
        <w:r w:rsidRPr="003F5DF2">
          <w:rPr>
            <w:rStyle w:val="Hyperlink"/>
            <w:noProof/>
          </w:rPr>
          <w:t>Chapter 10: Business Model Canvas</w:t>
        </w:r>
        <w:r>
          <w:rPr>
            <w:noProof/>
            <w:webHidden/>
          </w:rPr>
          <w:tab/>
        </w:r>
        <w:r>
          <w:rPr>
            <w:noProof/>
            <w:webHidden/>
          </w:rPr>
          <w:fldChar w:fldCharType="begin"/>
        </w:r>
        <w:r>
          <w:rPr>
            <w:noProof/>
            <w:webHidden/>
          </w:rPr>
          <w:instrText xml:space="preserve"> PAGEREF _Toc220991385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2"/>
        <w:tabs>
          <w:tab w:val="right" w:leader="dot" w:pos="9016"/>
        </w:tabs>
        <w:rPr>
          <w:noProof/>
        </w:rPr>
      </w:pPr>
      <w:hyperlink w:anchor="_Toc220991386" w:history="1">
        <w:r w:rsidRPr="003F5DF2">
          <w:rPr>
            <w:rStyle w:val="Hyperlink"/>
            <w:noProof/>
          </w:rPr>
          <w:t>10.1 Customer Segments</w:t>
        </w:r>
        <w:r>
          <w:rPr>
            <w:noProof/>
            <w:webHidden/>
          </w:rPr>
          <w:tab/>
        </w:r>
        <w:r>
          <w:rPr>
            <w:noProof/>
            <w:webHidden/>
          </w:rPr>
          <w:fldChar w:fldCharType="begin"/>
        </w:r>
        <w:r>
          <w:rPr>
            <w:noProof/>
            <w:webHidden/>
          </w:rPr>
          <w:instrText xml:space="preserve"> PAGEREF _Toc220991386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2"/>
        <w:tabs>
          <w:tab w:val="right" w:leader="dot" w:pos="9016"/>
        </w:tabs>
        <w:rPr>
          <w:noProof/>
        </w:rPr>
      </w:pPr>
      <w:hyperlink w:anchor="_Toc220991387" w:history="1">
        <w:r w:rsidRPr="003F5DF2">
          <w:rPr>
            <w:rStyle w:val="Hyperlink"/>
            <w:noProof/>
          </w:rPr>
          <w:t>10.2 Value Propositions</w:t>
        </w:r>
        <w:r>
          <w:rPr>
            <w:noProof/>
            <w:webHidden/>
          </w:rPr>
          <w:tab/>
        </w:r>
        <w:r>
          <w:rPr>
            <w:noProof/>
            <w:webHidden/>
          </w:rPr>
          <w:fldChar w:fldCharType="begin"/>
        </w:r>
        <w:r>
          <w:rPr>
            <w:noProof/>
            <w:webHidden/>
          </w:rPr>
          <w:instrText xml:space="preserve"> PAGEREF _Toc220991387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2"/>
        <w:tabs>
          <w:tab w:val="right" w:leader="dot" w:pos="9016"/>
        </w:tabs>
        <w:rPr>
          <w:noProof/>
        </w:rPr>
      </w:pPr>
      <w:hyperlink w:anchor="_Toc220991388" w:history="1">
        <w:r w:rsidRPr="003F5DF2">
          <w:rPr>
            <w:rStyle w:val="Hyperlink"/>
            <w:noProof/>
          </w:rPr>
          <w:t>10.3 Channels</w:t>
        </w:r>
        <w:r>
          <w:rPr>
            <w:noProof/>
            <w:webHidden/>
          </w:rPr>
          <w:tab/>
        </w:r>
        <w:r>
          <w:rPr>
            <w:noProof/>
            <w:webHidden/>
          </w:rPr>
          <w:fldChar w:fldCharType="begin"/>
        </w:r>
        <w:r>
          <w:rPr>
            <w:noProof/>
            <w:webHidden/>
          </w:rPr>
          <w:instrText xml:space="preserve"> PAGEREF _Toc220991388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2"/>
        <w:tabs>
          <w:tab w:val="right" w:leader="dot" w:pos="9016"/>
        </w:tabs>
        <w:rPr>
          <w:noProof/>
        </w:rPr>
      </w:pPr>
      <w:hyperlink w:anchor="_Toc220991389" w:history="1">
        <w:r w:rsidRPr="003F5DF2">
          <w:rPr>
            <w:rStyle w:val="Hyperlink"/>
            <w:noProof/>
          </w:rPr>
          <w:t>10.4 Customer Relationships</w:t>
        </w:r>
        <w:r>
          <w:rPr>
            <w:noProof/>
            <w:webHidden/>
          </w:rPr>
          <w:tab/>
        </w:r>
        <w:r>
          <w:rPr>
            <w:noProof/>
            <w:webHidden/>
          </w:rPr>
          <w:fldChar w:fldCharType="begin"/>
        </w:r>
        <w:r>
          <w:rPr>
            <w:noProof/>
            <w:webHidden/>
          </w:rPr>
          <w:instrText xml:space="preserve"> PAGEREF _Toc220991389 \h </w:instrText>
        </w:r>
        <w:r>
          <w:rPr>
            <w:noProof/>
            <w:webHidden/>
          </w:rPr>
        </w:r>
        <w:r>
          <w:rPr>
            <w:noProof/>
            <w:webHidden/>
          </w:rPr>
          <w:fldChar w:fldCharType="separate"/>
        </w:r>
        <w:r w:rsidR="00974704">
          <w:rPr>
            <w:noProof/>
            <w:webHidden/>
          </w:rPr>
          <w:t>55</w:t>
        </w:r>
        <w:r>
          <w:rPr>
            <w:noProof/>
            <w:webHidden/>
          </w:rPr>
          <w:fldChar w:fldCharType="end"/>
        </w:r>
      </w:hyperlink>
    </w:p>
    <w:p w:rsidR="00B62AFC" w:rsidRDefault="00B62AFC">
      <w:pPr>
        <w:pStyle w:val="TOC2"/>
        <w:tabs>
          <w:tab w:val="right" w:leader="dot" w:pos="9016"/>
        </w:tabs>
        <w:rPr>
          <w:noProof/>
        </w:rPr>
      </w:pPr>
      <w:hyperlink w:anchor="_Toc220991390" w:history="1">
        <w:r w:rsidRPr="003F5DF2">
          <w:rPr>
            <w:rStyle w:val="Hyperlink"/>
            <w:noProof/>
          </w:rPr>
          <w:t>10.5 Key Resources</w:t>
        </w:r>
        <w:r>
          <w:rPr>
            <w:noProof/>
            <w:webHidden/>
          </w:rPr>
          <w:tab/>
        </w:r>
        <w:r>
          <w:rPr>
            <w:noProof/>
            <w:webHidden/>
          </w:rPr>
          <w:fldChar w:fldCharType="begin"/>
        </w:r>
        <w:r>
          <w:rPr>
            <w:noProof/>
            <w:webHidden/>
          </w:rPr>
          <w:instrText xml:space="preserve"> PAGEREF _Toc220991390 \h </w:instrText>
        </w:r>
        <w:r>
          <w:rPr>
            <w:noProof/>
            <w:webHidden/>
          </w:rPr>
        </w:r>
        <w:r>
          <w:rPr>
            <w:noProof/>
            <w:webHidden/>
          </w:rPr>
          <w:fldChar w:fldCharType="separate"/>
        </w:r>
        <w:r w:rsidR="00974704">
          <w:rPr>
            <w:noProof/>
            <w:webHidden/>
          </w:rPr>
          <w:t>56</w:t>
        </w:r>
        <w:r>
          <w:rPr>
            <w:noProof/>
            <w:webHidden/>
          </w:rPr>
          <w:fldChar w:fldCharType="end"/>
        </w:r>
      </w:hyperlink>
    </w:p>
    <w:p w:rsidR="00B62AFC" w:rsidRDefault="00B62AFC">
      <w:pPr>
        <w:pStyle w:val="TOC2"/>
        <w:tabs>
          <w:tab w:val="right" w:leader="dot" w:pos="9016"/>
        </w:tabs>
        <w:rPr>
          <w:noProof/>
        </w:rPr>
      </w:pPr>
      <w:hyperlink w:anchor="_Toc220991391" w:history="1">
        <w:r w:rsidRPr="003F5DF2">
          <w:rPr>
            <w:rStyle w:val="Hyperlink"/>
            <w:noProof/>
          </w:rPr>
          <w:t>10.6 Key Partners</w:t>
        </w:r>
        <w:r>
          <w:rPr>
            <w:noProof/>
            <w:webHidden/>
          </w:rPr>
          <w:tab/>
        </w:r>
        <w:r>
          <w:rPr>
            <w:noProof/>
            <w:webHidden/>
          </w:rPr>
          <w:fldChar w:fldCharType="begin"/>
        </w:r>
        <w:r>
          <w:rPr>
            <w:noProof/>
            <w:webHidden/>
          </w:rPr>
          <w:instrText xml:space="preserve"> PAGEREF _Toc220991391 \h </w:instrText>
        </w:r>
        <w:r>
          <w:rPr>
            <w:noProof/>
            <w:webHidden/>
          </w:rPr>
        </w:r>
        <w:r>
          <w:rPr>
            <w:noProof/>
            <w:webHidden/>
          </w:rPr>
          <w:fldChar w:fldCharType="separate"/>
        </w:r>
        <w:r w:rsidR="00974704">
          <w:rPr>
            <w:noProof/>
            <w:webHidden/>
          </w:rPr>
          <w:t>56</w:t>
        </w:r>
        <w:r>
          <w:rPr>
            <w:noProof/>
            <w:webHidden/>
          </w:rPr>
          <w:fldChar w:fldCharType="end"/>
        </w:r>
      </w:hyperlink>
    </w:p>
    <w:p w:rsidR="00B62AFC" w:rsidRDefault="00B62AFC">
      <w:pPr>
        <w:pStyle w:val="TOC2"/>
        <w:tabs>
          <w:tab w:val="right" w:leader="dot" w:pos="9016"/>
        </w:tabs>
        <w:rPr>
          <w:noProof/>
        </w:rPr>
      </w:pPr>
      <w:hyperlink w:anchor="_Toc220991392" w:history="1">
        <w:r w:rsidRPr="003F5DF2">
          <w:rPr>
            <w:rStyle w:val="Hyperlink"/>
            <w:noProof/>
          </w:rPr>
          <w:t>10.7 Cost Structure</w:t>
        </w:r>
        <w:r>
          <w:rPr>
            <w:noProof/>
            <w:webHidden/>
          </w:rPr>
          <w:tab/>
        </w:r>
        <w:r>
          <w:rPr>
            <w:noProof/>
            <w:webHidden/>
          </w:rPr>
          <w:fldChar w:fldCharType="begin"/>
        </w:r>
        <w:r>
          <w:rPr>
            <w:noProof/>
            <w:webHidden/>
          </w:rPr>
          <w:instrText xml:space="preserve"> PAGEREF _Toc220991392 \h </w:instrText>
        </w:r>
        <w:r>
          <w:rPr>
            <w:noProof/>
            <w:webHidden/>
          </w:rPr>
        </w:r>
        <w:r>
          <w:rPr>
            <w:noProof/>
            <w:webHidden/>
          </w:rPr>
          <w:fldChar w:fldCharType="separate"/>
        </w:r>
        <w:r w:rsidR="00974704">
          <w:rPr>
            <w:noProof/>
            <w:webHidden/>
          </w:rPr>
          <w:t>56</w:t>
        </w:r>
        <w:r>
          <w:rPr>
            <w:noProof/>
            <w:webHidden/>
          </w:rPr>
          <w:fldChar w:fldCharType="end"/>
        </w:r>
      </w:hyperlink>
    </w:p>
    <w:p w:rsidR="00B62AFC" w:rsidRDefault="00B62AFC">
      <w:pPr>
        <w:pStyle w:val="TOC2"/>
        <w:tabs>
          <w:tab w:val="right" w:leader="dot" w:pos="9016"/>
        </w:tabs>
        <w:rPr>
          <w:noProof/>
        </w:rPr>
      </w:pPr>
      <w:hyperlink w:anchor="_Toc220991393" w:history="1">
        <w:r w:rsidRPr="003F5DF2">
          <w:rPr>
            <w:rStyle w:val="Hyperlink"/>
            <w:noProof/>
          </w:rPr>
          <w:t>10.8 Revenue Streams</w:t>
        </w:r>
        <w:r>
          <w:rPr>
            <w:noProof/>
            <w:webHidden/>
          </w:rPr>
          <w:tab/>
        </w:r>
        <w:r>
          <w:rPr>
            <w:noProof/>
            <w:webHidden/>
          </w:rPr>
          <w:fldChar w:fldCharType="begin"/>
        </w:r>
        <w:r>
          <w:rPr>
            <w:noProof/>
            <w:webHidden/>
          </w:rPr>
          <w:instrText xml:space="preserve"> PAGEREF _Toc220991393 \h </w:instrText>
        </w:r>
        <w:r>
          <w:rPr>
            <w:noProof/>
            <w:webHidden/>
          </w:rPr>
        </w:r>
        <w:r>
          <w:rPr>
            <w:noProof/>
            <w:webHidden/>
          </w:rPr>
          <w:fldChar w:fldCharType="separate"/>
        </w:r>
        <w:r w:rsidR="00974704">
          <w:rPr>
            <w:noProof/>
            <w:webHidden/>
          </w:rPr>
          <w:t>56</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94" w:history="1">
        <w:r w:rsidRPr="003F5DF2">
          <w:rPr>
            <w:rStyle w:val="Hyperlink"/>
            <w:noProof/>
            <w:lang w:val="en-IN"/>
          </w:rPr>
          <w:t>Chapter 11: Conclusion</w:t>
        </w:r>
        <w:r>
          <w:rPr>
            <w:noProof/>
            <w:webHidden/>
          </w:rPr>
          <w:tab/>
        </w:r>
        <w:r>
          <w:rPr>
            <w:noProof/>
            <w:webHidden/>
          </w:rPr>
          <w:fldChar w:fldCharType="begin"/>
        </w:r>
        <w:r>
          <w:rPr>
            <w:noProof/>
            <w:webHidden/>
          </w:rPr>
          <w:instrText xml:space="preserve"> PAGEREF _Toc220991394 \h </w:instrText>
        </w:r>
        <w:r>
          <w:rPr>
            <w:noProof/>
            <w:webHidden/>
          </w:rPr>
        </w:r>
        <w:r>
          <w:rPr>
            <w:noProof/>
            <w:webHidden/>
          </w:rPr>
          <w:fldChar w:fldCharType="separate"/>
        </w:r>
        <w:r w:rsidR="00974704">
          <w:rPr>
            <w:noProof/>
            <w:webHidden/>
          </w:rPr>
          <w:t>57</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95" w:history="1">
        <w:r w:rsidRPr="003F5DF2">
          <w:rPr>
            <w:rStyle w:val="Hyperlink"/>
            <w:noProof/>
          </w:rPr>
          <w:t>References</w:t>
        </w:r>
        <w:r>
          <w:rPr>
            <w:noProof/>
            <w:webHidden/>
          </w:rPr>
          <w:tab/>
        </w:r>
        <w:r>
          <w:rPr>
            <w:noProof/>
            <w:webHidden/>
          </w:rPr>
          <w:fldChar w:fldCharType="begin"/>
        </w:r>
        <w:r>
          <w:rPr>
            <w:noProof/>
            <w:webHidden/>
          </w:rPr>
          <w:instrText xml:space="preserve"> PAGEREF _Toc220991395 \h </w:instrText>
        </w:r>
        <w:r>
          <w:rPr>
            <w:noProof/>
            <w:webHidden/>
          </w:rPr>
        </w:r>
        <w:r>
          <w:rPr>
            <w:noProof/>
            <w:webHidden/>
          </w:rPr>
          <w:fldChar w:fldCharType="separate"/>
        </w:r>
        <w:r w:rsidR="00974704">
          <w:rPr>
            <w:noProof/>
            <w:webHidden/>
          </w:rPr>
          <w:t>59</w:t>
        </w:r>
        <w:r>
          <w:rPr>
            <w:noProof/>
            <w:webHidden/>
          </w:rPr>
          <w:fldChar w:fldCharType="end"/>
        </w:r>
      </w:hyperlink>
    </w:p>
    <w:p w:rsidR="00B62AFC" w:rsidRDefault="00B62AFC">
      <w:pPr>
        <w:pStyle w:val="TOC1"/>
        <w:tabs>
          <w:tab w:val="right" w:leader="dot" w:pos="9016"/>
        </w:tabs>
        <w:rPr>
          <w:rFonts w:asciiTheme="minorHAnsi" w:eastAsiaTheme="minorEastAsia" w:hAnsiTheme="minorHAnsi"/>
          <w:noProof/>
          <w:lang w:val="en-IN" w:eastAsia="en-IN"/>
        </w:rPr>
      </w:pPr>
      <w:hyperlink w:anchor="_Toc220991396" w:history="1">
        <w:r w:rsidRPr="003F5DF2">
          <w:rPr>
            <w:rStyle w:val="Hyperlink"/>
            <w:noProof/>
          </w:rPr>
          <w:t>Appendices</w:t>
        </w:r>
        <w:r>
          <w:rPr>
            <w:noProof/>
            <w:webHidden/>
          </w:rPr>
          <w:tab/>
        </w:r>
        <w:r>
          <w:rPr>
            <w:noProof/>
            <w:webHidden/>
          </w:rPr>
          <w:fldChar w:fldCharType="begin"/>
        </w:r>
        <w:r>
          <w:rPr>
            <w:noProof/>
            <w:webHidden/>
          </w:rPr>
          <w:instrText xml:space="preserve"> PAGEREF _Toc220991396 \h </w:instrText>
        </w:r>
        <w:r>
          <w:rPr>
            <w:noProof/>
            <w:webHidden/>
          </w:rPr>
        </w:r>
        <w:r>
          <w:rPr>
            <w:noProof/>
            <w:webHidden/>
          </w:rPr>
          <w:fldChar w:fldCharType="separate"/>
        </w:r>
        <w:r w:rsidR="00974704">
          <w:rPr>
            <w:noProof/>
            <w:webHidden/>
          </w:rPr>
          <w:t>66</w:t>
        </w:r>
        <w:r>
          <w:rPr>
            <w:noProof/>
            <w:webHidden/>
          </w:rPr>
          <w:fldChar w:fldCharType="end"/>
        </w:r>
      </w:hyperlink>
    </w:p>
    <w:p w:rsidR="00B62AFC" w:rsidRDefault="00B62AFC" w:rsidP="005B5F99">
      <w:pPr>
        <w:jc w:val="both"/>
        <w:rPr>
          <w:b/>
          <w:bCs/>
          <w:sz w:val="32"/>
          <w:szCs w:val="32"/>
        </w:rPr>
      </w:pPr>
      <w:r>
        <w:rPr>
          <w:b/>
          <w:bCs/>
          <w:sz w:val="32"/>
          <w:szCs w:val="32"/>
        </w:rPr>
        <w:fldChar w:fldCharType="end"/>
      </w:r>
    </w:p>
    <w:p w:rsidR="005B5F99" w:rsidRPr="005B5F99" w:rsidRDefault="005B5F99" w:rsidP="005B5F99">
      <w:pPr>
        <w:jc w:val="both"/>
        <w:rPr>
          <w:b/>
          <w:bCs/>
          <w:sz w:val="32"/>
          <w:szCs w:val="32"/>
          <w:lang w:val="en-IN"/>
        </w:rPr>
      </w:pPr>
    </w:p>
    <w:p w:rsidR="00B62AFC" w:rsidRDefault="00B62AFC" w:rsidP="00A50ABD">
      <w:pPr>
        <w:pStyle w:val="Title"/>
      </w:pPr>
      <w:bookmarkStart w:id="2" w:name="_Toc220991299"/>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B62AFC" w:rsidRDefault="00B62AFC" w:rsidP="00A50ABD">
      <w:pPr>
        <w:pStyle w:val="Title"/>
      </w:pPr>
    </w:p>
    <w:p w:rsidR="00721455" w:rsidRPr="00721455" w:rsidRDefault="00721455" w:rsidP="00A50ABD">
      <w:pPr>
        <w:pStyle w:val="Title"/>
      </w:pPr>
      <w:r w:rsidRPr="00721455">
        <w:lastRenderedPageBreak/>
        <w:t>Chapter 1: Executive Summary</w:t>
      </w:r>
      <w:bookmarkEnd w:id="2"/>
      <w:r w:rsidRPr="00721455">
        <w:t xml:space="preserve"> </w:t>
      </w:r>
    </w:p>
    <w:p w:rsidR="00721455" w:rsidRDefault="00721455" w:rsidP="00DB61C6">
      <w:pPr>
        <w:jc w:val="both"/>
        <w:rPr>
          <w:rFonts w:cs="Arial"/>
        </w:rPr>
      </w:pPr>
      <w:r w:rsidRPr="000F3ECC">
        <w:rPr>
          <w:rFonts w:cs="Arial"/>
        </w:rPr>
        <w:t xml:space="preserve">Discsoul is framed as a new generation integrated music and video-streaming platform that integrates </w:t>
      </w:r>
      <w:r>
        <w:rPr>
          <w:rFonts w:cs="Arial"/>
        </w:rPr>
        <w:t>Music</w:t>
      </w:r>
      <w:r w:rsidRPr="000F3ECC">
        <w:rPr>
          <w:rFonts w:cs="Arial"/>
        </w:rPr>
        <w:t>, technology and fan experiences into one digital ecosystem. In addition to providing regular audio and high-definition music video streaming, the platform allows users to watch song videos, podcasts and record concert shows with a custom interface that is advanced by artificial intelligence. One of the key aspects of Discsoul is that the structure is creator centred in nature that enables artists, DJs and music labels to operate and present their entire creative portfolios whilst encouraging greater identification and interaction with their fans. The service will be available in subscription and ad-based levels with the users having the option of premium which is ad-free and includes access to exclusive performances or free version that has targeted advertising. With the ongoing convergence of global digital entertainment in both forms’ audio and video and live interaction and community-oriented experiences, integrated platforms like Discsoul are becoming more of a necessity instead of an option (PwC, 2024). Discsoul is positioned to transform the new digital entertainment consumption environment with its combination of streaming content, immersion, and fan empowerment.</w:t>
      </w:r>
    </w:p>
    <w:p w:rsidR="00721455" w:rsidRDefault="00721455" w:rsidP="00DB61C6">
      <w:pPr>
        <w:jc w:val="both"/>
        <w:rPr>
          <w:rFonts w:cs="Arial"/>
        </w:rPr>
      </w:pPr>
      <w:r w:rsidRPr="00E24074">
        <w:rPr>
          <w:rFonts w:cs="Arial"/>
        </w:rPr>
        <w:t xml:space="preserve">Discsoul will be a new generation integrated music </w:t>
      </w:r>
      <w:r>
        <w:rPr>
          <w:rFonts w:cs="Arial"/>
        </w:rPr>
        <w:t xml:space="preserve">audio </w:t>
      </w:r>
      <w:r w:rsidRPr="00E24074">
        <w:rPr>
          <w:rFonts w:cs="Arial"/>
        </w:rPr>
        <w:t xml:space="preserve">and </w:t>
      </w:r>
      <w:r>
        <w:rPr>
          <w:rFonts w:cs="Arial"/>
        </w:rPr>
        <w:t xml:space="preserve">music </w:t>
      </w:r>
      <w:r w:rsidRPr="00E24074">
        <w:rPr>
          <w:rFonts w:cs="Arial"/>
        </w:rPr>
        <w:t>video streaming platform that brings all entertainment, technology and fans together in a single digital world. In addition to providing classic sound and high-definition music video streaming, the platform is expanding at a very high pace. According to IFPI (202</w:t>
      </w:r>
      <w:r>
        <w:rPr>
          <w:rFonts w:cs="Arial"/>
        </w:rPr>
        <w:t>5</w:t>
      </w:r>
      <w:r w:rsidRPr="00E24074">
        <w:rPr>
          <w:rFonts w:cs="Arial"/>
        </w:rPr>
        <w:t>), streaming takes over 6</w:t>
      </w:r>
      <w:r>
        <w:rPr>
          <w:rFonts w:cs="Arial"/>
        </w:rPr>
        <w:t>9</w:t>
      </w:r>
      <w:r w:rsidRPr="00E24074">
        <w:rPr>
          <w:rFonts w:cs="Arial"/>
        </w:rPr>
        <w:t xml:space="preserve"> percent of all music revenues recorded worldwide, with </w:t>
      </w:r>
      <w:proofErr w:type="spellStart"/>
      <w:r w:rsidRPr="00843390">
        <w:rPr>
          <w:rFonts w:cs="Arial"/>
        </w:rPr>
        <w:t>TechSci</w:t>
      </w:r>
      <w:proofErr w:type="spellEnd"/>
      <w:r w:rsidRPr="00843390">
        <w:rPr>
          <w:rFonts w:cs="Arial"/>
        </w:rPr>
        <w:t xml:space="preserve"> Research (202</w:t>
      </w:r>
      <w:r>
        <w:rPr>
          <w:rFonts w:cs="Arial"/>
        </w:rPr>
        <w:t>5</w:t>
      </w:r>
      <w:r w:rsidRPr="00843390">
        <w:rPr>
          <w:rFonts w:cs="Arial"/>
        </w:rPr>
        <w:t>)</w:t>
      </w:r>
      <w:r>
        <w:rPr>
          <w:rFonts w:cs="Arial"/>
        </w:rPr>
        <w:t xml:space="preserve"> </w:t>
      </w:r>
      <w:r w:rsidRPr="00E24074">
        <w:rPr>
          <w:rFonts w:cs="Arial"/>
        </w:rPr>
        <w:t xml:space="preserve">predicting the global video- streaming market to have increased to over USD </w:t>
      </w:r>
      <w:r>
        <w:rPr>
          <w:rFonts w:cs="Arial"/>
        </w:rPr>
        <w:t xml:space="preserve">184 </w:t>
      </w:r>
      <w:r w:rsidRPr="00E24074">
        <w:rPr>
          <w:rFonts w:cs="Arial"/>
        </w:rPr>
        <w:t>billion by 20</w:t>
      </w:r>
      <w:r>
        <w:rPr>
          <w:rFonts w:cs="Arial"/>
        </w:rPr>
        <w:t>27</w:t>
      </w:r>
      <w:r w:rsidRPr="00E24074">
        <w:rPr>
          <w:rFonts w:cs="Arial"/>
        </w:rPr>
        <w:t>. The audio-visual convergence is also accelerating with the trend shifting to cross-gadget consumption by consumers. Discsoul harnesses this trend by providing adaptive streaming, cloud infrastructure and mobile-first delivery being globally-scalable. The platform also promotes emerging creator economies, which allows artists and music companies to upload materials and monitor performance data and reach out to fans directly, which is an increasingly essential part of the contemporary entertainment value chain (Deloitte, 2023).</w:t>
      </w:r>
    </w:p>
    <w:p w:rsidR="00721455" w:rsidRDefault="00721455" w:rsidP="00DB61C6">
      <w:pPr>
        <w:jc w:val="both"/>
        <w:rPr>
          <w:rFonts w:cs="Arial"/>
        </w:rPr>
      </w:pPr>
      <w:r w:rsidRPr="00864528">
        <w:rPr>
          <w:rFonts w:cs="Arial"/>
        </w:rPr>
        <w:t>The business model of Discsoul has numerous sources of revenues in accordance with the best practices of the industry. These consist of monthly and annual subscriptions; an ad-free high-quality streaming option; brand-targeted advertising; brand live events; and a digital distribution and the revenue-following artist portal. There is also an AI-based recommendation system that personalises the user experience and retains them more in the platform. A study conducted by Grand View Research (202</w:t>
      </w:r>
      <w:r>
        <w:rPr>
          <w:rFonts w:cs="Arial"/>
        </w:rPr>
        <w:t>3</w:t>
      </w:r>
      <w:r w:rsidRPr="00864528">
        <w:rPr>
          <w:rFonts w:cs="Arial"/>
        </w:rPr>
        <w:t>) also shows that the level of user engagement through personalisation technologies can be increased by 30 percent, thus increasing customer lifetime value. Discovery is also enhanced through AI, which helps increase platform stickiness, decrease customer churn, and increase subscription loyalty.</w:t>
      </w:r>
    </w:p>
    <w:p w:rsidR="00721455" w:rsidRDefault="00721455" w:rsidP="00DB61C6">
      <w:pPr>
        <w:jc w:val="both"/>
        <w:rPr>
          <w:rFonts w:cs="Arial"/>
        </w:rPr>
      </w:pPr>
    </w:p>
    <w:p w:rsidR="00721455" w:rsidRDefault="00721455" w:rsidP="00DB61C6">
      <w:pPr>
        <w:jc w:val="both"/>
        <w:rPr>
          <w:rFonts w:cs="Arial"/>
        </w:rPr>
      </w:pPr>
      <w:r w:rsidRPr="001E50F7">
        <w:rPr>
          <w:rFonts w:cs="Arial"/>
        </w:rPr>
        <w:lastRenderedPageBreak/>
        <w:t>The value proposition of the platform is based on four pillars, including integrated streaming (</w:t>
      </w:r>
      <w:r>
        <w:rPr>
          <w:rFonts w:cs="Arial"/>
        </w:rPr>
        <w:t>audio</w:t>
      </w:r>
      <w:r w:rsidRPr="001E50F7">
        <w:rPr>
          <w:rFonts w:cs="Arial"/>
        </w:rPr>
        <w:t xml:space="preserve"> + video + </w:t>
      </w:r>
      <w:r w:rsidRPr="000F3ECC">
        <w:rPr>
          <w:rFonts w:cs="Arial"/>
        </w:rPr>
        <w:t>record concert</w:t>
      </w:r>
      <w:r>
        <w:rPr>
          <w:rFonts w:cs="Arial"/>
        </w:rPr>
        <w:t xml:space="preserve"> + podcast</w:t>
      </w:r>
      <w:r w:rsidRPr="001E50F7">
        <w:rPr>
          <w:rFonts w:cs="Arial"/>
        </w:rPr>
        <w:t xml:space="preserve">), artist empowerment, AI-based personalisation, and a high-performance cloud infrastructure. All these strengths enable Discsoul to address key market notions, such as fragmented user experiences, a lack of monetisation options that independent artists could pursue, and the lack of a single platform that can combine both </w:t>
      </w:r>
      <w:r w:rsidRPr="000F3ECC">
        <w:rPr>
          <w:rFonts w:cs="Arial"/>
        </w:rPr>
        <w:t>record concert</w:t>
      </w:r>
      <w:r w:rsidRPr="001E50F7">
        <w:rPr>
          <w:rFonts w:cs="Arial"/>
        </w:rPr>
        <w:t xml:space="preserve"> and on-demand streaming. The industry portal of the platform has given creators useful features, including revenue dashboards, fan analytics, content scheduling and promotional features--reflecting the rising demands of data-driven choices in the global creative economy (</w:t>
      </w:r>
      <w:r w:rsidRPr="004816F7">
        <w:rPr>
          <w:rFonts w:cs="Arial"/>
        </w:rPr>
        <w:t>Goldman Sachs</w:t>
      </w:r>
      <w:r w:rsidRPr="001E50F7">
        <w:rPr>
          <w:rFonts w:cs="Arial"/>
        </w:rPr>
        <w:t>, 2023).</w:t>
      </w:r>
    </w:p>
    <w:p w:rsidR="00721455" w:rsidRDefault="00721455" w:rsidP="00DB61C6">
      <w:pPr>
        <w:jc w:val="both"/>
        <w:rPr>
          <w:rFonts w:cs="Arial"/>
        </w:rPr>
      </w:pPr>
      <w:r w:rsidRPr="00562C2A">
        <w:rPr>
          <w:rFonts w:cs="Arial"/>
          <w:noProof/>
        </w:rPr>
        <w:drawing>
          <wp:inline distT="0" distB="0" distL="0" distR="0" wp14:anchorId="21E6709D" wp14:editId="207B0616">
            <wp:extent cx="5731510" cy="3065145"/>
            <wp:effectExtent l="0" t="0" r="2540" b="1905"/>
            <wp:docPr id="172501393" name="Picture 1" descr="A diagram of steps of a creative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1393" name="Picture 1" descr="A diagram of steps of a creative business&#10;&#10;AI-generated content may be incorrect."/>
                    <pic:cNvPicPr/>
                  </pic:nvPicPr>
                  <pic:blipFill>
                    <a:blip r:embed="rId11"/>
                    <a:stretch>
                      <a:fillRect/>
                    </a:stretch>
                  </pic:blipFill>
                  <pic:spPr>
                    <a:xfrm>
                      <a:off x="0" y="0"/>
                      <a:ext cx="5731510" cy="3065145"/>
                    </a:xfrm>
                    <a:prstGeom prst="rect">
                      <a:avLst/>
                    </a:prstGeom>
                  </pic:spPr>
                </pic:pic>
              </a:graphicData>
            </a:graphic>
          </wp:inline>
        </w:drawing>
      </w:r>
    </w:p>
    <w:p w:rsidR="00721455" w:rsidRPr="00562C2A" w:rsidRDefault="00721455" w:rsidP="00DB61C6">
      <w:pPr>
        <w:jc w:val="both"/>
        <w:rPr>
          <w:rFonts w:cs="Arial"/>
          <w:b/>
          <w:bCs/>
        </w:rPr>
      </w:pPr>
      <w:r w:rsidRPr="00562C2A">
        <w:rPr>
          <w:rFonts w:cs="Arial"/>
          <w:b/>
          <w:bCs/>
        </w:rPr>
        <w:t>Fig 1</w:t>
      </w:r>
      <w:r w:rsidR="0020229E">
        <w:rPr>
          <w:rFonts w:cs="Arial"/>
          <w:b/>
          <w:bCs/>
        </w:rPr>
        <w:t xml:space="preserve">.1 </w:t>
      </w:r>
      <w:r w:rsidRPr="00562C2A">
        <w:rPr>
          <w:rFonts w:cs="Arial"/>
          <w:b/>
          <w:bCs/>
        </w:rPr>
        <w:t>(DCMS sector economic estimate</w:t>
      </w:r>
      <w:r>
        <w:rPr>
          <w:rFonts w:cs="Arial"/>
          <w:b/>
          <w:bCs/>
        </w:rPr>
        <w:t>, 2022</w:t>
      </w:r>
      <w:r w:rsidRPr="00562C2A">
        <w:rPr>
          <w:rFonts w:cs="Arial"/>
          <w:b/>
          <w:bCs/>
        </w:rPr>
        <w:t>)</w:t>
      </w:r>
    </w:p>
    <w:p w:rsidR="00721455" w:rsidRDefault="00721455" w:rsidP="00DB61C6">
      <w:pPr>
        <w:jc w:val="both"/>
        <w:rPr>
          <w:rFonts w:cs="Arial"/>
        </w:rPr>
      </w:pPr>
      <w:r w:rsidRPr="000D5C22">
        <w:rPr>
          <w:rFonts w:cs="Arial"/>
        </w:rPr>
        <w:t>Strategically, Discsoul concurs with UK digital, creative-industry and data-economy policies. In the Digital Strategy of the UK Government (</w:t>
      </w:r>
      <w:r w:rsidRPr="001741C9">
        <w:rPr>
          <w:rFonts w:cs="Arial"/>
          <w:lang w:val="en-IN"/>
        </w:rPr>
        <w:t>Government of UK</w:t>
      </w:r>
      <w:r w:rsidRPr="000D5C22">
        <w:rPr>
          <w:rFonts w:cs="Arial"/>
        </w:rPr>
        <w:t xml:space="preserve">, 2022), innovation and digital growth as well as AI-led platforms are now considered areas of high expansion. Furthermore, the UK has singled out the creative industries as a high-growth sector projected to be worth </w:t>
      </w:r>
      <w:r>
        <w:rPr>
          <w:rFonts w:cs="Arial"/>
        </w:rPr>
        <w:t xml:space="preserve">50 </w:t>
      </w:r>
      <w:r w:rsidRPr="000D5C22">
        <w:rPr>
          <w:rFonts w:cs="Arial"/>
        </w:rPr>
        <w:t>billion by 2030, which creates an enabling environment of digital content platforms (</w:t>
      </w:r>
      <w:r w:rsidRPr="005633DE">
        <w:rPr>
          <w:rFonts w:cs="Arial"/>
          <w:lang w:val="en-IN"/>
        </w:rPr>
        <w:t>GOV.UK</w:t>
      </w:r>
      <w:r w:rsidRPr="000D5C22">
        <w:rPr>
          <w:rFonts w:cs="Arial"/>
        </w:rPr>
        <w:t>, 2023). The latest cultural and media paradigms also promote entrepreneurship, skills building and investment into digital infrastructure, which are all positive factors in the scaling direction of Discsoul.</w:t>
      </w:r>
    </w:p>
    <w:p w:rsidR="00721455" w:rsidRDefault="00721455" w:rsidP="00DB61C6">
      <w:pPr>
        <w:jc w:val="both"/>
        <w:rPr>
          <w:rFonts w:cs="Arial"/>
        </w:rPr>
      </w:pPr>
      <w:r w:rsidRPr="000D5C22">
        <w:rPr>
          <w:rFonts w:cs="Arial"/>
        </w:rPr>
        <w:t>The platform also is in a good position to serve the UK technology and creative economy by creating jobs in the fields of software engineering, content management, marketing, partnership development, data analytics and customer support. The cloud-based infrastructure facilitates the economical scaling in and out of the UK market within and outside the UK market coupled with high-speed performance and international accessibility.</w:t>
      </w:r>
    </w:p>
    <w:p w:rsidR="00721455" w:rsidRDefault="00721455" w:rsidP="00DB61C6">
      <w:pPr>
        <w:jc w:val="both"/>
        <w:rPr>
          <w:rFonts w:cs="Arial"/>
        </w:rPr>
      </w:pPr>
      <w:r w:rsidRPr="00815DB8">
        <w:rPr>
          <w:rFonts w:cs="Arial"/>
        </w:rPr>
        <w:lastRenderedPageBreak/>
        <w:t>The four primary market segments targeted by Discsoul include entertainment consumers that desire an integrated platform; creators that require distribution and analytics; advertisers that require targeting reach; and music labels that require a digital channel that is scalable. These audiences are supported by the business model in terms of subscription revenues, advertising alliances, live ticketing events and B2B data-driven insights. The competitive advantages of the platform are the hybrid nature of the functions and powerful analytics engine that is not similar to other single-format streaming platforms.</w:t>
      </w:r>
    </w:p>
    <w:p w:rsidR="00721455" w:rsidRDefault="00721455" w:rsidP="00DB61C6">
      <w:pPr>
        <w:jc w:val="both"/>
        <w:rPr>
          <w:rFonts w:cs="Arial"/>
        </w:rPr>
      </w:pPr>
      <w:r w:rsidRPr="008A67C3">
        <w:rPr>
          <w:rFonts w:cs="Arial"/>
        </w:rPr>
        <w:t>Overall, Discsoul is an innovative digital entertainment platform that will be built as a future-proof house, based on technological innovation, AI-assisted personalisation, creator empowerment and cloud-based delivery. The platform is directly aligned with the global consumption trends and UK policy priorities, as well as it meets the market needs of the integrated and flexible and data-rich digital entertainment solutions. It has excellent business prospects with revenue diversification, partnerships in the industry and infrastructure that can be scaled. Having a clear value proposition, strategic alignment and increasing market demand, Discsoul displays a possible new business development opportunity in the changing business environment of music and video-streaming.</w:t>
      </w:r>
    </w:p>
    <w:p w:rsidR="00721455" w:rsidRDefault="00721455" w:rsidP="00DB61C6">
      <w:pPr>
        <w:jc w:val="both"/>
        <w:rPr>
          <w:rFonts w:cs="Arial"/>
        </w:rPr>
      </w:pPr>
    </w:p>
    <w:p w:rsidR="00DB61C6" w:rsidRPr="00DB61C6" w:rsidRDefault="00DB61C6" w:rsidP="00DB61C6">
      <w:pPr>
        <w:pStyle w:val="Title"/>
      </w:pPr>
      <w:bookmarkStart w:id="3" w:name="_Toc220991300"/>
      <w:r w:rsidRPr="00DB61C6">
        <w:t>Chapter 2: Company Description</w:t>
      </w:r>
      <w:bookmarkEnd w:id="3"/>
    </w:p>
    <w:p w:rsidR="00DB61C6" w:rsidRDefault="00DB61C6" w:rsidP="00DB61C6">
      <w:pPr>
        <w:pStyle w:val="Heading1"/>
      </w:pPr>
      <w:bookmarkStart w:id="4" w:name="_Toc220991301"/>
      <w:r w:rsidRPr="008A7DC3">
        <w:t>2.1 Business Identity and Legal Structure</w:t>
      </w:r>
      <w:bookmarkEnd w:id="4"/>
    </w:p>
    <w:p w:rsidR="00DB61C6" w:rsidRDefault="00DB61C6" w:rsidP="00DB61C6">
      <w:r w:rsidRPr="005A3782">
        <w:t>Discsoul is an online entertainment business with built-in music, video and live-streaming. Being a venture in the UK, the company will be a Public Limited Company (Ltd) as defined in the Companies Act 2006. There are also crucial advantages of a Private Limited such as limited shareholder liability, solid intellectual property protection, raising capital in an easy manner, and appropriate business structure of technology-driven startups (Gov.uk, 20</w:t>
      </w:r>
      <w:r>
        <w:t>19</w:t>
      </w:r>
      <w:r w:rsidRPr="005A3782">
        <w:t>). Future investment rounds such as venture capital and corporate partnerships that are common in high-growth digital platforms are also supported in this structure.</w:t>
      </w:r>
    </w:p>
    <w:p w:rsidR="00DB61C6" w:rsidRDefault="00DB61C6" w:rsidP="00DB61C6">
      <w:r w:rsidRPr="005A3782">
        <w:t>The company brand is constructed on the modern, technology-focused brand. Discsoul is used as a name representing a combination of the classical musical forms (disc) and the modern digital innovativeness (soul). The brand boasts of authenticity, innovation and cultural blend. The fundamental business operations of Discsoul are audio streaming, video streaming, cloud service, live events hosting, advertisement services, content licencing, data analytics and subscription management. These business operations belong to the UK legal frameworks of creative industries, digital business laws and data protection laws such as the UK GDPR.</w:t>
      </w:r>
    </w:p>
    <w:p w:rsidR="00DB61C6" w:rsidRPr="005A3782" w:rsidRDefault="00DB61C6" w:rsidP="00DB61C6">
      <w:r w:rsidRPr="005A3782">
        <w:lastRenderedPageBreak/>
        <w:t>The organisational setup will be a lean, innovation-based design within the initial two years, with positions that include engineering, product development, creative content, marketing and business development. The cross-functional teams will be increased as the company expands to international scale, onboard artists, and technical improvements. A Private Limited form of organisation provides board control, external audit and compliance, and multi-stakeholder governance which are essential in creating credibility with creators, advertisers and users.</w:t>
      </w:r>
      <w:r>
        <w:tab/>
      </w:r>
    </w:p>
    <w:p w:rsidR="00DB61C6" w:rsidRDefault="00DB61C6" w:rsidP="00DB61C6">
      <w:pPr>
        <w:pStyle w:val="Heading1"/>
      </w:pPr>
      <w:bookmarkStart w:id="5" w:name="_Toc220991302"/>
      <w:r w:rsidRPr="00D0721E">
        <w:t>2.2 Mission, Vision and Core Values</w:t>
      </w:r>
      <w:bookmarkEnd w:id="5"/>
    </w:p>
    <w:p w:rsidR="00DB61C6" w:rsidRPr="00DB61C6" w:rsidRDefault="00DB61C6" w:rsidP="00DB61C6">
      <w:pPr>
        <w:jc w:val="both"/>
        <w:rPr>
          <w:rFonts w:cs="Arial"/>
          <w:b/>
          <w:bCs/>
          <w:lang w:val="en-IN"/>
        </w:rPr>
      </w:pPr>
      <w:r w:rsidRPr="00DB61C6">
        <w:rPr>
          <w:rFonts w:cs="Arial"/>
          <w:b/>
          <w:bCs/>
          <w:lang w:val="en-IN"/>
        </w:rPr>
        <w:t xml:space="preserve">Mission: </w:t>
      </w:r>
    </w:p>
    <w:p w:rsidR="00DB61C6" w:rsidRDefault="00DB61C6" w:rsidP="00DB61C6">
      <w:pPr>
        <w:jc w:val="both"/>
        <w:rPr>
          <w:rFonts w:cs="Arial"/>
          <w:lang w:val="en-IN"/>
        </w:rPr>
      </w:pPr>
      <w:r w:rsidRPr="00DB61C6">
        <w:rPr>
          <w:lang w:val="en-IN"/>
        </w:rPr>
        <w:t>To provide a unified digital entertainment platform that empowers its users, creators, and businesses by streamlining entertaining experiences, providing intelligent recommendations and novel content-driven interactions</w:t>
      </w:r>
      <w:r w:rsidRPr="00D0721E">
        <w:rPr>
          <w:rFonts w:cs="Arial"/>
          <w:lang w:val="en-IN"/>
        </w:rPr>
        <w:t xml:space="preserve">. </w:t>
      </w:r>
    </w:p>
    <w:p w:rsidR="00DB61C6" w:rsidRPr="00DB61C6" w:rsidRDefault="00DB61C6" w:rsidP="00DB61C6">
      <w:pPr>
        <w:jc w:val="both"/>
        <w:rPr>
          <w:rFonts w:cs="Arial"/>
          <w:b/>
          <w:bCs/>
          <w:lang w:val="en-IN"/>
        </w:rPr>
      </w:pPr>
      <w:r w:rsidRPr="00DB61C6">
        <w:rPr>
          <w:rFonts w:cs="Arial"/>
          <w:b/>
          <w:bCs/>
          <w:lang w:val="en-IN"/>
        </w:rPr>
        <w:t xml:space="preserve">Vision: </w:t>
      </w:r>
    </w:p>
    <w:p w:rsidR="00DB61C6" w:rsidRPr="00D0721E" w:rsidRDefault="00DB61C6" w:rsidP="00DB61C6">
      <w:pPr>
        <w:jc w:val="both"/>
        <w:rPr>
          <w:rFonts w:cs="Arial"/>
          <w:lang w:val="en-IN"/>
        </w:rPr>
      </w:pPr>
      <w:r w:rsidRPr="00D0721E">
        <w:rPr>
          <w:rFonts w:cs="Arial"/>
          <w:lang w:val="en-IN"/>
        </w:rPr>
        <w:t>To be a top entertainment platform in the world, with music, video and live performance intertwined, producing inclusive, accessible and data-driven entertainment experiences to audiences globally.</w:t>
      </w:r>
    </w:p>
    <w:p w:rsidR="00DB61C6" w:rsidRPr="00DB61C6" w:rsidRDefault="00DB61C6" w:rsidP="00DB61C6">
      <w:pPr>
        <w:jc w:val="both"/>
        <w:rPr>
          <w:rFonts w:cs="Arial"/>
          <w:b/>
          <w:bCs/>
        </w:rPr>
      </w:pPr>
      <w:r w:rsidRPr="00DB61C6">
        <w:rPr>
          <w:rFonts w:cs="Arial"/>
          <w:b/>
          <w:bCs/>
        </w:rPr>
        <w:t xml:space="preserve">Core Values: </w:t>
      </w:r>
    </w:p>
    <w:p w:rsidR="00DB61C6" w:rsidRPr="006B3D9F" w:rsidRDefault="00DB61C6" w:rsidP="00DB61C6">
      <w:pPr>
        <w:jc w:val="both"/>
        <w:rPr>
          <w:rFonts w:cs="Arial"/>
        </w:rPr>
      </w:pPr>
      <w:r w:rsidRPr="00DB61C6">
        <w:rPr>
          <w:rFonts w:cs="Arial"/>
          <w:b/>
          <w:bCs/>
        </w:rPr>
        <w:t>Innovation</w:t>
      </w:r>
      <w:r w:rsidRPr="006B3D9F">
        <w:rPr>
          <w:rFonts w:cs="Arial"/>
        </w:rPr>
        <w:t xml:space="preserve">: constructing proactive technologies that improve computer creativity. </w:t>
      </w:r>
    </w:p>
    <w:p w:rsidR="00DB61C6" w:rsidRPr="006B3D9F" w:rsidRDefault="00DB61C6" w:rsidP="00DB61C6">
      <w:pPr>
        <w:jc w:val="both"/>
        <w:rPr>
          <w:rFonts w:cs="Arial"/>
        </w:rPr>
      </w:pPr>
      <w:r w:rsidRPr="00DB61C6">
        <w:rPr>
          <w:rFonts w:cs="Arial"/>
          <w:b/>
          <w:bCs/>
        </w:rPr>
        <w:t>Inclusivity:</w:t>
      </w:r>
      <w:r w:rsidRPr="006B3D9F">
        <w:rPr>
          <w:rFonts w:cs="Arial"/>
        </w:rPr>
        <w:t xml:space="preserve"> </w:t>
      </w:r>
      <w:r>
        <w:rPr>
          <w:rFonts w:cs="Arial"/>
        </w:rPr>
        <w:t>Supporting</w:t>
      </w:r>
      <w:r w:rsidRPr="006B3D9F">
        <w:rPr>
          <w:rFonts w:cs="Arial"/>
        </w:rPr>
        <w:t xml:space="preserve"> different artists, genres and cultural identities. </w:t>
      </w:r>
    </w:p>
    <w:p w:rsidR="00DB61C6" w:rsidRPr="006B3D9F" w:rsidRDefault="00DB61C6" w:rsidP="00DB61C6">
      <w:pPr>
        <w:jc w:val="both"/>
        <w:rPr>
          <w:rFonts w:cs="Arial"/>
        </w:rPr>
      </w:pPr>
      <w:r w:rsidRPr="00DB61C6">
        <w:rPr>
          <w:rFonts w:cs="Arial"/>
          <w:b/>
          <w:bCs/>
        </w:rPr>
        <w:t>Transparency:</w:t>
      </w:r>
      <w:r w:rsidRPr="006B3D9F">
        <w:rPr>
          <w:rFonts w:cs="Arial"/>
        </w:rPr>
        <w:t xml:space="preserve"> Making sure it practises ethical data, equitable revenue models and creator empowerment. </w:t>
      </w:r>
    </w:p>
    <w:p w:rsidR="00DB61C6" w:rsidRPr="006B3D9F" w:rsidRDefault="00DB61C6" w:rsidP="00DB61C6">
      <w:pPr>
        <w:jc w:val="both"/>
        <w:rPr>
          <w:rFonts w:cs="Arial"/>
        </w:rPr>
      </w:pPr>
      <w:r w:rsidRPr="00DB61C6">
        <w:rPr>
          <w:rFonts w:cs="Arial"/>
          <w:b/>
          <w:bCs/>
        </w:rPr>
        <w:t>User-Centricity:</w:t>
      </w:r>
      <w:r w:rsidRPr="006B3D9F">
        <w:rPr>
          <w:rFonts w:cs="Arial"/>
        </w:rPr>
        <w:t xml:space="preserve"> creating compelling experiences through the needs of the audience. </w:t>
      </w:r>
    </w:p>
    <w:p w:rsidR="00DB61C6" w:rsidRPr="006B3D9F" w:rsidRDefault="00DB61C6" w:rsidP="00DB61C6">
      <w:pPr>
        <w:jc w:val="both"/>
        <w:rPr>
          <w:rFonts w:cs="Arial"/>
        </w:rPr>
      </w:pPr>
      <w:r w:rsidRPr="00DB61C6">
        <w:rPr>
          <w:rFonts w:cs="Arial"/>
          <w:b/>
          <w:bCs/>
        </w:rPr>
        <w:t>Creativity:</w:t>
      </w:r>
      <w:r w:rsidRPr="006B3D9F">
        <w:rPr>
          <w:rFonts w:cs="Arial"/>
        </w:rPr>
        <w:t xml:space="preserve"> Promoting creativity and the use of digital technology. </w:t>
      </w:r>
    </w:p>
    <w:p w:rsidR="00DB61C6" w:rsidRPr="006B3D9F" w:rsidRDefault="00DB61C6" w:rsidP="00DB61C6">
      <w:pPr>
        <w:jc w:val="both"/>
        <w:rPr>
          <w:rFonts w:cs="Arial"/>
        </w:rPr>
      </w:pPr>
      <w:r w:rsidRPr="00DB61C6">
        <w:rPr>
          <w:rFonts w:cs="Arial"/>
          <w:b/>
          <w:bCs/>
        </w:rPr>
        <w:t>Integrity:</w:t>
      </w:r>
      <w:r w:rsidRPr="006B3D9F">
        <w:rPr>
          <w:rFonts w:cs="Arial"/>
        </w:rPr>
        <w:t xml:space="preserve"> Compliance, security and responsible business practises. </w:t>
      </w:r>
    </w:p>
    <w:p w:rsidR="00DB61C6" w:rsidRDefault="00DB61C6" w:rsidP="00DB61C6">
      <w:pPr>
        <w:jc w:val="both"/>
        <w:rPr>
          <w:rFonts w:cs="Arial"/>
        </w:rPr>
      </w:pPr>
      <w:r w:rsidRPr="006B3D9F">
        <w:rPr>
          <w:rFonts w:cs="Arial"/>
        </w:rPr>
        <w:t>Such values affect product development, content governance, decision of partnership and customer experience requirements. They also provide a strategic coherence of the business objectives with respect to societal expectations and this is especially in the UK creative economy.</w:t>
      </w:r>
    </w:p>
    <w:p w:rsidR="00DB61C6" w:rsidRDefault="00DB61C6" w:rsidP="00DB61C6">
      <w:pPr>
        <w:pStyle w:val="Heading1"/>
      </w:pPr>
      <w:bookmarkStart w:id="6" w:name="_Toc220991303"/>
      <w:r w:rsidRPr="004539F3">
        <w:t>2.3 Founding Background and Business Inspiration</w:t>
      </w:r>
      <w:bookmarkEnd w:id="6"/>
    </w:p>
    <w:p w:rsidR="00DB61C6" w:rsidRDefault="00DB61C6" w:rsidP="00DB61C6">
      <w:pPr>
        <w:jc w:val="both"/>
      </w:pPr>
      <w:r w:rsidRPr="004539F3">
        <w:t>Discsoul was conceived as a solution to three overlapping industry issues, namely, the lack of cohesive streaming experiences, monetisation of independent artists, and a single digital platform based on both live and on-demand entertainment. The founders realised that where large platforms offer audio or video independently, consumer behaviour is becoming more flexible and needs to be offered in a variety of formats (IFPI, 202</w:t>
      </w:r>
      <w:r>
        <w:t>5</w:t>
      </w:r>
      <w:r w:rsidRPr="004539F3">
        <w:t xml:space="preserve">). The increasing digital convergence stimulated the concept of a service </w:t>
      </w:r>
      <w:r w:rsidRPr="004539F3">
        <w:lastRenderedPageBreak/>
        <w:t>which brings together music, video, real-time performance that is assisted by intelligent personalisation.</w:t>
      </w:r>
    </w:p>
    <w:p w:rsidR="00DB61C6" w:rsidRDefault="00DB61C6" w:rsidP="00DB61C6">
      <w:pPr>
        <w:jc w:val="both"/>
      </w:pPr>
      <w:r w:rsidRPr="004539F3">
        <w:t xml:space="preserve">The creator’s economy was also in the process of growing fast, and this served as an inspiration. </w:t>
      </w:r>
      <w:proofErr w:type="spellStart"/>
      <w:r w:rsidRPr="009C3D9B">
        <w:rPr>
          <w:lang w:val="en-IN"/>
        </w:rPr>
        <w:t>Linktree</w:t>
      </w:r>
      <w:proofErr w:type="spellEnd"/>
      <w:r>
        <w:t xml:space="preserve"> </w:t>
      </w:r>
      <w:r w:rsidRPr="004539F3">
        <w:t>(202</w:t>
      </w:r>
      <w:r>
        <w:t>2</w:t>
      </w:r>
      <w:r w:rsidRPr="004539F3">
        <w:t>)</w:t>
      </w:r>
      <w:r>
        <w:t>,</w:t>
      </w:r>
      <w:r w:rsidRPr="004539F3">
        <w:t xml:space="preserve"> estimates that a population of more than 20</w:t>
      </w:r>
      <w:r>
        <w:t>7</w:t>
      </w:r>
      <w:r w:rsidRPr="004539F3">
        <w:t xml:space="preserve"> million creators all over the world relies on digital platforms to be seen and earn revenue. However, not all of them have access to analytics, monetisation solutions and direct channels of audience interaction. The very principle behind Disc souls was to fill this void with creators in the middle of the digital value chain, not as a content-creating node, but as a data-driven entrepreneur.</w:t>
      </w:r>
    </w:p>
    <w:p w:rsidR="00DB61C6" w:rsidRDefault="00DB61C6" w:rsidP="00DB61C6">
      <w:pPr>
        <w:jc w:val="both"/>
      </w:pPr>
      <w:r w:rsidRPr="004539F3">
        <w:t xml:space="preserve">The development of the platform was also steered by the increasing role of AI in discovering entertainment. According to research conducted by Harvard Business School </w:t>
      </w:r>
      <w:r>
        <w:t>(</w:t>
      </w:r>
      <w:r w:rsidRPr="00B9511C">
        <w:t>Ahmadi et al., 202</w:t>
      </w:r>
      <w:r>
        <w:t>5</w:t>
      </w:r>
      <w:r w:rsidRPr="00B9511C">
        <w:t>; Ma et al., 2025</w:t>
      </w:r>
      <w:r>
        <w:t>)</w:t>
      </w:r>
      <w:r w:rsidRPr="004539F3">
        <w:t>, nowadays competitive advantage in digital markets is based on algorithmic personalisation. The founders of Discsoul saw an opportunity to create a recommendation engine that puts weight on the interest of the users and the emerging artists to be fairly exposed.</w:t>
      </w:r>
    </w:p>
    <w:p w:rsidR="00DB61C6" w:rsidRDefault="00DB61C6" w:rsidP="00DB61C6">
      <w:pPr>
        <w:jc w:val="both"/>
      </w:pPr>
      <w:r w:rsidRPr="004539F3">
        <w:t>Finally, the focus of the UK policy on digital innovation and development of the creative industry presented an encouraging environment in which a music-tech start-up could be formed. Such an opportunity comprised the creation of a platform that would meet national priorities, trends in technology and demand across the world identified by the founders.</w:t>
      </w:r>
    </w:p>
    <w:p w:rsidR="00DB61C6" w:rsidRDefault="00DB61C6" w:rsidP="00DB61C6">
      <w:pPr>
        <w:pStyle w:val="Heading1"/>
      </w:pPr>
      <w:bookmarkStart w:id="7" w:name="_Toc220991304"/>
      <w:r w:rsidRPr="00D75B5D">
        <w:t>2.</w:t>
      </w:r>
      <w:r w:rsidR="00133742">
        <w:t>4</w:t>
      </w:r>
      <w:r w:rsidRPr="00D75B5D">
        <w:t xml:space="preserve"> Service Overview and Problem Solved</w:t>
      </w:r>
      <w:bookmarkEnd w:id="7"/>
    </w:p>
    <w:p w:rsidR="00DB61C6" w:rsidRPr="00DB61C6" w:rsidRDefault="00DB61C6" w:rsidP="00DB61C6">
      <w:pPr>
        <w:jc w:val="both"/>
        <w:rPr>
          <w:rFonts w:cs="Arial"/>
        </w:rPr>
      </w:pPr>
      <w:r w:rsidRPr="00DB61C6">
        <w:rPr>
          <w:rFonts w:cs="Arial"/>
        </w:rPr>
        <w:t xml:space="preserve">There is a total of ten core service features in </w:t>
      </w:r>
      <w:proofErr w:type="spellStart"/>
      <w:r w:rsidRPr="00DB61C6">
        <w:rPr>
          <w:rFonts w:cs="Arial"/>
        </w:rPr>
        <w:t>Discoul</w:t>
      </w:r>
      <w:proofErr w:type="spellEnd"/>
      <w:r w:rsidRPr="00DB61C6">
        <w:rPr>
          <w:rFonts w:cs="Arial"/>
        </w:rPr>
        <w:t xml:space="preserve"> which combine in facing critical user, creator and industry challenges.</w:t>
      </w:r>
    </w:p>
    <w:p w:rsidR="00DB61C6" w:rsidRPr="00DB61C6" w:rsidRDefault="00DB61C6" w:rsidP="00DB61C6">
      <w:pPr>
        <w:jc w:val="both"/>
        <w:rPr>
          <w:rFonts w:cs="Arial"/>
          <w:b/>
          <w:bCs/>
        </w:rPr>
      </w:pPr>
      <w:r w:rsidRPr="00DB61C6">
        <w:rPr>
          <w:rFonts w:cs="Arial"/>
          <w:b/>
          <w:bCs/>
        </w:rPr>
        <w:t>User Subscription System</w:t>
      </w:r>
    </w:p>
    <w:p w:rsidR="00DB61C6" w:rsidRPr="00DB61C6" w:rsidRDefault="00DB61C6" w:rsidP="00DB61C6">
      <w:pPr>
        <w:jc w:val="both"/>
        <w:rPr>
          <w:rFonts w:cs="Arial"/>
        </w:rPr>
      </w:pPr>
      <w:r w:rsidRPr="00DB61C6">
        <w:rPr>
          <w:rFonts w:cs="Arial"/>
        </w:rPr>
        <w:t>Scalable monthly and annual subscription packages give users the option of either free ad-supported or ad-free streaming. Premium subscriptions also include HD video, exclusive content and live events.</w:t>
      </w:r>
    </w:p>
    <w:p w:rsidR="00DB61C6" w:rsidRPr="00DB61C6" w:rsidRDefault="00DB61C6" w:rsidP="00DB61C6">
      <w:pPr>
        <w:jc w:val="both"/>
        <w:rPr>
          <w:rFonts w:cs="Arial"/>
          <w:b/>
          <w:bCs/>
        </w:rPr>
      </w:pPr>
      <w:r w:rsidRPr="00DB61C6">
        <w:rPr>
          <w:rFonts w:cs="Arial"/>
          <w:b/>
          <w:bCs/>
        </w:rPr>
        <w:t>Music and Video Streaming</w:t>
      </w:r>
    </w:p>
    <w:p w:rsidR="00DB61C6" w:rsidRPr="00DB61C6" w:rsidRDefault="00DB61C6" w:rsidP="00DB61C6">
      <w:pPr>
        <w:jc w:val="both"/>
        <w:rPr>
          <w:rFonts w:cs="Arial"/>
        </w:rPr>
      </w:pPr>
      <w:r w:rsidRPr="00DB61C6">
        <w:rPr>
          <w:rFonts w:cs="Arial"/>
        </w:rPr>
        <w:t>The playback of audio and video is of high quality, which provides the cross-device experience. Even in a changing network condition, adaptive streaming improves performance.</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val="en-IN" w:eastAsia="en-IN"/>
          <w14:ligatures w14:val="none"/>
        </w:rPr>
        <w:t>Live Concert Streaming</w:t>
      </w:r>
    </w:p>
    <w:p w:rsidR="00DB61C6" w:rsidRPr="00DB61C6" w:rsidRDefault="00DB61C6" w:rsidP="00DB61C6">
      <w:pPr>
        <w:jc w:val="both"/>
        <w:rPr>
          <w:rFonts w:eastAsia="Times New Roman" w:cs="Arial"/>
          <w:kern w:val="0"/>
          <w:lang w:val="en-IN" w:eastAsia="en-IN"/>
          <w14:ligatures w14:val="none"/>
        </w:rPr>
      </w:pPr>
      <w:r w:rsidRPr="00DB61C6">
        <w:rPr>
          <w:rFonts w:eastAsia="Times New Roman" w:cs="Arial"/>
          <w:kern w:val="0"/>
          <w:lang w:eastAsia="en-IN"/>
          <w14:ligatures w14:val="none"/>
        </w:rPr>
        <w:t>Virtual concerts led by artists and DJs can be subscribed to or bought as a ticket. This will overcome the geographical limitation of fans and give artists more income.</w:t>
      </w:r>
    </w:p>
    <w:p w:rsidR="00DB61C6" w:rsidRDefault="00DB61C6" w:rsidP="00DB61C6">
      <w:pPr>
        <w:jc w:val="both"/>
        <w:rPr>
          <w:rFonts w:eastAsia="Times New Roman" w:cs="Arial"/>
          <w:b/>
          <w:bCs/>
          <w:kern w:val="0"/>
          <w:lang w:eastAsia="en-IN"/>
          <w14:ligatures w14:val="none"/>
        </w:rPr>
      </w:pPr>
    </w:p>
    <w:p w:rsidR="00DB61C6" w:rsidRDefault="00DB61C6" w:rsidP="00DB61C6">
      <w:pPr>
        <w:jc w:val="both"/>
        <w:rPr>
          <w:rFonts w:eastAsia="Times New Roman" w:cs="Arial"/>
          <w:b/>
          <w:bCs/>
          <w:kern w:val="0"/>
          <w:lang w:eastAsia="en-IN"/>
          <w14:ligatures w14:val="none"/>
        </w:rPr>
      </w:pPr>
    </w:p>
    <w:p w:rsid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lastRenderedPageBreak/>
        <w:t>Artist and Industry Portal</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kern w:val="0"/>
          <w:lang w:eastAsia="en-IN"/>
          <w14:ligatures w14:val="none"/>
        </w:rPr>
        <w:t>Artists are able to add releases, handle portfolios and monitor earnings through analytics dashboards. This gives creators information about fan behaviour.</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val="en-IN" w:eastAsia="en-IN"/>
          <w14:ligatures w14:val="none"/>
        </w:rPr>
        <w:t>Fan Engagement System</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The user is able to subscribe to favourite artists and get real-time notices. This helps community building and retaining the audience.</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t>Advertisement Integration</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Businesses are able to use specific advertising according to the demographic and the listening habits, which enhances efficiency of marketing.</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t>Secure Payment Gateway</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Various secured payment methods guarantee secure payments on subscriptions, advertisement and purchase of concert tickets.</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t>AI Recommendation Engine</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Personalised discovery of content Behaviour-based algorithms is used to reduce churn and maximise user satisfaction.</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t>Cloud-Based Infrastructure</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Scalable back-end architecture facilitates access to world-wide content, secure data storage and rapid content distribution.</w:t>
      </w:r>
    </w:p>
    <w:p w:rsidR="00DB61C6" w:rsidRPr="00DB61C6" w:rsidRDefault="00DB61C6" w:rsidP="00DB61C6">
      <w:pPr>
        <w:jc w:val="both"/>
        <w:rPr>
          <w:rFonts w:eastAsia="Times New Roman" w:cs="Arial"/>
          <w:b/>
          <w:bCs/>
          <w:kern w:val="0"/>
          <w:lang w:val="en-IN" w:eastAsia="en-IN"/>
          <w14:ligatures w14:val="none"/>
        </w:rPr>
      </w:pPr>
      <w:r w:rsidRPr="00DB61C6">
        <w:rPr>
          <w:rFonts w:eastAsia="Times New Roman" w:cs="Arial"/>
          <w:b/>
          <w:bCs/>
          <w:kern w:val="0"/>
          <w:lang w:eastAsia="en-IN"/>
          <w14:ligatures w14:val="none"/>
        </w:rPr>
        <w:t>Admin and Analytics Dashboard</w:t>
      </w:r>
    </w:p>
    <w:p w:rsidR="00DB61C6" w:rsidRPr="00DB61C6" w:rsidRDefault="00DB61C6" w:rsidP="00DB61C6">
      <w:pPr>
        <w:jc w:val="both"/>
        <w:rPr>
          <w:rFonts w:eastAsia="Times New Roman" w:cs="Arial"/>
          <w:kern w:val="0"/>
          <w:lang w:eastAsia="en-IN"/>
          <w14:ligatures w14:val="none"/>
        </w:rPr>
      </w:pPr>
      <w:r w:rsidRPr="00DB61C6">
        <w:rPr>
          <w:rFonts w:eastAsia="Times New Roman" w:cs="Arial"/>
          <w:kern w:val="0"/>
          <w:lang w:eastAsia="en-IN"/>
          <w14:ligatures w14:val="none"/>
        </w:rPr>
        <w:t>The management teams are also able to track the content performance, revenue and operational metrics to make strategic decisions.</w:t>
      </w:r>
    </w:p>
    <w:p w:rsidR="00DB61C6" w:rsidRPr="00DB61C6" w:rsidRDefault="00DB61C6" w:rsidP="00DB61C6">
      <w:pPr>
        <w:rPr>
          <w:b/>
          <w:bCs/>
          <w:lang w:eastAsia="en-IN"/>
        </w:rPr>
      </w:pPr>
      <w:r w:rsidRPr="00DB61C6">
        <w:rPr>
          <w:b/>
          <w:bCs/>
          <w:lang w:eastAsia="en-IN"/>
        </w:rPr>
        <w:t>Table 1: Key User and Industry Problems Solved by Discsoul</w:t>
      </w:r>
    </w:p>
    <w:tbl>
      <w:tblPr>
        <w:tblStyle w:val="TableGrid"/>
        <w:tblW w:w="0" w:type="auto"/>
        <w:tblLook w:val="04A0" w:firstRow="1" w:lastRow="0" w:firstColumn="1" w:lastColumn="0" w:noHBand="0" w:noVBand="1"/>
      </w:tblPr>
      <w:tblGrid>
        <w:gridCol w:w="4508"/>
        <w:gridCol w:w="4508"/>
      </w:tblGrid>
      <w:tr w:rsidR="00DB61C6">
        <w:tc>
          <w:tcPr>
            <w:tcW w:w="4508" w:type="dxa"/>
            <w:vAlign w:val="center"/>
          </w:tcPr>
          <w:p w:rsidR="00DB61C6" w:rsidRDefault="00DB61C6" w:rsidP="00DB61C6">
            <w:pPr>
              <w:jc w:val="both"/>
              <w:rPr>
                <w:b/>
                <w:bCs/>
                <w:lang w:val="en-IN"/>
              </w:rPr>
            </w:pPr>
            <w:r>
              <w:rPr>
                <w:b/>
                <w:bCs/>
              </w:rPr>
              <w:t>Problem</w:t>
            </w:r>
          </w:p>
        </w:tc>
        <w:tc>
          <w:tcPr>
            <w:tcW w:w="4508" w:type="dxa"/>
            <w:vAlign w:val="center"/>
          </w:tcPr>
          <w:p w:rsidR="00DB61C6" w:rsidRDefault="00DB61C6" w:rsidP="00DB61C6">
            <w:pPr>
              <w:jc w:val="both"/>
              <w:rPr>
                <w:b/>
                <w:bCs/>
              </w:rPr>
            </w:pPr>
            <w:r>
              <w:rPr>
                <w:b/>
                <w:bCs/>
              </w:rPr>
              <w:t>Discsoul Solution</w:t>
            </w:r>
          </w:p>
        </w:tc>
      </w:tr>
      <w:tr w:rsidR="00DB61C6">
        <w:tc>
          <w:tcPr>
            <w:tcW w:w="4508" w:type="dxa"/>
            <w:vAlign w:val="center"/>
          </w:tcPr>
          <w:p w:rsidR="00DB61C6" w:rsidRDefault="00DB61C6" w:rsidP="00DB61C6">
            <w:pPr>
              <w:jc w:val="both"/>
            </w:pPr>
            <w:r>
              <w:t>Fragmented audio/video experiences</w:t>
            </w:r>
          </w:p>
        </w:tc>
        <w:tc>
          <w:tcPr>
            <w:tcW w:w="4508" w:type="dxa"/>
            <w:vAlign w:val="center"/>
          </w:tcPr>
          <w:p w:rsidR="00DB61C6" w:rsidRDefault="00DB61C6" w:rsidP="00DB61C6">
            <w:pPr>
              <w:jc w:val="both"/>
            </w:pPr>
            <w:r>
              <w:t>Integrated music, video and live events</w:t>
            </w:r>
          </w:p>
        </w:tc>
      </w:tr>
      <w:tr w:rsidR="00DB61C6">
        <w:tc>
          <w:tcPr>
            <w:tcW w:w="4508" w:type="dxa"/>
            <w:vAlign w:val="center"/>
          </w:tcPr>
          <w:p w:rsidR="00DB61C6" w:rsidRDefault="00DB61C6" w:rsidP="00DB61C6">
            <w:pPr>
              <w:jc w:val="both"/>
            </w:pPr>
            <w:r>
              <w:t>Limited artist monetisation</w:t>
            </w:r>
          </w:p>
        </w:tc>
        <w:tc>
          <w:tcPr>
            <w:tcW w:w="4508" w:type="dxa"/>
            <w:vAlign w:val="center"/>
          </w:tcPr>
          <w:p w:rsidR="00DB61C6" w:rsidRDefault="00DB61C6" w:rsidP="00DB61C6">
            <w:pPr>
              <w:jc w:val="both"/>
            </w:pPr>
            <w:r>
              <w:t>Artist portal + analytics + ticketed concerts</w:t>
            </w:r>
          </w:p>
        </w:tc>
      </w:tr>
      <w:tr w:rsidR="00DB61C6">
        <w:tc>
          <w:tcPr>
            <w:tcW w:w="4508" w:type="dxa"/>
            <w:vAlign w:val="center"/>
          </w:tcPr>
          <w:p w:rsidR="00DB61C6" w:rsidRDefault="00DB61C6" w:rsidP="00DB61C6">
            <w:pPr>
              <w:jc w:val="both"/>
            </w:pPr>
            <w:r>
              <w:t>Low-quality streaming on weak networks</w:t>
            </w:r>
          </w:p>
        </w:tc>
        <w:tc>
          <w:tcPr>
            <w:tcW w:w="4508" w:type="dxa"/>
            <w:vAlign w:val="center"/>
          </w:tcPr>
          <w:p w:rsidR="00DB61C6" w:rsidRDefault="00DB61C6" w:rsidP="00DB61C6">
            <w:pPr>
              <w:jc w:val="both"/>
            </w:pPr>
            <w:r>
              <w:t>Adaptive HD streaming</w:t>
            </w:r>
          </w:p>
        </w:tc>
      </w:tr>
      <w:tr w:rsidR="00DB61C6">
        <w:tc>
          <w:tcPr>
            <w:tcW w:w="4508" w:type="dxa"/>
            <w:vAlign w:val="center"/>
          </w:tcPr>
          <w:p w:rsidR="00DB61C6" w:rsidRDefault="00DB61C6" w:rsidP="00DB61C6">
            <w:pPr>
              <w:jc w:val="both"/>
            </w:pPr>
            <w:r>
              <w:t>Poor content discovery</w:t>
            </w:r>
          </w:p>
        </w:tc>
        <w:tc>
          <w:tcPr>
            <w:tcW w:w="4508" w:type="dxa"/>
            <w:vAlign w:val="center"/>
          </w:tcPr>
          <w:p w:rsidR="00DB61C6" w:rsidRDefault="00DB61C6" w:rsidP="00DB61C6">
            <w:pPr>
              <w:jc w:val="both"/>
            </w:pPr>
            <w:r>
              <w:t>AI personalisation engine</w:t>
            </w:r>
          </w:p>
        </w:tc>
      </w:tr>
      <w:tr w:rsidR="00DB61C6">
        <w:tc>
          <w:tcPr>
            <w:tcW w:w="4508" w:type="dxa"/>
            <w:vAlign w:val="center"/>
          </w:tcPr>
          <w:p w:rsidR="00DB61C6" w:rsidRDefault="00DB61C6" w:rsidP="00DB61C6">
            <w:pPr>
              <w:jc w:val="both"/>
            </w:pPr>
            <w:r>
              <w:t>Lack of fan interaction</w:t>
            </w:r>
          </w:p>
        </w:tc>
        <w:tc>
          <w:tcPr>
            <w:tcW w:w="4508" w:type="dxa"/>
            <w:vAlign w:val="center"/>
          </w:tcPr>
          <w:p w:rsidR="00DB61C6" w:rsidRDefault="00DB61C6" w:rsidP="00DB61C6">
            <w:pPr>
              <w:jc w:val="both"/>
            </w:pPr>
            <w:r>
              <w:t>Follow and notification systems</w:t>
            </w:r>
          </w:p>
        </w:tc>
      </w:tr>
      <w:tr w:rsidR="00DB61C6">
        <w:tc>
          <w:tcPr>
            <w:tcW w:w="4508" w:type="dxa"/>
            <w:vAlign w:val="center"/>
          </w:tcPr>
          <w:p w:rsidR="00DB61C6" w:rsidRDefault="00DB61C6" w:rsidP="00DB61C6">
            <w:pPr>
              <w:jc w:val="both"/>
            </w:pPr>
            <w:r>
              <w:t>Weak digital advertising efficiency</w:t>
            </w:r>
          </w:p>
        </w:tc>
        <w:tc>
          <w:tcPr>
            <w:tcW w:w="4508" w:type="dxa"/>
            <w:vAlign w:val="center"/>
          </w:tcPr>
          <w:p w:rsidR="00DB61C6" w:rsidRDefault="00DB61C6" w:rsidP="00DB61C6">
            <w:pPr>
              <w:jc w:val="both"/>
            </w:pPr>
            <w:r>
              <w:t>Targeted ad integration</w:t>
            </w:r>
          </w:p>
        </w:tc>
      </w:tr>
    </w:tbl>
    <w:p w:rsidR="00DB61C6" w:rsidRPr="00053062" w:rsidRDefault="00DB61C6" w:rsidP="00DB61C6">
      <w:pPr>
        <w:spacing w:before="100" w:beforeAutospacing="1" w:after="100" w:afterAutospacing="1" w:line="240" w:lineRule="auto"/>
        <w:jc w:val="both"/>
        <w:outlineLvl w:val="2"/>
        <w:rPr>
          <w:rFonts w:ascii="Times New Roman" w:eastAsia="Times New Roman" w:hAnsi="Times New Roman" w:cs="Times New Roman"/>
          <w:kern w:val="0"/>
          <w:sz w:val="27"/>
          <w:szCs w:val="27"/>
          <w:lang w:val="en-IN" w:eastAsia="en-IN"/>
          <w14:ligatures w14:val="none"/>
        </w:rPr>
      </w:pPr>
    </w:p>
    <w:p w:rsidR="00DB61C6" w:rsidRDefault="00DB61C6" w:rsidP="00DB61C6">
      <w:pPr>
        <w:jc w:val="both"/>
        <w:rPr>
          <w:rFonts w:cs="Arial"/>
          <w:lang w:val="en-IN"/>
        </w:rPr>
      </w:pPr>
      <w:r w:rsidRPr="00692344">
        <w:rPr>
          <w:rFonts w:cs="Arial"/>
          <w:noProof/>
          <w:lang w:val="en-IN"/>
        </w:rPr>
        <w:lastRenderedPageBreak/>
        <w:drawing>
          <wp:inline distT="0" distB="0" distL="0" distR="0" wp14:anchorId="641E0C77" wp14:editId="6FD113D5">
            <wp:extent cx="5731510" cy="2708275"/>
            <wp:effectExtent l="0" t="0" r="2540" b="0"/>
            <wp:docPr id="681026713"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26713" name="Picture 1" descr="A graph with purple bars&#10;&#10;AI-generated content may be incorrect."/>
                    <pic:cNvPicPr/>
                  </pic:nvPicPr>
                  <pic:blipFill>
                    <a:blip r:embed="rId12"/>
                    <a:stretch>
                      <a:fillRect/>
                    </a:stretch>
                  </pic:blipFill>
                  <pic:spPr>
                    <a:xfrm>
                      <a:off x="0" y="0"/>
                      <a:ext cx="5731510" cy="2708275"/>
                    </a:xfrm>
                    <a:prstGeom prst="rect">
                      <a:avLst/>
                    </a:prstGeom>
                  </pic:spPr>
                </pic:pic>
              </a:graphicData>
            </a:graphic>
          </wp:inline>
        </w:drawing>
      </w:r>
    </w:p>
    <w:p w:rsidR="00DB61C6" w:rsidRPr="00133742" w:rsidRDefault="00DB61C6" w:rsidP="00133742">
      <w:pPr>
        <w:rPr>
          <w:b/>
          <w:bCs/>
          <w:lang w:val="en-IN"/>
        </w:rPr>
      </w:pPr>
      <w:r w:rsidRPr="00133742">
        <w:rPr>
          <w:b/>
          <w:bCs/>
          <w:lang w:val="en-IN"/>
        </w:rPr>
        <w:t xml:space="preserve">Fig </w:t>
      </w:r>
      <w:r w:rsidR="0020229E">
        <w:rPr>
          <w:b/>
          <w:bCs/>
          <w:lang w:val="en-IN"/>
        </w:rPr>
        <w:t>2.</w:t>
      </w:r>
      <w:r w:rsidRPr="00133742">
        <w:rPr>
          <w:b/>
          <w:bCs/>
          <w:lang w:val="en-IN"/>
        </w:rPr>
        <w:t>1 (</w:t>
      </w:r>
      <w:r w:rsidRPr="00133742">
        <w:rPr>
          <w:b/>
          <w:bCs/>
        </w:rPr>
        <w:t>Global music streaming market, 2018-2030 (US$M)</w:t>
      </w:r>
      <w:r w:rsidRPr="00133742">
        <w:rPr>
          <w:b/>
          <w:bCs/>
          <w:lang w:val="en-IN"/>
        </w:rPr>
        <w:t>)</w:t>
      </w:r>
    </w:p>
    <w:p w:rsidR="00DB61C6" w:rsidRPr="00133742" w:rsidRDefault="00DB61C6" w:rsidP="00133742">
      <w:pPr>
        <w:rPr>
          <w:b/>
          <w:bCs/>
          <w:lang w:val="en-IN"/>
        </w:rPr>
      </w:pPr>
      <w:r w:rsidRPr="00133742">
        <w:rPr>
          <w:b/>
          <w:bCs/>
          <w:lang w:val="en-IN"/>
        </w:rPr>
        <w:t>Graph Explanation</w:t>
      </w:r>
    </w:p>
    <w:p w:rsidR="00133742" w:rsidRDefault="00DB61C6" w:rsidP="00133742">
      <w:pPr>
        <w:jc w:val="both"/>
        <w:rPr>
          <w:rFonts w:cs="Arial"/>
        </w:rPr>
      </w:pPr>
      <w:r w:rsidRPr="00053062">
        <w:rPr>
          <w:rFonts w:cs="Arial"/>
        </w:rPr>
        <w:t>The graph created above, namely the Global Music and Video streaming Market growth (20</w:t>
      </w:r>
      <w:r>
        <w:rPr>
          <w:rFonts w:cs="Arial"/>
        </w:rPr>
        <w:t>18</w:t>
      </w:r>
      <w:r w:rsidRPr="00053062">
        <w:rPr>
          <w:rFonts w:cs="Arial"/>
        </w:rPr>
        <w:t>- 20</w:t>
      </w:r>
      <w:r>
        <w:rPr>
          <w:rFonts w:cs="Arial"/>
        </w:rPr>
        <w:t>30</w:t>
      </w:r>
      <w:r w:rsidRPr="00053062">
        <w:rPr>
          <w:rFonts w:cs="Arial"/>
        </w:rPr>
        <w:t xml:space="preserve">), depicts the growth pattern where the consumption of digital entertainment is on the rise. The continuous growth, USD 25 billion in 2020 up to USD </w:t>
      </w:r>
      <w:r>
        <w:rPr>
          <w:rFonts w:cs="Arial"/>
        </w:rPr>
        <w:t>54</w:t>
      </w:r>
      <w:r w:rsidRPr="00053062">
        <w:rPr>
          <w:rFonts w:cs="Arial"/>
        </w:rPr>
        <w:t xml:space="preserve"> billion in 2025, shows the increased demand in integrated streaming solutions. This justifies the entry of Discsoul in the market as there is a clear indication of the industry growth and willingness of consumers to use the digital media </w:t>
      </w:r>
      <w:proofErr w:type="gramStart"/>
      <w:r w:rsidRPr="00053062">
        <w:rPr>
          <w:rFonts w:cs="Arial"/>
        </w:rPr>
        <w:t>platforms</w:t>
      </w:r>
      <w:r>
        <w:rPr>
          <w:rFonts w:cs="Arial"/>
        </w:rPr>
        <w:t>(</w:t>
      </w:r>
      <w:proofErr w:type="gramEnd"/>
      <w:r w:rsidRPr="00496944">
        <w:rPr>
          <w:lang w:val="en-IN"/>
        </w:rPr>
        <w:t>Grand View Research</w:t>
      </w:r>
      <w:r>
        <w:rPr>
          <w:lang w:val="en-IN"/>
        </w:rPr>
        <w:t>, 2025</w:t>
      </w:r>
      <w:r>
        <w:rPr>
          <w:rFonts w:cs="Arial"/>
        </w:rPr>
        <w:t>)</w:t>
      </w:r>
      <w:r w:rsidRPr="00053062">
        <w:rPr>
          <w:rFonts w:cs="Arial"/>
        </w:rPr>
        <w:t>.</w:t>
      </w:r>
    </w:p>
    <w:p w:rsidR="00DB61C6" w:rsidRPr="00133742" w:rsidRDefault="00DB61C6" w:rsidP="00133742">
      <w:pPr>
        <w:pStyle w:val="Heading1"/>
        <w:rPr>
          <w:rFonts w:cs="Arial"/>
        </w:rPr>
      </w:pPr>
      <w:bookmarkStart w:id="8" w:name="_Toc220991305"/>
      <w:r w:rsidRPr="00053062">
        <w:t>2.</w:t>
      </w:r>
      <w:r w:rsidR="00133742">
        <w:t>5</w:t>
      </w:r>
      <w:r w:rsidRPr="00053062">
        <w:t xml:space="preserve"> Unique Value Proposition and Strategic Advantage</w:t>
      </w:r>
      <w:bookmarkEnd w:id="8"/>
    </w:p>
    <w:p w:rsidR="00DB61C6" w:rsidRDefault="00DB61C6" w:rsidP="00DB61C6">
      <w:pPr>
        <w:jc w:val="both"/>
        <w:rPr>
          <w:rFonts w:cs="Arial"/>
        </w:rPr>
      </w:pPr>
      <w:r w:rsidRPr="00E57773">
        <w:rPr>
          <w:rFonts w:cs="Arial"/>
        </w:rPr>
        <w:t>The strategic position of Discsoul is its hybrid ecosystem: music + video + live streaming + creator tools + AI personalisation. In contrast to the old-fashioned streaming service, which only has a single format, Discsoul combines several features on a single platform. This integration boosts user satisfaction, retention as well as monetisation.</w:t>
      </w:r>
    </w:p>
    <w:p w:rsidR="00DB61C6" w:rsidRPr="00133742" w:rsidRDefault="00DB61C6" w:rsidP="00DB61C6">
      <w:pPr>
        <w:jc w:val="both"/>
        <w:rPr>
          <w:rFonts w:cs="Arial"/>
          <w:b/>
          <w:bCs/>
        </w:rPr>
      </w:pPr>
      <w:r w:rsidRPr="00133742">
        <w:rPr>
          <w:rFonts w:cs="Arial"/>
          <w:b/>
          <w:bCs/>
        </w:rPr>
        <w:t>The major distinguishing factors are:</w:t>
      </w:r>
    </w:p>
    <w:p w:rsidR="00DB61C6" w:rsidRPr="00133742" w:rsidRDefault="00DB61C6" w:rsidP="00133742">
      <w:pPr>
        <w:pStyle w:val="ListParagraph"/>
        <w:numPr>
          <w:ilvl w:val="0"/>
          <w:numId w:val="3"/>
        </w:numPr>
        <w:jc w:val="both"/>
      </w:pPr>
      <w:r w:rsidRPr="00133742">
        <w:t>An analytics platform specialized in creators, and more successful than average upload-only sites.</w:t>
      </w:r>
    </w:p>
    <w:p w:rsidR="00DB61C6" w:rsidRPr="00133742" w:rsidRDefault="00DB61C6" w:rsidP="00133742">
      <w:pPr>
        <w:pStyle w:val="ListParagraph"/>
        <w:numPr>
          <w:ilvl w:val="0"/>
          <w:numId w:val="3"/>
        </w:numPr>
        <w:jc w:val="both"/>
      </w:pPr>
      <w:r w:rsidRPr="00133742">
        <w:t xml:space="preserve">A live show streaming feature, which other streaming heavy weights do not feature in a single interface. </w:t>
      </w:r>
    </w:p>
    <w:p w:rsidR="00DB61C6" w:rsidRPr="00133742" w:rsidRDefault="00DB61C6" w:rsidP="00133742">
      <w:pPr>
        <w:pStyle w:val="ListParagraph"/>
        <w:numPr>
          <w:ilvl w:val="0"/>
          <w:numId w:val="3"/>
        </w:numPr>
        <w:jc w:val="both"/>
      </w:pPr>
      <w:r w:rsidRPr="00133742">
        <w:t xml:space="preserve">AI recommendation engines that are consumer-focused and exposure-oriented to upcoming artists. </w:t>
      </w:r>
    </w:p>
    <w:p w:rsidR="00DB61C6" w:rsidRPr="00133742" w:rsidRDefault="00DB61C6" w:rsidP="00133742">
      <w:pPr>
        <w:pStyle w:val="ListParagraph"/>
        <w:numPr>
          <w:ilvl w:val="0"/>
          <w:numId w:val="3"/>
        </w:numPr>
        <w:jc w:val="both"/>
      </w:pPr>
      <w:r w:rsidRPr="00133742">
        <w:t xml:space="preserve">An advertising architecture that is business friendly and allows SMEs and global brands to be targeted in a campaign. </w:t>
      </w:r>
    </w:p>
    <w:p w:rsidR="00DB61C6" w:rsidRPr="00133742" w:rsidRDefault="00DB61C6" w:rsidP="00133742">
      <w:pPr>
        <w:pStyle w:val="ListParagraph"/>
        <w:numPr>
          <w:ilvl w:val="0"/>
          <w:numId w:val="3"/>
        </w:numPr>
        <w:jc w:val="both"/>
      </w:pPr>
      <w:r w:rsidRPr="00133742">
        <w:t xml:space="preserve">Scalability that is native to the cloud, which guarantees operational effectiveness and global coverage. </w:t>
      </w:r>
    </w:p>
    <w:p w:rsidR="00DB61C6" w:rsidRPr="00133742" w:rsidRDefault="00DB61C6" w:rsidP="00DB61C6">
      <w:pPr>
        <w:pStyle w:val="ListParagraph"/>
        <w:numPr>
          <w:ilvl w:val="0"/>
          <w:numId w:val="3"/>
        </w:numPr>
        <w:jc w:val="both"/>
      </w:pPr>
      <w:r w:rsidRPr="00133742">
        <w:lastRenderedPageBreak/>
        <w:t>All these aspects form an all-encompassing digital ecosystem, which makes Discsoul competitive in the changing entertainment market.</w:t>
      </w:r>
    </w:p>
    <w:p w:rsidR="00DB61C6" w:rsidRDefault="00DB61C6" w:rsidP="00133742">
      <w:pPr>
        <w:pStyle w:val="Heading1"/>
      </w:pPr>
      <w:bookmarkStart w:id="9" w:name="_Toc220991306"/>
      <w:r w:rsidRPr="00E210D8">
        <w:t>2.</w:t>
      </w:r>
      <w:r w:rsidR="00133742">
        <w:t>6</w:t>
      </w:r>
      <w:r w:rsidRPr="00E210D8">
        <w:t xml:space="preserve"> Alignment with Trends and UK Policies</w:t>
      </w:r>
      <w:bookmarkEnd w:id="9"/>
    </w:p>
    <w:p w:rsidR="00DB61C6" w:rsidRPr="00E210D8" w:rsidRDefault="00DB61C6" w:rsidP="00133742">
      <w:pPr>
        <w:jc w:val="both"/>
      </w:pPr>
      <w:r w:rsidRPr="00E210D8">
        <w:t>Discsoul is more at par with UK policies in digital- innovations, growth strategies in the creative industry, and technological concerns. Digital Strategy created by the UK Government focuses on the implementation of AI, innovation in clouds, and competitiveness of the creative industries, all of which are the core of the Discsoul business model. Moreover, the vision of the Creative Industries Sector is to expand the sector by 50 billion by 2030, indicating that the institutions support the development of such companies as Discsoul (</w:t>
      </w:r>
      <w:r w:rsidRPr="005633DE">
        <w:rPr>
          <w:lang w:val="en-IN"/>
        </w:rPr>
        <w:t>GOV.UK</w:t>
      </w:r>
      <w:r w:rsidRPr="000D5C22">
        <w:t>, 2023</w:t>
      </w:r>
      <w:r w:rsidRPr="00E210D8">
        <w:t xml:space="preserve">). </w:t>
      </w:r>
    </w:p>
    <w:p w:rsidR="00DB61C6" w:rsidRPr="00E210D8" w:rsidRDefault="00DB61C6" w:rsidP="00133742">
      <w:pPr>
        <w:jc w:val="both"/>
      </w:pPr>
      <w:r w:rsidRPr="00E210D8">
        <w:t xml:space="preserve">The platform is also aligned with the UK data-driven innovation strategy, which aims at equitable algorithmic practices, ethical data management, and user privacy as per the UK GDPR (ICO, 2024). The transparency, user privileges and security payment systems at </w:t>
      </w:r>
      <w:proofErr w:type="spellStart"/>
      <w:r w:rsidRPr="00E210D8">
        <w:t>Discoul</w:t>
      </w:r>
      <w:proofErr w:type="spellEnd"/>
      <w:r w:rsidRPr="00E210D8">
        <w:t xml:space="preserve"> makes them compliant to changing digital-commerce laws. </w:t>
      </w:r>
    </w:p>
    <w:p w:rsidR="00DE1E8C" w:rsidRDefault="00DB61C6" w:rsidP="00133742">
      <w:pPr>
        <w:jc w:val="both"/>
      </w:pPr>
      <w:r w:rsidRPr="00E210D8">
        <w:t>Economically, Discsoul helps to create jobs, digital entrepreneurship, and build chains in the creative industry. Its cloud-based system is aligned with the frameworks of UK digital transformation, and its AI-based discovery system facilitates the country-level goals of responsible AI use.</w:t>
      </w:r>
    </w:p>
    <w:p w:rsidR="00DE1E8C" w:rsidRPr="00A047B8" w:rsidRDefault="00DE1E8C" w:rsidP="00DE1E8C">
      <w:pPr>
        <w:pStyle w:val="Title"/>
        <w:rPr>
          <w:lang w:val="en-IN"/>
        </w:rPr>
      </w:pPr>
      <w:bookmarkStart w:id="10" w:name="_Toc220991307"/>
      <w:r w:rsidRPr="00A047B8">
        <w:rPr>
          <w:lang w:val="en-IN"/>
        </w:rPr>
        <w:t>Chapter 3: Market Research and Validation</w:t>
      </w:r>
      <w:bookmarkEnd w:id="10"/>
    </w:p>
    <w:p w:rsidR="00DE1E8C" w:rsidRPr="00A047B8" w:rsidRDefault="00DE1E8C" w:rsidP="00DE1E8C">
      <w:pPr>
        <w:pStyle w:val="Heading1"/>
        <w:rPr>
          <w:lang w:val="en-IN"/>
        </w:rPr>
      </w:pPr>
      <w:bookmarkStart w:id="11" w:name="_Toc220991308"/>
      <w:r w:rsidRPr="00A047B8">
        <w:rPr>
          <w:lang w:val="en-IN"/>
        </w:rPr>
        <w:t>3.1 Industry Overview</w:t>
      </w:r>
      <w:bookmarkEnd w:id="11"/>
    </w:p>
    <w:p w:rsidR="00DE1E8C" w:rsidRPr="00DD1B00" w:rsidRDefault="00DE1E8C" w:rsidP="00DE1E8C">
      <w:pPr>
        <w:jc w:val="both"/>
        <w:rPr>
          <w:lang w:val="en-IN"/>
        </w:rPr>
      </w:pPr>
      <w:r w:rsidRPr="00F7797D">
        <w:t xml:space="preserve">The structural change of the global music and video streaming industry that has been experienced in the past ten years is due to convergence of technology, evolving patterns of consumption and the emergence of platform-based digital ecosystems. Streaming has taken over the world of music and video consumption and has supplanted the physical sales and downloads in </w:t>
      </w:r>
      <w:proofErr w:type="spellStart"/>
      <w:r w:rsidRPr="00F7797D">
        <w:t>favor</w:t>
      </w:r>
      <w:proofErr w:type="spellEnd"/>
      <w:r w:rsidRPr="00F7797D">
        <w:t xml:space="preserve"> of on-demand, subscription-based access. </w:t>
      </w:r>
      <w:r w:rsidRPr="00A65BA5">
        <w:t xml:space="preserve">The </w:t>
      </w:r>
      <w:r w:rsidRPr="006E6294">
        <w:t>Music Canada</w:t>
      </w:r>
      <w:r w:rsidRPr="00A65BA5">
        <w:t xml:space="preserve"> (2025) </w:t>
      </w:r>
      <w:r w:rsidRPr="00F7797D">
        <w:t>estimates that the music streaming revenues alone in the world in 2024 alone had topped USD 20</w:t>
      </w:r>
      <w:r>
        <w:t xml:space="preserve">.4 </w:t>
      </w:r>
      <w:r w:rsidRPr="00F7797D">
        <w:t xml:space="preserve">billion, and video streaming is growing at rates of at least </w:t>
      </w:r>
      <w:r>
        <w:t>18.5</w:t>
      </w:r>
      <w:r w:rsidRPr="00F7797D">
        <w:t xml:space="preserve"> percent per year in developed and developing markets. The rapid increase is supported by a high rate of uptake of smartphones, better infrastructure of broadband and the desire by consumers of individualised and on-demand content</w:t>
      </w:r>
      <w:r w:rsidRPr="00DD1B00">
        <w:rPr>
          <w:rFonts w:ascii="Times New Roman" w:eastAsia="Times New Roman" w:hAnsi="Times New Roman" w:cs="Times New Roman"/>
          <w:kern w:val="0"/>
          <w:lang w:val="en-IN" w:eastAsia="en-IN"/>
          <w14:ligatures w14:val="none"/>
        </w:rPr>
        <w:t xml:space="preserve"> </w:t>
      </w:r>
      <w:r w:rsidRPr="00DD1B00">
        <w:rPr>
          <w:lang w:val="en-IN"/>
        </w:rPr>
        <w:t>(Reid, 2025)</w:t>
      </w:r>
      <w:r w:rsidRPr="00F7797D">
        <w:t>.</w:t>
      </w:r>
    </w:p>
    <w:p w:rsidR="00DE1E8C" w:rsidRDefault="00DE1E8C" w:rsidP="00DE1E8C">
      <w:pPr>
        <w:jc w:val="both"/>
        <w:rPr>
          <w:lang w:val="en-IN"/>
        </w:rPr>
      </w:pPr>
      <w:r w:rsidRPr="00F7797D">
        <w:t>According to industry reports, there is an obvious trend of convergence of platforms. Instead of listening, watching, listening to podcasts and live streams on different platforms, users want to see a unified system where all the entertaining formats are in the same interface (</w:t>
      </w:r>
      <w:r w:rsidRPr="00DD1B00">
        <w:rPr>
          <w:lang w:val="en-IN"/>
        </w:rPr>
        <w:t>Borges and Harrison, 2025)</w:t>
      </w:r>
      <w:r>
        <w:rPr>
          <w:lang w:val="en-IN"/>
        </w:rPr>
        <w:t>.</w:t>
      </w:r>
    </w:p>
    <w:p w:rsidR="00DE1E8C" w:rsidRPr="00DD1B00" w:rsidRDefault="00DE1E8C" w:rsidP="00DE1E8C">
      <w:pPr>
        <w:jc w:val="both"/>
        <w:rPr>
          <w:lang w:val="en-IN"/>
        </w:rPr>
      </w:pPr>
      <w:r w:rsidRPr="00F7797D">
        <w:t xml:space="preserve">The further acceleration of this convergence is made possible by the development of cloud computing and artificial intelligence that allows the delivery of content without problems and highly developed systems on recommendations. According to </w:t>
      </w:r>
      <w:r>
        <w:t>PwC</w:t>
      </w:r>
      <w:r w:rsidRPr="00F7797D">
        <w:t xml:space="preserve"> </w:t>
      </w:r>
      <w:r w:rsidRPr="00F7797D">
        <w:lastRenderedPageBreak/>
        <w:t>(20</w:t>
      </w:r>
      <w:r>
        <w:t>25</w:t>
      </w:r>
      <w:r w:rsidRPr="00F7797D">
        <w:t>), AI-enhanced personalisation is now a sensitive competitive aspect, which determines not only user engagement but also retention in terms of subscription.</w:t>
      </w:r>
    </w:p>
    <w:p w:rsidR="00DE1E8C" w:rsidRPr="00DE1E8C" w:rsidRDefault="00DE1E8C" w:rsidP="00DE1E8C">
      <w:pPr>
        <w:jc w:val="both"/>
      </w:pPr>
      <w:r w:rsidRPr="00F7797D">
        <w:t xml:space="preserve">Digital entertainment that is live has also become a great growth area. The virtual concerts, recorded shows and hybrid live-streaming events have become widespread during the COVID-19 weeks and have been a regular part of the digital entertainment industry ever since. </w:t>
      </w:r>
      <w:r w:rsidRPr="00414D3F">
        <w:t>Research and Markets (2025)</w:t>
      </w:r>
      <w:r>
        <w:t xml:space="preserve"> </w:t>
      </w:r>
      <w:r w:rsidRPr="00F7797D">
        <w:t>forecasts that by 20</w:t>
      </w:r>
      <w:r>
        <w:t>29</w:t>
      </w:r>
      <w:r w:rsidRPr="00F7797D">
        <w:t>, the market in terms of music events live-streamed will have grown by more than 1</w:t>
      </w:r>
      <w:r>
        <w:t>5.9</w:t>
      </w:r>
      <w:r w:rsidRPr="00F7797D">
        <w:t>% CAGR, with artists and platforms trying to find new monetisation opportunities outside of traditional touring. Geographically, North America and Europe continue to be the largest streaming markets, whereas Asia-Pacific displays the most rapid growth thanks to the increasing middle-class communities and the mobile-first consumption trends. UK is at the heart of the European digital entertainment sector, with an established consumer market, internationally recognised creative economy and favourable digital infrastructure (Ofcom, 202</w:t>
      </w:r>
      <w:r>
        <w:t>3</w:t>
      </w:r>
      <w:r w:rsidRPr="00F7797D">
        <w:t>). All these factors provide a good industry environment in the release of an integrated platform like Discsoul.</w:t>
      </w:r>
    </w:p>
    <w:p w:rsidR="00DE1E8C" w:rsidRPr="00F7797D" w:rsidRDefault="00DE1E8C" w:rsidP="00DE1E8C">
      <w:pPr>
        <w:jc w:val="both"/>
        <w:rPr>
          <w:lang w:val="en-IN"/>
        </w:rPr>
      </w:pPr>
      <w:r w:rsidRPr="00F7797D">
        <w:rPr>
          <w:lang w:val="en-IN"/>
        </w:rPr>
        <w:t xml:space="preserve">On balance, the sector is defined by a high rate of growth, the intensifying competition, fast development of technologies and growing demands of consumers who need to experience the immersive multi-format entertainment. This condition justifies the strategic rationale of a differentiated and integrated music and video streaming platform. </w:t>
      </w:r>
    </w:p>
    <w:p w:rsidR="00DE1E8C" w:rsidRPr="00A047B8" w:rsidRDefault="00DE1E8C" w:rsidP="00DE1E8C">
      <w:pPr>
        <w:pStyle w:val="Heading1"/>
        <w:rPr>
          <w:lang w:val="en-IN"/>
        </w:rPr>
      </w:pPr>
      <w:bookmarkStart w:id="12" w:name="_Toc220991309"/>
      <w:r w:rsidRPr="00A047B8">
        <w:rPr>
          <w:lang w:val="en-IN"/>
        </w:rPr>
        <w:t>3.2 Target Market Segmentation and Customer Profile (STP Framework)</w:t>
      </w:r>
      <w:bookmarkEnd w:id="12"/>
    </w:p>
    <w:p w:rsidR="00DE1E8C" w:rsidRDefault="00DE1E8C" w:rsidP="00DE1E8C">
      <w:pPr>
        <w:jc w:val="both"/>
      </w:pPr>
      <w:r w:rsidRPr="00F7797D">
        <w:t xml:space="preserve">The market research at </w:t>
      </w:r>
      <w:proofErr w:type="spellStart"/>
      <w:r w:rsidRPr="00F7797D">
        <w:t>Discoul</w:t>
      </w:r>
      <w:proofErr w:type="spellEnd"/>
      <w:r w:rsidRPr="00F7797D">
        <w:t xml:space="preserve"> will use the Segmentation, Targeting, and Positioning (STP) framework in order to segment and prioritize customers who are most likely to be satisfied with the value relationship of the platform.</w:t>
      </w:r>
    </w:p>
    <w:p w:rsidR="00DE1E8C" w:rsidRPr="00A047B8" w:rsidRDefault="00DE1E8C" w:rsidP="00DE1E8C">
      <w:pPr>
        <w:rPr>
          <w:b/>
          <w:bCs/>
          <w:lang w:val="en-IN"/>
        </w:rPr>
      </w:pPr>
      <w:r w:rsidRPr="00A047B8">
        <w:rPr>
          <w:b/>
          <w:bCs/>
          <w:lang w:val="en-IN"/>
        </w:rPr>
        <w:t>Segmentation</w:t>
      </w:r>
    </w:p>
    <w:p w:rsidR="00DE1E8C" w:rsidRDefault="00DE1E8C" w:rsidP="00DE1E8C">
      <w:pPr>
        <w:jc w:val="both"/>
      </w:pPr>
      <w:r w:rsidRPr="00F7797D">
        <w:t xml:space="preserve">The market segmentation is carried out on four aspects which include demographic, psychographic, behavioural and geographic. The users of Discsoul are between 16 and 45 years old with the core streaming users being the same. According to </w:t>
      </w:r>
      <w:r w:rsidRPr="00B949E5">
        <w:t>GWI</w:t>
      </w:r>
      <w:r w:rsidRPr="00F7797D">
        <w:t xml:space="preserve"> (202</w:t>
      </w:r>
      <w:r>
        <w:t>5</w:t>
      </w:r>
      <w:r w:rsidRPr="00F7797D">
        <w:t>), more than three-quarters of streaming subscribers all over the world are between this age bracket. There is a difference in the level of income, yet there is high adoption of digital entertainment among the student and professional environment</w:t>
      </w:r>
      <w:r>
        <w:t xml:space="preserve"> (</w:t>
      </w:r>
      <w:r w:rsidRPr="00E73C19">
        <w:rPr>
          <w:lang w:val="en-IN"/>
        </w:rPr>
        <w:t>Harlow</w:t>
      </w:r>
      <w:r>
        <w:rPr>
          <w:lang w:val="en-IN"/>
        </w:rPr>
        <w:t>, 2025</w:t>
      </w:r>
      <w:r>
        <w:t>)</w:t>
      </w:r>
      <w:r w:rsidRPr="00F7797D">
        <w:t>.</w:t>
      </w:r>
    </w:p>
    <w:p w:rsidR="00DE1E8C" w:rsidRDefault="00DE1E8C" w:rsidP="00DE1E8C">
      <w:pPr>
        <w:jc w:val="both"/>
      </w:pPr>
      <w:r w:rsidRPr="00F7797D">
        <w:t>The psychographic segment includes digitally active consumers interested in convenience, discovery, community engagement and immersive experience. Such users are highly interested in music culture, live events, stories and personalised recommendations on artists.</w:t>
      </w:r>
    </w:p>
    <w:p w:rsidR="00DE1E8C" w:rsidRDefault="00DE1E8C" w:rsidP="00DE1E8C">
      <w:pPr>
        <w:jc w:val="both"/>
      </w:pPr>
      <w:r w:rsidRPr="00F7797D">
        <w:t xml:space="preserve">Target users are behaviourally characterized with high rates of streaming, and are willing to subscribe to premium features, and consume live or exclusive content. </w:t>
      </w:r>
      <w:r w:rsidRPr="00F7797D">
        <w:lastRenderedPageBreak/>
        <w:t>Another behavioural group, the ad-tolerant users, are willing to use the free access with targeted advertising.</w:t>
      </w:r>
    </w:p>
    <w:p w:rsidR="00DE1E8C" w:rsidRDefault="00DE1E8C" w:rsidP="00DE1E8C">
      <w:pPr>
        <w:jc w:val="both"/>
      </w:pPr>
      <w:r w:rsidRPr="00F7797D">
        <w:t>The UK is the main target market in terms of geography, and could be extended to Europe and other English-speaking countries.</w:t>
      </w:r>
    </w:p>
    <w:p w:rsidR="00DE1E8C" w:rsidRPr="00A047B8" w:rsidRDefault="00DE1E8C" w:rsidP="00DE1E8C">
      <w:pPr>
        <w:rPr>
          <w:b/>
          <w:bCs/>
          <w:lang w:val="en-IN"/>
        </w:rPr>
      </w:pPr>
      <w:r w:rsidRPr="00A047B8">
        <w:rPr>
          <w:b/>
          <w:bCs/>
          <w:lang w:val="en-IN"/>
        </w:rPr>
        <w:t>Targeting</w:t>
      </w:r>
    </w:p>
    <w:p w:rsidR="00DE1E8C" w:rsidRDefault="00DE1E8C" w:rsidP="00DE1E8C">
      <w:pPr>
        <w:jc w:val="both"/>
      </w:pPr>
      <w:r w:rsidRPr="00EA6A4A">
        <w:t>According to the segmentation analysis, Discsoul focuses on four main target segments:</w:t>
      </w:r>
    </w:p>
    <w:p w:rsidR="00DE1E8C" w:rsidRDefault="00DE1E8C" w:rsidP="00DE1E8C">
      <w:pPr>
        <w:pStyle w:val="ListParagraph"/>
        <w:numPr>
          <w:ilvl w:val="0"/>
          <w:numId w:val="6"/>
        </w:numPr>
        <w:jc w:val="both"/>
      </w:pPr>
      <w:r w:rsidRPr="00EA6A4A">
        <w:t xml:space="preserve">Digital-native customers who want to have an integrated audio, video and live entertainment. </w:t>
      </w:r>
    </w:p>
    <w:p w:rsidR="00DE1E8C" w:rsidRDefault="00DE1E8C" w:rsidP="00DE1E8C">
      <w:pPr>
        <w:pStyle w:val="ListParagraph"/>
        <w:numPr>
          <w:ilvl w:val="0"/>
          <w:numId w:val="6"/>
        </w:numPr>
        <w:jc w:val="both"/>
      </w:pPr>
      <w:r w:rsidRPr="00EA6A4A">
        <w:t xml:space="preserve">Self-driving artists and DJs who need to be seen, to get analytics and monetisation tools. </w:t>
      </w:r>
    </w:p>
    <w:p w:rsidR="00DE1E8C" w:rsidRDefault="00DE1E8C" w:rsidP="00DE1E8C">
      <w:pPr>
        <w:pStyle w:val="ListParagraph"/>
        <w:numPr>
          <w:ilvl w:val="0"/>
          <w:numId w:val="6"/>
        </w:numPr>
        <w:jc w:val="both"/>
      </w:pPr>
      <w:r w:rsidRPr="00EA6A4A">
        <w:t xml:space="preserve">Labels and content owners that want to have the scaled digital distribution. </w:t>
      </w:r>
    </w:p>
    <w:p w:rsidR="00DE1E8C" w:rsidRDefault="00DE1E8C" w:rsidP="00DE1E8C">
      <w:pPr>
        <w:pStyle w:val="ListParagraph"/>
        <w:numPr>
          <w:ilvl w:val="0"/>
          <w:numId w:val="6"/>
        </w:numPr>
        <w:jc w:val="both"/>
      </w:pPr>
      <w:r w:rsidRPr="00EA6A4A">
        <w:t xml:space="preserve">Advertisers and brands to niche audience that are interest-driven. </w:t>
      </w:r>
    </w:p>
    <w:p w:rsidR="00DE1E8C" w:rsidRDefault="00DE1E8C" w:rsidP="00DE1E8C">
      <w:pPr>
        <w:jc w:val="both"/>
      </w:pPr>
      <w:r w:rsidRPr="00EA6A4A">
        <w:t>These segments are chosen because they have a high potential of growth, have good digital engagement and are compatible with the capabilities of Discsoul platform.</w:t>
      </w:r>
    </w:p>
    <w:p w:rsidR="00DE1E8C" w:rsidRDefault="00DE1E8C" w:rsidP="00DE1E8C">
      <w:pPr>
        <w:rPr>
          <w:b/>
          <w:bCs/>
          <w:lang w:val="en-IN"/>
        </w:rPr>
      </w:pPr>
      <w:r w:rsidRPr="00A047B8">
        <w:rPr>
          <w:b/>
          <w:bCs/>
          <w:lang w:val="en-IN"/>
        </w:rPr>
        <w:t>Positioning</w:t>
      </w:r>
    </w:p>
    <w:p w:rsidR="00DE1E8C" w:rsidRDefault="00DE1E8C" w:rsidP="00DE1E8C">
      <w:pPr>
        <w:jc w:val="both"/>
      </w:pPr>
      <w:r w:rsidRPr="00BE013F">
        <w:t>Discsoul is being placed as a single entertainment platform, a combination of music, video, live recorded performances, and interaction with the fans all in one platform. In contrast to conventional streaming services, which are very limited in their offerings (audio or video), Discsoul is convergence based, creates power and empowers creators and finds everything personal. This positioning is a direct response to the unfulfilled needs that are detected in the existing streaming markets (Kotler et al., 202</w:t>
      </w:r>
      <w:r>
        <w:t>4</w:t>
      </w:r>
      <w:r w:rsidRPr="00BE013F">
        <w:t>).</w:t>
      </w:r>
    </w:p>
    <w:p w:rsidR="00DE1E8C" w:rsidRPr="00A047B8" w:rsidRDefault="00DE1E8C" w:rsidP="00DE1E8C">
      <w:pPr>
        <w:pStyle w:val="Heading1"/>
        <w:rPr>
          <w:lang w:val="en-IN"/>
        </w:rPr>
      </w:pPr>
      <w:bookmarkStart w:id="13" w:name="_Toc220991310"/>
      <w:r w:rsidRPr="00A047B8">
        <w:rPr>
          <w:lang w:val="en-IN"/>
        </w:rPr>
        <w:t>3.3 Customer Need and Demand</w:t>
      </w:r>
      <w:bookmarkEnd w:id="13"/>
    </w:p>
    <w:p w:rsidR="00DE1E8C" w:rsidRDefault="00DE1E8C" w:rsidP="00DE1E8C">
      <w:pPr>
        <w:jc w:val="both"/>
      </w:pPr>
      <w:r w:rsidRPr="00020A07">
        <w:t xml:space="preserve">The changing expectations of the users and the structural gaps in the current services determine the market demand of integrated digital entertainment platforms. According to research conducted by the Global Entertainment and Media Outlook (2025) of PwC, all-in-one platforms that lessen the fatigue of platforms and make it easier to find content are on the rise in consumer demands. </w:t>
      </w:r>
    </w:p>
    <w:p w:rsidR="00DE1E8C" w:rsidRPr="00E06883" w:rsidRDefault="00DE1E8C" w:rsidP="00DE1E8C">
      <w:pPr>
        <w:jc w:val="both"/>
        <w:rPr>
          <w:lang w:val="en-IN"/>
        </w:rPr>
      </w:pPr>
      <w:r w:rsidRPr="00020A07">
        <w:t>Personalisation is one of the customer requirements. Consumers are anticipating smart suggestions that capture their preferences and present them with new contents. The satisfaction and retention rates are increased with the help of AI-based</w:t>
      </w:r>
      <w:r>
        <w:t xml:space="preserve"> </w:t>
      </w:r>
      <w:r w:rsidRPr="00020A07">
        <w:t xml:space="preserve">recommendation systems, especially in younger users </w:t>
      </w:r>
      <w:r w:rsidRPr="00BF152D">
        <w:rPr>
          <w:lang w:val="en-IN"/>
        </w:rPr>
        <w:t xml:space="preserve">(Fiedler and </w:t>
      </w:r>
      <w:proofErr w:type="spellStart"/>
      <w:r w:rsidRPr="00BF152D">
        <w:rPr>
          <w:lang w:val="en-IN"/>
        </w:rPr>
        <w:t>Maechler</w:t>
      </w:r>
      <w:proofErr w:type="spellEnd"/>
      <w:r w:rsidRPr="00BF152D">
        <w:rPr>
          <w:lang w:val="en-IN"/>
        </w:rPr>
        <w:t>, 2025)</w:t>
      </w:r>
      <w:r>
        <w:rPr>
          <w:lang w:val="en-IN"/>
        </w:rPr>
        <w:t xml:space="preserve"> </w:t>
      </w:r>
      <w:r w:rsidRPr="00020A07">
        <w:t xml:space="preserve">Discsoul tries to satisfy this requirement by using behaviour-based recommendation algorithms. </w:t>
      </w:r>
    </w:p>
    <w:p w:rsidR="00DE1E8C" w:rsidRPr="004428D3" w:rsidRDefault="00DE1E8C" w:rsidP="00DE1E8C">
      <w:pPr>
        <w:jc w:val="both"/>
        <w:rPr>
          <w:lang w:val="en-IN"/>
        </w:rPr>
      </w:pPr>
      <w:r w:rsidRPr="00020A07">
        <w:t>Access to exclusive and immersive experiences is the other significant driver of demand. An emotional value is added by recorded concerts and the content behind-</w:t>
      </w:r>
      <w:r w:rsidRPr="00020A07">
        <w:lastRenderedPageBreak/>
        <w:t xml:space="preserve">the-scenes and interactive features that allow fans to listen. In general, based on the IFPI-congruent scholarly research </w:t>
      </w:r>
      <w:r w:rsidRPr="004428D3">
        <w:rPr>
          <w:lang w:val="en-IN"/>
        </w:rPr>
        <w:t>(Steiner, 2025</w:t>
      </w:r>
      <w:r w:rsidRPr="00020A07">
        <w:t xml:space="preserve">), fans tend to spend money on platforms that allow connecting with artists more closely. </w:t>
      </w:r>
    </w:p>
    <w:p w:rsidR="00DE1E8C" w:rsidRPr="00DE1E8C" w:rsidRDefault="00DE1E8C" w:rsidP="00DE1E8C">
      <w:pPr>
        <w:jc w:val="both"/>
      </w:pPr>
      <w:r w:rsidRPr="00020A07">
        <w:t>According to the creator side, fair monetisation, transparency of data, as well as insight into the audience are highly demanded. On the more conventional platforms, many artists do not have access to performance analytics and diversified revenue streams. The artist portal of Discsoul addresses this requirement by providing dashboards of both earnings and content and engagement performance. Lastly, the advertisers are increasingly requiring precision targeting on brand-safe digital settings. Streaming services provide valuable behavioural data that can be used to promote advertising, especially when it concerns music-congruent brands (</w:t>
      </w:r>
      <w:r w:rsidRPr="003A5995">
        <w:rPr>
          <w:lang w:val="en-IN"/>
        </w:rPr>
        <w:t>Ahmad and Burke, 2025</w:t>
      </w:r>
      <w:r w:rsidRPr="00020A07">
        <w:t xml:space="preserve">). This demand goes in line with the ad-supported model offered by </w:t>
      </w:r>
      <w:proofErr w:type="spellStart"/>
      <w:r w:rsidRPr="00020A07">
        <w:t>Discoul</w:t>
      </w:r>
      <w:proofErr w:type="spellEnd"/>
      <w:r w:rsidRPr="00020A07">
        <w:t>.</w:t>
      </w:r>
    </w:p>
    <w:p w:rsidR="00DE1E8C" w:rsidRDefault="00DE1E8C" w:rsidP="00DE1E8C">
      <w:pPr>
        <w:jc w:val="both"/>
      </w:pPr>
      <w:r w:rsidRPr="00020A07">
        <w:t>All these needs reveal a long-term and increasing need of platforms that combine content, technology and community interaction.</w:t>
      </w:r>
    </w:p>
    <w:p w:rsidR="00DE1E8C" w:rsidRPr="00A047B8" w:rsidRDefault="00DE1E8C" w:rsidP="00DE1E8C">
      <w:pPr>
        <w:pStyle w:val="Heading1"/>
        <w:rPr>
          <w:lang w:val="en-IN"/>
        </w:rPr>
      </w:pPr>
      <w:bookmarkStart w:id="14" w:name="_Toc220991311"/>
      <w:r w:rsidRPr="00A047B8">
        <w:rPr>
          <w:lang w:val="en-IN"/>
        </w:rPr>
        <w:t>3.4 Competitive Analysis</w:t>
      </w:r>
      <w:bookmarkEnd w:id="14"/>
    </w:p>
    <w:p w:rsidR="00DE1E8C" w:rsidRPr="007D6282" w:rsidRDefault="00DE1E8C" w:rsidP="00DE1E8C">
      <w:pPr>
        <w:jc w:val="both"/>
        <w:rPr>
          <w:lang w:val="en-IN"/>
        </w:rPr>
      </w:pPr>
      <w:r w:rsidRPr="00144D8C">
        <w:t>The streaming digital market is very competitive with international companies like Spotify, YouTube Music, Apple Music and Netflix. Nevertheless, these platforms have structural weaknesses despite their size that present differentiation opportunities. Spotify is a leader in audio streaming and audio discovery, but it has few native video features and live performance functions. YouTube Music offers access to videos and does not offer specific artist monetisation functions and immersive fan experiences (</w:t>
      </w:r>
      <w:r w:rsidRPr="007D6282">
        <w:rPr>
          <w:lang w:val="en-IN"/>
        </w:rPr>
        <w:t>AlixPartners, 2026</w:t>
      </w:r>
      <w:r w:rsidRPr="00144D8C">
        <w:t>). Video-based applications like Netflix and Amazon Prime have a larger focus on long-form content focusing on systems that are not focused on music content.</w:t>
      </w:r>
    </w:p>
    <w:p w:rsidR="00DE1E8C" w:rsidRDefault="00DE1E8C" w:rsidP="00DE1E8C">
      <w:pPr>
        <w:jc w:val="both"/>
      </w:pPr>
      <w:r w:rsidRPr="00144D8C">
        <w:t xml:space="preserve">In </w:t>
      </w:r>
      <w:proofErr w:type="spellStart"/>
      <w:r w:rsidRPr="00144D8C">
        <w:t>discsoul</w:t>
      </w:r>
      <w:proofErr w:type="spellEnd"/>
      <w:r w:rsidRPr="00144D8C">
        <w:t>, functional integration as opposed to format specialisation is used to distinguish itself. It has competitive advantages such as:</w:t>
      </w:r>
    </w:p>
    <w:p w:rsidR="00DE1E8C" w:rsidRDefault="00DE1E8C" w:rsidP="00DE1E8C">
      <w:pPr>
        <w:jc w:val="both"/>
      </w:pPr>
      <w:r w:rsidRPr="00144D8C">
        <w:t xml:space="preserve">• Online access to music, video and live performances which have been recorded. </w:t>
      </w:r>
    </w:p>
    <w:p w:rsidR="00DE1E8C" w:rsidRDefault="00DE1E8C" w:rsidP="00DE1E8C">
      <w:pPr>
        <w:jc w:val="both"/>
      </w:pPr>
      <w:r w:rsidRPr="00144D8C">
        <w:t xml:space="preserve">• Intrinsic artist analytics and portfolio management. </w:t>
      </w:r>
    </w:p>
    <w:p w:rsidR="00DE1E8C" w:rsidRDefault="00DE1E8C" w:rsidP="00DE1E8C">
      <w:pPr>
        <w:jc w:val="both"/>
      </w:pPr>
      <w:r w:rsidRPr="00144D8C">
        <w:t xml:space="preserve">• AI-enabled content discovery between the mainstream and the new. </w:t>
      </w:r>
    </w:p>
    <w:p w:rsidR="00DE1E8C" w:rsidRDefault="00DE1E8C" w:rsidP="00DE1E8C">
      <w:pPr>
        <w:jc w:val="both"/>
      </w:pPr>
      <w:r w:rsidRPr="00144D8C">
        <w:t>• Flexible monetisation via subscriptions, advertisements and ticketed events.</w:t>
      </w:r>
    </w:p>
    <w:p w:rsidR="00DE1E8C" w:rsidRPr="00451483" w:rsidRDefault="00DE1E8C" w:rsidP="00DE1E8C">
      <w:pPr>
        <w:jc w:val="both"/>
        <w:rPr>
          <w:lang w:val="en-IN"/>
        </w:rPr>
      </w:pPr>
      <w:r w:rsidRPr="00144D8C">
        <w:t>On the Porters Five Forces framework, there is a moderate threat of new entrants because the technological barriers and licensing barriers are high. Platform switching is easy leading to high buyer power which supports differentiation. The power of suppliers (artists and labels) is on the rise, where transparent value sharing platforms are favoured. The level of competition is also quite strong, yet niche positioning lessens the head-on clash with the competitors (</w:t>
      </w:r>
      <w:r w:rsidRPr="00451483">
        <w:rPr>
          <w:lang w:val="en-IN"/>
        </w:rPr>
        <w:t>Onur Karahan, 2025</w:t>
      </w:r>
      <w:r w:rsidRPr="00144D8C">
        <w:t>).</w:t>
      </w:r>
    </w:p>
    <w:p w:rsidR="00DE1E8C" w:rsidRDefault="00DE1E8C" w:rsidP="00DE1E8C">
      <w:pPr>
        <w:rPr>
          <w:b/>
          <w:bCs/>
          <w:lang w:val="en-IN"/>
        </w:rPr>
      </w:pPr>
    </w:p>
    <w:p w:rsidR="00DE1E8C" w:rsidRPr="00A047B8" w:rsidRDefault="00DE1E8C" w:rsidP="00DE1E8C">
      <w:pPr>
        <w:pStyle w:val="Heading1"/>
        <w:rPr>
          <w:lang w:val="en-IN"/>
        </w:rPr>
      </w:pPr>
      <w:bookmarkStart w:id="15" w:name="_Toc220991312"/>
      <w:r w:rsidRPr="00A047B8">
        <w:rPr>
          <w:lang w:val="en-IN"/>
        </w:rPr>
        <w:lastRenderedPageBreak/>
        <w:t>3.5 Validation Techniques</w:t>
      </w:r>
      <w:bookmarkEnd w:id="15"/>
    </w:p>
    <w:p w:rsidR="00DE1E8C" w:rsidRDefault="00DE1E8C" w:rsidP="00DE1E8C">
      <w:pPr>
        <w:jc w:val="both"/>
      </w:pPr>
      <w:r w:rsidRPr="00D363E4">
        <w:t>To confirm market viability, Discsoul will use mixed method validation techniques that will rely on secondary research as well as proposed primary research techniques.</w:t>
      </w:r>
    </w:p>
    <w:p w:rsidR="00DE1E8C" w:rsidRDefault="00DE1E8C" w:rsidP="00DE1E8C">
      <w:pPr>
        <w:jc w:val="both"/>
      </w:pPr>
      <w:r w:rsidRPr="00D363E4">
        <w:t>Secondary validation is based on industry reports, market forecasts and academic studies attesting to long term demand of streaming convergence. The types of primary validation are:</w:t>
      </w:r>
    </w:p>
    <w:p w:rsidR="00DE1E8C" w:rsidRDefault="00DE1E8C" w:rsidP="00DE1E8C">
      <w:pPr>
        <w:jc w:val="both"/>
      </w:pPr>
      <w:r w:rsidRPr="00A047B8">
        <w:rPr>
          <w:b/>
          <w:bCs/>
          <w:lang w:val="en-IN"/>
        </w:rPr>
        <w:t>Online surveys</w:t>
      </w:r>
      <w:r>
        <w:t xml:space="preserve">: </w:t>
      </w:r>
      <w:r w:rsidRPr="00D363E4">
        <w:t>The surveys will be conducted online to focus on UK-based streaming users to evaluate their interest in integrated functions.</w:t>
      </w:r>
    </w:p>
    <w:p w:rsidR="00DE1E8C" w:rsidRDefault="00DE1E8C" w:rsidP="00DE1E8C">
      <w:pPr>
        <w:jc w:val="both"/>
      </w:pPr>
      <w:r w:rsidRPr="00D363E4">
        <w:t xml:space="preserve"> </w:t>
      </w:r>
      <w:r w:rsidRPr="00A047B8">
        <w:rPr>
          <w:b/>
          <w:bCs/>
          <w:lang w:val="en-IN"/>
        </w:rPr>
        <w:t>Artist focus groups</w:t>
      </w:r>
      <w:r>
        <w:rPr>
          <w:lang w:val="en-IN"/>
        </w:rPr>
        <w:t xml:space="preserve">: </w:t>
      </w:r>
      <w:r w:rsidRPr="00D363E4">
        <w:t xml:space="preserve">Artist focus groups assessing the demand of analytics and monetisation tools. </w:t>
      </w:r>
    </w:p>
    <w:p w:rsidR="00DE1E8C" w:rsidRDefault="00DE1E8C" w:rsidP="00DE1E8C">
      <w:pPr>
        <w:jc w:val="both"/>
      </w:pPr>
      <w:r w:rsidRPr="00A047B8">
        <w:rPr>
          <w:b/>
          <w:bCs/>
          <w:lang w:val="en-IN"/>
        </w:rPr>
        <w:t>Minimum Viable Product (MVP) testing</w:t>
      </w:r>
      <w:r w:rsidRPr="00D363E4">
        <w:t>:</w:t>
      </w:r>
      <w:r>
        <w:t xml:space="preserve"> </w:t>
      </w:r>
      <w:r w:rsidRPr="00D363E4">
        <w:t xml:space="preserve">Minimum Viable Product (MVP) testing, launching essentials to the early adopters. </w:t>
      </w:r>
    </w:p>
    <w:p w:rsidR="00DE1E8C" w:rsidRDefault="00DE1E8C" w:rsidP="00DE1E8C">
      <w:pPr>
        <w:jc w:val="both"/>
      </w:pPr>
      <w:r w:rsidRPr="00A047B8">
        <w:rPr>
          <w:b/>
          <w:bCs/>
          <w:lang w:val="en-IN"/>
        </w:rPr>
        <w:t>A/B testing</w:t>
      </w:r>
      <w:r w:rsidRPr="00A047B8">
        <w:rPr>
          <w:lang w:val="en-IN"/>
        </w:rPr>
        <w:t>:</w:t>
      </w:r>
      <w:r>
        <w:rPr>
          <w:lang w:val="en-IN"/>
        </w:rPr>
        <w:t xml:space="preserve"> </w:t>
      </w:r>
      <w:r w:rsidRPr="00D363E4">
        <w:t xml:space="preserve">Pricing and advertising format A/B testing. </w:t>
      </w:r>
    </w:p>
    <w:p w:rsidR="00DE1E8C" w:rsidRDefault="00DE1E8C" w:rsidP="00DE1E8C">
      <w:pPr>
        <w:jc w:val="both"/>
      </w:pPr>
      <w:r w:rsidRPr="00A047B8">
        <w:rPr>
          <w:b/>
          <w:bCs/>
          <w:lang w:val="en-IN"/>
        </w:rPr>
        <w:t>Pilot live-streamed events</w:t>
      </w:r>
      <w:r w:rsidRPr="00A047B8">
        <w:rPr>
          <w:lang w:val="en-IN"/>
        </w:rPr>
        <w:t>:</w:t>
      </w:r>
      <w:r>
        <w:rPr>
          <w:lang w:val="en-IN"/>
        </w:rPr>
        <w:t xml:space="preserve"> </w:t>
      </w:r>
      <w:r w:rsidRPr="00D363E4">
        <w:t>Pilot live-streamed the events to determine the willingness to purchase the recorded concerts.</w:t>
      </w:r>
    </w:p>
    <w:p w:rsidR="00DE1E8C" w:rsidRDefault="00DE1E8C" w:rsidP="00DE1E8C">
      <w:pPr>
        <w:jc w:val="both"/>
      </w:pPr>
      <w:r w:rsidRPr="00D363E4">
        <w:t>The lean startup theory advocates iterative validation as a tool of lessening market risk and enhancing product-market fit</w:t>
      </w:r>
      <w:r>
        <w:t>.</w:t>
      </w:r>
    </w:p>
    <w:p w:rsidR="00DE1E8C" w:rsidRPr="00A047B8" w:rsidRDefault="00DE1E8C" w:rsidP="00DE1E8C">
      <w:pPr>
        <w:pStyle w:val="Heading1"/>
        <w:rPr>
          <w:lang w:val="en-IN"/>
        </w:rPr>
      </w:pPr>
      <w:bookmarkStart w:id="16" w:name="_Toc220991313"/>
      <w:r w:rsidRPr="00A047B8">
        <w:rPr>
          <w:lang w:val="en-IN"/>
        </w:rPr>
        <w:t>3.6 Labour and Government Support in the UK</w:t>
      </w:r>
      <w:bookmarkEnd w:id="16"/>
    </w:p>
    <w:p w:rsidR="00DE1E8C" w:rsidRDefault="00DE1E8C" w:rsidP="00DE1E8C">
      <w:pPr>
        <w:jc w:val="both"/>
      </w:pPr>
      <w:r w:rsidRPr="00D363E4">
        <w:t>UK has a very favourable startup environment in the digital entertainment sector. The creative sectors have more than 2.3 million employed with them being considered as a strategic area of growth</w:t>
      </w:r>
      <w:r>
        <w:t xml:space="preserve">. </w:t>
      </w:r>
      <w:r w:rsidRPr="00D363E4">
        <w:t>The presence of skilled labour in the field of software engineering, digital marketing, content production and data analytics makes Discsoul more viable in its operations.</w:t>
      </w:r>
    </w:p>
    <w:p w:rsidR="00DE1E8C" w:rsidRDefault="00DE1E8C" w:rsidP="00DE1E8C">
      <w:pPr>
        <w:jc w:val="both"/>
      </w:pPr>
      <w:r w:rsidRPr="00D363E4">
        <w:t xml:space="preserve">Such mechanisms of government support include: </w:t>
      </w:r>
    </w:p>
    <w:p w:rsidR="00DE1E8C" w:rsidRDefault="00DE1E8C" w:rsidP="00DE1E8C">
      <w:pPr>
        <w:pStyle w:val="ListParagraph"/>
        <w:numPr>
          <w:ilvl w:val="0"/>
          <w:numId w:val="8"/>
        </w:numPr>
        <w:jc w:val="both"/>
      </w:pPr>
      <w:r w:rsidRPr="00D363E4">
        <w:t xml:space="preserve">Tax Reliefs by Industry Creative Industries. </w:t>
      </w:r>
    </w:p>
    <w:p w:rsidR="00DE1E8C" w:rsidRDefault="00DE1E8C" w:rsidP="00DE1E8C">
      <w:pPr>
        <w:pStyle w:val="ListParagraph"/>
        <w:numPr>
          <w:ilvl w:val="0"/>
          <w:numId w:val="8"/>
        </w:numPr>
        <w:jc w:val="both"/>
      </w:pPr>
      <w:r w:rsidRPr="00D363E4">
        <w:t xml:space="preserve">Innovate UK funding </w:t>
      </w:r>
    </w:p>
    <w:p w:rsidR="00DE1E8C" w:rsidRDefault="00DE1E8C" w:rsidP="00DE1E8C">
      <w:pPr>
        <w:pStyle w:val="ListParagraph"/>
        <w:numPr>
          <w:ilvl w:val="0"/>
          <w:numId w:val="8"/>
        </w:numPr>
        <w:jc w:val="both"/>
      </w:pPr>
      <w:r w:rsidRPr="00D363E4">
        <w:t xml:space="preserve">Digital Skills Bootcamps </w:t>
      </w:r>
    </w:p>
    <w:p w:rsidR="00DE1E8C" w:rsidRDefault="00DE1E8C" w:rsidP="00DE1E8C">
      <w:pPr>
        <w:pStyle w:val="ListParagraph"/>
        <w:numPr>
          <w:ilvl w:val="0"/>
          <w:numId w:val="8"/>
        </w:numPr>
        <w:jc w:val="both"/>
      </w:pPr>
      <w:r w:rsidRPr="00D363E4">
        <w:t>Accelerator programmes and startup visas.</w:t>
      </w:r>
    </w:p>
    <w:p w:rsidR="00DE1E8C" w:rsidRPr="00985335" w:rsidRDefault="00DE1E8C" w:rsidP="00DE1E8C">
      <w:pPr>
        <w:jc w:val="both"/>
        <w:rPr>
          <w:lang w:val="en-IN"/>
        </w:rPr>
      </w:pPr>
      <w:r w:rsidRPr="00D363E4">
        <w:t>Also, the robust intellectual property and online business regulation system in the UK boosts investor and partner trust (</w:t>
      </w:r>
      <w:r w:rsidRPr="00985335">
        <w:rPr>
          <w:lang w:val="en-IN"/>
        </w:rPr>
        <w:t>Office, 2025</w:t>
      </w:r>
      <w:r w:rsidRPr="00D363E4">
        <w:t>). All these make barriers to entry low and promote sustainable growth.</w:t>
      </w:r>
    </w:p>
    <w:p w:rsidR="00DE1E8C" w:rsidRPr="00A047B8" w:rsidRDefault="00DE1E8C" w:rsidP="00DE1E8C">
      <w:pPr>
        <w:pStyle w:val="Heading1"/>
        <w:rPr>
          <w:lang w:val="en-IN"/>
        </w:rPr>
      </w:pPr>
      <w:bookmarkStart w:id="17" w:name="_Toc220991314"/>
      <w:r w:rsidRPr="00A047B8">
        <w:rPr>
          <w:lang w:val="en-IN"/>
        </w:rPr>
        <w:t>3.7 Summary</w:t>
      </w:r>
      <w:bookmarkEnd w:id="17"/>
    </w:p>
    <w:p w:rsidR="00DE1E8C" w:rsidRDefault="00DE1E8C" w:rsidP="00DE1E8C">
      <w:pPr>
        <w:jc w:val="both"/>
      </w:pPr>
      <w:r w:rsidRPr="00F141A5">
        <w:t xml:space="preserve">As has been illustrated in this chapter, Discsoul is a business in a high-growth, digitally converged entertainment sector with shifting consumer demands and the demands of the creators. It has been able to identify clear target segments and positioning through </w:t>
      </w:r>
      <w:r w:rsidRPr="00F141A5">
        <w:lastRenderedPageBreak/>
        <w:t xml:space="preserve">STP analysis. The idea of integrated, personalized and immersive experiences </w:t>
      </w:r>
      <w:proofErr w:type="gramStart"/>
      <w:r w:rsidRPr="00F141A5">
        <w:t>are</w:t>
      </w:r>
      <w:proofErr w:type="gramEnd"/>
      <w:r w:rsidRPr="00F141A5">
        <w:t xml:space="preserve"> well supported by the evidence of consumer preference which supports the market demand. The competitive analysis brings out differentiation opportunities, and validation methods and support of the UK labour support feasibility. Altogether, the results prove that Discsoul targets a real market opportunity with good commercial and strategic potential.</w:t>
      </w:r>
    </w:p>
    <w:p w:rsidR="008E09B0" w:rsidRDefault="008E09B0" w:rsidP="008E09B0">
      <w:pPr>
        <w:pStyle w:val="Title"/>
      </w:pPr>
      <w:bookmarkStart w:id="18" w:name="_Toc220991315"/>
      <w:r w:rsidRPr="00395A42">
        <w:t>Chapter 4: Marketing and Sales Strategy</w:t>
      </w:r>
      <w:bookmarkEnd w:id="18"/>
    </w:p>
    <w:p w:rsidR="008E09B0" w:rsidRPr="00395A42" w:rsidRDefault="008E09B0" w:rsidP="008E09B0">
      <w:pPr>
        <w:pStyle w:val="Heading1"/>
      </w:pPr>
      <w:bookmarkStart w:id="19" w:name="_Toc220991316"/>
      <w:r w:rsidRPr="00395A42">
        <w:t>4.1 Unique Selling Proposition (USP)</w:t>
      </w:r>
      <w:bookmarkEnd w:id="19"/>
    </w:p>
    <w:p w:rsidR="008E09B0" w:rsidRPr="007F7149" w:rsidRDefault="008E09B0" w:rsidP="008E09B0">
      <w:pPr>
        <w:jc w:val="both"/>
        <w:rPr>
          <w:lang w:val="en-IN"/>
        </w:rPr>
      </w:pPr>
      <w:r w:rsidRPr="00395A42">
        <w:t xml:space="preserve">The Unique Selling Proposition (USP) of Discsoul is its ability to position itself as a digital ecosystem of music streaming, high-definition video streaming, live concert experience, and artist-fan interaction in one platform. Discsoul is not an ordinary streaming platform; unlike traditional platforms that are </w:t>
      </w:r>
      <w:proofErr w:type="spellStart"/>
      <w:r w:rsidRPr="00395A42">
        <w:t>self-centered</w:t>
      </w:r>
      <w:proofErr w:type="spellEnd"/>
      <w:r w:rsidRPr="00395A42">
        <w:t xml:space="preserve"> and </w:t>
      </w:r>
      <w:proofErr w:type="spellStart"/>
      <w:r w:rsidRPr="00395A42">
        <w:t>centered</w:t>
      </w:r>
      <w:proofErr w:type="spellEnd"/>
      <w:r w:rsidRPr="00395A42">
        <w:t xml:space="preserve"> on active consumption, it is crafted to promote active involvement by integrating recorded audio, visual performances, and interactive live events. This trend is in line with the increasing need of experiential digital entertainment, where consumers increasingly require more than simple access to content (</w:t>
      </w:r>
      <w:r w:rsidRPr="007F7149">
        <w:rPr>
          <w:i/>
          <w:iCs/>
          <w:lang w:val="en-IN"/>
        </w:rPr>
        <w:t>Dropship Spy</w:t>
      </w:r>
      <w:r w:rsidRPr="007F7149">
        <w:rPr>
          <w:lang w:val="en-IN"/>
        </w:rPr>
        <w:t>, 2025</w:t>
      </w:r>
      <w:r w:rsidRPr="00395A42">
        <w:t>).</w:t>
      </w:r>
    </w:p>
    <w:p w:rsidR="008E09B0" w:rsidRPr="00DB7666" w:rsidRDefault="008E09B0" w:rsidP="008E09B0">
      <w:pPr>
        <w:jc w:val="both"/>
        <w:rPr>
          <w:lang w:val="en-IN"/>
        </w:rPr>
      </w:pPr>
      <w:r w:rsidRPr="00395A42">
        <w:t>One of the main components of the USP of Discsoul is its dual-sided model of value creation, which will benefit both the consumers and creators. To the users, the platform provides AI-powered personalised recommendations on music, video, podcast, and recorded concerts, enhancing content discovery and satisfaction. To artists, DJs, and labels, Discsoul offers a dedicated industry portal enabling more control over diverse creative portfolios, direct interaction with the fans, and performance analytics. This creator-focused business model reacts to the continued critique of the existing streaming platforms on the issue of less artist control and a lack of transparency in revenue structure</w:t>
      </w:r>
      <w:r>
        <w:t xml:space="preserve"> </w:t>
      </w:r>
      <w:r w:rsidRPr="00DB7666">
        <w:rPr>
          <w:lang w:val="en-IN"/>
        </w:rPr>
        <w:t xml:space="preserve">(Seyhan </w:t>
      </w:r>
      <w:proofErr w:type="spellStart"/>
      <w:r w:rsidRPr="00DB7666">
        <w:rPr>
          <w:lang w:val="en-IN"/>
        </w:rPr>
        <w:t>Canyakan</w:t>
      </w:r>
      <w:proofErr w:type="spellEnd"/>
      <w:r w:rsidRPr="00DB7666">
        <w:rPr>
          <w:lang w:val="en-IN"/>
        </w:rPr>
        <w:t>, 2025</w:t>
      </w:r>
      <w:r w:rsidRPr="00395A42">
        <w:t>).</w:t>
      </w:r>
    </w:p>
    <w:p w:rsidR="008E09B0" w:rsidRDefault="008E09B0" w:rsidP="008E09B0">
      <w:pPr>
        <w:jc w:val="both"/>
      </w:pPr>
      <w:r w:rsidRPr="00395A42">
        <w:t>Also, Discsoul stands out by its hybrid monetisation model, which combines access through subscription, advertisement-based streaming and live concerts with a ticket. The diversified revenue rationale is not only more effective in financial resiliency but also increases the accessibility of markets by providing the ability to attract both price-sensitive users and premium subscribers. Technological integration, experience content and affordable prices make Discsoul a platform of the future in the global digital entertainment market.</w:t>
      </w:r>
    </w:p>
    <w:p w:rsidR="008E09B0" w:rsidRDefault="008E09B0" w:rsidP="008E09B0">
      <w:pPr>
        <w:pStyle w:val="Heading1"/>
      </w:pPr>
      <w:bookmarkStart w:id="20" w:name="_Toc220991317"/>
      <w:r w:rsidRPr="00D20D2C">
        <w:t>4.2 Branding and Positioning</w:t>
      </w:r>
      <w:bookmarkEnd w:id="20"/>
    </w:p>
    <w:p w:rsidR="008E09B0" w:rsidRPr="007C34A6" w:rsidRDefault="008E09B0" w:rsidP="008E09B0">
      <w:pPr>
        <w:jc w:val="both"/>
        <w:rPr>
          <w:lang w:val="en-IN"/>
        </w:rPr>
      </w:pPr>
      <w:r w:rsidRPr="00D20D2C">
        <w:t>The branding strategy of Disc soul is developed around the three concepts namely; connection, creativity and community. The brand is marketed as an instrument of emotional and cultural experiences and not just a distributor of content. The same positioning can be viewed as the reflection of the modern branding theory that underlines the importance of brands in terms of identity expression and social belonging in the digital space (</w:t>
      </w:r>
      <w:r w:rsidRPr="007C34A6">
        <w:rPr>
          <w:lang w:val="en-IN"/>
        </w:rPr>
        <w:t>Deloitte, 2025</w:t>
      </w:r>
      <w:r w:rsidRPr="00D20D2C">
        <w:t>).</w:t>
      </w:r>
    </w:p>
    <w:p w:rsidR="008E09B0" w:rsidRPr="00D20D2C" w:rsidRDefault="008E09B0" w:rsidP="008E09B0">
      <w:pPr>
        <w:jc w:val="both"/>
      </w:pPr>
    </w:p>
    <w:p w:rsidR="008E09B0" w:rsidRPr="00B27199" w:rsidRDefault="008E09B0" w:rsidP="008E09B0">
      <w:pPr>
        <w:jc w:val="both"/>
        <w:rPr>
          <w:lang w:val="en-IN"/>
        </w:rPr>
      </w:pPr>
      <w:r w:rsidRPr="00D20D2C">
        <w:t xml:space="preserve">On the UK market, Discsoul will be placed as a high-end, but affordable, platform that caters both to mainstream and independent artists, which is in line with the high ecosystem of creative industries in the UK. The brand has a culturally adaptive positioning approach globally, which enables it to localise the content suggestions, artist promotion, and marketing messages and then retain a similar brand image. This branding is commonly known as a global local strategy in the digital platform market that is characterised by a variety of consumer interests </w:t>
      </w:r>
      <w:r w:rsidRPr="00B27199">
        <w:rPr>
          <w:lang w:val="en-IN"/>
        </w:rPr>
        <w:t>(Okonkwo et al., 2023)</w:t>
      </w:r>
      <w:r w:rsidRPr="00D20D2C">
        <w:t>.</w:t>
      </w:r>
    </w:p>
    <w:p w:rsidR="008E09B0" w:rsidRDefault="008E09B0" w:rsidP="008E09B0">
      <w:pPr>
        <w:jc w:val="both"/>
        <w:rPr>
          <w:lang w:val="en-IN"/>
        </w:rPr>
      </w:pPr>
      <w:r w:rsidRPr="00D20D2C">
        <w:rPr>
          <w:lang w:val="en-IN"/>
        </w:rPr>
        <w:t>The brand identity of Discsoul is enhanced with a touch of modernity, inclusivity, and innovation (visually and tonally). Messaging is also concentrated on the aspects of immersive experiences, live connections, and empowerment of artists, which makes the platform stand out of the competitors, where branding is often based on the level of scale or algorithmic efficiency only. With this positioning, Discsoul will be able to fill a unique gap between entertainment technology and experience.</w:t>
      </w:r>
    </w:p>
    <w:p w:rsidR="008E09B0" w:rsidRDefault="008E09B0" w:rsidP="008E09B0">
      <w:pPr>
        <w:pStyle w:val="Heading1"/>
      </w:pPr>
      <w:bookmarkStart w:id="21" w:name="_Toc220991318"/>
      <w:r w:rsidRPr="00322EFB">
        <w:t>4.3 Marketing Mix (7Ps)</w:t>
      </w:r>
      <w:bookmarkEnd w:id="21"/>
    </w:p>
    <w:p w:rsidR="008E09B0" w:rsidRPr="00322EFB" w:rsidRDefault="008E09B0" w:rsidP="008E09B0">
      <w:pPr>
        <w:jc w:val="both"/>
      </w:pPr>
      <w:r w:rsidRPr="00322EFB">
        <w:t>The Discsoul marketing mix is designed in the extended 7Ps model, which has strategic alliances in the product design, pricing, promotion and service delivery.</w:t>
      </w:r>
    </w:p>
    <w:p w:rsidR="008E09B0" w:rsidRPr="008E09B0" w:rsidRDefault="008E09B0" w:rsidP="008E09B0">
      <w:pPr>
        <w:rPr>
          <w:b/>
          <w:bCs/>
        </w:rPr>
      </w:pPr>
      <w:r w:rsidRPr="008E09B0">
        <w:rPr>
          <w:b/>
          <w:bCs/>
        </w:rPr>
        <w:t>Table 4.1: Marketing Mix (7Ps) for Discsoul</w:t>
      </w:r>
    </w:p>
    <w:tbl>
      <w:tblPr>
        <w:tblStyle w:val="TableGrid"/>
        <w:tblW w:w="0" w:type="auto"/>
        <w:tblLook w:val="04A0" w:firstRow="1" w:lastRow="0" w:firstColumn="1" w:lastColumn="0" w:noHBand="0" w:noVBand="1"/>
      </w:tblPr>
      <w:tblGrid>
        <w:gridCol w:w="4492"/>
        <w:gridCol w:w="4524"/>
      </w:tblGrid>
      <w:tr w:rsidR="008E09B0">
        <w:tc>
          <w:tcPr>
            <w:tcW w:w="4788" w:type="dxa"/>
            <w:vAlign w:val="center"/>
          </w:tcPr>
          <w:p w:rsidR="008E09B0" w:rsidRDefault="008E09B0">
            <w:pPr>
              <w:jc w:val="center"/>
              <w:rPr>
                <w:b/>
                <w:bCs/>
              </w:rPr>
            </w:pPr>
            <w:r>
              <w:rPr>
                <w:b/>
                <w:bCs/>
              </w:rPr>
              <w:t>Element</w:t>
            </w:r>
          </w:p>
        </w:tc>
        <w:tc>
          <w:tcPr>
            <w:tcW w:w="4788" w:type="dxa"/>
            <w:vAlign w:val="center"/>
          </w:tcPr>
          <w:p w:rsidR="008E09B0" w:rsidRDefault="008E09B0">
            <w:pPr>
              <w:jc w:val="center"/>
              <w:rPr>
                <w:b/>
                <w:bCs/>
              </w:rPr>
            </w:pPr>
            <w:r>
              <w:rPr>
                <w:b/>
                <w:bCs/>
              </w:rPr>
              <w:t>Strategy</w:t>
            </w:r>
          </w:p>
        </w:tc>
      </w:tr>
      <w:tr w:rsidR="008E09B0">
        <w:tc>
          <w:tcPr>
            <w:tcW w:w="4788" w:type="dxa"/>
            <w:vAlign w:val="center"/>
          </w:tcPr>
          <w:p w:rsidR="008E09B0" w:rsidRDefault="008E09B0">
            <w:r>
              <w:t>Product</w:t>
            </w:r>
          </w:p>
        </w:tc>
        <w:tc>
          <w:tcPr>
            <w:tcW w:w="4788" w:type="dxa"/>
            <w:vAlign w:val="center"/>
          </w:tcPr>
          <w:p w:rsidR="008E09B0" w:rsidRDefault="008E09B0">
            <w:r>
              <w:t>Integrated music, video, podcasts, recorded concerts, and live streaming</w:t>
            </w:r>
          </w:p>
        </w:tc>
      </w:tr>
      <w:tr w:rsidR="008E09B0">
        <w:tc>
          <w:tcPr>
            <w:tcW w:w="4788" w:type="dxa"/>
            <w:vAlign w:val="center"/>
          </w:tcPr>
          <w:p w:rsidR="008E09B0" w:rsidRDefault="008E09B0">
            <w:r>
              <w:t>Price</w:t>
            </w:r>
          </w:p>
        </w:tc>
        <w:tc>
          <w:tcPr>
            <w:tcW w:w="4788" w:type="dxa"/>
            <w:vAlign w:val="center"/>
          </w:tcPr>
          <w:p w:rsidR="008E09B0" w:rsidRDefault="008E09B0">
            <w:r>
              <w:t>Freemium model; premium subscription; pay-per-view concerts</w:t>
            </w:r>
          </w:p>
        </w:tc>
      </w:tr>
      <w:tr w:rsidR="008E09B0">
        <w:tc>
          <w:tcPr>
            <w:tcW w:w="4788" w:type="dxa"/>
            <w:vAlign w:val="center"/>
          </w:tcPr>
          <w:p w:rsidR="008E09B0" w:rsidRDefault="008E09B0">
            <w:r>
              <w:t>Place</w:t>
            </w:r>
          </w:p>
        </w:tc>
        <w:tc>
          <w:tcPr>
            <w:tcW w:w="4788" w:type="dxa"/>
            <w:vAlign w:val="center"/>
          </w:tcPr>
          <w:p w:rsidR="008E09B0" w:rsidRDefault="008E09B0">
            <w:r>
              <w:t>Mobile apps, web platform, smart devices</w:t>
            </w:r>
          </w:p>
        </w:tc>
      </w:tr>
      <w:tr w:rsidR="008E09B0">
        <w:tc>
          <w:tcPr>
            <w:tcW w:w="4788" w:type="dxa"/>
            <w:vAlign w:val="center"/>
          </w:tcPr>
          <w:p w:rsidR="008E09B0" w:rsidRDefault="008E09B0">
            <w:r>
              <w:t>Promotion</w:t>
            </w:r>
          </w:p>
        </w:tc>
        <w:tc>
          <w:tcPr>
            <w:tcW w:w="4788" w:type="dxa"/>
            <w:vAlign w:val="center"/>
          </w:tcPr>
          <w:p w:rsidR="008E09B0" w:rsidRDefault="008E09B0">
            <w:r>
              <w:t>Digital advertising, influencer partnerships, artist collaborations</w:t>
            </w:r>
          </w:p>
        </w:tc>
      </w:tr>
      <w:tr w:rsidR="008E09B0">
        <w:tc>
          <w:tcPr>
            <w:tcW w:w="4788" w:type="dxa"/>
            <w:vAlign w:val="center"/>
          </w:tcPr>
          <w:p w:rsidR="008E09B0" w:rsidRDefault="008E09B0">
            <w:r>
              <w:t>People</w:t>
            </w:r>
          </w:p>
        </w:tc>
        <w:tc>
          <w:tcPr>
            <w:tcW w:w="4788" w:type="dxa"/>
            <w:vAlign w:val="center"/>
          </w:tcPr>
          <w:p w:rsidR="008E09B0" w:rsidRDefault="008E09B0">
            <w:r>
              <w:t>Creators, developers, customer support, community managers</w:t>
            </w:r>
          </w:p>
        </w:tc>
      </w:tr>
      <w:tr w:rsidR="008E09B0">
        <w:tc>
          <w:tcPr>
            <w:tcW w:w="4788" w:type="dxa"/>
            <w:vAlign w:val="center"/>
          </w:tcPr>
          <w:p w:rsidR="008E09B0" w:rsidRDefault="008E09B0">
            <w:r>
              <w:t>Process</w:t>
            </w:r>
          </w:p>
        </w:tc>
        <w:tc>
          <w:tcPr>
            <w:tcW w:w="4788" w:type="dxa"/>
            <w:vAlign w:val="center"/>
          </w:tcPr>
          <w:p w:rsidR="008E09B0" w:rsidRDefault="008E09B0">
            <w:r>
              <w:t>Seamless onboarding, AI-driven discovery, secure payments</w:t>
            </w:r>
          </w:p>
        </w:tc>
      </w:tr>
      <w:tr w:rsidR="008E09B0">
        <w:tc>
          <w:tcPr>
            <w:tcW w:w="4788" w:type="dxa"/>
            <w:vAlign w:val="center"/>
          </w:tcPr>
          <w:p w:rsidR="008E09B0" w:rsidRDefault="008E09B0">
            <w:r>
              <w:t>Physical Evidence</w:t>
            </w:r>
          </w:p>
        </w:tc>
        <w:tc>
          <w:tcPr>
            <w:tcW w:w="4788" w:type="dxa"/>
            <w:vAlign w:val="center"/>
          </w:tcPr>
          <w:p w:rsidR="008E09B0" w:rsidRDefault="008E09B0">
            <w:r>
              <w:t>App interface, branding visuals, event recordings</w:t>
            </w:r>
          </w:p>
        </w:tc>
      </w:tr>
    </w:tbl>
    <w:p w:rsidR="008E09B0" w:rsidRPr="00322EFB" w:rsidRDefault="008E09B0" w:rsidP="008E09B0">
      <w:pPr>
        <w:pStyle w:val="BodyText"/>
        <w:rPr>
          <w:b/>
          <w:bCs/>
        </w:rPr>
      </w:pPr>
    </w:p>
    <w:p w:rsidR="008E09B0" w:rsidRPr="00D20D2C" w:rsidRDefault="008E09B0" w:rsidP="008E09B0">
      <w:pPr>
        <w:pStyle w:val="BodyText"/>
        <w:rPr>
          <w:lang w:val="en-IN"/>
        </w:rPr>
      </w:pPr>
    </w:p>
    <w:p w:rsidR="008E09B0" w:rsidRDefault="008E09B0" w:rsidP="008E09B0">
      <w:pPr>
        <w:jc w:val="both"/>
      </w:pPr>
      <w:r w:rsidRPr="00322EFB">
        <w:t xml:space="preserve">The product strategy focuses on quality, customization, and richness of experience. Pricing is calculated based on flexibility with an affordable and premium quality. The priority of the promotion activities will be given to digital channels and artist-driven campaigns, as research evidence demonstrates that these strategies are especially </w:t>
      </w:r>
      <w:r w:rsidRPr="00322EFB">
        <w:lastRenderedPageBreak/>
        <w:t>effective in music and entertainment marketing (</w:t>
      </w:r>
      <w:r w:rsidRPr="004A4F26">
        <w:t>Steele</w:t>
      </w:r>
      <w:r>
        <w:t>, 2021</w:t>
      </w:r>
      <w:r w:rsidRPr="00322EFB">
        <w:t>). The other aspects strengthen the quality of service, confidence, and brand reputation.</w:t>
      </w:r>
    </w:p>
    <w:p w:rsidR="008E09B0" w:rsidRDefault="008E09B0" w:rsidP="008E09B0">
      <w:pPr>
        <w:pStyle w:val="Heading1"/>
      </w:pPr>
      <w:bookmarkStart w:id="22" w:name="_Toc220991319"/>
      <w:r w:rsidRPr="00A62409">
        <w:t>4.4 Sales Channels</w:t>
      </w:r>
      <w:bookmarkEnd w:id="22"/>
    </w:p>
    <w:p w:rsidR="008E09B0" w:rsidRPr="00A62409" w:rsidRDefault="008E09B0" w:rsidP="008E09B0">
      <w:pPr>
        <w:jc w:val="both"/>
      </w:pPr>
      <w:r w:rsidRPr="00A62409">
        <w:t xml:space="preserve">Discsoul has a direct-to-consumer (D2C) model of sales with the assistance of online distribution channels. Subscriptions and event tickets can be sold on the open platform by means of the website and mobile apps of this platform, which will allow relying less on the intermediaries and closer relations with the customers. This will assist in high margins and the ability to better control the customer data, which is essential in personalisation and customer retention strategies (Chaffey, 2019). </w:t>
      </w:r>
    </w:p>
    <w:p w:rsidR="008E09B0" w:rsidRDefault="008E09B0" w:rsidP="008E09B0">
      <w:pPr>
        <w:jc w:val="both"/>
      </w:pPr>
      <w:r w:rsidRPr="00A62409">
        <w:t>Besides direct sales, Discsoul uses B2B sales channels to advertise and also form partnership. Programmatic systems allow brands to buy specific advertising inventory and the music labels and event organisers can work together on exclusive releases and sponsored performances. The collaborative efforts with telecommunication companies and device vendors increase the distribution area, especially in foreign countries.</w:t>
      </w:r>
    </w:p>
    <w:p w:rsidR="008E09B0" w:rsidRDefault="008E09B0" w:rsidP="008E09B0">
      <w:pPr>
        <w:pStyle w:val="Heading1"/>
      </w:pPr>
      <w:bookmarkStart w:id="23" w:name="_Toc220991320"/>
      <w:r w:rsidRPr="00B024A1">
        <w:t>4.5 Customer Acquisition and Retention Strategies</w:t>
      </w:r>
      <w:bookmarkEnd w:id="23"/>
    </w:p>
    <w:p w:rsidR="008E09B0" w:rsidRPr="00B024A1" w:rsidRDefault="008E09B0" w:rsidP="008E09B0">
      <w:pPr>
        <w:jc w:val="both"/>
      </w:pPr>
      <w:r w:rsidRPr="00B024A1">
        <w:t>The combination of performance marketing, content-led growth, and community engagement contributes to customer acquisition of Discsoul. The first step acquisition will involve social media advertising, influencer promotions, and artist promotions. The studies show that platform adoption is greatly promoted by artist advocacy that is especially relevant to younger audiences (</w:t>
      </w:r>
      <w:r w:rsidRPr="00712BAE">
        <w:t>Morgan</w:t>
      </w:r>
      <w:r>
        <w:t>, 2002</w:t>
      </w:r>
      <w:r w:rsidRPr="00B024A1">
        <w:t>).</w:t>
      </w:r>
    </w:p>
    <w:p w:rsidR="008E09B0" w:rsidRDefault="008E09B0" w:rsidP="008E09B0">
      <w:pPr>
        <w:jc w:val="both"/>
      </w:pPr>
      <w:r w:rsidRPr="00B024A1">
        <w:t xml:space="preserve">The retention strategies are focused on long-term involvement, as opposed to short usage. The use of AI-based advice, customised reminders, and loyalty points promote the habitual use. Premium subscribers have exclusive features like access to concerts and backstage content that add to the feeling of value. Emotional attachment to the platform is also another important determinant of retention in subscription-based services and is reinforced by community features such as fan interactions and live chats (Tuten and Solomon, </w:t>
      </w:r>
      <w:r>
        <w:t>2017</w:t>
      </w:r>
      <w:r w:rsidRPr="00B024A1">
        <w:t>).</w:t>
      </w:r>
    </w:p>
    <w:p w:rsidR="00CC29DA" w:rsidRDefault="00B10A2C" w:rsidP="008E09B0">
      <w:pPr>
        <w:jc w:val="both"/>
      </w:pPr>
      <w:r w:rsidRPr="00B10A2C">
        <w:rPr>
          <w:noProof/>
        </w:rPr>
        <w:lastRenderedPageBreak/>
        <w:drawing>
          <wp:inline distT="0" distB="0" distL="0" distR="0" wp14:anchorId="262A6565" wp14:editId="68F9ECFD">
            <wp:extent cx="5731510" cy="3531870"/>
            <wp:effectExtent l="0" t="0" r="2540" b="0"/>
            <wp:docPr id="467657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57468" name=""/>
                    <pic:cNvPicPr/>
                  </pic:nvPicPr>
                  <pic:blipFill>
                    <a:blip r:embed="rId13"/>
                    <a:stretch>
                      <a:fillRect/>
                    </a:stretch>
                  </pic:blipFill>
                  <pic:spPr>
                    <a:xfrm>
                      <a:off x="0" y="0"/>
                      <a:ext cx="5731510" cy="3531870"/>
                    </a:xfrm>
                    <a:prstGeom prst="rect">
                      <a:avLst/>
                    </a:prstGeom>
                  </pic:spPr>
                </pic:pic>
              </a:graphicData>
            </a:graphic>
          </wp:inline>
        </w:drawing>
      </w:r>
    </w:p>
    <w:p w:rsidR="008E09B0" w:rsidRDefault="008E09B0" w:rsidP="008E09B0">
      <w:pPr>
        <w:rPr>
          <w:b/>
          <w:bCs/>
        </w:rPr>
      </w:pPr>
      <w:r w:rsidRPr="008E09B0">
        <w:rPr>
          <w:b/>
          <w:bCs/>
        </w:rPr>
        <w:t>Figure 4.1: Discsoul Customer Acquisition and Retention Funnel</w:t>
      </w:r>
    </w:p>
    <w:p w:rsidR="00B10A2C" w:rsidRPr="008E09B0" w:rsidRDefault="00B10A2C" w:rsidP="00B10A2C">
      <w:pPr>
        <w:jc w:val="center"/>
        <w:rPr>
          <w:b/>
          <w:bCs/>
        </w:rPr>
      </w:pPr>
      <w:r>
        <w:rPr>
          <w:b/>
          <w:bCs/>
        </w:rPr>
        <w:t>(Source: made by me by using Canva)</w:t>
      </w:r>
    </w:p>
    <w:p w:rsidR="008E09B0" w:rsidRPr="00B024A1" w:rsidRDefault="008E09B0" w:rsidP="008E09B0">
      <w:pPr>
        <w:rPr>
          <w:lang w:val="en-IN"/>
        </w:rPr>
      </w:pPr>
      <w:r w:rsidRPr="00B024A1">
        <w:rPr>
          <w:lang w:val="en-IN"/>
        </w:rPr>
        <w:t xml:space="preserve">Awareness: Online advertising and promotion of artists. </w:t>
      </w:r>
    </w:p>
    <w:p w:rsidR="008E09B0" w:rsidRPr="00B024A1" w:rsidRDefault="008E09B0" w:rsidP="008E09B0">
      <w:pPr>
        <w:rPr>
          <w:lang w:val="en-IN"/>
        </w:rPr>
      </w:pPr>
      <w:r w:rsidRPr="00B024A1">
        <w:rPr>
          <w:lang w:val="en-IN"/>
        </w:rPr>
        <w:t xml:space="preserve">Consideration: Access and trial content on a free basis. </w:t>
      </w:r>
    </w:p>
    <w:p w:rsidR="008E09B0" w:rsidRPr="00B024A1" w:rsidRDefault="008E09B0" w:rsidP="008E09B0">
      <w:pPr>
        <w:rPr>
          <w:lang w:val="en-IN"/>
        </w:rPr>
      </w:pPr>
      <w:r w:rsidRPr="00B024A1">
        <w:rPr>
          <w:lang w:val="en-IN"/>
        </w:rPr>
        <w:t xml:space="preserve">Conversion Subscription or event ticket purchase. </w:t>
      </w:r>
    </w:p>
    <w:p w:rsidR="008E09B0" w:rsidRPr="00B024A1" w:rsidRDefault="008E09B0" w:rsidP="008E09B0">
      <w:pPr>
        <w:rPr>
          <w:lang w:val="en-IN"/>
        </w:rPr>
      </w:pPr>
      <w:r w:rsidRPr="00B024A1">
        <w:rPr>
          <w:lang w:val="en-IN"/>
        </w:rPr>
        <w:t xml:space="preserve">Retention: Community interaction, exclusives, personalisation. </w:t>
      </w:r>
    </w:p>
    <w:p w:rsidR="008E09B0" w:rsidRDefault="008E09B0" w:rsidP="008E09B0">
      <w:pPr>
        <w:rPr>
          <w:lang w:val="en-IN"/>
        </w:rPr>
      </w:pPr>
      <w:r w:rsidRPr="00B024A1">
        <w:rPr>
          <w:lang w:val="en-IN"/>
        </w:rPr>
        <w:t>Referrals: Artist referrals and user sharing.</w:t>
      </w:r>
    </w:p>
    <w:p w:rsidR="008E09B0" w:rsidRDefault="008E09B0" w:rsidP="00B10A2C">
      <w:pPr>
        <w:pStyle w:val="Heading1"/>
      </w:pPr>
      <w:bookmarkStart w:id="24" w:name="_Toc220991321"/>
      <w:r w:rsidRPr="00B024A1">
        <w:t>4.6 Digital Strategy</w:t>
      </w:r>
      <w:bookmarkEnd w:id="24"/>
    </w:p>
    <w:p w:rsidR="008E09B0" w:rsidRPr="00B024A1" w:rsidRDefault="008E09B0" w:rsidP="00B10A2C">
      <w:pPr>
        <w:jc w:val="both"/>
      </w:pPr>
      <w:r w:rsidRPr="00B024A1">
        <w:t>Digital strategy of Discsoul is a combination of technology, data, and content to enhance a smooth user experience. The platform is built on the cloud-based infrastructure to be scaled and reliable and address the possibilities of accessing the globe and streaming of the high quality. The digital strategy will be AI-based analytics that will allow gaining real-time data on user behaviour and content performance.</w:t>
      </w:r>
    </w:p>
    <w:p w:rsidR="008E09B0" w:rsidRPr="00B024A1" w:rsidRDefault="008E09B0" w:rsidP="00B10A2C">
      <w:pPr>
        <w:jc w:val="both"/>
      </w:pPr>
    </w:p>
    <w:p w:rsidR="008E09B0" w:rsidRDefault="008E09B0" w:rsidP="00B10A2C">
      <w:pPr>
        <w:jc w:val="both"/>
      </w:pPr>
      <w:r w:rsidRPr="00B024A1">
        <w:t>The main pillars of the digital presence of Discsoul include search engine optimisation (SEO), app store optimisation (ASO), and social media engagement. Besides this data-driven experimentation is employed to refine user journeys, pricing offers, and promotional campaigns, continually. These are adaptive digital strategies that are believed to be necessary in rapidly transforming platform markets</w:t>
      </w:r>
      <w:r>
        <w:t>.</w:t>
      </w:r>
    </w:p>
    <w:p w:rsidR="008E09B0" w:rsidRDefault="008E09B0" w:rsidP="00B10A2C">
      <w:pPr>
        <w:pStyle w:val="Heading1"/>
      </w:pPr>
      <w:bookmarkStart w:id="25" w:name="_Toc220991322"/>
      <w:r w:rsidRPr="00B024A1">
        <w:lastRenderedPageBreak/>
        <w:t>4.7 Marketing Budget</w:t>
      </w:r>
      <w:bookmarkEnd w:id="25"/>
    </w:p>
    <w:p w:rsidR="008E09B0" w:rsidRDefault="008E09B0" w:rsidP="00B10A2C">
      <w:pPr>
        <w:jc w:val="both"/>
      </w:pPr>
      <w:r w:rsidRPr="00B024A1">
        <w:t>The marketing budget will be crafted to allow the company to achieve a high number of users in the first year and be cost effective at the same time. The digital channels are weighted on investment because they can be measured and scaled.</w:t>
      </w:r>
    </w:p>
    <w:p w:rsidR="008E09B0" w:rsidRPr="00B10A2C" w:rsidRDefault="008E09B0" w:rsidP="00B10A2C">
      <w:pPr>
        <w:jc w:val="both"/>
        <w:rPr>
          <w:b/>
          <w:bCs/>
          <w:lang w:val="en-IN"/>
        </w:rPr>
      </w:pPr>
      <w:r w:rsidRPr="00B10A2C">
        <w:rPr>
          <w:b/>
          <w:bCs/>
        </w:rPr>
        <w:t>Table 4.2: Indicative Marketing Budget Allocation (Year 1)</w:t>
      </w:r>
    </w:p>
    <w:tbl>
      <w:tblPr>
        <w:tblStyle w:val="TableGrid"/>
        <w:tblW w:w="0" w:type="auto"/>
        <w:tblLook w:val="04A0" w:firstRow="1" w:lastRow="0" w:firstColumn="1" w:lastColumn="0" w:noHBand="0" w:noVBand="1"/>
      </w:tblPr>
      <w:tblGrid>
        <w:gridCol w:w="4510"/>
        <w:gridCol w:w="4506"/>
      </w:tblGrid>
      <w:tr w:rsidR="008E09B0">
        <w:tc>
          <w:tcPr>
            <w:tcW w:w="4788" w:type="dxa"/>
            <w:vAlign w:val="center"/>
          </w:tcPr>
          <w:p w:rsidR="008E09B0" w:rsidRDefault="008E09B0">
            <w:pPr>
              <w:jc w:val="center"/>
              <w:rPr>
                <w:b/>
                <w:bCs/>
              </w:rPr>
            </w:pPr>
            <w:r>
              <w:rPr>
                <w:b/>
                <w:bCs/>
              </w:rPr>
              <w:t>Category</w:t>
            </w:r>
          </w:p>
        </w:tc>
        <w:tc>
          <w:tcPr>
            <w:tcW w:w="4788" w:type="dxa"/>
            <w:vAlign w:val="center"/>
          </w:tcPr>
          <w:p w:rsidR="008E09B0" w:rsidRDefault="008E09B0">
            <w:pPr>
              <w:jc w:val="center"/>
              <w:rPr>
                <w:b/>
                <w:bCs/>
              </w:rPr>
            </w:pPr>
            <w:r>
              <w:rPr>
                <w:b/>
                <w:bCs/>
              </w:rPr>
              <w:t>Percentage</w:t>
            </w:r>
          </w:p>
        </w:tc>
      </w:tr>
      <w:tr w:rsidR="008E09B0">
        <w:tc>
          <w:tcPr>
            <w:tcW w:w="4788" w:type="dxa"/>
            <w:vAlign w:val="center"/>
          </w:tcPr>
          <w:p w:rsidR="008E09B0" w:rsidRDefault="008E09B0">
            <w:r>
              <w:t>Digital Advertising</w:t>
            </w:r>
          </w:p>
        </w:tc>
        <w:tc>
          <w:tcPr>
            <w:tcW w:w="4788" w:type="dxa"/>
            <w:vAlign w:val="center"/>
          </w:tcPr>
          <w:p w:rsidR="008E09B0" w:rsidRDefault="008E09B0">
            <w:r>
              <w:t>40%</w:t>
            </w:r>
          </w:p>
        </w:tc>
      </w:tr>
      <w:tr w:rsidR="008E09B0">
        <w:tc>
          <w:tcPr>
            <w:tcW w:w="4788" w:type="dxa"/>
            <w:vAlign w:val="center"/>
          </w:tcPr>
          <w:p w:rsidR="008E09B0" w:rsidRDefault="008E09B0">
            <w:r>
              <w:t>Influencer &amp; Artist Partnerships</w:t>
            </w:r>
          </w:p>
        </w:tc>
        <w:tc>
          <w:tcPr>
            <w:tcW w:w="4788" w:type="dxa"/>
            <w:vAlign w:val="center"/>
          </w:tcPr>
          <w:p w:rsidR="008E09B0" w:rsidRDefault="008E09B0">
            <w:r>
              <w:t>25%</w:t>
            </w:r>
          </w:p>
        </w:tc>
      </w:tr>
      <w:tr w:rsidR="008E09B0">
        <w:tc>
          <w:tcPr>
            <w:tcW w:w="4788" w:type="dxa"/>
            <w:vAlign w:val="center"/>
          </w:tcPr>
          <w:p w:rsidR="008E09B0" w:rsidRDefault="008E09B0">
            <w:r>
              <w:t>Content Marketing</w:t>
            </w:r>
          </w:p>
        </w:tc>
        <w:tc>
          <w:tcPr>
            <w:tcW w:w="4788" w:type="dxa"/>
            <w:vAlign w:val="center"/>
          </w:tcPr>
          <w:p w:rsidR="008E09B0" w:rsidRDefault="008E09B0">
            <w:r>
              <w:t>15%</w:t>
            </w:r>
          </w:p>
        </w:tc>
      </w:tr>
      <w:tr w:rsidR="008E09B0" w:rsidTr="00B10A2C">
        <w:trPr>
          <w:trHeight w:val="206"/>
        </w:trPr>
        <w:tc>
          <w:tcPr>
            <w:tcW w:w="4788" w:type="dxa"/>
            <w:vAlign w:val="center"/>
          </w:tcPr>
          <w:p w:rsidR="008E09B0" w:rsidRDefault="008E09B0">
            <w:r>
              <w:t>PR &amp; Brand Campaigns</w:t>
            </w:r>
          </w:p>
        </w:tc>
        <w:tc>
          <w:tcPr>
            <w:tcW w:w="4788" w:type="dxa"/>
            <w:vAlign w:val="center"/>
          </w:tcPr>
          <w:p w:rsidR="008E09B0" w:rsidRDefault="008E09B0">
            <w:r>
              <w:t>10%</w:t>
            </w:r>
          </w:p>
        </w:tc>
      </w:tr>
      <w:tr w:rsidR="008E09B0">
        <w:tc>
          <w:tcPr>
            <w:tcW w:w="4788" w:type="dxa"/>
            <w:vAlign w:val="center"/>
          </w:tcPr>
          <w:p w:rsidR="008E09B0" w:rsidRDefault="008E09B0">
            <w:r>
              <w:t>Events &amp; Promotions</w:t>
            </w:r>
          </w:p>
        </w:tc>
        <w:tc>
          <w:tcPr>
            <w:tcW w:w="4788" w:type="dxa"/>
            <w:vAlign w:val="center"/>
          </w:tcPr>
          <w:p w:rsidR="008E09B0" w:rsidRDefault="008E09B0">
            <w:r>
              <w:t>10%</w:t>
            </w:r>
          </w:p>
        </w:tc>
      </w:tr>
    </w:tbl>
    <w:p w:rsidR="008E09B0" w:rsidRDefault="008E09B0" w:rsidP="008E09B0">
      <w:pPr>
        <w:pStyle w:val="BodyText"/>
      </w:pPr>
    </w:p>
    <w:p w:rsidR="008E09B0" w:rsidRPr="00FE5423" w:rsidRDefault="008E09B0" w:rsidP="00B10A2C">
      <w:pPr>
        <w:jc w:val="both"/>
      </w:pPr>
      <w:r w:rsidRPr="00FE5423">
        <w:t>This budget is based on industry rates of startups of digital entertainment and the reasonable balance between brand development and performance-enhancing growth (</w:t>
      </w:r>
      <w:r w:rsidRPr="00AA45CB">
        <w:rPr>
          <w:lang w:val="en-IN"/>
        </w:rPr>
        <w:t>PwC</w:t>
      </w:r>
      <w:r w:rsidRPr="00FE5423">
        <w:t>, 202</w:t>
      </w:r>
      <w:r>
        <w:t>5</w:t>
      </w:r>
      <w:r w:rsidRPr="00FE5423">
        <w:t>).</w:t>
      </w:r>
    </w:p>
    <w:p w:rsidR="008E09B0" w:rsidRDefault="008E09B0" w:rsidP="00B10A2C">
      <w:pPr>
        <w:pStyle w:val="Heading1"/>
      </w:pPr>
      <w:bookmarkStart w:id="26" w:name="_Toc220991323"/>
      <w:r w:rsidRPr="00FE5423">
        <w:t>4.8 Summary</w:t>
      </w:r>
      <w:bookmarkEnd w:id="26"/>
    </w:p>
    <w:p w:rsidR="008E09B0" w:rsidRDefault="008E09B0" w:rsidP="00B10A2C">
      <w:pPr>
        <w:pStyle w:val="BodyText"/>
        <w:jc w:val="both"/>
      </w:pPr>
      <w:r w:rsidRPr="00FE5423">
        <w:t xml:space="preserve">The chapter has identified a complete marketing and sales plan to be applied to the company, Discsoul, based on the modern marketing theory and practice. Through its differentiated USP, powerful brand positioning, built in marketing mix and data-based digital marketing, Discsoul will have a strong chance of competing within the UK and global streaming market. The focus on providing experiential value and the hybrid </w:t>
      </w:r>
      <w:proofErr w:type="spellStart"/>
      <w:r w:rsidRPr="00FE5423">
        <w:t>monetisation</w:t>
      </w:r>
      <w:proofErr w:type="spellEnd"/>
      <w:r w:rsidRPr="00FE5423">
        <w:t xml:space="preserve"> model ensure the sustainable increase in growth and meet the demands of consumers and creators</w:t>
      </w:r>
    </w:p>
    <w:p w:rsidR="008B52DD" w:rsidRDefault="008B52DD" w:rsidP="00DB61C6">
      <w:pPr>
        <w:pStyle w:val="Title"/>
        <w:jc w:val="both"/>
      </w:pPr>
    </w:p>
    <w:p w:rsidR="009357C1" w:rsidRPr="00992FC2" w:rsidRDefault="009357C1" w:rsidP="009357C1">
      <w:pPr>
        <w:pStyle w:val="Title"/>
      </w:pPr>
      <w:bookmarkStart w:id="27" w:name="_Toc220991324"/>
      <w:r w:rsidRPr="00992FC2">
        <w:t>Chapter 5: Operations Plan</w:t>
      </w:r>
      <w:bookmarkEnd w:id="27"/>
    </w:p>
    <w:p w:rsidR="009357C1" w:rsidRDefault="009357C1" w:rsidP="009357C1">
      <w:pPr>
        <w:pStyle w:val="Heading1"/>
      </w:pPr>
      <w:bookmarkStart w:id="28" w:name="_Toc220991325"/>
      <w:r w:rsidRPr="00992FC2">
        <w:t>5.1 Introduction to the Operations Plan</w:t>
      </w:r>
      <w:bookmarkEnd w:id="28"/>
    </w:p>
    <w:p w:rsidR="009357C1" w:rsidRDefault="009357C1" w:rsidP="009357C1">
      <w:pPr>
        <w:jc w:val="both"/>
      </w:pPr>
      <w:r w:rsidRPr="00E3079C">
        <w:t>Operation plan will specify how Discsoul will convert its strategic vision into a legal, functional and scalable digital streaming platform. As a service that is based on video and music streaming with very active and competitive markets worldwide, which are regulated, operations effectiveness is not just a support area but a niche of competitive advantage. The operations of Discsoul are in such a way that they will guarantee reliability of services, content, regulation and long-term scalability at minimal cost in the initial stages of growth.</w:t>
      </w:r>
    </w:p>
    <w:p w:rsidR="009357C1" w:rsidRDefault="009357C1" w:rsidP="009357C1">
      <w:pPr>
        <w:jc w:val="both"/>
      </w:pPr>
      <w:r w:rsidRPr="00E3079C">
        <w:t xml:space="preserve">In contrast to the traditional single-format streaming service, Discsoul combines audio streaming, music videos, recorded live shows, podcasts and interactivity to the fans in a single ecosystem. This combined service model adds complexity to operations, since it needs to coordinate operations in the areas of content management, cloud </w:t>
      </w:r>
      <w:r w:rsidRPr="00E3079C">
        <w:lastRenderedPageBreak/>
        <w:t>infrastructure, data analytics, licensing, payments and customer support. As a result, Discsoul takes a modular, cloud-based and data-driven operational design that enables the platform to react fast to shifts in user behaviour, technological advancements and regulation demands.</w:t>
      </w:r>
    </w:p>
    <w:p w:rsidR="009357C1" w:rsidRDefault="009357C1" w:rsidP="009357C1">
      <w:pPr>
        <w:jc w:val="both"/>
      </w:pPr>
      <w:r w:rsidRPr="00E3079C">
        <w:t>This chapter offers a critical review of the operational structure of Discsoul, workflow design, staffing, legal requirements, technology infrastructure, licensing, physical setup, performance management and sustainability issues. It is hoped that it will show that Discsoul has a realistic, scalable and academically sound operational plan that is in line with Level 7 postgraduate expectation.</w:t>
      </w:r>
    </w:p>
    <w:p w:rsidR="009357C1" w:rsidRDefault="009357C1" w:rsidP="009357C1">
      <w:pPr>
        <w:pStyle w:val="Heading1"/>
      </w:pPr>
      <w:bookmarkStart w:id="29" w:name="_Toc220991326"/>
      <w:r w:rsidRPr="00E3079C">
        <w:t>5.2 Workflow and Service Delivery Model</w:t>
      </w:r>
      <w:bookmarkEnd w:id="29"/>
    </w:p>
    <w:p w:rsidR="009357C1" w:rsidRDefault="009357C1" w:rsidP="009357C1">
      <w:pPr>
        <w:jc w:val="both"/>
      </w:pPr>
      <w:r w:rsidRPr="00E3079C">
        <w:t>The service delivery model of Discsoul is designed to include a complete digital workflow. It is an end-to-end model that links the users, creators, advertisers and platform administrators to one piece of operating system. Workflow would be structured in a way that it will be automated as much as possible, reduced the amount of manual involvement and standardisation of service delivery in all markets of the world.</w:t>
      </w:r>
    </w:p>
    <w:p w:rsidR="009357C1" w:rsidRDefault="009357C1" w:rsidP="009357C1">
      <w:pPr>
        <w:jc w:val="both"/>
      </w:pPr>
      <w:r w:rsidRPr="00E3079C">
        <w:t>Onboarding of users and creators is the starting point of the operational process. The user is registered via email or third-party authentication and she/he is taken through preference selection, device synchronisation and subscription option. This onboarding is automated and combined with the artificial intelligence (AI) engine of Discsoul, which allows the personalisation of the content recommendations early. Operationally, this decreases the churn risk and enhances the user engagement at the initial contact.</w:t>
      </w:r>
    </w:p>
    <w:p w:rsidR="009357C1" w:rsidRPr="00EA00C1" w:rsidRDefault="009357C1" w:rsidP="009357C1">
      <w:pPr>
        <w:jc w:val="both"/>
        <w:rPr>
          <w:lang w:val="en-IN"/>
        </w:rPr>
      </w:pPr>
      <w:r w:rsidRPr="00E3079C">
        <w:t>The creators (artists, DJs and labels) have a distinct onboarding experience that involves identity verification, rights declaration and monetisation setting. Content uploaded is automatically checked by their file integrity, format and metadata completeness. The validation of copyright is incorporated in the working process, and an authorised content is published. This greatly minimizes the legal liability and administration costs in comparison with manual approval mechanisms</w:t>
      </w:r>
      <w:r>
        <w:t xml:space="preserve"> </w:t>
      </w:r>
      <w:r w:rsidRPr="00EA00C1">
        <w:rPr>
          <w:lang w:val="en-IN"/>
        </w:rPr>
        <w:t>(VWV, 2025)</w:t>
      </w:r>
      <w:r w:rsidRPr="00E3079C">
        <w:t>.</w:t>
      </w:r>
    </w:p>
    <w:p w:rsidR="009357C1" w:rsidRDefault="009357C1" w:rsidP="009357C1">
      <w:pPr>
        <w:jc w:val="both"/>
      </w:pPr>
    </w:p>
    <w:p w:rsidR="009357C1" w:rsidRDefault="009357C1" w:rsidP="009357C1">
      <w:pPr>
        <w:jc w:val="both"/>
      </w:pPr>
      <w:r w:rsidRPr="00E3079C">
        <w:t>When it is approved, the content is signed and delivered through a content delivery network (CDN) based on a cloud. The CDN is a dynamic system that depends on the user device condition and network conditions to adjust bitrate and resolution in order to maintain a steady playback quality. Live concert recording is based on a long workflow that involves scheduling of events, integration of tickets, setting up bandwidth and post-event analytics reports.</w:t>
      </w:r>
    </w:p>
    <w:p w:rsidR="009357C1" w:rsidRDefault="009357C1" w:rsidP="009357C1">
      <w:pPr>
        <w:jc w:val="both"/>
      </w:pPr>
      <w:r w:rsidRPr="00E3079C">
        <w:t xml:space="preserve">The user interactions, such as time listening, video views, likes, shares and comments are constantly recorded and processed. These metrics become inputs to analytics dashboards that the management and creators use to track their performance and </w:t>
      </w:r>
      <w:r w:rsidRPr="00E3079C">
        <w:lastRenderedPageBreak/>
        <w:t>improve content strategies. This is a closed loop workflow that guarantees constant learning about operations and service optimisation.</w:t>
      </w:r>
    </w:p>
    <w:p w:rsidR="00684797" w:rsidRDefault="00684797" w:rsidP="009357C1">
      <w:pPr>
        <w:jc w:val="both"/>
      </w:pPr>
      <w:r w:rsidRPr="00684797">
        <w:rPr>
          <w:noProof/>
        </w:rPr>
        <w:drawing>
          <wp:inline distT="0" distB="0" distL="0" distR="0" wp14:anchorId="46F91740" wp14:editId="3044775A">
            <wp:extent cx="5699760" cy="3161030"/>
            <wp:effectExtent l="0" t="0" r="0" b="1270"/>
            <wp:docPr id="525503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03386" name=""/>
                    <pic:cNvPicPr/>
                  </pic:nvPicPr>
                  <pic:blipFill rotWithShape="1">
                    <a:blip r:embed="rId14"/>
                    <a:srcRect r="554"/>
                    <a:stretch>
                      <a:fillRect/>
                    </a:stretch>
                  </pic:blipFill>
                  <pic:spPr bwMode="auto">
                    <a:xfrm>
                      <a:off x="0" y="0"/>
                      <a:ext cx="5699760" cy="3161030"/>
                    </a:xfrm>
                    <a:prstGeom prst="rect">
                      <a:avLst/>
                    </a:prstGeom>
                    <a:ln>
                      <a:noFill/>
                    </a:ln>
                    <a:extLst>
                      <a:ext uri="{53640926-AAD7-44D8-BBD7-CCE9431645EC}">
                        <a14:shadowObscured xmlns:a14="http://schemas.microsoft.com/office/drawing/2010/main"/>
                      </a:ext>
                    </a:extLst>
                  </pic:spPr>
                </pic:pic>
              </a:graphicData>
            </a:graphic>
          </wp:inline>
        </w:drawing>
      </w:r>
    </w:p>
    <w:p w:rsidR="009357C1" w:rsidRDefault="009357C1" w:rsidP="00286E57">
      <w:pPr>
        <w:jc w:val="center"/>
        <w:rPr>
          <w:b/>
          <w:bCs/>
        </w:rPr>
      </w:pPr>
      <w:r w:rsidRPr="00286E57">
        <w:rPr>
          <w:b/>
          <w:bCs/>
        </w:rPr>
        <w:t xml:space="preserve">Figure 5.1: Discsoul End-to-End Service Delivery Workflow </w:t>
      </w:r>
    </w:p>
    <w:p w:rsidR="00684797" w:rsidRPr="00286E57" w:rsidRDefault="00684797" w:rsidP="00684797">
      <w:pPr>
        <w:jc w:val="center"/>
        <w:rPr>
          <w:b/>
          <w:bCs/>
        </w:rPr>
      </w:pPr>
      <w:r>
        <w:rPr>
          <w:b/>
          <w:bCs/>
        </w:rPr>
        <w:t>(Source: made by me by using Canva)</w:t>
      </w:r>
    </w:p>
    <w:p w:rsidR="009357C1" w:rsidRDefault="009357C1" w:rsidP="009357C1">
      <w:pPr>
        <w:jc w:val="both"/>
      </w:pPr>
      <w:r w:rsidRPr="00E3079C">
        <w:t>This figure illustrates the flow from user and creator onboarding through content upload, platform processing, cloud distribution, monetisation and analytics feedback, highlighting the interconnected nature of Discsoul’s operational ecosystem.</w:t>
      </w:r>
    </w:p>
    <w:p w:rsidR="009357C1" w:rsidRDefault="009357C1" w:rsidP="009357C1">
      <w:pPr>
        <w:pStyle w:val="Heading1"/>
      </w:pPr>
      <w:bookmarkStart w:id="30" w:name="_Toc220991327"/>
      <w:r w:rsidRPr="00E3079C">
        <w:t>5.3 Staffing Plan and Human Resource Structure</w:t>
      </w:r>
      <w:bookmarkEnd w:id="30"/>
    </w:p>
    <w:p w:rsidR="009357C1" w:rsidRDefault="009357C1" w:rsidP="00286E57">
      <w:pPr>
        <w:jc w:val="both"/>
      </w:pPr>
      <w:r w:rsidRPr="00E3079C">
        <w:t>The staffing plan used by Discsoul is aimed at providing an optimal balance between cost and scalability on one hand and operational control on the other. Being a digital platform still in its early stage of growth, Discsoul uses the lean core team model that is facilitated by outsourced and contract-based specialists. This allows lowering the fixed costs, at the same time accessing high level expertise.</w:t>
      </w:r>
    </w:p>
    <w:p w:rsidR="009357C1" w:rsidRDefault="009357C1" w:rsidP="00286E57">
      <w:pPr>
        <w:jc w:val="both"/>
      </w:pPr>
      <w:r w:rsidRPr="00E3079C">
        <w:t>The main team will consist of the Chief Executive Officer (CEO), who plans the strategic partnerships and long-term vision, and the Chief Technology Officer (CTO), in charge of platform architecture, cybersecurity and system scalability. These functions are not outsourced to guard against intellectual property theft and also to exclude any mismatch between the strategic and operational decisions.</w:t>
      </w:r>
    </w:p>
    <w:p w:rsidR="009357C1" w:rsidRDefault="009357C1" w:rsidP="00286E57">
      <w:pPr>
        <w:jc w:val="both"/>
      </w:pPr>
      <w:r w:rsidRPr="00E3079C">
        <w:t xml:space="preserve">Software engineers are the heart of the operations of platforms, and they handle the system development, maintenance, and upgrading of features. An AI-powered recommendation systems and analytics are managed by a specific data scientist and play an essential role in personalisation, advertising performance and retention. The operations staff working with content deal with the artists, labels and event organisers </w:t>
      </w:r>
      <w:r w:rsidRPr="00E3079C">
        <w:lastRenderedPageBreak/>
        <w:t>and their relationship are co-ordinated and the contracts with the licensing agreements followed.</w:t>
      </w:r>
    </w:p>
    <w:p w:rsidR="009357C1" w:rsidRDefault="009357C1" w:rsidP="00286E57">
      <w:pPr>
        <w:jc w:val="both"/>
      </w:pPr>
      <w:r w:rsidRPr="00E3079C">
        <w:t xml:space="preserve">Marketing and growth functions are aimed at their customer acquisition, retention and monetisation. Customer support services offer technical and support </w:t>
      </w:r>
      <w:r w:rsidR="00286E57" w:rsidRPr="00E3079C">
        <w:t>services;</w:t>
      </w:r>
      <w:r w:rsidRPr="00E3079C">
        <w:t xml:space="preserve"> they work in shifts depending on the peak time usage in various time zones.</w:t>
      </w:r>
    </w:p>
    <w:p w:rsidR="00286E57" w:rsidRDefault="00286E57" w:rsidP="00286E57">
      <w:pPr>
        <w:jc w:val="both"/>
      </w:pPr>
    </w:p>
    <w:p w:rsidR="009357C1" w:rsidRPr="00286E57" w:rsidRDefault="00286E57" w:rsidP="00286E57">
      <w:pPr>
        <w:rPr>
          <w:rFonts w:cs="Arial"/>
          <w:b/>
          <w:bCs/>
        </w:rPr>
      </w:pPr>
      <w:r w:rsidRPr="00A20781">
        <w:rPr>
          <w:rFonts w:cs="Arial"/>
          <w:b/>
          <w:bCs/>
        </w:rPr>
        <w:t>Table 5.</w:t>
      </w:r>
      <w:r>
        <w:rPr>
          <w:rFonts w:cs="Arial"/>
          <w:b/>
          <w:bCs/>
        </w:rPr>
        <w:t>1</w:t>
      </w:r>
      <w:r w:rsidRPr="00A20781">
        <w:rPr>
          <w:rFonts w:cs="Arial"/>
          <w:b/>
          <w:bCs/>
        </w:rPr>
        <w:t>: Staffing Structure and Operational Rationale (Year 1)</w:t>
      </w:r>
    </w:p>
    <w:tbl>
      <w:tblPr>
        <w:tblStyle w:val="TableGrid"/>
        <w:tblW w:w="0" w:type="auto"/>
        <w:tblLook w:val="04A0" w:firstRow="1" w:lastRow="0" w:firstColumn="1" w:lastColumn="0" w:noHBand="0" w:noVBand="1"/>
      </w:tblPr>
      <w:tblGrid>
        <w:gridCol w:w="2254"/>
        <w:gridCol w:w="2254"/>
        <w:gridCol w:w="2254"/>
        <w:gridCol w:w="2254"/>
      </w:tblGrid>
      <w:tr w:rsidR="009357C1" w:rsidTr="00464AF0">
        <w:tc>
          <w:tcPr>
            <w:tcW w:w="2254" w:type="dxa"/>
            <w:vAlign w:val="center"/>
          </w:tcPr>
          <w:p w:rsidR="009357C1" w:rsidRDefault="009357C1" w:rsidP="00464AF0">
            <w:pPr>
              <w:jc w:val="center"/>
              <w:rPr>
                <w:b/>
                <w:bCs/>
                <w:lang w:val="en-IN"/>
              </w:rPr>
            </w:pPr>
            <w:r>
              <w:rPr>
                <w:b/>
                <w:bCs/>
              </w:rPr>
              <w:t>Function</w:t>
            </w:r>
          </w:p>
        </w:tc>
        <w:tc>
          <w:tcPr>
            <w:tcW w:w="2254" w:type="dxa"/>
            <w:vAlign w:val="center"/>
          </w:tcPr>
          <w:p w:rsidR="009357C1" w:rsidRDefault="009357C1" w:rsidP="00464AF0">
            <w:pPr>
              <w:jc w:val="center"/>
              <w:rPr>
                <w:b/>
                <w:bCs/>
              </w:rPr>
            </w:pPr>
            <w:r>
              <w:rPr>
                <w:b/>
                <w:bCs/>
              </w:rPr>
              <w:t>Role</w:t>
            </w:r>
          </w:p>
        </w:tc>
        <w:tc>
          <w:tcPr>
            <w:tcW w:w="2254" w:type="dxa"/>
            <w:vAlign w:val="center"/>
          </w:tcPr>
          <w:p w:rsidR="009357C1" w:rsidRDefault="009357C1" w:rsidP="00464AF0">
            <w:pPr>
              <w:jc w:val="center"/>
              <w:rPr>
                <w:b/>
                <w:bCs/>
              </w:rPr>
            </w:pPr>
            <w:r>
              <w:rPr>
                <w:b/>
                <w:bCs/>
              </w:rPr>
              <w:t>Type</w:t>
            </w:r>
          </w:p>
        </w:tc>
        <w:tc>
          <w:tcPr>
            <w:tcW w:w="2254" w:type="dxa"/>
            <w:vAlign w:val="center"/>
          </w:tcPr>
          <w:p w:rsidR="009357C1" w:rsidRDefault="009357C1" w:rsidP="00464AF0">
            <w:pPr>
              <w:jc w:val="center"/>
              <w:rPr>
                <w:b/>
                <w:bCs/>
              </w:rPr>
            </w:pPr>
            <w:r>
              <w:rPr>
                <w:b/>
                <w:bCs/>
              </w:rPr>
              <w:t>Operational Purpose</w:t>
            </w:r>
          </w:p>
        </w:tc>
      </w:tr>
      <w:tr w:rsidR="009357C1" w:rsidTr="00464AF0">
        <w:tc>
          <w:tcPr>
            <w:tcW w:w="2254" w:type="dxa"/>
            <w:vAlign w:val="center"/>
          </w:tcPr>
          <w:p w:rsidR="009357C1" w:rsidRDefault="009357C1" w:rsidP="00464AF0">
            <w:r>
              <w:t>Executive</w:t>
            </w:r>
          </w:p>
        </w:tc>
        <w:tc>
          <w:tcPr>
            <w:tcW w:w="2254" w:type="dxa"/>
            <w:vAlign w:val="center"/>
          </w:tcPr>
          <w:p w:rsidR="009357C1" w:rsidRDefault="009357C1" w:rsidP="00464AF0">
            <w:r>
              <w:t>CEO</w:t>
            </w:r>
          </w:p>
        </w:tc>
        <w:tc>
          <w:tcPr>
            <w:tcW w:w="2254" w:type="dxa"/>
            <w:vAlign w:val="center"/>
          </w:tcPr>
          <w:p w:rsidR="009357C1" w:rsidRDefault="009357C1" w:rsidP="00464AF0">
            <w:r>
              <w:t>Full-time</w:t>
            </w:r>
          </w:p>
        </w:tc>
        <w:tc>
          <w:tcPr>
            <w:tcW w:w="2254" w:type="dxa"/>
            <w:vAlign w:val="center"/>
          </w:tcPr>
          <w:p w:rsidR="009357C1" w:rsidRDefault="009357C1" w:rsidP="00464AF0">
            <w:r>
              <w:t>Strategic leadership</w:t>
            </w:r>
          </w:p>
        </w:tc>
      </w:tr>
      <w:tr w:rsidR="009357C1" w:rsidTr="00464AF0">
        <w:tc>
          <w:tcPr>
            <w:tcW w:w="2254" w:type="dxa"/>
            <w:vAlign w:val="center"/>
          </w:tcPr>
          <w:p w:rsidR="009357C1" w:rsidRDefault="009357C1" w:rsidP="00464AF0">
            <w:r>
              <w:t>Technology</w:t>
            </w:r>
          </w:p>
        </w:tc>
        <w:tc>
          <w:tcPr>
            <w:tcW w:w="2254" w:type="dxa"/>
            <w:vAlign w:val="center"/>
          </w:tcPr>
          <w:p w:rsidR="009357C1" w:rsidRDefault="009357C1" w:rsidP="00464AF0">
            <w:r>
              <w:t>CTO</w:t>
            </w:r>
          </w:p>
        </w:tc>
        <w:tc>
          <w:tcPr>
            <w:tcW w:w="2254" w:type="dxa"/>
            <w:vAlign w:val="center"/>
          </w:tcPr>
          <w:p w:rsidR="009357C1" w:rsidRDefault="009357C1" w:rsidP="00464AF0">
            <w:r>
              <w:t>Full-time</w:t>
            </w:r>
          </w:p>
        </w:tc>
        <w:tc>
          <w:tcPr>
            <w:tcW w:w="2254" w:type="dxa"/>
            <w:vAlign w:val="center"/>
          </w:tcPr>
          <w:p w:rsidR="009357C1" w:rsidRDefault="009357C1" w:rsidP="00464AF0">
            <w:r>
              <w:t>Platform stability and security</w:t>
            </w:r>
          </w:p>
        </w:tc>
      </w:tr>
      <w:tr w:rsidR="009357C1" w:rsidTr="00464AF0">
        <w:tc>
          <w:tcPr>
            <w:tcW w:w="2254" w:type="dxa"/>
            <w:vAlign w:val="center"/>
          </w:tcPr>
          <w:p w:rsidR="009357C1" w:rsidRDefault="009357C1" w:rsidP="00464AF0">
            <w:r>
              <w:t>Engineering</w:t>
            </w:r>
          </w:p>
        </w:tc>
        <w:tc>
          <w:tcPr>
            <w:tcW w:w="2254" w:type="dxa"/>
            <w:vAlign w:val="center"/>
          </w:tcPr>
          <w:p w:rsidR="009357C1" w:rsidRDefault="009357C1" w:rsidP="00464AF0">
            <w:r>
              <w:t>Software Engineers (4)</w:t>
            </w:r>
          </w:p>
        </w:tc>
        <w:tc>
          <w:tcPr>
            <w:tcW w:w="2254" w:type="dxa"/>
            <w:vAlign w:val="center"/>
          </w:tcPr>
          <w:p w:rsidR="009357C1" w:rsidRDefault="009357C1" w:rsidP="00464AF0">
            <w:r>
              <w:t>Full-time</w:t>
            </w:r>
          </w:p>
        </w:tc>
        <w:tc>
          <w:tcPr>
            <w:tcW w:w="2254" w:type="dxa"/>
            <w:vAlign w:val="center"/>
          </w:tcPr>
          <w:p w:rsidR="009357C1" w:rsidRDefault="009357C1" w:rsidP="00464AF0">
            <w:r>
              <w:t>Core development</w:t>
            </w:r>
          </w:p>
        </w:tc>
      </w:tr>
      <w:tr w:rsidR="009357C1" w:rsidTr="00464AF0">
        <w:tc>
          <w:tcPr>
            <w:tcW w:w="2254" w:type="dxa"/>
            <w:vAlign w:val="center"/>
          </w:tcPr>
          <w:p w:rsidR="009357C1" w:rsidRDefault="009357C1" w:rsidP="00464AF0">
            <w:r>
              <w:t>Data &amp; AI</w:t>
            </w:r>
          </w:p>
        </w:tc>
        <w:tc>
          <w:tcPr>
            <w:tcW w:w="2254" w:type="dxa"/>
            <w:vAlign w:val="center"/>
          </w:tcPr>
          <w:p w:rsidR="009357C1" w:rsidRDefault="009357C1" w:rsidP="00464AF0">
            <w:r>
              <w:t>Data Scientist</w:t>
            </w:r>
          </w:p>
        </w:tc>
        <w:tc>
          <w:tcPr>
            <w:tcW w:w="2254" w:type="dxa"/>
            <w:vAlign w:val="center"/>
          </w:tcPr>
          <w:p w:rsidR="009357C1" w:rsidRDefault="009357C1" w:rsidP="00464AF0">
            <w:r>
              <w:t>Full-time</w:t>
            </w:r>
          </w:p>
        </w:tc>
        <w:tc>
          <w:tcPr>
            <w:tcW w:w="2254" w:type="dxa"/>
            <w:vAlign w:val="center"/>
          </w:tcPr>
          <w:p w:rsidR="009357C1" w:rsidRDefault="009357C1" w:rsidP="00464AF0">
            <w:r>
              <w:t>Personalisation and analytics</w:t>
            </w:r>
          </w:p>
        </w:tc>
      </w:tr>
      <w:tr w:rsidR="009357C1" w:rsidTr="00464AF0">
        <w:tc>
          <w:tcPr>
            <w:tcW w:w="2254" w:type="dxa"/>
            <w:vAlign w:val="center"/>
          </w:tcPr>
          <w:p w:rsidR="009357C1" w:rsidRDefault="009357C1" w:rsidP="00464AF0">
            <w:r>
              <w:t>Content</w:t>
            </w:r>
          </w:p>
        </w:tc>
        <w:tc>
          <w:tcPr>
            <w:tcW w:w="2254" w:type="dxa"/>
            <w:vAlign w:val="center"/>
          </w:tcPr>
          <w:p w:rsidR="009357C1" w:rsidRDefault="009357C1" w:rsidP="00464AF0">
            <w:r>
              <w:t>Content Manager</w:t>
            </w:r>
          </w:p>
        </w:tc>
        <w:tc>
          <w:tcPr>
            <w:tcW w:w="2254" w:type="dxa"/>
            <w:vAlign w:val="center"/>
          </w:tcPr>
          <w:p w:rsidR="009357C1" w:rsidRDefault="009357C1" w:rsidP="00464AF0">
            <w:r>
              <w:t>Full-time</w:t>
            </w:r>
          </w:p>
        </w:tc>
        <w:tc>
          <w:tcPr>
            <w:tcW w:w="2254" w:type="dxa"/>
            <w:vAlign w:val="center"/>
          </w:tcPr>
          <w:p w:rsidR="009357C1" w:rsidRDefault="009357C1" w:rsidP="00464AF0">
            <w:r>
              <w:t>Creator coordination</w:t>
            </w:r>
          </w:p>
        </w:tc>
      </w:tr>
      <w:tr w:rsidR="009357C1" w:rsidTr="00464AF0">
        <w:tc>
          <w:tcPr>
            <w:tcW w:w="2254" w:type="dxa"/>
            <w:vAlign w:val="center"/>
          </w:tcPr>
          <w:p w:rsidR="009357C1" w:rsidRDefault="009357C1" w:rsidP="00464AF0">
            <w:r>
              <w:t>Marketing</w:t>
            </w:r>
          </w:p>
        </w:tc>
        <w:tc>
          <w:tcPr>
            <w:tcW w:w="2254" w:type="dxa"/>
            <w:vAlign w:val="center"/>
          </w:tcPr>
          <w:p w:rsidR="009357C1" w:rsidRDefault="009357C1" w:rsidP="00464AF0">
            <w:r>
              <w:t>Growth Manager</w:t>
            </w:r>
          </w:p>
        </w:tc>
        <w:tc>
          <w:tcPr>
            <w:tcW w:w="2254" w:type="dxa"/>
            <w:vAlign w:val="center"/>
          </w:tcPr>
          <w:p w:rsidR="009357C1" w:rsidRDefault="009357C1" w:rsidP="00464AF0">
            <w:r>
              <w:t>Full-time</w:t>
            </w:r>
          </w:p>
        </w:tc>
        <w:tc>
          <w:tcPr>
            <w:tcW w:w="2254" w:type="dxa"/>
            <w:vAlign w:val="center"/>
          </w:tcPr>
          <w:p w:rsidR="009357C1" w:rsidRDefault="009357C1" w:rsidP="00464AF0">
            <w:r>
              <w:t>User acquisition</w:t>
            </w:r>
          </w:p>
        </w:tc>
      </w:tr>
      <w:tr w:rsidR="009357C1" w:rsidTr="00464AF0">
        <w:tc>
          <w:tcPr>
            <w:tcW w:w="2254" w:type="dxa"/>
            <w:vAlign w:val="center"/>
          </w:tcPr>
          <w:p w:rsidR="009357C1" w:rsidRDefault="009357C1" w:rsidP="00464AF0">
            <w:r>
              <w:t>Support</w:t>
            </w:r>
          </w:p>
        </w:tc>
        <w:tc>
          <w:tcPr>
            <w:tcW w:w="2254" w:type="dxa"/>
            <w:vAlign w:val="center"/>
          </w:tcPr>
          <w:p w:rsidR="009357C1" w:rsidRDefault="009357C1" w:rsidP="00464AF0">
            <w:r>
              <w:t>Support Agents (2)</w:t>
            </w:r>
          </w:p>
        </w:tc>
        <w:tc>
          <w:tcPr>
            <w:tcW w:w="2254" w:type="dxa"/>
            <w:vAlign w:val="center"/>
          </w:tcPr>
          <w:p w:rsidR="009357C1" w:rsidRDefault="009357C1" w:rsidP="00464AF0">
            <w:r>
              <w:t>Full-time</w:t>
            </w:r>
          </w:p>
        </w:tc>
        <w:tc>
          <w:tcPr>
            <w:tcW w:w="2254" w:type="dxa"/>
            <w:vAlign w:val="center"/>
          </w:tcPr>
          <w:p w:rsidR="009357C1" w:rsidRDefault="009357C1" w:rsidP="00464AF0">
            <w:r>
              <w:t>Customer satisfaction</w:t>
            </w:r>
          </w:p>
        </w:tc>
      </w:tr>
      <w:tr w:rsidR="009357C1" w:rsidTr="00464AF0">
        <w:tc>
          <w:tcPr>
            <w:tcW w:w="2254" w:type="dxa"/>
            <w:vAlign w:val="center"/>
          </w:tcPr>
          <w:p w:rsidR="009357C1" w:rsidRDefault="009357C1" w:rsidP="00464AF0">
            <w:r>
              <w:t>Legal/Security</w:t>
            </w:r>
          </w:p>
        </w:tc>
        <w:tc>
          <w:tcPr>
            <w:tcW w:w="2254" w:type="dxa"/>
            <w:vAlign w:val="center"/>
          </w:tcPr>
          <w:p w:rsidR="009357C1" w:rsidRDefault="009357C1" w:rsidP="00464AF0">
            <w:r>
              <w:t>Consultants</w:t>
            </w:r>
          </w:p>
        </w:tc>
        <w:tc>
          <w:tcPr>
            <w:tcW w:w="2254" w:type="dxa"/>
            <w:vAlign w:val="center"/>
          </w:tcPr>
          <w:p w:rsidR="009357C1" w:rsidRDefault="009357C1" w:rsidP="00464AF0">
            <w:r>
              <w:t>Outsourced</w:t>
            </w:r>
          </w:p>
        </w:tc>
        <w:tc>
          <w:tcPr>
            <w:tcW w:w="2254" w:type="dxa"/>
            <w:vAlign w:val="center"/>
          </w:tcPr>
          <w:p w:rsidR="009357C1" w:rsidRDefault="009357C1" w:rsidP="00464AF0">
            <w:r>
              <w:t>Compliance efficiency</w:t>
            </w:r>
          </w:p>
        </w:tc>
      </w:tr>
    </w:tbl>
    <w:p w:rsidR="009357C1" w:rsidRDefault="009357C1" w:rsidP="009357C1">
      <w:pPr>
        <w:rPr>
          <w:rFonts w:cs="Arial"/>
        </w:rPr>
      </w:pPr>
    </w:p>
    <w:p w:rsidR="009357C1" w:rsidRDefault="009357C1" w:rsidP="00286E57">
      <w:pPr>
        <w:jc w:val="both"/>
        <w:rPr>
          <w:rFonts w:cs="Arial"/>
          <w:lang w:val="en-IN"/>
        </w:rPr>
      </w:pPr>
      <w:r w:rsidRPr="00F031BE">
        <w:rPr>
          <w:rFonts w:cs="Arial"/>
          <w:lang w:val="en-IN"/>
        </w:rPr>
        <w:t>This human resource setup is capable of scaling as more hires are made as predefined growth metrics, including the number of monthly active users and customer response time are met (</w:t>
      </w:r>
      <w:r w:rsidRPr="008B280E">
        <w:rPr>
          <w:rFonts w:cs="Arial"/>
          <w:lang w:val="en-IN"/>
        </w:rPr>
        <w:t>Deloitte, 2025</w:t>
      </w:r>
      <w:r w:rsidRPr="00F031BE">
        <w:rPr>
          <w:rFonts w:cs="Arial"/>
          <w:lang w:val="en-IN"/>
        </w:rPr>
        <w:t>).</w:t>
      </w:r>
    </w:p>
    <w:p w:rsidR="009357C1" w:rsidRDefault="009357C1" w:rsidP="00286E57">
      <w:pPr>
        <w:pStyle w:val="Heading1"/>
      </w:pPr>
      <w:bookmarkStart w:id="31" w:name="_Toc220991328"/>
      <w:r w:rsidRPr="00F031BE">
        <w:t>5.4 Legal and Regulatory Compliance</w:t>
      </w:r>
      <w:bookmarkEnd w:id="31"/>
    </w:p>
    <w:p w:rsidR="009357C1" w:rsidRDefault="009357C1" w:rsidP="00286E57">
      <w:pPr>
        <w:jc w:val="both"/>
      </w:pPr>
      <w:r w:rsidRPr="00F031BE">
        <w:t>The issue of legal conformity is an important operational concern to Discsoul because of the copyrighted information, personal information, and online remittances that it deals with. This area may be one of the areas where failure would lead to a huge expense, loss of the platform or a reputational hit.</w:t>
      </w:r>
    </w:p>
    <w:p w:rsidR="009357C1" w:rsidRPr="008B280E" w:rsidRDefault="009357C1" w:rsidP="00286E57">
      <w:pPr>
        <w:jc w:val="both"/>
        <w:rPr>
          <w:lang w:val="en-IN"/>
        </w:rPr>
      </w:pPr>
      <w:r w:rsidRPr="00F031BE">
        <w:t>The UK General Data Protection Regulation (UK GDPR) and the Data Protection Act 2018 regulate the data protection compliance. Measures such as explicit consent, data minimisation, personal information encrypted and role-based access controls can be considered as operational measures. The potential breaches are identified through automated monitoring systems and allow a quick response and reporting of these violations to a regulator where necessary (</w:t>
      </w:r>
      <w:r w:rsidRPr="008B280E">
        <w:rPr>
          <w:lang w:val="en-IN"/>
        </w:rPr>
        <w:t>GOV.UK, 2025</w:t>
      </w:r>
      <w:r w:rsidRPr="00F031BE">
        <w:t>).</w:t>
      </w:r>
    </w:p>
    <w:p w:rsidR="009357C1" w:rsidRDefault="009357C1" w:rsidP="00286E57">
      <w:pPr>
        <w:jc w:val="both"/>
      </w:pPr>
      <w:r w:rsidRPr="00F031BE">
        <w:lastRenderedPageBreak/>
        <w:t>Copyright compliance is achieved by means of organised licensing deals with rights proprietors and collective management organisations. The uploading process of workflow has creators aroused to define ownership or licensing rights, which are verified using metadata checks and contractual records. The platform will have royalty calculation and distribution mechanisms that will make the platform transparent and trustworthy.</w:t>
      </w:r>
    </w:p>
    <w:p w:rsidR="009357C1" w:rsidRDefault="009357C1" w:rsidP="00286E57">
      <w:pPr>
        <w:jc w:val="both"/>
      </w:pPr>
      <w:r w:rsidRPr="00F031BE">
        <w:t>The operations in advertising are in line with the UK advertising standards and international digital marketing. Targeted advertising involves utilising anonymised behavioural information, which makes it effective without interfering with the privacy of users. The recording of live concerts is also to be adhered to the consumer protection laws such as clear pricing, money back guarantees and reliability promises.</w:t>
      </w:r>
    </w:p>
    <w:p w:rsidR="009357C1" w:rsidRDefault="009357C1" w:rsidP="00286E57">
      <w:pPr>
        <w:pStyle w:val="Heading1"/>
      </w:pPr>
      <w:bookmarkStart w:id="32" w:name="_Toc220991329"/>
      <w:r w:rsidRPr="004E40F3">
        <w:t>5.5 Technology Infrastructure and Operational Tools</w:t>
      </w:r>
      <w:bookmarkEnd w:id="32"/>
    </w:p>
    <w:p w:rsidR="009357C1" w:rsidRDefault="009357C1" w:rsidP="00286E57">
      <w:pPr>
        <w:jc w:val="both"/>
        <w:rPr>
          <w:rFonts w:cs="Arial"/>
        </w:rPr>
      </w:pPr>
      <w:r w:rsidRPr="004E40F3">
        <w:rPr>
          <w:rFonts w:cs="Arial"/>
        </w:rPr>
        <w:t>The cloud-native technology infrastructure deployed to support the Discsoul operations is resilience-based, scalability and performance optimisation. The micro architecture gives the freedom to scale individual system components like streaming, payments and analytics on demand.</w:t>
      </w:r>
    </w:p>
    <w:p w:rsidR="00286E57" w:rsidRDefault="00286E57" w:rsidP="00286E57">
      <w:pPr>
        <w:jc w:val="both"/>
        <w:rPr>
          <w:rFonts w:cs="Arial"/>
        </w:rPr>
      </w:pPr>
    </w:p>
    <w:p w:rsidR="00286E57" w:rsidRDefault="00286E57" w:rsidP="00286E57">
      <w:pPr>
        <w:jc w:val="both"/>
        <w:rPr>
          <w:rFonts w:cs="Arial"/>
        </w:rPr>
      </w:pPr>
      <w:r w:rsidRPr="00A20781">
        <w:rPr>
          <w:rFonts w:cs="Arial"/>
          <w:b/>
          <w:bCs/>
        </w:rPr>
        <w:t>Table 5.</w:t>
      </w:r>
      <w:r>
        <w:rPr>
          <w:rFonts w:cs="Arial"/>
          <w:b/>
          <w:bCs/>
        </w:rPr>
        <w:t>2</w:t>
      </w:r>
      <w:r w:rsidRPr="00A20781">
        <w:rPr>
          <w:rFonts w:cs="Arial"/>
          <w:b/>
          <w:bCs/>
        </w:rPr>
        <w:t>:</w:t>
      </w:r>
      <w:r>
        <w:rPr>
          <w:rFonts w:cs="Arial"/>
          <w:b/>
          <w:bCs/>
        </w:rPr>
        <w:t xml:space="preserve"> Tech Infras</w:t>
      </w:r>
      <w:r w:rsidRPr="00A20781">
        <w:rPr>
          <w:rFonts w:cs="Arial"/>
          <w:b/>
          <w:bCs/>
        </w:rPr>
        <w:t>tructure and Operational Rationale</w:t>
      </w:r>
    </w:p>
    <w:tbl>
      <w:tblPr>
        <w:tblStyle w:val="TableGrid"/>
        <w:tblW w:w="0" w:type="auto"/>
        <w:tblLook w:val="04A0" w:firstRow="1" w:lastRow="0" w:firstColumn="1" w:lastColumn="0" w:noHBand="0" w:noVBand="1"/>
      </w:tblPr>
      <w:tblGrid>
        <w:gridCol w:w="3005"/>
        <w:gridCol w:w="3005"/>
        <w:gridCol w:w="3006"/>
      </w:tblGrid>
      <w:tr w:rsidR="009357C1" w:rsidTr="00464AF0">
        <w:tc>
          <w:tcPr>
            <w:tcW w:w="3005" w:type="dxa"/>
            <w:vAlign w:val="center"/>
          </w:tcPr>
          <w:p w:rsidR="009357C1" w:rsidRDefault="009357C1" w:rsidP="00464AF0">
            <w:pPr>
              <w:jc w:val="center"/>
              <w:rPr>
                <w:b/>
                <w:bCs/>
                <w:lang w:val="en-IN"/>
              </w:rPr>
            </w:pPr>
            <w:r>
              <w:rPr>
                <w:b/>
                <w:bCs/>
              </w:rPr>
              <w:t>Layer</w:t>
            </w:r>
          </w:p>
        </w:tc>
        <w:tc>
          <w:tcPr>
            <w:tcW w:w="3005" w:type="dxa"/>
            <w:vAlign w:val="center"/>
          </w:tcPr>
          <w:p w:rsidR="009357C1" w:rsidRDefault="009357C1" w:rsidP="00464AF0">
            <w:pPr>
              <w:jc w:val="center"/>
              <w:rPr>
                <w:b/>
                <w:bCs/>
              </w:rPr>
            </w:pPr>
            <w:r>
              <w:rPr>
                <w:b/>
                <w:bCs/>
              </w:rPr>
              <w:t>Tools</w:t>
            </w:r>
          </w:p>
        </w:tc>
        <w:tc>
          <w:tcPr>
            <w:tcW w:w="3006" w:type="dxa"/>
            <w:vAlign w:val="center"/>
          </w:tcPr>
          <w:p w:rsidR="009357C1" w:rsidRDefault="009357C1" w:rsidP="00464AF0">
            <w:pPr>
              <w:jc w:val="center"/>
              <w:rPr>
                <w:b/>
                <w:bCs/>
              </w:rPr>
            </w:pPr>
            <w:r>
              <w:rPr>
                <w:b/>
                <w:bCs/>
              </w:rPr>
              <w:t>Operational Benefit</w:t>
            </w:r>
          </w:p>
        </w:tc>
      </w:tr>
      <w:tr w:rsidR="009357C1" w:rsidTr="00464AF0">
        <w:tc>
          <w:tcPr>
            <w:tcW w:w="3005" w:type="dxa"/>
            <w:vAlign w:val="center"/>
          </w:tcPr>
          <w:p w:rsidR="009357C1" w:rsidRDefault="009357C1" w:rsidP="00464AF0">
            <w:r>
              <w:t>Cloud</w:t>
            </w:r>
          </w:p>
        </w:tc>
        <w:tc>
          <w:tcPr>
            <w:tcW w:w="3005" w:type="dxa"/>
            <w:vAlign w:val="center"/>
          </w:tcPr>
          <w:p w:rsidR="009357C1" w:rsidRDefault="009357C1" w:rsidP="00464AF0">
            <w:r>
              <w:t>AWS / Azure</w:t>
            </w:r>
          </w:p>
        </w:tc>
        <w:tc>
          <w:tcPr>
            <w:tcW w:w="3006" w:type="dxa"/>
            <w:vAlign w:val="center"/>
          </w:tcPr>
          <w:p w:rsidR="009357C1" w:rsidRDefault="009357C1" w:rsidP="00464AF0">
            <w:r>
              <w:t>Elastic scalability</w:t>
            </w:r>
          </w:p>
        </w:tc>
      </w:tr>
      <w:tr w:rsidR="009357C1" w:rsidTr="00464AF0">
        <w:tc>
          <w:tcPr>
            <w:tcW w:w="3005" w:type="dxa"/>
            <w:vAlign w:val="center"/>
          </w:tcPr>
          <w:p w:rsidR="009357C1" w:rsidRDefault="009357C1" w:rsidP="00464AF0">
            <w:r>
              <w:t>Streaming</w:t>
            </w:r>
          </w:p>
        </w:tc>
        <w:tc>
          <w:tcPr>
            <w:tcW w:w="3005" w:type="dxa"/>
            <w:vAlign w:val="center"/>
          </w:tcPr>
          <w:p w:rsidR="009357C1" w:rsidRDefault="009357C1" w:rsidP="00464AF0">
            <w:r>
              <w:t>CDN, adaptive bitrate</w:t>
            </w:r>
          </w:p>
        </w:tc>
        <w:tc>
          <w:tcPr>
            <w:tcW w:w="3006" w:type="dxa"/>
            <w:vAlign w:val="center"/>
          </w:tcPr>
          <w:p w:rsidR="009357C1" w:rsidRDefault="009357C1" w:rsidP="00464AF0">
            <w:r>
              <w:t>Low latency</w:t>
            </w:r>
          </w:p>
        </w:tc>
      </w:tr>
      <w:tr w:rsidR="009357C1" w:rsidTr="00464AF0">
        <w:tc>
          <w:tcPr>
            <w:tcW w:w="3005" w:type="dxa"/>
            <w:vAlign w:val="center"/>
          </w:tcPr>
          <w:p w:rsidR="009357C1" w:rsidRDefault="009357C1" w:rsidP="00464AF0">
            <w:r>
              <w:t>AI &amp; Data</w:t>
            </w:r>
          </w:p>
        </w:tc>
        <w:tc>
          <w:tcPr>
            <w:tcW w:w="3005" w:type="dxa"/>
            <w:vAlign w:val="center"/>
          </w:tcPr>
          <w:p w:rsidR="009357C1" w:rsidRDefault="009357C1" w:rsidP="00464AF0">
            <w:r>
              <w:t>Python, ML frameworks</w:t>
            </w:r>
          </w:p>
        </w:tc>
        <w:tc>
          <w:tcPr>
            <w:tcW w:w="3006" w:type="dxa"/>
            <w:vAlign w:val="center"/>
          </w:tcPr>
          <w:p w:rsidR="009357C1" w:rsidRDefault="009357C1" w:rsidP="00464AF0">
            <w:r>
              <w:t>Personalisation</w:t>
            </w:r>
          </w:p>
        </w:tc>
      </w:tr>
      <w:tr w:rsidR="009357C1" w:rsidTr="00464AF0">
        <w:tc>
          <w:tcPr>
            <w:tcW w:w="3005" w:type="dxa"/>
            <w:vAlign w:val="center"/>
          </w:tcPr>
          <w:p w:rsidR="009357C1" w:rsidRDefault="009357C1" w:rsidP="00464AF0">
            <w:r>
              <w:t>Payments</w:t>
            </w:r>
          </w:p>
        </w:tc>
        <w:tc>
          <w:tcPr>
            <w:tcW w:w="3005" w:type="dxa"/>
            <w:vAlign w:val="center"/>
          </w:tcPr>
          <w:p w:rsidR="009357C1" w:rsidRDefault="009357C1" w:rsidP="00464AF0">
            <w:r>
              <w:t>Stripe, PayPal</w:t>
            </w:r>
          </w:p>
        </w:tc>
        <w:tc>
          <w:tcPr>
            <w:tcW w:w="3006" w:type="dxa"/>
            <w:vAlign w:val="center"/>
          </w:tcPr>
          <w:p w:rsidR="009357C1" w:rsidRDefault="009357C1" w:rsidP="00464AF0">
            <w:r>
              <w:t>Secure transactions</w:t>
            </w:r>
          </w:p>
        </w:tc>
      </w:tr>
      <w:tr w:rsidR="009357C1" w:rsidTr="00464AF0">
        <w:tc>
          <w:tcPr>
            <w:tcW w:w="3005" w:type="dxa"/>
            <w:vAlign w:val="center"/>
          </w:tcPr>
          <w:p w:rsidR="009357C1" w:rsidRDefault="009357C1" w:rsidP="00464AF0">
            <w:r>
              <w:t>Security</w:t>
            </w:r>
          </w:p>
        </w:tc>
        <w:tc>
          <w:tcPr>
            <w:tcW w:w="3005" w:type="dxa"/>
            <w:vAlign w:val="center"/>
          </w:tcPr>
          <w:p w:rsidR="009357C1" w:rsidRDefault="009357C1" w:rsidP="00464AF0">
            <w:r>
              <w:t>MFA, encryption</w:t>
            </w:r>
          </w:p>
        </w:tc>
        <w:tc>
          <w:tcPr>
            <w:tcW w:w="3006" w:type="dxa"/>
            <w:vAlign w:val="center"/>
          </w:tcPr>
          <w:p w:rsidR="009357C1" w:rsidRDefault="009357C1" w:rsidP="00464AF0">
            <w:r>
              <w:t>Risk mitigation</w:t>
            </w:r>
          </w:p>
        </w:tc>
      </w:tr>
      <w:tr w:rsidR="009357C1" w:rsidTr="00464AF0">
        <w:tc>
          <w:tcPr>
            <w:tcW w:w="3005" w:type="dxa"/>
            <w:vAlign w:val="center"/>
          </w:tcPr>
          <w:p w:rsidR="009357C1" w:rsidRDefault="009357C1" w:rsidP="00464AF0">
            <w:r>
              <w:t>Analytics</w:t>
            </w:r>
          </w:p>
        </w:tc>
        <w:tc>
          <w:tcPr>
            <w:tcW w:w="3005" w:type="dxa"/>
            <w:vAlign w:val="center"/>
          </w:tcPr>
          <w:p w:rsidR="009357C1" w:rsidRDefault="009357C1" w:rsidP="00464AF0">
            <w:r>
              <w:t>Admin dashboards</w:t>
            </w:r>
          </w:p>
        </w:tc>
        <w:tc>
          <w:tcPr>
            <w:tcW w:w="3006" w:type="dxa"/>
            <w:vAlign w:val="center"/>
          </w:tcPr>
          <w:p w:rsidR="009357C1" w:rsidRDefault="009357C1" w:rsidP="00464AF0">
            <w:r>
              <w:t>Performance monitoring</w:t>
            </w:r>
          </w:p>
        </w:tc>
      </w:tr>
    </w:tbl>
    <w:p w:rsidR="009357C1" w:rsidRPr="004E40F3" w:rsidRDefault="009357C1" w:rsidP="009357C1">
      <w:pPr>
        <w:rPr>
          <w:rFonts w:cs="Arial"/>
        </w:rPr>
      </w:pPr>
    </w:p>
    <w:p w:rsidR="009357C1" w:rsidRPr="00F031BE" w:rsidRDefault="009357C1" w:rsidP="009357C1">
      <w:pPr>
        <w:rPr>
          <w:rFonts w:cs="Arial"/>
          <w:lang w:val="en-IN"/>
        </w:rPr>
      </w:pPr>
    </w:p>
    <w:p w:rsidR="009357C1" w:rsidRPr="00286E57" w:rsidRDefault="009357C1" w:rsidP="00286E57">
      <w:pPr>
        <w:jc w:val="both"/>
        <w:rPr>
          <w:rFonts w:cs="Arial"/>
          <w:lang w:val="en-IN"/>
        </w:rPr>
      </w:pPr>
      <w:r w:rsidRPr="004E40F3">
        <w:rPr>
          <w:rFonts w:cs="Arial"/>
          <w:lang w:val="en-IN"/>
        </w:rPr>
        <w:t>The recommendation systems, based on AI, enhance the efficiency of operations, through better content discovery and interaction. Administrative dashboards have real time visibility of system health, user behaviour and revenue streams to enable proactive management decision making.</w:t>
      </w:r>
    </w:p>
    <w:p w:rsidR="009357C1" w:rsidRDefault="009357C1" w:rsidP="00286E57">
      <w:pPr>
        <w:pStyle w:val="Heading1"/>
      </w:pPr>
      <w:bookmarkStart w:id="33" w:name="_Toc220991330"/>
      <w:r w:rsidRPr="004E40F3">
        <w:t>5.6 Licensing and Regulatory Registrations</w:t>
      </w:r>
      <w:bookmarkEnd w:id="33"/>
    </w:p>
    <w:p w:rsidR="009357C1" w:rsidRPr="002C59F6" w:rsidRDefault="009357C1" w:rsidP="00286E57">
      <w:pPr>
        <w:jc w:val="both"/>
        <w:rPr>
          <w:rFonts w:cs="Arial"/>
          <w:lang w:val="en-IN"/>
        </w:rPr>
      </w:pPr>
      <w:r w:rsidRPr="004E40F3">
        <w:rPr>
          <w:rFonts w:cs="Arial"/>
        </w:rPr>
        <w:t xml:space="preserve">Discsoul will have to have several licences in order to conduct business. PRS for Music and PPL are required to licence musical works and recordings and use them lawfully in the UK. To make sure that the system remains compliant, such licences are incorporated into the content management system of the platform </w:t>
      </w:r>
      <w:r w:rsidRPr="002C59F6">
        <w:rPr>
          <w:rFonts w:cs="Arial"/>
          <w:lang w:val="en-IN"/>
        </w:rPr>
        <w:t>(PRS for Music, 2025)</w:t>
      </w:r>
      <w:r w:rsidRPr="004E40F3">
        <w:rPr>
          <w:rFonts w:cs="Arial"/>
        </w:rPr>
        <w:t>.</w:t>
      </w:r>
    </w:p>
    <w:p w:rsidR="009357C1" w:rsidRDefault="009357C1" w:rsidP="00286E57">
      <w:pPr>
        <w:jc w:val="both"/>
        <w:rPr>
          <w:rFonts w:cs="Arial"/>
        </w:rPr>
      </w:pPr>
    </w:p>
    <w:p w:rsidR="009357C1" w:rsidRPr="004E40F3" w:rsidRDefault="009357C1" w:rsidP="00286E57">
      <w:pPr>
        <w:jc w:val="both"/>
        <w:rPr>
          <w:rFonts w:cs="Arial"/>
          <w:lang w:val="en-IN"/>
        </w:rPr>
      </w:pPr>
      <w:r w:rsidRPr="004E40F3">
        <w:rPr>
          <w:rFonts w:cs="Arial"/>
          <w:lang w:val="en-IN"/>
        </w:rPr>
        <w:t>The types of corporate registration are company incorporation, HMRC registration and compliance with VAT on internet services. Internationalization needs to conform to regional copyright rights and digital tax systems. Licences on the handling of payments are regulated by third-party providers, which simplifies the risk and complexity of operations.</w:t>
      </w:r>
    </w:p>
    <w:p w:rsidR="009357C1" w:rsidRDefault="009357C1" w:rsidP="00286E57">
      <w:pPr>
        <w:pStyle w:val="Heading1"/>
      </w:pPr>
      <w:bookmarkStart w:id="34" w:name="_Toc220991331"/>
      <w:r w:rsidRPr="00785FDB">
        <w:t>5.7 Physical Setup and Remote Operations</w:t>
      </w:r>
      <w:bookmarkEnd w:id="34"/>
    </w:p>
    <w:p w:rsidR="009357C1" w:rsidRPr="00B45077" w:rsidRDefault="009357C1" w:rsidP="00286E57">
      <w:pPr>
        <w:jc w:val="both"/>
        <w:rPr>
          <w:rFonts w:cs="Arial"/>
          <w:lang w:val="en-IN"/>
        </w:rPr>
      </w:pPr>
      <w:r w:rsidRPr="00785FDB">
        <w:rPr>
          <w:rFonts w:cs="Arial"/>
        </w:rPr>
        <w:t>Even though Discsoul is a digital business, it does not need extensive physical infrastructure in governance, compliance and collaboration. The firm uses a hybrid operating model, which consists of a small office in London and remote working opportunities. This minimizes overhead expenses and it promotes the ability to flexibly acquire talent</w:t>
      </w:r>
      <w:r>
        <w:rPr>
          <w:rFonts w:cs="Arial"/>
        </w:rPr>
        <w:t xml:space="preserve"> </w:t>
      </w:r>
      <w:r w:rsidRPr="00B45077">
        <w:rPr>
          <w:rFonts w:cs="Arial"/>
          <w:lang w:val="en-IN"/>
        </w:rPr>
        <w:t>(CIPD, 2024)</w:t>
      </w:r>
      <w:r w:rsidRPr="00785FDB">
        <w:rPr>
          <w:rFonts w:cs="Arial"/>
        </w:rPr>
        <w:t xml:space="preserve">. </w:t>
      </w:r>
    </w:p>
    <w:p w:rsidR="009357C1" w:rsidRDefault="009357C1" w:rsidP="00286E57">
      <w:pPr>
        <w:jc w:val="both"/>
        <w:rPr>
          <w:rFonts w:cs="Arial"/>
        </w:rPr>
      </w:pPr>
      <w:r w:rsidRPr="00785FDB">
        <w:rPr>
          <w:rFonts w:cs="Arial"/>
        </w:rPr>
        <w:t xml:space="preserve">The physical office also plays the role of a coordination </w:t>
      </w:r>
      <w:proofErr w:type="spellStart"/>
      <w:r w:rsidRPr="00785FDB">
        <w:rPr>
          <w:rFonts w:cs="Arial"/>
        </w:rPr>
        <w:t>center</w:t>
      </w:r>
      <w:proofErr w:type="spellEnd"/>
      <w:r w:rsidRPr="00785FDB">
        <w:rPr>
          <w:rFonts w:cs="Arial"/>
        </w:rPr>
        <w:t xml:space="preserve"> of the executive management, legal documentation and strategic meetings. Sensitive data are secured by secure networks, encrypted devices and access controls. Growth in physical premises is not the priority, and the operational growth is primarily promoted through digital infrastructure.</w:t>
      </w:r>
    </w:p>
    <w:p w:rsidR="009357C1" w:rsidRDefault="009357C1" w:rsidP="00286E57">
      <w:pPr>
        <w:pStyle w:val="Heading1"/>
      </w:pPr>
      <w:bookmarkStart w:id="35" w:name="_Toc220991332"/>
      <w:r w:rsidRPr="00785FDB">
        <w:t>5.8 Key Performance Indicators and Quality Assurance</w:t>
      </w:r>
      <w:bookmarkEnd w:id="35"/>
    </w:p>
    <w:p w:rsidR="00286E57" w:rsidRDefault="009357C1" w:rsidP="00286E57">
      <w:pPr>
        <w:jc w:val="both"/>
        <w:rPr>
          <w:rFonts w:cs="Arial"/>
        </w:rPr>
      </w:pPr>
      <w:r w:rsidRPr="00C32DDB">
        <w:rPr>
          <w:rFonts w:cs="Arial"/>
        </w:rPr>
        <w:t>A set of Key Performance Indicators (KPIs) is used to monitor the operational performance in accordance with reliability, customer satisfaction and growth objectives.</w:t>
      </w:r>
    </w:p>
    <w:p w:rsidR="00286E57" w:rsidRPr="00286E57" w:rsidRDefault="00286E57" w:rsidP="00286E57">
      <w:pPr>
        <w:rPr>
          <w:rFonts w:cs="Arial"/>
          <w:b/>
          <w:bCs/>
        </w:rPr>
      </w:pPr>
      <w:r w:rsidRPr="00C32DDB">
        <w:rPr>
          <w:rFonts w:cs="Arial"/>
          <w:b/>
          <w:bCs/>
        </w:rPr>
        <w:t>Table 5.3: Operational KPIs</w:t>
      </w:r>
    </w:p>
    <w:tbl>
      <w:tblPr>
        <w:tblStyle w:val="TableGrid"/>
        <w:tblW w:w="0" w:type="auto"/>
        <w:tblLook w:val="04A0" w:firstRow="1" w:lastRow="0" w:firstColumn="1" w:lastColumn="0" w:noHBand="0" w:noVBand="1"/>
      </w:tblPr>
      <w:tblGrid>
        <w:gridCol w:w="3005"/>
        <w:gridCol w:w="3005"/>
        <w:gridCol w:w="3006"/>
      </w:tblGrid>
      <w:tr w:rsidR="009357C1" w:rsidTr="00464AF0">
        <w:tc>
          <w:tcPr>
            <w:tcW w:w="3005" w:type="dxa"/>
            <w:vAlign w:val="center"/>
          </w:tcPr>
          <w:p w:rsidR="009357C1" w:rsidRDefault="009357C1" w:rsidP="00464AF0">
            <w:pPr>
              <w:jc w:val="center"/>
              <w:rPr>
                <w:b/>
                <w:bCs/>
                <w:lang w:val="en-IN"/>
              </w:rPr>
            </w:pPr>
            <w:r>
              <w:rPr>
                <w:b/>
                <w:bCs/>
              </w:rPr>
              <w:t>KPI</w:t>
            </w:r>
          </w:p>
        </w:tc>
        <w:tc>
          <w:tcPr>
            <w:tcW w:w="3005" w:type="dxa"/>
            <w:vAlign w:val="center"/>
          </w:tcPr>
          <w:p w:rsidR="009357C1" w:rsidRDefault="009357C1" w:rsidP="00464AF0">
            <w:pPr>
              <w:jc w:val="center"/>
              <w:rPr>
                <w:b/>
                <w:bCs/>
              </w:rPr>
            </w:pPr>
            <w:r>
              <w:rPr>
                <w:b/>
                <w:bCs/>
              </w:rPr>
              <w:t>Target</w:t>
            </w:r>
          </w:p>
        </w:tc>
        <w:tc>
          <w:tcPr>
            <w:tcW w:w="3006" w:type="dxa"/>
            <w:vAlign w:val="center"/>
          </w:tcPr>
          <w:p w:rsidR="009357C1" w:rsidRDefault="009357C1" w:rsidP="00464AF0">
            <w:pPr>
              <w:jc w:val="center"/>
              <w:rPr>
                <w:b/>
                <w:bCs/>
              </w:rPr>
            </w:pPr>
            <w:r>
              <w:rPr>
                <w:b/>
                <w:bCs/>
              </w:rPr>
              <w:t>Importance</w:t>
            </w:r>
          </w:p>
        </w:tc>
      </w:tr>
      <w:tr w:rsidR="009357C1" w:rsidTr="00464AF0">
        <w:tc>
          <w:tcPr>
            <w:tcW w:w="3005" w:type="dxa"/>
            <w:vAlign w:val="center"/>
          </w:tcPr>
          <w:p w:rsidR="009357C1" w:rsidRDefault="009357C1" w:rsidP="00464AF0">
            <w:r>
              <w:t>Platform uptime</w:t>
            </w:r>
          </w:p>
        </w:tc>
        <w:tc>
          <w:tcPr>
            <w:tcW w:w="3005" w:type="dxa"/>
            <w:vAlign w:val="center"/>
          </w:tcPr>
          <w:p w:rsidR="009357C1" w:rsidRDefault="009357C1" w:rsidP="00464AF0">
            <w:r>
              <w:t>≥99.9%</w:t>
            </w:r>
          </w:p>
        </w:tc>
        <w:tc>
          <w:tcPr>
            <w:tcW w:w="3006" w:type="dxa"/>
            <w:vAlign w:val="center"/>
          </w:tcPr>
          <w:p w:rsidR="009357C1" w:rsidRDefault="009357C1" w:rsidP="00464AF0">
            <w:r>
              <w:t>Reliability</w:t>
            </w:r>
          </w:p>
        </w:tc>
      </w:tr>
      <w:tr w:rsidR="009357C1" w:rsidTr="00464AF0">
        <w:tc>
          <w:tcPr>
            <w:tcW w:w="3005" w:type="dxa"/>
            <w:vAlign w:val="center"/>
          </w:tcPr>
          <w:p w:rsidR="009357C1" w:rsidRDefault="009357C1" w:rsidP="00464AF0">
            <w:r>
              <w:t>Average latency</w:t>
            </w:r>
          </w:p>
        </w:tc>
        <w:tc>
          <w:tcPr>
            <w:tcW w:w="3005" w:type="dxa"/>
            <w:vAlign w:val="center"/>
          </w:tcPr>
          <w:p w:rsidR="009357C1" w:rsidRDefault="009357C1" w:rsidP="00464AF0">
            <w:r>
              <w:t>&lt;2 seconds</w:t>
            </w:r>
          </w:p>
        </w:tc>
        <w:tc>
          <w:tcPr>
            <w:tcW w:w="3006" w:type="dxa"/>
            <w:vAlign w:val="center"/>
          </w:tcPr>
          <w:p w:rsidR="009357C1" w:rsidRDefault="009357C1" w:rsidP="00464AF0">
            <w:r>
              <w:t>User experience</w:t>
            </w:r>
          </w:p>
        </w:tc>
      </w:tr>
      <w:tr w:rsidR="009357C1" w:rsidTr="00464AF0">
        <w:tc>
          <w:tcPr>
            <w:tcW w:w="3005" w:type="dxa"/>
            <w:vAlign w:val="center"/>
          </w:tcPr>
          <w:p w:rsidR="009357C1" w:rsidRDefault="009357C1" w:rsidP="00464AF0">
            <w:r>
              <w:t>Content approval time</w:t>
            </w:r>
          </w:p>
        </w:tc>
        <w:tc>
          <w:tcPr>
            <w:tcW w:w="3005" w:type="dxa"/>
            <w:vAlign w:val="center"/>
          </w:tcPr>
          <w:p w:rsidR="009357C1" w:rsidRDefault="009357C1" w:rsidP="00464AF0">
            <w:r>
              <w:t>&lt;48 hours</w:t>
            </w:r>
          </w:p>
        </w:tc>
        <w:tc>
          <w:tcPr>
            <w:tcW w:w="3006" w:type="dxa"/>
            <w:vAlign w:val="center"/>
          </w:tcPr>
          <w:p w:rsidR="009357C1" w:rsidRDefault="009357C1" w:rsidP="00464AF0">
            <w:r>
              <w:t>Agility</w:t>
            </w:r>
          </w:p>
        </w:tc>
      </w:tr>
      <w:tr w:rsidR="009357C1" w:rsidTr="00464AF0">
        <w:tc>
          <w:tcPr>
            <w:tcW w:w="3005" w:type="dxa"/>
            <w:vAlign w:val="center"/>
          </w:tcPr>
          <w:p w:rsidR="009357C1" w:rsidRDefault="009357C1" w:rsidP="00464AF0">
            <w:r>
              <w:t>Support resolution</w:t>
            </w:r>
          </w:p>
        </w:tc>
        <w:tc>
          <w:tcPr>
            <w:tcW w:w="3005" w:type="dxa"/>
            <w:vAlign w:val="center"/>
          </w:tcPr>
          <w:p w:rsidR="009357C1" w:rsidRDefault="009357C1" w:rsidP="00464AF0">
            <w:r>
              <w:t>&lt;24 hours</w:t>
            </w:r>
          </w:p>
        </w:tc>
        <w:tc>
          <w:tcPr>
            <w:tcW w:w="3006" w:type="dxa"/>
            <w:vAlign w:val="center"/>
          </w:tcPr>
          <w:p w:rsidR="009357C1" w:rsidRDefault="009357C1" w:rsidP="00464AF0">
            <w:r>
              <w:t>Satisfaction</w:t>
            </w:r>
          </w:p>
        </w:tc>
      </w:tr>
      <w:tr w:rsidR="009357C1" w:rsidTr="00464AF0">
        <w:tc>
          <w:tcPr>
            <w:tcW w:w="3005" w:type="dxa"/>
            <w:vAlign w:val="center"/>
          </w:tcPr>
          <w:p w:rsidR="009357C1" w:rsidRDefault="009357C1" w:rsidP="00464AF0">
            <w:r>
              <w:t>MAU growth</w:t>
            </w:r>
          </w:p>
        </w:tc>
        <w:tc>
          <w:tcPr>
            <w:tcW w:w="3005" w:type="dxa"/>
            <w:vAlign w:val="center"/>
          </w:tcPr>
          <w:p w:rsidR="009357C1" w:rsidRDefault="009357C1" w:rsidP="00464AF0">
            <w:r>
              <w:t>8–10%</w:t>
            </w:r>
          </w:p>
        </w:tc>
        <w:tc>
          <w:tcPr>
            <w:tcW w:w="3006" w:type="dxa"/>
            <w:vAlign w:val="center"/>
          </w:tcPr>
          <w:p w:rsidR="009357C1" w:rsidRDefault="009357C1" w:rsidP="00464AF0">
            <w:r>
              <w:t>Market traction</w:t>
            </w:r>
          </w:p>
        </w:tc>
      </w:tr>
    </w:tbl>
    <w:p w:rsidR="00286E57" w:rsidRDefault="00286E57" w:rsidP="00286E57">
      <w:pPr>
        <w:jc w:val="both"/>
        <w:rPr>
          <w:rFonts w:cs="Arial"/>
        </w:rPr>
      </w:pPr>
    </w:p>
    <w:p w:rsidR="009357C1" w:rsidRDefault="009357C1" w:rsidP="00286E57">
      <w:pPr>
        <w:jc w:val="both"/>
        <w:rPr>
          <w:rFonts w:cs="Arial"/>
        </w:rPr>
      </w:pPr>
      <w:r w:rsidRPr="00C32DDB">
        <w:rPr>
          <w:rFonts w:cs="Arial"/>
        </w:rPr>
        <w:t>The automated testing and implementation of incident response procedures and quarterly audit of operations are among quality assurance processes. Feedback provided by the users is analysed and addressed in improving the platforms, and this facilitates the continual improvement of the services.</w:t>
      </w:r>
    </w:p>
    <w:p w:rsidR="009357C1" w:rsidRDefault="00684797" w:rsidP="009357C1">
      <w:pPr>
        <w:rPr>
          <w:rFonts w:cs="Arial"/>
        </w:rPr>
      </w:pPr>
      <w:r>
        <w:rPr>
          <w:rFonts w:cs="Arial"/>
          <w:noProof/>
        </w:rPr>
        <w:lastRenderedPageBreak/>
        <w:drawing>
          <wp:inline distT="0" distB="0" distL="0" distR="0">
            <wp:extent cx="5486400" cy="3200400"/>
            <wp:effectExtent l="0" t="0" r="0" b="19050"/>
            <wp:docPr id="13396754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9357C1" w:rsidRDefault="009357C1" w:rsidP="00286E57">
      <w:pPr>
        <w:jc w:val="center"/>
        <w:rPr>
          <w:rFonts w:cs="Arial"/>
          <w:b/>
          <w:bCs/>
        </w:rPr>
      </w:pPr>
      <w:r w:rsidRPr="00C32DDB">
        <w:rPr>
          <w:rFonts w:cs="Arial"/>
          <w:b/>
          <w:bCs/>
        </w:rPr>
        <w:t>Figure 5.2: Quality Assurance Feedback Loop (Description)</w:t>
      </w:r>
    </w:p>
    <w:p w:rsidR="005F6026" w:rsidRDefault="005F6026" w:rsidP="00286E57">
      <w:pPr>
        <w:jc w:val="center"/>
        <w:rPr>
          <w:rFonts w:cs="Arial"/>
          <w:b/>
          <w:bCs/>
        </w:rPr>
      </w:pPr>
      <w:r>
        <w:rPr>
          <w:rFonts w:cs="Arial"/>
          <w:b/>
          <w:bCs/>
        </w:rPr>
        <w:t>(Source: made by me using Microsoft Word Flowchart)</w:t>
      </w:r>
    </w:p>
    <w:p w:rsidR="009357C1" w:rsidRDefault="009357C1" w:rsidP="00684797">
      <w:pPr>
        <w:jc w:val="both"/>
        <w:rPr>
          <w:rFonts w:cs="Arial"/>
        </w:rPr>
      </w:pPr>
      <w:r w:rsidRPr="00C32DDB">
        <w:rPr>
          <w:rFonts w:cs="Arial"/>
        </w:rPr>
        <w:t>This number shows the relationship between system monitoring, user feedback and operational audits that enhance the quality of services, as well as reliability of the platform.</w:t>
      </w:r>
    </w:p>
    <w:p w:rsidR="005F6026" w:rsidRDefault="005F6026" w:rsidP="005F6026">
      <w:pPr>
        <w:pStyle w:val="Title"/>
      </w:pPr>
      <w:bookmarkStart w:id="36" w:name="_Toc220991333"/>
      <w:r w:rsidRPr="00536475">
        <w:t>Chapter 6: Human Resource Capital Allocation</w:t>
      </w:r>
      <w:bookmarkEnd w:id="36"/>
    </w:p>
    <w:p w:rsidR="005F6026" w:rsidRDefault="005F6026" w:rsidP="005F6026">
      <w:pPr>
        <w:pStyle w:val="Heading1"/>
      </w:pPr>
      <w:bookmarkStart w:id="37" w:name="_Toc220991334"/>
      <w:r w:rsidRPr="00CF4EF8">
        <w:t>6.1 HR Structure Overview</w:t>
      </w:r>
      <w:bookmarkEnd w:id="37"/>
    </w:p>
    <w:p w:rsidR="005F6026" w:rsidRDefault="005F6026" w:rsidP="005F6026">
      <w:pPr>
        <w:jc w:val="both"/>
        <w:rPr>
          <w:rFonts w:cs="Arial"/>
        </w:rPr>
      </w:pPr>
      <w:r w:rsidRPr="00CF4EF8">
        <w:rPr>
          <w:rFonts w:cs="Arial"/>
        </w:rPr>
        <w:t xml:space="preserve">Human capital is one of the most important strategic assets of digital platform-based companies especially those operating in the knowledge and be creative industry like music and video streaming. The success of operation of Discsoul does not just lie on the high level of technology but also on its capacity to attract, manage and retain multi-skilled workforce with an integrated combination of technical prowess, creativity and business skills. </w:t>
      </w:r>
      <w:r>
        <w:rPr>
          <w:rFonts w:cs="Arial"/>
        </w:rPr>
        <w:t xml:space="preserve">The </w:t>
      </w:r>
      <w:r w:rsidRPr="00CF4EF8">
        <w:rPr>
          <w:rFonts w:cs="Arial"/>
        </w:rPr>
        <w:t>human resource structures have to be in line with the organisational strategy to create a long-term competitive advantage. In that regard, Discsoul uses a hybrid, scalable HR framework that aims to help it to support a swift growth of the platform without losing control over its operations and the cultural integrity.</w:t>
      </w:r>
    </w:p>
    <w:p w:rsidR="005F6026" w:rsidRPr="00F549AE" w:rsidRDefault="005F6026" w:rsidP="005F6026">
      <w:pPr>
        <w:jc w:val="both"/>
        <w:rPr>
          <w:rFonts w:cs="Arial"/>
          <w:lang w:val="en-IN"/>
        </w:rPr>
      </w:pPr>
      <w:r w:rsidRPr="00CF4EF8">
        <w:rPr>
          <w:rFonts w:cs="Arial"/>
        </w:rPr>
        <w:t xml:space="preserve">The HR structure of Discsoul is oriented towards five functional pillars (1) Technology and Engineering, (2) Content and Artist Relations, (3) Marketing and Growth, (4) Operations and Compliance and (5) Corporate Support Functions. This design is indicative of the integrated business model of the platform where the subscription services, advertisement revenue, and live concert monetisation are all part of the same ecosystem. At the beginning and growth phases, a functional design is deemed to be </w:t>
      </w:r>
      <w:r w:rsidRPr="00CF4EF8">
        <w:rPr>
          <w:rFonts w:cs="Arial"/>
        </w:rPr>
        <w:lastRenderedPageBreak/>
        <w:t>suitable since it enables efficiency, accountability, and the existence of clear reporting lines (</w:t>
      </w:r>
      <w:r w:rsidRPr="00F549AE">
        <w:rPr>
          <w:rFonts w:cs="Arial"/>
          <w:lang w:val="en-IN"/>
        </w:rPr>
        <w:t>Mackintosh et al., 2025</w:t>
      </w:r>
      <w:r w:rsidRPr="00CF4EF8">
        <w:rPr>
          <w:rFonts w:cs="Arial"/>
        </w:rPr>
        <w:t>).</w:t>
      </w:r>
    </w:p>
    <w:p w:rsidR="005F6026" w:rsidRDefault="005F6026" w:rsidP="005F6026">
      <w:pPr>
        <w:jc w:val="both"/>
        <w:rPr>
          <w:rFonts w:cs="Arial"/>
        </w:rPr>
      </w:pPr>
      <w:r w:rsidRPr="00CF4EF8">
        <w:rPr>
          <w:rFonts w:cs="Arial"/>
        </w:rPr>
        <w:t>At the governance level, the organisation has a Chief Executive Officer (CEO) and has a Chief Technology Officer (CTO), Chief Operating Officer (COO) and Head of People and Culture. Having a senior HR leadership position is a modern best practice of digital companies, where workforce planning, culture, and talent analytics are becoming more of a board issue (</w:t>
      </w:r>
      <w:r w:rsidRPr="00B1516D">
        <w:rPr>
          <w:rFonts w:cs="Arial"/>
          <w:lang w:val="en-IN"/>
        </w:rPr>
        <w:t>Deloitte, 2025)</w:t>
      </w:r>
      <w:r w:rsidRPr="00CF4EF8">
        <w:rPr>
          <w:rFonts w:cs="Arial"/>
        </w:rPr>
        <w:t xml:space="preserve">. </w:t>
      </w:r>
    </w:p>
    <w:p w:rsidR="005F6026" w:rsidRPr="00B1516D" w:rsidRDefault="005F6026" w:rsidP="005F6026">
      <w:pPr>
        <w:jc w:val="both"/>
        <w:rPr>
          <w:rFonts w:cs="Arial"/>
          <w:lang w:val="en-IN"/>
        </w:rPr>
      </w:pPr>
      <w:r w:rsidRPr="00CF4EF8">
        <w:rPr>
          <w:rFonts w:cs="Arial"/>
        </w:rPr>
        <w:t>The workforce forecasting, workforce management models, diversity and inclusion, as well as regulatory compliance in various jurisdictions are strategic HR task.</w:t>
      </w:r>
    </w:p>
    <w:p w:rsidR="005F6026" w:rsidRDefault="005F6026" w:rsidP="005F6026">
      <w:pPr>
        <w:jc w:val="both"/>
        <w:rPr>
          <w:rFonts w:cs="Arial"/>
        </w:rPr>
      </w:pPr>
      <w:r w:rsidRPr="00CF4EF8">
        <w:rPr>
          <w:rFonts w:cs="Arial"/>
        </w:rPr>
        <w:t xml:space="preserve">The HR structure of Discsoul is also strategically built with a geographical flexibility. The legal registration of the firm and regulatory requirements </w:t>
      </w:r>
      <w:proofErr w:type="gramStart"/>
      <w:r w:rsidRPr="00CF4EF8">
        <w:rPr>
          <w:rFonts w:cs="Arial"/>
        </w:rPr>
        <w:t>make</w:t>
      </w:r>
      <w:proofErr w:type="gramEnd"/>
      <w:r w:rsidRPr="00CF4EF8">
        <w:rPr>
          <w:rFonts w:cs="Arial"/>
        </w:rPr>
        <w:t xml:space="preserve"> core leadership, compliance, as well as platform governance services located in the United Kingdom. Nevertheless, the engineering, customer support, content moderation, and data analytics positions are spread among various geographical locations using remote and hybrid working models. Deloitte (202</w:t>
      </w:r>
      <w:r>
        <w:rPr>
          <w:rFonts w:cs="Arial"/>
        </w:rPr>
        <w:t>5</w:t>
      </w:r>
      <w:r w:rsidRPr="00CF4EF8">
        <w:rPr>
          <w:rFonts w:cs="Arial"/>
        </w:rPr>
        <w:t>) points out that teams that are geographically dispersed are now customary in the digital media companies, where access to limited digital skills can be achieved without too much control over labour expenses.</w:t>
      </w:r>
    </w:p>
    <w:p w:rsidR="007C7285" w:rsidRDefault="005F6026" w:rsidP="005F6026">
      <w:pPr>
        <w:jc w:val="both"/>
        <w:rPr>
          <w:rFonts w:cs="Arial"/>
        </w:rPr>
      </w:pPr>
      <w:r w:rsidRPr="00CF4EF8">
        <w:rPr>
          <w:rFonts w:cs="Arial"/>
        </w:rPr>
        <w:t>Another structural characteristic is the incorporation of contributors to its overall organisational ecosystem such as artists, DJs and content curators, without categorising them as conventional staff members. This saves fixed labour expenses at the same time enabling Discsoul to scale its content library with high speed. In HR governance terms, this requires specific contractual delineations, policies of the platform, and analytics of performance to be fair and transparent</w:t>
      </w:r>
      <w:r w:rsidRPr="007A7D23">
        <w:rPr>
          <w:rFonts w:ascii="Times New Roman" w:eastAsia="Times New Roman" w:hAnsi="Times New Roman" w:cs="Times New Roman"/>
          <w:kern w:val="0"/>
          <w:lang w:val="en-IN" w:eastAsia="en-IN"/>
          <w14:ligatures w14:val="none"/>
        </w:rPr>
        <w:t xml:space="preserve"> </w:t>
      </w:r>
      <w:r w:rsidRPr="007A7D23">
        <w:rPr>
          <w:rFonts w:cs="Arial"/>
          <w:lang w:val="en-IN"/>
        </w:rPr>
        <w:t>(Gardiner, 2024)</w:t>
      </w:r>
      <w:r w:rsidRPr="00CF4EF8">
        <w:rPr>
          <w:rFonts w:cs="Arial"/>
        </w:rPr>
        <w:t>.</w:t>
      </w:r>
    </w:p>
    <w:p w:rsidR="007C7285" w:rsidRDefault="007C7285" w:rsidP="005F6026">
      <w:pPr>
        <w:jc w:val="both"/>
        <w:rPr>
          <w:rFonts w:cs="Arial"/>
        </w:rPr>
      </w:pPr>
    </w:p>
    <w:p w:rsidR="00DC3CBB" w:rsidRDefault="007C7285" w:rsidP="005F6026">
      <w:pPr>
        <w:jc w:val="both"/>
        <w:rPr>
          <w:rFonts w:cs="Arial"/>
        </w:rPr>
      </w:pPr>
      <w:r w:rsidRPr="007C7285">
        <w:rPr>
          <w:rFonts w:cs="Arial"/>
          <w:noProof/>
        </w:rPr>
        <w:drawing>
          <wp:inline distT="0" distB="0" distL="0" distR="0" wp14:anchorId="0B678E4C" wp14:editId="1D3A3E82">
            <wp:extent cx="5313218" cy="2723127"/>
            <wp:effectExtent l="0" t="0" r="1905" b="1270"/>
            <wp:docPr id="1014403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403432" name=""/>
                    <pic:cNvPicPr/>
                  </pic:nvPicPr>
                  <pic:blipFill>
                    <a:blip r:embed="rId20"/>
                    <a:stretch>
                      <a:fillRect/>
                    </a:stretch>
                  </pic:blipFill>
                  <pic:spPr>
                    <a:xfrm>
                      <a:off x="0" y="0"/>
                      <a:ext cx="5325687" cy="2729518"/>
                    </a:xfrm>
                    <a:prstGeom prst="rect">
                      <a:avLst/>
                    </a:prstGeom>
                  </pic:spPr>
                </pic:pic>
              </a:graphicData>
            </a:graphic>
          </wp:inline>
        </w:drawing>
      </w:r>
    </w:p>
    <w:p w:rsidR="007C7285" w:rsidRDefault="007C7285" w:rsidP="007C7285">
      <w:pPr>
        <w:jc w:val="center"/>
        <w:rPr>
          <w:rFonts w:cs="Arial"/>
          <w:b/>
          <w:bCs/>
        </w:rPr>
      </w:pPr>
      <w:r w:rsidRPr="007C7285">
        <w:rPr>
          <w:rFonts w:cs="Arial"/>
          <w:b/>
          <w:bCs/>
        </w:rPr>
        <w:t>Figure 6.1: Discsoul Organisational and Human Resource Structure</w:t>
      </w:r>
    </w:p>
    <w:p w:rsidR="007C7285" w:rsidRDefault="007C7285" w:rsidP="007C7285">
      <w:pPr>
        <w:jc w:val="center"/>
        <w:rPr>
          <w:rFonts w:cs="Arial"/>
          <w:b/>
          <w:bCs/>
        </w:rPr>
      </w:pPr>
      <w:r>
        <w:rPr>
          <w:rFonts w:cs="Arial"/>
          <w:b/>
          <w:bCs/>
        </w:rPr>
        <w:t xml:space="preserve">(Source: made by me using </w:t>
      </w:r>
      <w:r w:rsidRPr="007C7285">
        <w:rPr>
          <w:rFonts w:cs="Arial"/>
          <w:b/>
          <w:bCs/>
        </w:rPr>
        <w:t>lucid</w:t>
      </w:r>
      <w:r>
        <w:rPr>
          <w:rFonts w:cs="Arial"/>
          <w:b/>
          <w:bCs/>
        </w:rPr>
        <w:t xml:space="preserve"> </w:t>
      </w:r>
      <w:r w:rsidRPr="007C7285">
        <w:rPr>
          <w:rFonts w:cs="Arial"/>
          <w:b/>
          <w:bCs/>
        </w:rPr>
        <w:t>chart</w:t>
      </w:r>
      <w:r>
        <w:rPr>
          <w:rFonts w:cs="Arial"/>
          <w:b/>
          <w:bCs/>
        </w:rPr>
        <w:t xml:space="preserve"> Application)</w:t>
      </w:r>
    </w:p>
    <w:p w:rsidR="007C7285" w:rsidRPr="007C7285" w:rsidRDefault="007C7285" w:rsidP="007C7285">
      <w:pPr>
        <w:jc w:val="center"/>
        <w:rPr>
          <w:rFonts w:cs="Arial"/>
          <w:b/>
          <w:bCs/>
        </w:rPr>
      </w:pPr>
    </w:p>
    <w:p w:rsidR="005F6026" w:rsidRPr="005F6026" w:rsidRDefault="005F6026" w:rsidP="005F6026">
      <w:pPr>
        <w:jc w:val="both"/>
        <w:rPr>
          <w:rFonts w:cs="Arial"/>
        </w:rPr>
      </w:pPr>
    </w:p>
    <w:p w:rsidR="005F6026" w:rsidRPr="005F6026" w:rsidRDefault="005F6026" w:rsidP="005F6026">
      <w:pPr>
        <w:rPr>
          <w:rFonts w:cs="Arial"/>
          <w:b/>
          <w:bCs/>
        </w:rPr>
      </w:pPr>
      <w:r w:rsidRPr="004605B8">
        <w:rPr>
          <w:rFonts w:cs="Arial"/>
          <w:b/>
          <w:bCs/>
        </w:rPr>
        <w:t>Table 6.1: Discsoul HR Structural Framework</w:t>
      </w:r>
    </w:p>
    <w:tbl>
      <w:tblPr>
        <w:tblStyle w:val="TableGrid"/>
        <w:tblW w:w="0" w:type="auto"/>
        <w:tblLook w:val="04A0" w:firstRow="1" w:lastRow="0" w:firstColumn="1" w:lastColumn="0" w:noHBand="0" w:noVBand="1"/>
      </w:tblPr>
      <w:tblGrid>
        <w:gridCol w:w="3005"/>
        <w:gridCol w:w="3005"/>
        <w:gridCol w:w="3006"/>
      </w:tblGrid>
      <w:tr w:rsidR="005F6026" w:rsidTr="00464AF0">
        <w:tc>
          <w:tcPr>
            <w:tcW w:w="3005" w:type="dxa"/>
            <w:vAlign w:val="center"/>
          </w:tcPr>
          <w:p w:rsidR="005F6026" w:rsidRDefault="005F6026" w:rsidP="00464AF0">
            <w:pPr>
              <w:jc w:val="center"/>
              <w:rPr>
                <w:b/>
                <w:bCs/>
                <w:lang w:val="en-IN"/>
              </w:rPr>
            </w:pPr>
            <w:r>
              <w:rPr>
                <w:b/>
                <w:bCs/>
              </w:rPr>
              <w:t>Level</w:t>
            </w:r>
          </w:p>
        </w:tc>
        <w:tc>
          <w:tcPr>
            <w:tcW w:w="3005" w:type="dxa"/>
            <w:vAlign w:val="center"/>
          </w:tcPr>
          <w:p w:rsidR="005F6026" w:rsidRDefault="005F6026" w:rsidP="00464AF0">
            <w:pPr>
              <w:jc w:val="center"/>
              <w:rPr>
                <w:b/>
                <w:bCs/>
              </w:rPr>
            </w:pPr>
            <w:r>
              <w:rPr>
                <w:b/>
                <w:bCs/>
              </w:rPr>
              <w:t>Key Roles</w:t>
            </w:r>
          </w:p>
        </w:tc>
        <w:tc>
          <w:tcPr>
            <w:tcW w:w="3006" w:type="dxa"/>
            <w:vAlign w:val="center"/>
          </w:tcPr>
          <w:p w:rsidR="005F6026" w:rsidRDefault="005F6026" w:rsidP="00464AF0">
            <w:pPr>
              <w:jc w:val="center"/>
              <w:rPr>
                <w:b/>
                <w:bCs/>
              </w:rPr>
            </w:pPr>
            <w:r>
              <w:rPr>
                <w:b/>
                <w:bCs/>
              </w:rPr>
              <w:t>Strategic Purpose</w:t>
            </w:r>
          </w:p>
        </w:tc>
      </w:tr>
      <w:tr w:rsidR="005F6026" w:rsidTr="00464AF0">
        <w:tc>
          <w:tcPr>
            <w:tcW w:w="3005" w:type="dxa"/>
            <w:vAlign w:val="center"/>
          </w:tcPr>
          <w:p w:rsidR="005F6026" w:rsidRDefault="005F6026" w:rsidP="00464AF0">
            <w:r>
              <w:t>Executive</w:t>
            </w:r>
          </w:p>
        </w:tc>
        <w:tc>
          <w:tcPr>
            <w:tcW w:w="3005" w:type="dxa"/>
            <w:vAlign w:val="center"/>
          </w:tcPr>
          <w:p w:rsidR="005F6026" w:rsidRDefault="005F6026" w:rsidP="00464AF0">
            <w:r>
              <w:t>CEO, CTO, COO, Head of People</w:t>
            </w:r>
          </w:p>
        </w:tc>
        <w:tc>
          <w:tcPr>
            <w:tcW w:w="3006" w:type="dxa"/>
            <w:vAlign w:val="center"/>
          </w:tcPr>
          <w:p w:rsidR="005F6026" w:rsidRDefault="005F6026" w:rsidP="00464AF0">
            <w:r>
              <w:t>Strategy, governance, growth oversight</w:t>
            </w:r>
          </w:p>
        </w:tc>
      </w:tr>
      <w:tr w:rsidR="005F6026" w:rsidTr="00464AF0">
        <w:tc>
          <w:tcPr>
            <w:tcW w:w="3005" w:type="dxa"/>
            <w:vAlign w:val="center"/>
          </w:tcPr>
          <w:p w:rsidR="005F6026" w:rsidRDefault="005F6026" w:rsidP="00464AF0">
            <w:r>
              <w:t>Core Functions</w:t>
            </w:r>
          </w:p>
        </w:tc>
        <w:tc>
          <w:tcPr>
            <w:tcW w:w="3005" w:type="dxa"/>
            <w:vAlign w:val="center"/>
          </w:tcPr>
          <w:p w:rsidR="005F6026" w:rsidRDefault="005F6026" w:rsidP="00464AF0">
            <w:r>
              <w:t>Engineering, Content, Marketing, Operations</w:t>
            </w:r>
          </w:p>
        </w:tc>
        <w:tc>
          <w:tcPr>
            <w:tcW w:w="3006" w:type="dxa"/>
            <w:vAlign w:val="center"/>
          </w:tcPr>
          <w:p w:rsidR="005F6026" w:rsidRDefault="005F6026" w:rsidP="00464AF0">
            <w:r>
              <w:t>Platform development and service delivery</w:t>
            </w:r>
          </w:p>
        </w:tc>
      </w:tr>
      <w:tr w:rsidR="005F6026" w:rsidTr="00464AF0">
        <w:tc>
          <w:tcPr>
            <w:tcW w:w="3005" w:type="dxa"/>
            <w:vAlign w:val="center"/>
          </w:tcPr>
          <w:p w:rsidR="005F6026" w:rsidRDefault="005F6026" w:rsidP="00464AF0">
            <w:r>
              <w:t>Support Functions</w:t>
            </w:r>
          </w:p>
        </w:tc>
        <w:tc>
          <w:tcPr>
            <w:tcW w:w="3005" w:type="dxa"/>
            <w:vAlign w:val="center"/>
          </w:tcPr>
          <w:p w:rsidR="005F6026" w:rsidRDefault="005F6026" w:rsidP="00464AF0">
            <w:r>
              <w:t>HR, Finance, Legal, Compliance</w:t>
            </w:r>
          </w:p>
        </w:tc>
        <w:tc>
          <w:tcPr>
            <w:tcW w:w="3006" w:type="dxa"/>
            <w:vAlign w:val="center"/>
          </w:tcPr>
          <w:p w:rsidR="005F6026" w:rsidRDefault="005F6026" w:rsidP="00464AF0">
            <w:r>
              <w:t>Risk management and organisational stability</w:t>
            </w:r>
          </w:p>
        </w:tc>
      </w:tr>
      <w:tr w:rsidR="005F6026" w:rsidTr="00464AF0">
        <w:tc>
          <w:tcPr>
            <w:tcW w:w="3005" w:type="dxa"/>
            <w:vAlign w:val="center"/>
          </w:tcPr>
          <w:p w:rsidR="005F6026" w:rsidRDefault="005F6026" w:rsidP="00464AF0">
            <w:r>
              <w:t>Flexible Workforce</w:t>
            </w:r>
          </w:p>
        </w:tc>
        <w:tc>
          <w:tcPr>
            <w:tcW w:w="3005" w:type="dxa"/>
            <w:vAlign w:val="center"/>
          </w:tcPr>
          <w:p w:rsidR="005F6026" w:rsidRDefault="005F6026" w:rsidP="00464AF0">
            <w:r>
              <w:t>Contractors, artists, interns</w:t>
            </w:r>
          </w:p>
        </w:tc>
        <w:tc>
          <w:tcPr>
            <w:tcW w:w="3006" w:type="dxa"/>
            <w:vAlign w:val="center"/>
          </w:tcPr>
          <w:p w:rsidR="005F6026" w:rsidRDefault="005F6026" w:rsidP="00464AF0">
            <w:r>
              <w:t>Scalability and innovation</w:t>
            </w:r>
          </w:p>
        </w:tc>
      </w:tr>
      <w:tr w:rsidR="005F6026" w:rsidTr="00464AF0">
        <w:tc>
          <w:tcPr>
            <w:tcW w:w="3005" w:type="dxa"/>
            <w:vAlign w:val="center"/>
          </w:tcPr>
          <w:p w:rsidR="005F6026" w:rsidRDefault="005F6026" w:rsidP="00464AF0">
            <w:r>
              <w:t>External Partners</w:t>
            </w:r>
          </w:p>
        </w:tc>
        <w:tc>
          <w:tcPr>
            <w:tcW w:w="3005" w:type="dxa"/>
            <w:vAlign w:val="center"/>
          </w:tcPr>
          <w:p w:rsidR="005F6026" w:rsidRDefault="005F6026" w:rsidP="00464AF0">
            <w:r>
              <w:t>Legal, cloud, cybersecurity vendors</w:t>
            </w:r>
          </w:p>
        </w:tc>
        <w:tc>
          <w:tcPr>
            <w:tcW w:w="3006" w:type="dxa"/>
            <w:vAlign w:val="center"/>
          </w:tcPr>
          <w:p w:rsidR="005F6026" w:rsidRDefault="005F6026" w:rsidP="00464AF0">
            <w:r>
              <w:t>Specialist expertise</w:t>
            </w:r>
          </w:p>
        </w:tc>
      </w:tr>
    </w:tbl>
    <w:p w:rsidR="005F6026" w:rsidRDefault="005F6026" w:rsidP="005F6026">
      <w:pPr>
        <w:rPr>
          <w:rFonts w:cs="Arial"/>
        </w:rPr>
      </w:pPr>
    </w:p>
    <w:p w:rsidR="005F6026" w:rsidRDefault="005F6026" w:rsidP="005F6026">
      <w:pPr>
        <w:jc w:val="both"/>
        <w:rPr>
          <w:rFonts w:cs="Arial"/>
        </w:rPr>
      </w:pPr>
      <w:r w:rsidRPr="001D0F7F">
        <w:rPr>
          <w:rFonts w:cs="Arial"/>
        </w:rPr>
        <w:t>This stacked HR system enables Discsoul to be nimble and at the same time address the operationality of an international streaming platform. Notably, it facilitates future conversion to a divisional or a matrix structure as soon as user scale and geographic growth requires more management levels.</w:t>
      </w:r>
    </w:p>
    <w:p w:rsidR="005F6026" w:rsidRDefault="005F6026" w:rsidP="005F6026">
      <w:pPr>
        <w:pStyle w:val="Heading1"/>
        <w:rPr>
          <w:lang w:val="en-IN"/>
        </w:rPr>
      </w:pPr>
      <w:bookmarkStart w:id="38" w:name="_Toc220991335"/>
      <w:r w:rsidRPr="004605B8">
        <w:rPr>
          <w:lang w:val="en-IN"/>
        </w:rPr>
        <w:t>6.2 Role Allocation and Responsibilities</w:t>
      </w:r>
      <w:bookmarkEnd w:id="38"/>
    </w:p>
    <w:p w:rsidR="005F6026" w:rsidRPr="00BF37F5" w:rsidRDefault="005F6026" w:rsidP="005F6026">
      <w:pPr>
        <w:jc w:val="both"/>
        <w:rPr>
          <w:rFonts w:cs="Arial"/>
          <w:lang w:val="en-IN"/>
        </w:rPr>
      </w:pPr>
      <w:r w:rsidRPr="004605B8">
        <w:rPr>
          <w:rFonts w:cs="Arial"/>
        </w:rPr>
        <w:t>The allocation of roles should be effective to guarantee the clarity of operations, accountability, and cross-functional cooperation. Poorly assigned roles in the digital platforms organisational setup become a frequent cause of duplication of efforts, decision delays and lack of employee involvement</w:t>
      </w:r>
      <w:r w:rsidRPr="00BF37F5">
        <w:rPr>
          <w:rFonts w:ascii="Times New Roman" w:eastAsia="Times New Roman" w:hAnsi="Times New Roman" w:cs="Times New Roman"/>
          <w:kern w:val="0"/>
          <w:lang w:val="en-IN" w:eastAsia="en-IN"/>
          <w14:ligatures w14:val="none"/>
        </w:rPr>
        <w:t xml:space="preserve"> </w:t>
      </w:r>
      <w:r w:rsidRPr="00BF37F5">
        <w:rPr>
          <w:rFonts w:cs="Arial"/>
          <w:lang w:val="en-IN"/>
        </w:rPr>
        <w:t>(Marone, 2025)</w:t>
      </w:r>
      <w:r w:rsidRPr="004605B8">
        <w:rPr>
          <w:rFonts w:cs="Arial"/>
        </w:rPr>
        <w:t>. Discsoul thus uses competency-based role design which makes the responsibilities in line with the strategic priorities and quantifiable outcomes.</w:t>
      </w:r>
    </w:p>
    <w:p w:rsidR="005F6026" w:rsidRPr="004605B8" w:rsidRDefault="005F6026" w:rsidP="005F6026">
      <w:pPr>
        <w:jc w:val="both"/>
        <w:rPr>
          <w:rFonts w:cs="Arial"/>
          <w:b/>
          <w:bCs/>
          <w:lang w:val="en-IN"/>
        </w:rPr>
      </w:pPr>
      <w:r w:rsidRPr="004605B8">
        <w:rPr>
          <w:rFonts w:cs="Arial"/>
          <w:b/>
          <w:bCs/>
          <w:lang w:val="en-IN"/>
        </w:rPr>
        <w:t>Executive and Leadership Roles</w:t>
      </w:r>
    </w:p>
    <w:p w:rsidR="005F6026" w:rsidRDefault="005F6026" w:rsidP="005F6026">
      <w:pPr>
        <w:jc w:val="both"/>
        <w:rPr>
          <w:rFonts w:cs="Arial"/>
        </w:rPr>
      </w:pPr>
      <w:r w:rsidRPr="004605B8">
        <w:rPr>
          <w:rFonts w:cs="Arial"/>
        </w:rPr>
        <w:t>The Chief Executive Officer (CEO) is in charge of the corporate vision, investor relations and strategic partnerships. This is a critical position especially during negotiations with record labels and live event organisers and advertising partners. The Chief Technology Officer (CTO) is in charge of platform architecture, cybersecurity, AI recommendation system, and cloud infrastructure. Considering the fact that the platform will depend on data-driven personalisation, the CTO will not only perform technical maintenance but also lead in terms of innovation.</w:t>
      </w:r>
    </w:p>
    <w:p w:rsidR="005F6026" w:rsidRPr="0088100E" w:rsidRDefault="005F6026" w:rsidP="005F6026">
      <w:pPr>
        <w:jc w:val="both"/>
        <w:rPr>
          <w:rFonts w:cs="Arial"/>
          <w:lang w:val="en-IN"/>
        </w:rPr>
      </w:pPr>
      <w:r w:rsidRPr="004605B8">
        <w:rPr>
          <w:rFonts w:cs="Arial"/>
        </w:rPr>
        <w:t>The Chief Operating Officer (COO) deals with the day-to-day operations in the service delivery, content moderation, customer support, and coordination with the vendors. This role makes sure that there is a front-end user experience and back-end operational efficiency alignment. The Head of People and Culture will take care of recruitment strategy, performance management systems, learning and development, and workforce wellbeing.</w:t>
      </w:r>
      <w:r>
        <w:rPr>
          <w:rFonts w:cs="Arial"/>
        </w:rPr>
        <w:t xml:space="preserve"> </w:t>
      </w:r>
      <w:r w:rsidRPr="0088100E">
        <w:rPr>
          <w:rFonts w:cs="Arial"/>
        </w:rPr>
        <w:t>Research from</w:t>
      </w:r>
      <w:r>
        <w:rPr>
          <w:rFonts w:cs="Arial"/>
        </w:rPr>
        <w:t xml:space="preserve"> </w:t>
      </w:r>
      <w:r w:rsidRPr="0088100E">
        <w:rPr>
          <w:rFonts w:cs="Arial"/>
          <w:lang w:val="en-IN"/>
        </w:rPr>
        <w:t>Gartner</w:t>
      </w:r>
      <w:r>
        <w:rPr>
          <w:rFonts w:cs="Arial"/>
          <w:lang w:val="en-IN"/>
        </w:rPr>
        <w:t xml:space="preserve"> (</w:t>
      </w:r>
      <w:r w:rsidRPr="00CC3562">
        <w:rPr>
          <w:rFonts w:cs="Arial"/>
        </w:rPr>
        <w:t>202</w:t>
      </w:r>
      <w:r>
        <w:rPr>
          <w:rFonts w:cs="Arial"/>
        </w:rPr>
        <w:t>5</w:t>
      </w:r>
      <w:r w:rsidRPr="00CC3562">
        <w:rPr>
          <w:rFonts w:cs="Arial"/>
        </w:rPr>
        <w:t>)</w:t>
      </w:r>
      <w:r w:rsidRPr="004605B8">
        <w:rPr>
          <w:rFonts w:cs="Arial"/>
        </w:rPr>
        <w:t xml:space="preserve"> shows that organisations that </w:t>
      </w:r>
      <w:r w:rsidRPr="004605B8">
        <w:rPr>
          <w:rFonts w:cs="Arial"/>
        </w:rPr>
        <w:lastRenderedPageBreak/>
        <w:t>have an aggressive HR leadership attain greater retention and productivity in digital jobs.</w:t>
      </w:r>
    </w:p>
    <w:p w:rsidR="005F6026" w:rsidRDefault="005F6026" w:rsidP="005F6026">
      <w:pPr>
        <w:jc w:val="both"/>
        <w:rPr>
          <w:rFonts w:cs="Arial"/>
          <w:b/>
          <w:bCs/>
        </w:rPr>
      </w:pPr>
      <w:r w:rsidRPr="004605B8">
        <w:rPr>
          <w:rFonts w:cs="Arial"/>
          <w:b/>
          <w:bCs/>
        </w:rPr>
        <w:t>Technology and Engineering Roles</w:t>
      </w:r>
    </w:p>
    <w:p w:rsidR="005F6026" w:rsidRPr="00BF37F5" w:rsidRDefault="005F6026" w:rsidP="005F6026">
      <w:pPr>
        <w:jc w:val="both"/>
        <w:rPr>
          <w:rFonts w:cs="Arial"/>
          <w:lang w:val="en-IN"/>
        </w:rPr>
      </w:pPr>
      <w:r w:rsidRPr="004605B8">
        <w:rPr>
          <w:rFonts w:cs="Arial"/>
        </w:rPr>
        <w:t xml:space="preserve">The technology functional is the largest internal workforce group at Discsoul. Major ones will be Software Engineers, Cloud Infrastructure Engineers, Data Scientists, and AI Engineers. Software Engineers are interested in application development, system integration, and platform stability, whereas Data Scientists and AI Engineers have to deal with the recommendation algorithms, user behaviour analytics, and fraud detection systems. </w:t>
      </w:r>
      <w:r w:rsidRPr="00BF37F5">
        <w:rPr>
          <w:rFonts w:cs="Arial"/>
          <w:lang w:val="en-IN"/>
        </w:rPr>
        <w:t>(Abraham et al., 2024)</w:t>
      </w:r>
      <w:r>
        <w:rPr>
          <w:rFonts w:cs="Arial"/>
          <w:lang w:val="en-IN"/>
        </w:rPr>
        <w:t xml:space="preserve"> </w:t>
      </w:r>
      <w:r w:rsidRPr="004605B8">
        <w:rPr>
          <w:rFonts w:cs="Arial"/>
        </w:rPr>
        <w:t xml:space="preserve">also predicts the strategic significance of such functions stating that platforms that have high levels of personalisation get a retention rate of up to 30% higher. </w:t>
      </w:r>
    </w:p>
    <w:p w:rsidR="005F6026" w:rsidRPr="004605B8" w:rsidRDefault="005F6026" w:rsidP="005F6026">
      <w:pPr>
        <w:jc w:val="both"/>
        <w:rPr>
          <w:rFonts w:cs="Arial"/>
          <w:lang w:val="en-IN"/>
        </w:rPr>
      </w:pPr>
      <w:r w:rsidRPr="004605B8">
        <w:rPr>
          <w:rFonts w:cs="Arial"/>
        </w:rPr>
        <w:t>The work of engineering teams involves agile and DevOps, which allow a quick turnaround time and deployments. The ownership of roles is followed with the use of sprint planning, product backlog, and performance metrics like frequency of deployment and uptime of the system.</w:t>
      </w:r>
    </w:p>
    <w:p w:rsidR="005F6026" w:rsidRDefault="005F6026" w:rsidP="005F6026">
      <w:pPr>
        <w:jc w:val="both"/>
        <w:rPr>
          <w:rFonts w:cs="Arial"/>
        </w:rPr>
      </w:pPr>
      <w:r w:rsidRPr="004605B8">
        <w:rPr>
          <w:rFonts w:cs="Arial"/>
          <w:b/>
          <w:bCs/>
        </w:rPr>
        <w:t>Content, Artist and Industry Relations Roles</w:t>
      </w:r>
    </w:p>
    <w:p w:rsidR="005F6026" w:rsidRPr="00BF37F5" w:rsidRDefault="005F6026" w:rsidP="005F6026">
      <w:pPr>
        <w:jc w:val="both"/>
        <w:rPr>
          <w:rFonts w:cs="Arial"/>
          <w:lang w:val="en-IN"/>
        </w:rPr>
      </w:pPr>
      <w:r w:rsidRPr="004605B8">
        <w:rPr>
          <w:rFonts w:cs="Arial"/>
        </w:rPr>
        <w:t xml:space="preserve">The content-related roles will take up the responsibilities of onboarding artists, the management of digital rights, playlists, and live concert stream </w:t>
      </w:r>
      <w:proofErr w:type="spellStart"/>
      <w:r w:rsidRPr="004605B8">
        <w:rPr>
          <w:rFonts w:cs="Arial"/>
        </w:rPr>
        <w:t>coordinations</w:t>
      </w:r>
      <w:proofErr w:type="spellEnd"/>
      <w:r w:rsidRPr="004605B8">
        <w:rPr>
          <w:rFonts w:cs="Arial"/>
        </w:rPr>
        <w:t xml:space="preserve">. Artist Relationship Managers are mediators between creators and the platform who will respond to equal distribution of revenue and enforcement of licensing agreements. This responsibility is specifically significant in the preservation of trust within the creative community, which does not tend to trust digital intermediaries </w:t>
      </w:r>
      <w:r w:rsidRPr="00BF37F5">
        <w:rPr>
          <w:rFonts w:cs="Arial"/>
          <w:lang w:val="en-IN"/>
        </w:rPr>
        <w:t>(Rosenblatt, 2024)</w:t>
      </w:r>
      <w:r w:rsidRPr="004605B8">
        <w:rPr>
          <w:rFonts w:cs="Arial"/>
        </w:rPr>
        <w:t xml:space="preserve">. </w:t>
      </w:r>
    </w:p>
    <w:p w:rsidR="005F6026" w:rsidRPr="004605B8" w:rsidRDefault="005F6026" w:rsidP="005F6026">
      <w:pPr>
        <w:jc w:val="both"/>
        <w:rPr>
          <w:rFonts w:cs="Arial"/>
        </w:rPr>
      </w:pPr>
      <w:r w:rsidRPr="004605B8">
        <w:rPr>
          <w:rFonts w:cs="Arial"/>
        </w:rPr>
        <w:t>The Content Moderators and rights Management Specialists certify that the material that is uploaded does not contravene the copyright laws and community guidelines and advertisement laws. These roles minimize the legal and reputational risk in the face of scrutiny of online platforms, which is increasing.</w:t>
      </w:r>
    </w:p>
    <w:p w:rsidR="005F6026" w:rsidRDefault="005F6026" w:rsidP="005F6026">
      <w:pPr>
        <w:jc w:val="both"/>
        <w:rPr>
          <w:rFonts w:cs="Arial"/>
          <w:b/>
          <w:bCs/>
        </w:rPr>
      </w:pPr>
      <w:r w:rsidRPr="004605B8">
        <w:rPr>
          <w:rFonts w:cs="Arial"/>
          <w:b/>
          <w:bCs/>
        </w:rPr>
        <w:t>Marketing, Growth and Revenue Roles</w:t>
      </w:r>
    </w:p>
    <w:p w:rsidR="005F6026" w:rsidRPr="004605B8" w:rsidRDefault="005F6026" w:rsidP="005F6026">
      <w:pPr>
        <w:jc w:val="both"/>
        <w:rPr>
          <w:rFonts w:cs="Arial"/>
        </w:rPr>
      </w:pPr>
      <w:r w:rsidRPr="004605B8">
        <w:rPr>
          <w:rFonts w:cs="Arial"/>
        </w:rPr>
        <w:t xml:space="preserve">Marketing functions revolve around obtaining users, keeping them and monetising them. Growth Managers compare on customer acquisition cost (CAC), lifetime value (LTV) and conversion rates of subscription and advertising model. Advertising Sales Managers negotiate with the brands, agencies and programmatic advertising platforms to help maximize ad revenue without compromising user experience. A study by </w:t>
      </w:r>
      <w:proofErr w:type="spellStart"/>
      <w:r w:rsidRPr="0044316E">
        <w:rPr>
          <w:rFonts w:cs="Arial"/>
        </w:rPr>
        <w:t>Hubspot</w:t>
      </w:r>
      <w:proofErr w:type="spellEnd"/>
      <w:r w:rsidRPr="0044316E">
        <w:rPr>
          <w:rFonts w:cs="Arial"/>
        </w:rPr>
        <w:t xml:space="preserve"> (2025)</w:t>
      </w:r>
      <w:r w:rsidRPr="004605B8">
        <w:rPr>
          <w:rFonts w:cs="Arial"/>
        </w:rPr>
        <w:t xml:space="preserve"> shows hybrid revenue platforms demand close co-ordination between sales execution and marketing analytics as a way of optimising returns.</w:t>
      </w:r>
    </w:p>
    <w:p w:rsidR="005F6026" w:rsidRDefault="005F6026" w:rsidP="005F6026">
      <w:pPr>
        <w:jc w:val="both"/>
        <w:rPr>
          <w:rFonts w:cs="Arial"/>
          <w:b/>
          <w:bCs/>
        </w:rPr>
      </w:pPr>
      <w:r w:rsidRPr="004605B8">
        <w:rPr>
          <w:rFonts w:cs="Arial"/>
          <w:b/>
          <w:bCs/>
        </w:rPr>
        <w:t>Operations and Support Roles</w:t>
      </w:r>
    </w:p>
    <w:p w:rsidR="005F6026" w:rsidRDefault="005F6026" w:rsidP="005F6026">
      <w:pPr>
        <w:jc w:val="both"/>
        <w:rPr>
          <w:rFonts w:cs="Arial"/>
        </w:rPr>
      </w:pPr>
      <w:r w:rsidRPr="004605B8">
        <w:rPr>
          <w:rFonts w:cs="Arial"/>
        </w:rPr>
        <w:t>The operations personnel handle customer relations, payment processing controls, fraud control and compliance checks. Customer Experience Specialists offer multi-</w:t>
      </w:r>
      <w:r w:rsidRPr="004605B8">
        <w:rPr>
          <w:rFonts w:cs="Arial"/>
        </w:rPr>
        <w:lastRenderedPageBreak/>
        <w:t>channel service, and Compliance Officers are necessary to provide compliance with UK GDPR, consumer law, and international regulations of the digital sphere. The support functions cover the finance and legal services which underlie the decision-making and risk management.</w:t>
      </w:r>
    </w:p>
    <w:p w:rsidR="005F6026" w:rsidRPr="005F6026" w:rsidRDefault="005F6026" w:rsidP="005F6026">
      <w:pPr>
        <w:rPr>
          <w:rFonts w:cs="Arial"/>
          <w:b/>
          <w:bCs/>
        </w:rPr>
      </w:pPr>
      <w:r w:rsidRPr="00610929">
        <w:rPr>
          <w:rFonts w:cs="Arial"/>
          <w:b/>
          <w:bCs/>
        </w:rPr>
        <w:t>Table 6.2: Key Roles and Core Responsibilities</w:t>
      </w:r>
    </w:p>
    <w:tbl>
      <w:tblPr>
        <w:tblStyle w:val="TableGrid"/>
        <w:tblW w:w="0" w:type="auto"/>
        <w:tblLook w:val="04A0" w:firstRow="1" w:lastRow="0" w:firstColumn="1" w:lastColumn="0" w:noHBand="0" w:noVBand="1"/>
      </w:tblPr>
      <w:tblGrid>
        <w:gridCol w:w="3005"/>
        <w:gridCol w:w="3005"/>
        <w:gridCol w:w="3006"/>
      </w:tblGrid>
      <w:tr w:rsidR="005F6026" w:rsidTr="00464AF0">
        <w:tc>
          <w:tcPr>
            <w:tcW w:w="3005" w:type="dxa"/>
            <w:vAlign w:val="center"/>
          </w:tcPr>
          <w:p w:rsidR="005F6026" w:rsidRDefault="005F6026" w:rsidP="00464AF0">
            <w:pPr>
              <w:jc w:val="center"/>
              <w:rPr>
                <w:b/>
                <w:bCs/>
                <w:lang w:val="en-IN"/>
              </w:rPr>
            </w:pPr>
            <w:r>
              <w:rPr>
                <w:b/>
                <w:bCs/>
              </w:rPr>
              <w:t>Function</w:t>
            </w:r>
          </w:p>
        </w:tc>
        <w:tc>
          <w:tcPr>
            <w:tcW w:w="3005" w:type="dxa"/>
            <w:vAlign w:val="center"/>
          </w:tcPr>
          <w:p w:rsidR="005F6026" w:rsidRDefault="005F6026" w:rsidP="00464AF0">
            <w:pPr>
              <w:jc w:val="center"/>
              <w:rPr>
                <w:b/>
                <w:bCs/>
              </w:rPr>
            </w:pPr>
            <w:r>
              <w:rPr>
                <w:b/>
                <w:bCs/>
              </w:rPr>
              <w:t>Role</w:t>
            </w:r>
          </w:p>
        </w:tc>
        <w:tc>
          <w:tcPr>
            <w:tcW w:w="3006" w:type="dxa"/>
            <w:vAlign w:val="center"/>
          </w:tcPr>
          <w:p w:rsidR="005F6026" w:rsidRDefault="005F6026" w:rsidP="00464AF0">
            <w:pPr>
              <w:jc w:val="center"/>
              <w:rPr>
                <w:b/>
                <w:bCs/>
              </w:rPr>
            </w:pPr>
            <w:r>
              <w:rPr>
                <w:b/>
                <w:bCs/>
              </w:rPr>
              <w:t>Primary Responsibilities</w:t>
            </w:r>
          </w:p>
        </w:tc>
      </w:tr>
      <w:tr w:rsidR="005F6026" w:rsidTr="00464AF0">
        <w:tc>
          <w:tcPr>
            <w:tcW w:w="3005" w:type="dxa"/>
            <w:vAlign w:val="center"/>
          </w:tcPr>
          <w:p w:rsidR="005F6026" w:rsidRDefault="005F6026" w:rsidP="00464AF0">
            <w:r>
              <w:t>Executive</w:t>
            </w:r>
          </w:p>
        </w:tc>
        <w:tc>
          <w:tcPr>
            <w:tcW w:w="3005" w:type="dxa"/>
            <w:vAlign w:val="center"/>
          </w:tcPr>
          <w:p w:rsidR="005F6026" w:rsidRDefault="005F6026" w:rsidP="00464AF0">
            <w:r>
              <w:t>CEO</w:t>
            </w:r>
          </w:p>
        </w:tc>
        <w:tc>
          <w:tcPr>
            <w:tcW w:w="3006" w:type="dxa"/>
            <w:vAlign w:val="center"/>
          </w:tcPr>
          <w:p w:rsidR="005F6026" w:rsidRDefault="005F6026" w:rsidP="00464AF0">
            <w:r>
              <w:t>Strategy, partnerships, investor relations</w:t>
            </w:r>
          </w:p>
        </w:tc>
      </w:tr>
      <w:tr w:rsidR="005F6026" w:rsidTr="00464AF0">
        <w:tc>
          <w:tcPr>
            <w:tcW w:w="3005" w:type="dxa"/>
            <w:vAlign w:val="center"/>
          </w:tcPr>
          <w:p w:rsidR="005F6026" w:rsidRDefault="005F6026" w:rsidP="00464AF0">
            <w:r>
              <w:t>Technology</w:t>
            </w:r>
          </w:p>
        </w:tc>
        <w:tc>
          <w:tcPr>
            <w:tcW w:w="3005" w:type="dxa"/>
            <w:vAlign w:val="center"/>
          </w:tcPr>
          <w:p w:rsidR="005F6026" w:rsidRDefault="005F6026" w:rsidP="00464AF0">
            <w:r>
              <w:t>Software Engineer</w:t>
            </w:r>
          </w:p>
        </w:tc>
        <w:tc>
          <w:tcPr>
            <w:tcW w:w="3006" w:type="dxa"/>
            <w:vAlign w:val="center"/>
          </w:tcPr>
          <w:p w:rsidR="005F6026" w:rsidRDefault="005F6026" w:rsidP="00464AF0">
            <w:r>
              <w:t>Platform development, system stability</w:t>
            </w:r>
          </w:p>
        </w:tc>
      </w:tr>
      <w:tr w:rsidR="005F6026" w:rsidTr="00464AF0">
        <w:tc>
          <w:tcPr>
            <w:tcW w:w="3005" w:type="dxa"/>
            <w:vAlign w:val="center"/>
          </w:tcPr>
          <w:p w:rsidR="005F6026" w:rsidRDefault="005F6026" w:rsidP="00464AF0">
            <w:r>
              <w:t>Data</w:t>
            </w:r>
          </w:p>
        </w:tc>
        <w:tc>
          <w:tcPr>
            <w:tcW w:w="3005" w:type="dxa"/>
            <w:vAlign w:val="center"/>
          </w:tcPr>
          <w:p w:rsidR="005F6026" w:rsidRDefault="005F6026" w:rsidP="00464AF0">
            <w:r>
              <w:t>AI Engineer</w:t>
            </w:r>
          </w:p>
        </w:tc>
        <w:tc>
          <w:tcPr>
            <w:tcW w:w="3006" w:type="dxa"/>
            <w:vAlign w:val="center"/>
          </w:tcPr>
          <w:p w:rsidR="005F6026" w:rsidRDefault="005F6026" w:rsidP="00464AF0">
            <w:r>
              <w:t>Recommendation systems, analytics</w:t>
            </w:r>
          </w:p>
        </w:tc>
      </w:tr>
      <w:tr w:rsidR="005F6026" w:rsidTr="00464AF0">
        <w:tc>
          <w:tcPr>
            <w:tcW w:w="3005" w:type="dxa"/>
            <w:vAlign w:val="center"/>
          </w:tcPr>
          <w:p w:rsidR="005F6026" w:rsidRDefault="005F6026" w:rsidP="00464AF0">
            <w:r>
              <w:t>Content</w:t>
            </w:r>
          </w:p>
        </w:tc>
        <w:tc>
          <w:tcPr>
            <w:tcW w:w="3005" w:type="dxa"/>
            <w:vAlign w:val="center"/>
          </w:tcPr>
          <w:p w:rsidR="005F6026" w:rsidRDefault="005F6026" w:rsidP="00464AF0">
            <w:r>
              <w:t>Artist Manager</w:t>
            </w:r>
          </w:p>
        </w:tc>
        <w:tc>
          <w:tcPr>
            <w:tcW w:w="3006" w:type="dxa"/>
            <w:vAlign w:val="center"/>
          </w:tcPr>
          <w:p w:rsidR="005F6026" w:rsidRDefault="005F6026" w:rsidP="00464AF0">
            <w:r>
              <w:t>Creator onboarding, relationship management</w:t>
            </w:r>
          </w:p>
        </w:tc>
      </w:tr>
      <w:tr w:rsidR="005F6026" w:rsidTr="00464AF0">
        <w:tc>
          <w:tcPr>
            <w:tcW w:w="3005" w:type="dxa"/>
            <w:vAlign w:val="center"/>
          </w:tcPr>
          <w:p w:rsidR="005F6026" w:rsidRDefault="005F6026" w:rsidP="00464AF0">
            <w:r>
              <w:t>Marketing</w:t>
            </w:r>
          </w:p>
        </w:tc>
        <w:tc>
          <w:tcPr>
            <w:tcW w:w="3005" w:type="dxa"/>
            <w:vAlign w:val="center"/>
          </w:tcPr>
          <w:p w:rsidR="005F6026" w:rsidRDefault="005F6026" w:rsidP="00464AF0">
            <w:r>
              <w:t>Growth Manager</w:t>
            </w:r>
          </w:p>
        </w:tc>
        <w:tc>
          <w:tcPr>
            <w:tcW w:w="3006" w:type="dxa"/>
            <w:vAlign w:val="center"/>
          </w:tcPr>
          <w:p w:rsidR="005F6026" w:rsidRDefault="005F6026" w:rsidP="00464AF0">
            <w:r>
              <w:t>User acquisition, retention analytics</w:t>
            </w:r>
          </w:p>
        </w:tc>
      </w:tr>
      <w:tr w:rsidR="005F6026" w:rsidTr="00464AF0">
        <w:tc>
          <w:tcPr>
            <w:tcW w:w="3005" w:type="dxa"/>
            <w:vAlign w:val="center"/>
          </w:tcPr>
          <w:p w:rsidR="005F6026" w:rsidRDefault="005F6026" w:rsidP="00464AF0">
            <w:r>
              <w:t>Operations</w:t>
            </w:r>
          </w:p>
        </w:tc>
        <w:tc>
          <w:tcPr>
            <w:tcW w:w="3005" w:type="dxa"/>
            <w:vAlign w:val="center"/>
          </w:tcPr>
          <w:p w:rsidR="005F6026" w:rsidRDefault="005F6026" w:rsidP="00464AF0">
            <w:r>
              <w:t>Compliance Officer</w:t>
            </w:r>
          </w:p>
        </w:tc>
        <w:tc>
          <w:tcPr>
            <w:tcW w:w="3006" w:type="dxa"/>
            <w:vAlign w:val="center"/>
          </w:tcPr>
          <w:p w:rsidR="005F6026" w:rsidRDefault="005F6026" w:rsidP="00464AF0">
            <w:r>
              <w:t>Regulatory adherence, risk mitigation</w:t>
            </w:r>
          </w:p>
        </w:tc>
      </w:tr>
    </w:tbl>
    <w:p w:rsidR="005F6026" w:rsidRDefault="005F6026" w:rsidP="005F6026">
      <w:pPr>
        <w:rPr>
          <w:rFonts w:cs="Arial"/>
        </w:rPr>
      </w:pPr>
    </w:p>
    <w:p w:rsidR="005F6026" w:rsidRPr="00610929" w:rsidRDefault="005F6026" w:rsidP="005F6026">
      <w:pPr>
        <w:jc w:val="center"/>
        <w:rPr>
          <w:rFonts w:cs="Arial"/>
          <w:b/>
          <w:bCs/>
        </w:rPr>
      </w:pPr>
    </w:p>
    <w:p w:rsidR="005F6026" w:rsidRDefault="005F6026" w:rsidP="005F6026">
      <w:pPr>
        <w:jc w:val="both"/>
        <w:rPr>
          <w:rFonts w:cs="Arial"/>
        </w:rPr>
      </w:pPr>
      <w:r w:rsidRPr="00610929">
        <w:rPr>
          <w:rFonts w:cs="Arial"/>
        </w:rPr>
        <w:t>Role allocation allows Discsoul to deal with the complexity of operations and create transparency of accountability and performance. Notably, this structure helps in cross-functional collaboration, which is necessary in platform-based business model where technology, content and customer experience are closely related.</w:t>
      </w:r>
    </w:p>
    <w:p w:rsidR="005F6026" w:rsidRDefault="005F6026" w:rsidP="005F6026">
      <w:pPr>
        <w:pStyle w:val="Heading1"/>
      </w:pPr>
      <w:bookmarkStart w:id="39" w:name="_Toc220991336"/>
      <w:r w:rsidRPr="004060AD">
        <w:t>6.3 Human Capital Forecast: Year One vs Year Two</w:t>
      </w:r>
      <w:bookmarkEnd w:id="39"/>
    </w:p>
    <w:p w:rsidR="005F6026" w:rsidRPr="004D3432" w:rsidRDefault="005F6026" w:rsidP="005F6026">
      <w:pPr>
        <w:jc w:val="both"/>
        <w:rPr>
          <w:rFonts w:cs="Arial"/>
          <w:lang w:val="en-IN"/>
        </w:rPr>
      </w:pPr>
      <w:r w:rsidRPr="004060AD">
        <w:rPr>
          <w:rFonts w:cs="Arial"/>
        </w:rPr>
        <w:t>Workforce forecasting is a proactive Hr practice in that it ensures that organisations have the right talent in the right position, and at the right time. In the case of digital streaming services that exist in a dynamic and competitive environment, incorrect workforce planning will lead either to the waste of fixed cost or the creation of operational bottlenecks</w:t>
      </w:r>
      <w:r>
        <w:rPr>
          <w:rFonts w:cs="Arial"/>
        </w:rPr>
        <w:t xml:space="preserve"> </w:t>
      </w:r>
      <w:r w:rsidRPr="004D3432">
        <w:rPr>
          <w:rFonts w:cs="Arial"/>
          <w:lang w:val="en-IN"/>
        </w:rPr>
        <w:t>(CIPD, 2025)</w:t>
      </w:r>
      <w:r w:rsidRPr="004060AD">
        <w:rPr>
          <w:rFonts w:cs="Arial"/>
        </w:rPr>
        <w:t>. Discsoul thus embraces a staged human capital development program, which will be in line with the estimated user acquisition, platform fullness, and revenue diversification.</w:t>
      </w:r>
    </w:p>
    <w:p w:rsidR="005F6026" w:rsidRDefault="005F6026" w:rsidP="005F6026">
      <w:pPr>
        <w:rPr>
          <w:rFonts w:cs="Arial"/>
          <w:b/>
          <w:bCs/>
        </w:rPr>
      </w:pPr>
      <w:r w:rsidRPr="004060AD">
        <w:rPr>
          <w:rFonts w:cs="Arial"/>
          <w:b/>
          <w:bCs/>
        </w:rPr>
        <w:t>Year One Workforce Requirements</w:t>
      </w:r>
    </w:p>
    <w:p w:rsidR="005F6026" w:rsidRPr="004060AD" w:rsidRDefault="005F6026" w:rsidP="005F6026">
      <w:pPr>
        <w:jc w:val="both"/>
        <w:rPr>
          <w:rFonts w:cs="Arial"/>
        </w:rPr>
      </w:pPr>
      <w:r w:rsidRPr="004060AD">
        <w:rPr>
          <w:rFonts w:cs="Arial"/>
        </w:rPr>
        <w:t xml:space="preserve">In the first year, Discsoul is at a market entry and validation stage and is mainly concentrated on platform stability, initial adoption by people in the UK, and initial global reach. The </w:t>
      </w:r>
      <w:proofErr w:type="spellStart"/>
      <w:r w:rsidRPr="004060AD">
        <w:rPr>
          <w:rFonts w:cs="Arial"/>
        </w:rPr>
        <w:t>labor</w:t>
      </w:r>
      <w:proofErr w:type="spellEnd"/>
      <w:r w:rsidRPr="004060AD">
        <w:rPr>
          <w:rFonts w:cs="Arial"/>
        </w:rPr>
        <w:t xml:space="preserve"> force is kept lean in order to maintain financial agility and ability to quickly change strategy. Fundamental capabilities are focussed on technology, content onboarding and marketing analytics, whereas the non-core functions are outsourced or covered by temporary contracts. </w:t>
      </w:r>
    </w:p>
    <w:p w:rsidR="005F6026" w:rsidRPr="004060AD" w:rsidRDefault="005F6026" w:rsidP="005F6026">
      <w:pPr>
        <w:jc w:val="both"/>
        <w:rPr>
          <w:rFonts w:cs="Arial"/>
        </w:rPr>
      </w:pPr>
      <w:r w:rsidRPr="004060AD">
        <w:rPr>
          <w:rFonts w:cs="Arial"/>
        </w:rPr>
        <w:lastRenderedPageBreak/>
        <w:t>Year one manpower is estimated to be about 32-38 human resources in terms of full-time</w:t>
      </w:r>
      <w:r>
        <w:rPr>
          <w:rFonts w:cs="Arial"/>
        </w:rPr>
        <w:t xml:space="preserve"> </w:t>
      </w:r>
      <w:r w:rsidRPr="004060AD">
        <w:rPr>
          <w:rFonts w:cs="Arial"/>
        </w:rPr>
        <w:t xml:space="preserve">employees, contractors and part time interns. The share of technology and engineering staff is almost 45 percent of the total number, which indicates that the platform depends on the performance of software, recommendation systems that operate on AI, and safe provisions of clouds. </w:t>
      </w:r>
      <w:r w:rsidRPr="00356A09">
        <w:rPr>
          <w:rFonts w:cs="Arial"/>
        </w:rPr>
        <w:t xml:space="preserve">Industry analysis by </w:t>
      </w:r>
      <w:proofErr w:type="spellStart"/>
      <w:r>
        <w:rPr>
          <w:rFonts w:cs="Arial"/>
        </w:rPr>
        <w:t>Garther</w:t>
      </w:r>
      <w:proofErr w:type="spellEnd"/>
      <w:r>
        <w:rPr>
          <w:rFonts w:cs="Arial"/>
        </w:rPr>
        <w:t xml:space="preserve"> (2025)</w:t>
      </w:r>
      <w:r w:rsidRPr="004060AD">
        <w:rPr>
          <w:rFonts w:cs="Arial"/>
        </w:rPr>
        <w:t xml:space="preserve"> observes that digital platforms that focus on technical excellence in an early-stage are much more scalable and have increased investor confidence. </w:t>
      </w:r>
    </w:p>
    <w:p w:rsidR="005F6026" w:rsidRDefault="005F6026" w:rsidP="005F6026">
      <w:pPr>
        <w:jc w:val="both"/>
        <w:rPr>
          <w:rFonts w:cs="Arial"/>
        </w:rPr>
      </w:pPr>
      <w:r w:rsidRPr="004060AD">
        <w:rPr>
          <w:rFonts w:cs="Arial"/>
        </w:rPr>
        <w:t>Marketing and growth positions are few and are offered strategically and target performance marketing, social media interaction and community development. Ratings and artist relations staffing is unimposing as it utilises automated onboarding software and standard licensing systems. The legal, compliance and HR functions have minimal internal workforce, which is enhanced by external consultancy services to handle cost effectiveness.</w:t>
      </w:r>
    </w:p>
    <w:p w:rsidR="005F6026" w:rsidRDefault="005F6026" w:rsidP="005F6026">
      <w:pPr>
        <w:rPr>
          <w:rFonts w:cs="Arial"/>
          <w:b/>
          <w:bCs/>
        </w:rPr>
      </w:pPr>
      <w:r w:rsidRPr="004060AD">
        <w:rPr>
          <w:rFonts w:cs="Arial"/>
          <w:b/>
          <w:bCs/>
        </w:rPr>
        <w:t>Year Two Workforce Expansion</w:t>
      </w:r>
    </w:p>
    <w:p w:rsidR="005F6026" w:rsidRPr="004060AD" w:rsidRDefault="005F6026" w:rsidP="005F6026">
      <w:pPr>
        <w:jc w:val="both"/>
        <w:rPr>
          <w:rFonts w:cs="Arial"/>
          <w:lang w:val="en-IN"/>
        </w:rPr>
      </w:pPr>
      <w:r w:rsidRPr="004060AD">
        <w:rPr>
          <w:rFonts w:cs="Arial"/>
          <w:lang w:val="en-IN"/>
        </w:rPr>
        <w:t>By Year Two, Discsoul transitions into a scaling and optimisation phase, driven by expanded user bases, increased advertising partnerships, and the introduction of premium live concert offerings. Workforce size is projected to increase to 55–65 personnel, representing controlled growth rather than aggressive expansion.</w:t>
      </w:r>
    </w:p>
    <w:p w:rsidR="005F6026" w:rsidRPr="004060AD" w:rsidRDefault="005F6026" w:rsidP="005F6026">
      <w:pPr>
        <w:jc w:val="both"/>
        <w:rPr>
          <w:rFonts w:cs="Arial"/>
          <w:lang w:val="en-IN"/>
        </w:rPr>
      </w:pPr>
      <w:r w:rsidRPr="004060AD">
        <w:rPr>
          <w:rFonts w:cs="Arial"/>
          <w:lang w:val="en-IN"/>
        </w:rPr>
        <w:t>Additional hiring focuses on customer experience teams, data analytics specialists, and compliance officers to manage higher transaction volumes and regulatory exposure across international markets. Content moderation capacity is expanded to address copyright enforcement and community safety expectations. The expansion of artist management roles supports deeper engagement with creators, enabling exclusive content and collaborative promotional campaigns.</w:t>
      </w:r>
    </w:p>
    <w:p w:rsidR="005F6026" w:rsidRDefault="005F6026" w:rsidP="005F6026">
      <w:pPr>
        <w:jc w:val="both"/>
        <w:rPr>
          <w:rFonts w:cs="Arial"/>
          <w:lang w:val="en-IN"/>
        </w:rPr>
      </w:pPr>
      <w:r w:rsidRPr="004060AD">
        <w:rPr>
          <w:rFonts w:cs="Arial"/>
          <w:lang w:val="en-IN"/>
        </w:rPr>
        <w:t xml:space="preserve">From a strategic HR perspective, this phased approach aligns with the resource-based view of the firm, whereby human capital investments are scaled only when they contribute directly to value creation </w:t>
      </w:r>
      <w:r w:rsidRPr="00370D9E">
        <w:rPr>
          <w:rFonts w:cs="Arial"/>
          <w:lang w:val="en-IN"/>
        </w:rPr>
        <w:t>(PricewaterhouseCoopers, 2025)</w:t>
      </w:r>
      <w:r w:rsidRPr="004060AD">
        <w:rPr>
          <w:rFonts w:cs="Arial"/>
          <w:lang w:val="en-IN"/>
        </w:rPr>
        <w:t>.</w:t>
      </w:r>
    </w:p>
    <w:p w:rsidR="005F6026" w:rsidRPr="005F6026" w:rsidRDefault="005F6026" w:rsidP="005F6026">
      <w:pPr>
        <w:rPr>
          <w:rFonts w:cs="Arial"/>
          <w:b/>
          <w:bCs/>
        </w:rPr>
      </w:pPr>
      <w:r w:rsidRPr="00E1046B">
        <w:rPr>
          <w:rFonts w:cs="Arial"/>
          <w:b/>
          <w:bCs/>
        </w:rPr>
        <w:t>Table 6.3: Workforce Forecast (Year One vs Year Two)</w:t>
      </w:r>
    </w:p>
    <w:tbl>
      <w:tblPr>
        <w:tblStyle w:val="TableGrid"/>
        <w:tblW w:w="0" w:type="auto"/>
        <w:tblLook w:val="04A0" w:firstRow="1" w:lastRow="0" w:firstColumn="1" w:lastColumn="0" w:noHBand="0" w:noVBand="1"/>
      </w:tblPr>
      <w:tblGrid>
        <w:gridCol w:w="3005"/>
        <w:gridCol w:w="3005"/>
        <w:gridCol w:w="3006"/>
      </w:tblGrid>
      <w:tr w:rsidR="005F6026" w:rsidTr="00464AF0">
        <w:tc>
          <w:tcPr>
            <w:tcW w:w="3005" w:type="dxa"/>
            <w:vAlign w:val="center"/>
          </w:tcPr>
          <w:p w:rsidR="005F6026" w:rsidRDefault="005F6026" w:rsidP="00464AF0">
            <w:pPr>
              <w:jc w:val="center"/>
              <w:rPr>
                <w:b/>
                <w:bCs/>
                <w:lang w:val="en-IN"/>
              </w:rPr>
            </w:pPr>
            <w:r>
              <w:rPr>
                <w:b/>
                <w:bCs/>
              </w:rPr>
              <w:t>Function</w:t>
            </w:r>
          </w:p>
        </w:tc>
        <w:tc>
          <w:tcPr>
            <w:tcW w:w="3005" w:type="dxa"/>
            <w:vAlign w:val="center"/>
          </w:tcPr>
          <w:p w:rsidR="005F6026" w:rsidRDefault="005F6026" w:rsidP="00464AF0">
            <w:pPr>
              <w:jc w:val="center"/>
              <w:rPr>
                <w:b/>
                <w:bCs/>
              </w:rPr>
            </w:pPr>
            <w:r>
              <w:rPr>
                <w:b/>
                <w:bCs/>
              </w:rPr>
              <w:t>Year One</w:t>
            </w:r>
          </w:p>
        </w:tc>
        <w:tc>
          <w:tcPr>
            <w:tcW w:w="3006" w:type="dxa"/>
            <w:vAlign w:val="center"/>
          </w:tcPr>
          <w:p w:rsidR="005F6026" w:rsidRDefault="005F6026" w:rsidP="00464AF0">
            <w:pPr>
              <w:jc w:val="center"/>
              <w:rPr>
                <w:b/>
                <w:bCs/>
              </w:rPr>
            </w:pPr>
            <w:r>
              <w:rPr>
                <w:b/>
                <w:bCs/>
              </w:rPr>
              <w:t>Year Two</w:t>
            </w:r>
          </w:p>
        </w:tc>
      </w:tr>
      <w:tr w:rsidR="005F6026" w:rsidTr="00464AF0">
        <w:tc>
          <w:tcPr>
            <w:tcW w:w="3005" w:type="dxa"/>
            <w:vAlign w:val="center"/>
          </w:tcPr>
          <w:p w:rsidR="005F6026" w:rsidRDefault="005F6026" w:rsidP="00464AF0">
            <w:r>
              <w:t>Executive &amp; Leadership</w:t>
            </w:r>
          </w:p>
        </w:tc>
        <w:tc>
          <w:tcPr>
            <w:tcW w:w="3005" w:type="dxa"/>
            <w:vAlign w:val="center"/>
          </w:tcPr>
          <w:p w:rsidR="005F6026" w:rsidRDefault="005F6026" w:rsidP="00464AF0">
            <w:r>
              <w:t>4</w:t>
            </w:r>
          </w:p>
        </w:tc>
        <w:tc>
          <w:tcPr>
            <w:tcW w:w="3006" w:type="dxa"/>
            <w:vAlign w:val="center"/>
          </w:tcPr>
          <w:p w:rsidR="005F6026" w:rsidRDefault="005F6026" w:rsidP="00464AF0">
            <w:r>
              <w:t>5</w:t>
            </w:r>
          </w:p>
        </w:tc>
      </w:tr>
      <w:tr w:rsidR="005F6026" w:rsidTr="00464AF0">
        <w:tc>
          <w:tcPr>
            <w:tcW w:w="3005" w:type="dxa"/>
            <w:vAlign w:val="center"/>
          </w:tcPr>
          <w:p w:rsidR="005F6026" w:rsidRDefault="005F6026" w:rsidP="00464AF0">
            <w:r>
              <w:t>Technology &amp; Engineering</w:t>
            </w:r>
          </w:p>
        </w:tc>
        <w:tc>
          <w:tcPr>
            <w:tcW w:w="3005" w:type="dxa"/>
            <w:vAlign w:val="center"/>
          </w:tcPr>
          <w:p w:rsidR="005F6026" w:rsidRDefault="005F6026" w:rsidP="00464AF0">
            <w:r>
              <w:t>14</w:t>
            </w:r>
          </w:p>
        </w:tc>
        <w:tc>
          <w:tcPr>
            <w:tcW w:w="3006" w:type="dxa"/>
            <w:vAlign w:val="center"/>
          </w:tcPr>
          <w:p w:rsidR="005F6026" w:rsidRDefault="005F6026" w:rsidP="00464AF0">
            <w:r>
              <w:t>22</w:t>
            </w:r>
          </w:p>
        </w:tc>
      </w:tr>
      <w:tr w:rsidR="005F6026" w:rsidTr="00464AF0">
        <w:tc>
          <w:tcPr>
            <w:tcW w:w="3005" w:type="dxa"/>
            <w:vAlign w:val="center"/>
          </w:tcPr>
          <w:p w:rsidR="005F6026" w:rsidRDefault="005F6026" w:rsidP="00464AF0">
            <w:r>
              <w:t>Content &amp; Artist Relations</w:t>
            </w:r>
          </w:p>
        </w:tc>
        <w:tc>
          <w:tcPr>
            <w:tcW w:w="3005" w:type="dxa"/>
            <w:vAlign w:val="center"/>
          </w:tcPr>
          <w:p w:rsidR="005F6026" w:rsidRDefault="005F6026" w:rsidP="00464AF0">
            <w:r>
              <w:t>5</w:t>
            </w:r>
          </w:p>
        </w:tc>
        <w:tc>
          <w:tcPr>
            <w:tcW w:w="3006" w:type="dxa"/>
            <w:vAlign w:val="center"/>
          </w:tcPr>
          <w:p w:rsidR="005F6026" w:rsidRDefault="005F6026" w:rsidP="00464AF0">
            <w:r>
              <w:t>10</w:t>
            </w:r>
          </w:p>
        </w:tc>
      </w:tr>
      <w:tr w:rsidR="005F6026" w:rsidTr="00464AF0">
        <w:tc>
          <w:tcPr>
            <w:tcW w:w="3005" w:type="dxa"/>
            <w:vAlign w:val="center"/>
          </w:tcPr>
          <w:p w:rsidR="005F6026" w:rsidRDefault="005F6026" w:rsidP="00464AF0">
            <w:r>
              <w:t>Marketing &amp; Growth</w:t>
            </w:r>
          </w:p>
        </w:tc>
        <w:tc>
          <w:tcPr>
            <w:tcW w:w="3005" w:type="dxa"/>
            <w:vAlign w:val="center"/>
          </w:tcPr>
          <w:p w:rsidR="005F6026" w:rsidRDefault="005F6026" w:rsidP="00464AF0">
            <w:r>
              <w:t>4</w:t>
            </w:r>
          </w:p>
        </w:tc>
        <w:tc>
          <w:tcPr>
            <w:tcW w:w="3006" w:type="dxa"/>
            <w:vAlign w:val="center"/>
          </w:tcPr>
          <w:p w:rsidR="005F6026" w:rsidRDefault="005F6026" w:rsidP="00464AF0">
            <w:r>
              <w:t>8</w:t>
            </w:r>
          </w:p>
        </w:tc>
      </w:tr>
      <w:tr w:rsidR="005F6026" w:rsidTr="00464AF0">
        <w:tc>
          <w:tcPr>
            <w:tcW w:w="3005" w:type="dxa"/>
            <w:vAlign w:val="center"/>
          </w:tcPr>
          <w:p w:rsidR="005F6026" w:rsidRDefault="005F6026" w:rsidP="00464AF0">
            <w:r>
              <w:t>Operations &amp; Compliance</w:t>
            </w:r>
          </w:p>
        </w:tc>
        <w:tc>
          <w:tcPr>
            <w:tcW w:w="3005" w:type="dxa"/>
            <w:vAlign w:val="center"/>
          </w:tcPr>
          <w:p w:rsidR="005F6026" w:rsidRDefault="005F6026" w:rsidP="00464AF0">
            <w:r>
              <w:t>3</w:t>
            </w:r>
          </w:p>
        </w:tc>
        <w:tc>
          <w:tcPr>
            <w:tcW w:w="3006" w:type="dxa"/>
            <w:vAlign w:val="center"/>
          </w:tcPr>
          <w:p w:rsidR="005F6026" w:rsidRDefault="005F6026" w:rsidP="00464AF0">
            <w:r>
              <w:t>8</w:t>
            </w:r>
          </w:p>
        </w:tc>
      </w:tr>
      <w:tr w:rsidR="005F6026" w:rsidTr="00464AF0">
        <w:tc>
          <w:tcPr>
            <w:tcW w:w="3005" w:type="dxa"/>
            <w:vAlign w:val="center"/>
          </w:tcPr>
          <w:p w:rsidR="005F6026" w:rsidRDefault="005F6026" w:rsidP="00464AF0">
            <w:r>
              <w:t>Interns / Part-time</w:t>
            </w:r>
          </w:p>
        </w:tc>
        <w:tc>
          <w:tcPr>
            <w:tcW w:w="3005" w:type="dxa"/>
            <w:vAlign w:val="center"/>
          </w:tcPr>
          <w:p w:rsidR="005F6026" w:rsidRDefault="005F6026" w:rsidP="00464AF0">
            <w:r>
              <w:t>4–8</w:t>
            </w:r>
          </w:p>
        </w:tc>
        <w:tc>
          <w:tcPr>
            <w:tcW w:w="3006" w:type="dxa"/>
            <w:vAlign w:val="center"/>
          </w:tcPr>
          <w:p w:rsidR="005F6026" w:rsidRDefault="005F6026" w:rsidP="00464AF0">
            <w:r>
              <w:t>6–12</w:t>
            </w:r>
          </w:p>
        </w:tc>
      </w:tr>
      <w:tr w:rsidR="005F6026" w:rsidTr="00464AF0">
        <w:tc>
          <w:tcPr>
            <w:tcW w:w="3005" w:type="dxa"/>
            <w:vAlign w:val="center"/>
          </w:tcPr>
          <w:p w:rsidR="005F6026" w:rsidRDefault="005F6026" w:rsidP="00464AF0">
            <w:r>
              <w:rPr>
                <w:rStyle w:val="Strong"/>
              </w:rPr>
              <w:t>Total</w:t>
            </w:r>
          </w:p>
        </w:tc>
        <w:tc>
          <w:tcPr>
            <w:tcW w:w="3005" w:type="dxa"/>
            <w:vAlign w:val="center"/>
          </w:tcPr>
          <w:p w:rsidR="005F6026" w:rsidRDefault="005F6026" w:rsidP="00464AF0">
            <w:r>
              <w:rPr>
                <w:rStyle w:val="Strong"/>
              </w:rPr>
              <w:t>32–38</w:t>
            </w:r>
          </w:p>
        </w:tc>
        <w:tc>
          <w:tcPr>
            <w:tcW w:w="3006" w:type="dxa"/>
            <w:vAlign w:val="center"/>
          </w:tcPr>
          <w:p w:rsidR="005F6026" w:rsidRDefault="005F6026" w:rsidP="00464AF0">
            <w:r>
              <w:rPr>
                <w:rStyle w:val="Strong"/>
              </w:rPr>
              <w:t>55–65</w:t>
            </w:r>
          </w:p>
        </w:tc>
      </w:tr>
    </w:tbl>
    <w:p w:rsidR="005F6026" w:rsidRDefault="005F6026" w:rsidP="005F6026">
      <w:pPr>
        <w:rPr>
          <w:rFonts w:cs="Arial"/>
        </w:rPr>
      </w:pPr>
      <w:r w:rsidRPr="00692BB0">
        <w:rPr>
          <w:rFonts w:cs="Arial"/>
        </w:rPr>
        <w:t>Such a workforce path will balance the expansion desire and the financial market-mastery and will not overstaff Discsoul and downgrade service.</w:t>
      </w:r>
    </w:p>
    <w:p w:rsidR="005F6026" w:rsidRDefault="005F6026" w:rsidP="005F6026">
      <w:pPr>
        <w:pStyle w:val="Heading1"/>
      </w:pPr>
      <w:bookmarkStart w:id="40" w:name="_Toc220991337"/>
      <w:r w:rsidRPr="00692BB0">
        <w:lastRenderedPageBreak/>
        <w:t>6.4 Part-Time Internship and Early-Career Talent Model</w:t>
      </w:r>
      <w:bookmarkEnd w:id="40"/>
    </w:p>
    <w:p w:rsidR="005F6026" w:rsidRPr="00692BB0" w:rsidRDefault="005F6026" w:rsidP="005F6026">
      <w:pPr>
        <w:jc w:val="both"/>
        <w:rPr>
          <w:rFonts w:cs="Arial"/>
        </w:rPr>
      </w:pPr>
      <w:r w:rsidRPr="00692BB0">
        <w:rPr>
          <w:rFonts w:cs="Arial"/>
        </w:rPr>
        <w:t xml:space="preserve">Internships in the HR strategy of Discsoul serve both the talent development and the cost optimisation purposes. The platform proposes a systematized part-time internship program, which focuses on post-graduate students and newly graduated digital marketing, data analytics, content curation, and human resource management students. </w:t>
      </w:r>
    </w:p>
    <w:p w:rsidR="005F6026" w:rsidRPr="00370D9E" w:rsidRDefault="005F6026" w:rsidP="005F6026">
      <w:pPr>
        <w:jc w:val="both"/>
        <w:rPr>
          <w:rFonts w:cs="Arial"/>
          <w:lang w:val="en-IN"/>
        </w:rPr>
      </w:pPr>
      <w:r w:rsidRPr="00692BB0">
        <w:rPr>
          <w:rFonts w:cs="Arial"/>
        </w:rPr>
        <w:t xml:space="preserve">Organisationally, internships are an access to the developing set of skills, especially when it comes to social media analytics, work with the AI tool, and trends in digital content. Regarding the talent pipeline, internships represent a low-risk method of recruitment, and Discsoul can check performance and cultural fit before providing a permanent position </w:t>
      </w:r>
      <w:r w:rsidRPr="00370D9E">
        <w:rPr>
          <w:rFonts w:cs="Arial"/>
          <w:lang w:val="en-IN"/>
        </w:rPr>
        <w:t>(NACE, 2024)</w:t>
      </w:r>
      <w:r w:rsidRPr="00692BB0">
        <w:rPr>
          <w:rFonts w:cs="Arial"/>
        </w:rPr>
        <w:t xml:space="preserve">. </w:t>
      </w:r>
    </w:p>
    <w:p w:rsidR="005F6026" w:rsidRPr="001E66A5" w:rsidRDefault="005F6026" w:rsidP="005F6026">
      <w:pPr>
        <w:jc w:val="both"/>
        <w:rPr>
          <w:rFonts w:cs="Arial"/>
          <w:lang w:val="en-IN"/>
        </w:rPr>
      </w:pPr>
      <w:r w:rsidRPr="00692BB0">
        <w:rPr>
          <w:rFonts w:cs="Arial"/>
        </w:rPr>
        <w:t xml:space="preserve">Interns are being contracted to work on 6-9 months projects on structured supervision of 15-20 hours per week. All the interns are allocated a functional mentor and also, involved in specific project-based work, as opposed to daily administrative activities. This idea is consistent with the principles of experiential learning which studies have demonstrated increase intern productivity and employer brand perception </w:t>
      </w:r>
      <w:r w:rsidRPr="001E66A5">
        <w:rPr>
          <w:rFonts w:cs="Arial"/>
          <w:lang w:val="en-IN"/>
        </w:rPr>
        <w:t>(NACE, 2025)</w:t>
      </w:r>
      <w:r>
        <w:rPr>
          <w:rFonts w:cs="Arial"/>
          <w:lang w:val="en-IN"/>
        </w:rPr>
        <w:t>.</w:t>
      </w:r>
    </w:p>
    <w:p w:rsidR="005F6026" w:rsidRPr="00692BB0" w:rsidRDefault="005F6026" w:rsidP="005F6026">
      <w:pPr>
        <w:rPr>
          <w:rFonts w:cs="Arial"/>
          <w:b/>
          <w:bCs/>
        </w:rPr>
      </w:pPr>
      <w:r w:rsidRPr="00692BB0">
        <w:rPr>
          <w:rFonts w:cs="Arial"/>
          <w:b/>
          <w:bCs/>
        </w:rPr>
        <w:t>Key internship roles include:</w:t>
      </w:r>
    </w:p>
    <w:p w:rsidR="005F6026" w:rsidRPr="005F6026" w:rsidRDefault="005F6026" w:rsidP="005F6026">
      <w:pPr>
        <w:pStyle w:val="ListParagraph"/>
        <w:numPr>
          <w:ilvl w:val="0"/>
          <w:numId w:val="14"/>
        </w:numPr>
        <w:jc w:val="both"/>
        <w:rPr>
          <w:rFonts w:cs="Arial"/>
        </w:rPr>
      </w:pPr>
      <w:r w:rsidRPr="005F6026">
        <w:rPr>
          <w:rFonts w:cs="Arial"/>
        </w:rPr>
        <w:t xml:space="preserve">Campaign analytics and influencer engagement Digital Marketing Interns. </w:t>
      </w:r>
    </w:p>
    <w:p w:rsidR="005F6026" w:rsidRPr="005F6026" w:rsidRDefault="005F6026" w:rsidP="005F6026">
      <w:pPr>
        <w:pStyle w:val="ListParagraph"/>
        <w:numPr>
          <w:ilvl w:val="0"/>
          <w:numId w:val="14"/>
        </w:numPr>
        <w:jc w:val="both"/>
        <w:rPr>
          <w:rFonts w:cs="Arial"/>
        </w:rPr>
      </w:pPr>
      <w:r w:rsidRPr="005F6026">
        <w:rPr>
          <w:rFonts w:cs="Arial"/>
        </w:rPr>
        <w:t xml:space="preserve">Data Analytics Interns to help in the user behaviour insights. </w:t>
      </w:r>
    </w:p>
    <w:p w:rsidR="005F6026" w:rsidRPr="005F6026" w:rsidRDefault="005F6026" w:rsidP="005F6026">
      <w:pPr>
        <w:pStyle w:val="ListParagraph"/>
        <w:numPr>
          <w:ilvl w:val="0"/>
          <w:numId w:val="14"/>
        </w:numPr>
        <w:jc w:val="both"/>
        <w:rPr>
          <w:rFonts w:cs="Arial"/>
        </w:rPr>
      </w:pPr>
      <w:r w:rsidRPr="005F6026">
        <w:rPr>
          <w:rFonts w:cs="Arial"/>
        </w:rPr>
        <w:t xml:space="preserve">Playlist curation and metadata tagging Content Operations Interns. </w:t>
      </w:r>
    </w:p>
    <w:p w:rsidR="005F6026" w:rsidRPr="005F6026" w:rsidRDefault="005F6026" w:rsidP="005F6026">
      <w:pPr>
        <w:pStyle w:val="ListParagraph"/>
        <w:numPr>
          <w:ilvl w:val="0"/>
          <w:numId w:val="14"/>
        </w:numPr>
        <w:jc w:val="both"/>
        <w:rPr>
          <w:rFonts w:cs="Arial"/>
          <w:lang w:val="en-IN"/>
        </w:rPr>
      </w:pPr>
      <w:r w:rsidRPr="005F6026">
        <w:rPr>
          <w:rFonts w:cs="Arial"/>
        </w:rPr>
        <w:t>HR Interns who will help with recruitment coordination and onboarding.</w:t>
      </w:r>
    </w:p>
    <w:p w:rsidR="005F6026" w:rsidRDefault="005F6026" w:rsidP="005F6026">
      <w:pPr>
        <w:jc w:val="both"/>
        <w:rPr>
          <w:rFonts w:cs="Arial"/>
        </w:rPr>
      </w:pPr>
      <w:r w:rsidRPr="00692BB0">
        <w:rPr>
          <w:rFonts w:cs="Arial"/>
        </w:rPr>
        <w:t>By Year Two, top-performing interns are promoted to junior full-time positions lowering the recruitment expenses and onboarding periods. This is an internal talent pipeline that allows continuity and knowledge retention of the workforce.</w:t>
      </w:r>
    </w:p>
    <w:p w:rsidR="005F6026" w:rsidRPr="00692BB0" w:rsidRDefault="005F6026" w:rsidP="005F6026">
      <w:pPr>
        <w:pStyle w:val="Heading1"/>
        <w:rPr>
          <w:lang w:val="en-IN"/>
        </w:rPr>
      </w:pPr>
      <w:bookmarkStart w:id="41" w:name="_Toc220991338"/>
      <w:r w:rsidRPr="00692BB0">
        <w:rPr>
          <w:lang w:val="en-IN"/>
        </w:rPr>
        <w:t>6.5 Compensation, Incentives, and Reward Strategy</w:t>
      </w:r>
      <w:bookmarkEnd w:id="41"/>
    </w:p>
    <w:p w:rsidR="005F6026" w:rsidRPr="00D77F89" w:rsidRDefault="005F6026" w:rsidP="005F6026">
      <w:pPr>
        <w:jc w:val="both"/>
        <w:rPr>
          <w:rFonts w:cs="Arial"/>
          <w:lang w:val="en-IN"/>
        </w:rPr>
      </w:pPr>
      <w:r w:rsidRPr="00692BB0">
        <w:rPr>
          <w:rFonts w:cs="Arial"/>
        </w:rPr>
        <w:t xml:space="preserve">The compensation structure of disc souls is an incentive system to recruit quality talent and at the same time, it is competitively priced in a dynamic digital labour market. The platform makes use of a total rewards strategy, a blend of fixed pay, performance-based ratings, and non-monetary rewards </w:t>
      </w:r>
      <w:r w:rsidRPr="00D77F89">
        <w:rPr>
          <w:rFonts w:cs="Arial"/>
          <w:lang w:val="en-IN"/>
        </w:rPr>
        <w:t>(</w:t>
      </w:r>
      <w:proofErr w:type="spellStart"/>
      <w:r w:rsidRPr="00D77F89">
        <w:rPr>
          <w:rFonts w:cs="Arial"/>
          <w:lang w:val="en-IN"/>
        </w:rPr>
        <w:t>WorldatWork</w:t>
      </w:r>
      <w:proofErr w:type="spellEnd"/>
      <w:r w:rsidRPr="00D77F89">
        <w:rPr>
          <w:rFonts w:cs="Arial"/>
          <w:lang w:val="en-IN"/>
        </w:rPr>
        <w:t>, 2024)</w:t>
      </w:r>
      <w:r w:rsidRPr="00692BB0">
        <w:rPr>
          <w:rFonts w:cs="Arial"/>
        </w:rPr>
        <w:t>.</w:t>
      </w:r>
    </w:p>
    <w:p w:rsidR="005F6026" w:rsidRDefault="005F6026" w:rsidP="005F6026">
      <w:pPr>
        <w:jc w:val="both"/>
        <w:rPr>
          <w:rFonts w:cs="Arial"/>
          <w:b/>
          <w:bCs/>
        </w:rPr>
      </w:pPr>
      <w:r w:rsidRPr="00692BB0">
        <w:rPr>
          <w:rFonts w:cs="Arial"/>
          <w:b/>
          <w:bCs/>
        </w:rPr>
        <w:t>Base Compensation</w:t>
      </w:r>
    </w:p>
    <w:p w:rsidR="005F6026" w:rsidRPr="007927DF" w:rsidRDefault="005F6026" w:rsidP="005F6026">
      <w:pPr>
        <w:jc w:val="both"/>
        <w:rPr>
          <w:rFonts w:cs="Arial"/>
        </w:rPr>
      </w:pPr>
      <w:r w:rsidRPr="007927DF">
        <w:rPr>
          <w:rFonts w:cs="Arial"/>
        </w:rPr>
        <w:t xml:space="preserve">The base salaries are also aligned to the standards of the UK digital media industry with the regional variations on the remote international roles. Serial and information-based jobs receive high wages as they are in short supply in the world market and lower-level jobs and internships are offered at competitive prices to appeal to new talent. </w:t>
      </w:r>
    </w:p>
    <w:p w:rsidR="005F6026" w:rsidRDefault="005F6026" w:rsidP="005F6026">
      <w:pPr>
        <w:jc w:val="both"/>
        <w:rPr>
          <w:rFonts w:cs="Arial"/>
          <w:b/>
          <w:bCs/>
        </w:rPr>
      </w:pPr>
      <w:r w:rsidRPr="007927DF">
        <w:rPr>
          <w:rFonts w:cs="Arial"/>
          <w:b/>
          <w:bCs/>
        </w:rPr>
        <w:t xml:space="preserve">Performance-Based Incentives </w:t>
      </w:r>
    </w:p>
    <w:p w:rsidR="005F6026" w:rsidRPr="007927DF" w:rsidRDefault="005F6026" w:rsidP="005F6026">
      <w:pPr>
        <w:jc w:val="both"/>
        <w:rPr>
          <w:rFonts w:cs="Arial"/>
        </w:rPr>
      </w:pPr>
      <w:r w:rsidRPr="007927DF">
        <w:rPr>
          <w:rFonts w:cs="Arial"/>
        </w:rPr>
        <w:lastRenderedPageBreak/>
        <w:t xml:space="preserve">Performance rewards are geared towards individual and organisational goals. The system uptime, the success of deploying features, the retention rate of the users, and the campaign conversion are the key performance indicators (KPIs). Team performance, cross-functional and employee engagement outcomes are the measures of performance of the managers. </w:t>
      </w:r>
    </w:p>
    <w:p w:rsidR="005F6026" w:rsidRPr="007927DF" w:rsidRDefault="005F6026" w:rsidP="005F6026">
      <w:pPr>
        <w:jc w:val="both"/>
        <w:rPr>
          <w:rFonts w:cs="Arial"/>
        </w:rPr>
      </w:pPr>
      <w:r w:rsidRPr="007927DF">
        <w:rPr>
          <w:rFonts w:cs="Arial"/>
        </w:rPr>
        <w:t xml:space="preserve">Among the cash bonuses, Discsoul implements long-term incentive programs, such as equity options among the top management and technical employees with high productivity. </w:t>
      </w:r>
      <w:r>
        <w:rPr>
          <w:rFonts w:cs="Arial"/>
        </w:rPr>
        <w:t>E</w:t>
      </w:r>
      <w:r w:rsidRPr="007927DF">
        <w:rPr>
          <w:rFonts w:cs="Arial"/>
        </w:rPr>
        <w:t xml:space="preserve">quity participation is a strong indicator of retention in technology-based company. </w:t>
      </w:r>
    </w:p>
    <w:p w:rsidR="005F6026" w:rsidRDefault="005F6026" w:rsidP="005F6026">
      <w:pPr>
        <w:jc w:val="both"/>
        <w:rPr>
          <w:rFonts w:cs="Arial"/>
          <w:b/>
          <w:bCs/>
        </w:rPr>
      </w:pPr>
      <w:r w:rsidRPr="007927DF">
        <w:rPr>
          <w:rFonts w:cs="Arial"/>
          <w:b/>
          <w:bCs/>
        </w:rPr>
        <w:t xml:space="preserve">Non-Financial Rewards </w:t>
      </w:r>
    </w:p>
    <w:p w:rsidR="005F6026" w:rsidRPr="004273AA" w:rsidRDefault="005F6026" w:rsidP="005F6026">
      <w:pPr>
        <w:jc w:val="both"/>
        <w:rPr>
          <w:rFonts w:cs="Arial"/>
          <w:lang w:val="en-IN"/>
        </w:rPr>
      </w:pPr>
      <w:r w:rsidRPr="007927DF">
        <w:rPr>
          <w:rFonts w:cs="Arial"/>
        </w:rPr>
        <w:t xml:space="preserve">Non-financial perks are especially significant in motivating employees, especially younger and digitally native employees. Discsoul provides flexible working hours, professional development funds, mental health benefits, and high-quality features of the platform. These entitlements help to nurture the wellbeing of employees and are in line with modern needs of work-life balance </w:t>
      </w:r>
      <w:r w:rsidRPr="004273AA">
        <w:rPr>
          <w:rFonts w:cs="Arial"/>
        </w:rPr>
        <w:t>(</w:t>
      </w:r>
      <w:r w:rsidRPr="004273AA">
        <w:rPr>
          <w:rFonts w:cs="Arial"/>
          <w:lang w:val="en-IN"/>
        </w:rPr>
        <w:t>Deloitte, 2025</w:t>
      </w:r>
      <w:r w:rsidRPr="004273AA">
        <w:rPr>
          <w:rFonts w:cs="Arial"/>
        </w:rPr>
        <w:t>).</w:t>
      </w:r>
    </w:p>
    <w:p w:rsidR="005F6026" w:rsidRDefault="005F6026" w:rsidP="005F6026">
      <w:pPr>
        <w:rPr>
          <w:rFonts w:cs="Arial"/>
          <w:b/>
          <w:bCs/>
        </w:rPr>
      </w:pPr>
    </w:p>
    <w:p w:rsidR="005F6026" w:rsidRDefault="005F6026" w:rsidP="005F6026">
      <w:pPr>
        <w:rPr>
          <w:rFonts w:cs="Arial"/>
          <w:b/>
          <w:bCs/>
        </w:rPr>
      </w:pPr>
      <w:r w:rsidRPr="005E5D5B">
        <w:rPr>
          <w:rFonts w:cs="Arial"/>
          <w:b/>
          <w:bCs/>
        </w:rPr>
        <w:t>Table 6.4: Compensation Framework Overview</w:t>
      </w:r>
    </w:p>
    <w:tbl>
      <w:tblPr>
        <w:tblStyle w:val="TableGrid"/>
        <w:tblW w:w="0" w:type="auto"/>
        <w:tblLook w:val="04A0" w:firstRow="1" w:lastRow="0" w:firstColumn="1" w:lastColumn="0" w:noHBand="0" w:noVBand="1"/>
      </w:tblPr>
      <w:tblGrid>
        <w:gridCol w:w="4508"/>
        <w:gridCol w:w="4508"/>
      </w:tblGrid>
      <w:tr w:rsidR="005F6026" w:rsidTr="00464AF0">
        <w:tc>
          <w:tcPr>
            <w:tcW w:w="4508" w:type="dxa"/>
            <w:vAlign w:val="center"/>
          </w:tcPr>
          <w:p w:rsidR="005F6026" w:rsidRDefault="005F6026" w:rsidP="00464AF0">
            <w:pPr>
              <w:jc w:val="center"/>
              <w:rPr>
                <w:b/>
                <w:bCs/>
                <w:lang w:val="en-IN"/>
              </w:rPr>
            </w:pPr>
            <w:r>
              <w:rPr>
                <w:b/>
                <w:bCs/>
              </w:rPr>
              <w:t>Component</w:t>
            </w:r>
          </w:p>
        </w:tc>
        <w:tc>
          <w:tcPr>
            <w:tcW w:w="4508" w:type="dxa"/>
            <w:vAlign w:val="center"/>
          </w:tcPr>
          <w:p w:rsidR="005F6026" w:rsidRDefault="005F6026" w:rsidP="00464AF0">
            <w:pPr>
              <w:jc w:val="center"/>
              <w:rPr>
                <w:b/>
                <w:bCs/>
              </w:rPr>
            </w:pPr>
            <w:r>
              <w:rPr>
                <w:b/>
                <w:bCs/>
              </w:rPr>
              <w:t>Description</w:t>
            </w:r>
          </w:p>
        </w:tc>
      </w:tr>
      <w:tr w:rsidR="005F6026" w:rsidTr="00464AF0">
        <w:tc>
          <w:tcPr>
            <w:tcW w:w="4508" w:type="dxa"/>
            <w:vAlign w:val="center"/>
          </w:tcPr>
          <w:p w:rsidR="005F6026" w:rsidRDefault="005F6026" w:rsidP="00464AF0">
            <w:r>
              <w:t>Base Salary</w:t>
            </w:r>
          </w:p>
        </w:tc>
        <w:tc>
          <w:tcPr>
            <w:tcW w:w="4508" w:type="dxa"/>
            <w:vAlign w:val="center"/>
          </w:tcPr>
          <w:p w:rsidR="005F6026" w:rsidRDefault="005F6026" w:rsidP="00464AF0">
            <w:r>
              <w:t>Market-benchmarked, role-specific</w:t>
            </w:r>
          </w:p>
        </w:tc>
      </w:tr>
      <w:tr w:rsidR="005F6026" w:rsidTr="00464AF0">
        <w:tc>
          <w:tcPr>
            <w:tcW w:w="4508" w:type="dxa"/>
            <w:vAlign w:val="center"/>
          </w:tcPr>
          <w:p w:rsidR="005F6026" w:rsidRDefault="005F6026" w:rsidP="00464AF0">
            <w:r>
              <w:t>Bonuses</w:t>
            </w:r>
          </w:p>
        </w:tc>
        <w:tc>
          <w:tcPr>
            <w:tcW w:w="4508" w:type="dxa"/>
            <w:vAlign w:val="center"/>
          </w:tcPr>
          <w:p w:rsidR="005F6026" w:rsidRDefault="005F6026" w:rsidP="00464AF0">
            <w:r>
              <w:t>Performance-linked KPIs</w:t>
            </w:r>
          </w:p>
        </w:tc>
      </w:tr>
      <w:tr w:rsidR="005F6026" w:rsidTr="00464AF0">
        <w:tc>
          <w:tcPr>
            <w:tcW w:w="4508" w:type="dxa"/>
            <w:vAlign w:val="center"/>
          </w:tcPr>
          <w:p w:rsidR="005F6026" w:rsidRDefault="005F6026" w:rsidP="00464AF0">
            <w:r>
              <w:t>Equity</w:t>
            </w:r>
          </w:p>
        </w:tc>
        <w:tc>
          <w:tcPr>
            <w:tcW w:w="4508" w:type="dxa"/>
            <w:vAlign w:val="center"/>
          </w:tcPr>
          <w:p w:rsidR="005F6026" w:rsidRDefault="005F6026" w:rsidP="00464AF0">
            <w:r>
              <w:t>Senior and high-performing staff</w:t>
            </w:r>
          </w:p>
        </w:tc>
      </w:tr>
      <w:tr w:rsidR="005F6026" w:rsidTr="00464AF0">
        <w:tc>
          <w:tcPr>
            <w:tcW w:w="4508" w:type="dxa"/>
            <w:vAlign w:val="center"/>
          </w:tcPr>
          <w:p w:rsidR="005F6026" w:rsidRDefault="005F6026" w:rsidP="00464AF0">
            <w:r>
              <w:t>Benefits</w:t>
            </w:r>
          </w:p>
        </w:tc>
        <w:tc>
          <w:tcPr>
            <w:tcW w:w="4508" w:type="dxa"/>
            <w:vAlign w:val="center"/>
          </w:tcPr>
          <w:p w:rsidR="005F6026" w:rsidRDefault="005F6026" w:rsidP="00464AF0">
            <w:r>
              <w:t>Flexibility, learning, wellbeing</w:t>
            </w:r>
          </w:p>
        </w:tc>
      </w:tr>
      <w:tr w:rsidR="005F6026" w:rsidTr="00464AF0">
        <w:tc>
          <w:tcPr>
            <w:tcW w:w="4508" w:type="dxa"/>
            <w:vAlign w:val="center"/>
          </w:tcPr>
          <w:p w:rsidR="005F6026" w:rsidRDefault="005F6026" w:rsidP="00464AF0">
            <w:r>
              <w:t>Intern Pay</w:t>
            </w:r>
          </w:p>
        </w:tc>
        <w:tc>
          <w:tcPr>
            <w:tcW w:w="4508" w:type="dxa"/>
            <w:vAlign w:val="center"/>
          </w:tcPr>
          <w:p w:rsidR="005F6026" w:rsidRDefault="005F6026" w:rsidP="00464AF0">
            <w:r>
              <w:t>Competitive hourly rates</w:t>
            </w:r>
          </w:p>
        </w:tc>
      </w:tr>
    </w:tbl>
    <w:p w:rsidR="005F6026" w:rsidRDefault="005F6026" w:rsidP="005F6026">
      <w:pPr>
        <w:rPr>
          <w:rFonts w:cs="Arial"/>
          <w:b/>
          <w:bCs/>
          <w:lang w:val="en-IN"/>
        </w:rPr>
      </w:pPr>
    </w:p>
    <w:p w:rsidR="005F6026" w:rsidRDefault="005F6026" w:rsidP="005F6026">
      <w:pPr>
        <w:jc w:val="both"/>
        <w:rPr>
          <w:rFonts w:cs="Arial"/>
          <w:lang w:val="en-IN"/>
        </w:rPr>
      </w:pPr>
      <w:r w:rsidRPr="00E1046B">
        <w:rPr>
          <w:rFonts w:cs="Arial"/>
          <w:lang w:val="en-IN"/>
        </w:rPr>
        <w:t>This equitable compensation policy is conducive to the attraction and retention of talent and to the coordination of employee performance with organisational performance.</w:t>
      </w:r>
    </w:p>
    <w:p w:rsidR="0089265A" w:rsidRDefault="00556C92" w:rsidP="00556C92">
      <w:pPr>
        <w:tabs>
          <w:tab w:val="left" w:pos="1800"/>
        </w:tabs>
        <w:jc w:val="both"/>
        <w:rPr>
          <w:rFonts w:cs="Arial"/>
          <w:lang w:val="en-IN"/>
        </w:rPr>
      </w:pPr>
      <w:r>
        <w:rPr>
          <w:rFonts w:cs="Arial"/>
          <w:lang w:val="en-IN"/>
        </w:rPr>
        <w:tab/>
      </w:r>
    </w:p>
    <w:p w:rsidR="00556C92" w:rsidRPr="0011572D" w:rsidRDefault="00556C92" w:rsidP="00556C92">
      <w:pPr>
        <w:pStyle w:val="Title"/>
        <w:rPr>
          <w:lang w:val="en-IN"/>
        </w:rPr>
      </w:pPr>
      <w:bookmarkStart w:id="42" w:name="_Toc220991339"/>
      <w:r w:rsidRPr="0011572D">
        <w:rPr>
          <w:lang w:val="en-IN"/>
        </w:rPr>
        <w:t>Chapter 7</w:t>
      </w:r>
      <w:r>
        <w:rPr>
          <w:lang w:val="en-IN"/>
        </w:rPr>
        <w:t>: Financial Plan</w:t>
      </w:r>
      <w:bookmarkEnd w:id="42"/>
    </w:p>
    <w:p w:rsidR="00556C92" w:rsidRPr="00BA3B73" w:rsidRDefault="00556C92" w:rsidP="00556C92">
      <w:pPr>
        <w:pStyle w:val="Heading1"/>
        <w:rPr>
          <w:lang w:val="en-IN"/>
        </w:rPr>
      </w:pPr>
      <w:bookmarkStart w:id="43" w:name="_Toc220991340"/>
      <w:r w:rsidRPr="00BA3B73">
        <w:rPr>
          <w:lang w:val="en-IN"/>
        </w:rPr>
        <w:t>7.1 Revenue Model and Pricing Logic</w:t>
      </w:r>
      <w:bookmarkEnd w:id="43"/>
    </w:p>
    <w:p w:rsidR="00556C92" w:rsidRPr="00CD6E8A" w:rsidRDefault="00556C92" w:rsidP="00556C92">
      <w:pPr>
        <w:jc w:val="both"/>
        <w:rPr>
          <w:lang w:val="en-IN"/>
        </w:rPr>
      </w:pPr>
      <w:r w:rsidRPr="00244149">
        <w:t xml:space="preserve">The suggested integrated music and video streaming service will employ a hybrid business model comprising of subscriptions, advertisement and live event monetisation. This framework is a mirror of the existing best practices in the digital entertainment business sector on a global scale because diversified sources of revenues eliminate the reliance on one revenue stream and enhance financial stability </w:t>
      </w:r>
      <w:r w:rsidRPr="00B44925">
        <w:rPr>
          <w:lang w:val="en-IN"/>
        </w:rPr>
        <w:t>(PwC, 2025).</w:t>
      </w:r>
    </w:p>
    <w:p w:rsidR="00556C92" w:rsidRPr="00BA3B73" w:rsidRDefault="00556C92" w:rsidP="00556C92">
      <w:pPr>
        <w:pStyle w:val="Heading2"/>
        <w:jc w:val="both"/>
        <w:rPr>
          <w:lang w:val="en-IN"/>
        </w:rPr>
      </w:pPr>
      <w:bookmarkStart w:id="44" w:name="_Toc220991341"/>
      <w:r w:rsidRPr="00BA3B73">
        <w:rPr>
          <w:lang w:val="en-IN"/>
        </w:rPr>
        <w:lastRenderedPageBreak/>
        <w:t>7.1.1 Subscription Revenue</w:t>
      </w:r>
      <w:bookmarkEnd w:id="44"/>
    </w:p>
    <w:p w:rsidR="00556C92" w:rsidRDefault="00556C92" w:rsidP="00556C92">
      <w:pPr>
        <w:jc w:val="both"/>
      </w:pPr>
      <w:r w:rsidRPr="00244149">
        <w:t>User subscriptions are the main source of revenue, which consist of three levels:</w:t>
      </w:r>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Plan</w:t>
            </w:r>
          </w:p>
        </w:tc>
        <w:tc>
          <w:tcPr>
            <w:tcW w:w="3005" w:type="dxa"/>
            <w:vAlign w:val="center"/>
          </w:tcPr>
          <w:p w:rsidR="00556C92" w:rsidRDefault="00556C92" w:rsidP="00556C92">
            <w:pPr>
              <w:jc w:val="both"/>
              <w:rPr>
                <w:b/>
                <w:bCs/>
              </w:rPr>
            </w:pPr>
            <w:r>
              <w:rPr>
                <w:b/>
                <w:bCs/>
              </w:rPr>
              <w:t>Monthly Price (£)</w:t>
            </w:r>
          </w:p>
        </w:tc>
        <w:tc>
          <w:tcPr>
            <w:tcW w:w="3006" w:type="dxa"/>
            <w:vAlign w:val="center"/>
          </w:tcPr>
          <w:p w:rsidR="00556C92" w:rsidRDefault="00556C92" w:rsidP="00556C92">
            <w:pPr>
              <w:jc w:val="both"/>
              <w:rPr>
                <w:b/>
                <w:bCs/>
              </w:rPr>
            </w:pPr>
            <w:r>
              <w:rPr>
                <w:b/>
                <w:bCs/>
              </w:rPr>
              <w:t>Features</w:t>
            </w:r>
          </w:p>
        </w:tc>
      </w:tr>
      <w:tr w:rsidR="00556C92" w:rsidTr="00464AF0">
        <w:tc>
          <w:tcPr>
            <w:tcW w:w="3005" w:type="dxa"/>
            <w:vAlign w:val="center"/>
          </w:tcPr>
          <w:p w:rsidR="00556C92" w:rsidRDefault="00556C92" w:rsidP="00556C92">
            <w:pPr>
              <w:jc w:val="both"/>
            </w:pPr>
            <w:r>
              <w:t>Free</w:t>
            </w:r>
          </w:p>
        </w:tc>
        <w:tc>
          <w:tcPr>
            <w:tcW w:w="3005" w:type="dxa"/>
            <w:vAlign w:val="center"/>
          </w:tcPr>
          <w:p w:rsidR="00556C92" w:rsidRDefault="00556C92" w:rsidP="00556C92">
            <w:pPr>
              <w:jc w:val="both"/>
            </w:pPr>
            <w:r>
              <w:t>£0</w:t>
            </w:r>
          </w:p>
        </w:tc>
        <w:tc>
          <w:tcPr>
            <w:tcW w:w="3006" w:type="dxa"/>
            <w:vAlign w:val="center"/>
          </w:tcPr>
          <w:p w:rsidR="00556C92" w:rsidRDefault="00556C92" w:rsidP="00556C92">
            <w:pPr>
              <w:jc w:val="both"/>
            </w:pPr>
            <w:r>
              <w:t>Ads, limited skips, SD</w:t>
            </w:r>
          </w:p>
        </w:tc>
      </w:tr>
      <w:tr w:rsidR="00556C92" w:rsidTr="00464AF0">
        <w:tc>
          <w:tcPr>
            <w:tcW w:w="3005" w:type="dxa"/>
            <w:vAlign w:val="center"/>
          </w:tcPr>
          <w:p w:rsidR="00556C92" w:rsidRDefault="00556C92" w:rsidP="00556C92">
            <w:pPr>
              <w:jc w:val="both"/>
            </w:pPr>
            <w:r>
              <w:t>Premium</w:t>
            </w:r>
          </w:p>
        </w:tc>
        <w:tc>
          <w:tcPr>
            <w:tcW w:w="3005" w:type="dxa"/>
            <w:vAlign w:val="center"/>
          </w:tcPr>
          <w:p w:rsidR="00556C92" w:rsidRDefault="00556C92" w:rsidP="00556C92">
            <w:pPr>
              <w:jc w:val="both"/>
            </w:pPr>
            <w:r>
              <w:t>£9.99</w:t>
            </w:r>
          </w:p>
        </w:tc>
        <w:tc>
          <w:tcPr>
            <w:tcW w:w="3006" w:type="dxa"/>
            <w:vAlign w:val="center"/>
          </w:tcPr>
          <w:p w:rsidR="00556C92" w:rsidRDefault="00556C92" w:rsidP="00556C92">
            <w:pPr>
              <w:jc w:val="both"/>
            </w:pPr>
            <w:r>
              <w:t>Ad-free, HD, offline</w:t>
            </w:r>
          </w:p>
        </w:tc>
      </w:tr>
      <w:tr w:rsidR="00556C92" w:rsidTr="00464AF0">
        <w:tc>
          <w:tcPr>
            <w:tcW w:w="3005" w:type="dxa"/>
            <w:vAlign w:val="center"/>
          </w:tcPr>
          <w:p w:rsidR="00556C92" w:rsidRDefault="00556C92" w:rsidP="00556C92">
            <w:pPr>
              <w:jc w:val="both"/>
            </w:pPr>
            <w:r>
              <w:t>Premium+</w:t>
            </w:r>
          </w:p>
        </w:tc>
        <w:tc>
          <w:tcPr>
            <w:tcW w:w="3005" w:type="dxa"/>
            <w:vAlign w:val="center"/>
          </w:tcPr>
          <w:p w:rsidR="00556C92" w:rsidRDefault="00556C92" w:rsidP="00556C92">
            <w:pPr>
              <w:jc w:val="both"/>
            </w:pPr>
            <w:r>
              <w:t>£14.99</w:t>
            </w:r>
          </w:p>
        </w:tc>
        <w:tc>
          <w:tcPr>
            <w:tcW w:w="3006" w:type="dxa"/>
            <w:vAlign w:val="center"/>
          </w:tcPr>
          <w:p w:rsidR="00556C92" w:rsidRDefault="00556C92" w:rsidP="00556C92">
            <w:pPr>
              <w:jc w:val="both"/>
            </w:pPr>
            <w:r>
              <w:t>Live concerts + exclusives</w:t>
            </w:r>
          </w:p>
        </w:tc>
      </w:tr>
    </w:tbl>
    <w:p w:rsidR="00556C92" w:rsidRDefault="00556C92" w:rsidP="00556C92">
      <w:pPr>
        <w:jc w:val="both"/>
        <w:rPr>
          <w:lang w:val="en-IN"/>
        </w:rPr>
      </w:pPr>
    </w:p>
    <w:p w:rsidR="00556C92" w:rsidRDefault="00556C92" w:rsidP="00556C92">
      <w:pPr>
        <w:jc w:val="both"/>
      </w:pPr>
      <w:r w:rsidRPr="00244149">
        <w:t xml:space="preserve">It is priced at levels in line with UK consumer willingness-to-pay indices had by IFPI (2024) and is also competitive against Spotify (£10.99) and Apple Music (£10.99) and the added value of access to live concerts, which warrants the higher pricing tier. </w:t>
      </w:r>
    </w:p>
    <w:p w:rsidR="00556C92" w:rsidRDefault="00556C92" w:rsidP="00556C92">
      <w:pPr>
        <w:jc w:val="both"/>
      </w:pPr>
      <w:r w:rsidRPr="00244149">
        <w:t>The subscription revenue will be 62 percent of the total revenue in Year 2 due to the consistent recurring revenue and higher valuation multiples.</w:t>
      </w:r>
    </w:p>
    <w:p w:rsidR="00556C92" w:rsidRPr="00244149" w:rsidRDefault="00556C92" w:rsidP="00556C92">
      <w:pPr>
        <w:jc w:val="both"/>
        <w:rPr>
          <w:b/>
          <w:bCs/>
        </w:rPr>
      </w:pPr>
      <w:r w:rsidRPr="00244149">
        <w:rPr>
          <w:b/>
          <w:bCs/>
        </w:rPr>
        <w:t>7.1.2 Advertising Revenue</w:t>
      </w:r>
    </w:p>
    <w:p w:rsidR="00556C92" w:rsidRDefault="00556C92" w:rsidP="00556C92">
      <w:pPr>
        <w:jc w:val="both"/>
      </w:pPr>
      <w:r w:rsidRPr="00244149">
        <w:t>Advertising is involved on audio, video, and banner format in the free-tier users. It will be done through programmatic advertising and direct brand partnerships.</w:t>
      </w:r>
    </w:p>
    <w:p w:rsidR="00556C92" w:rsidRDefault="00556C92" w:rsidP="00556C92">
      <w:pPr>
        <w:jc w:val="both"/>
      </w:pPr>
      <w:r w:rsidRPr="00244149">
        <w:t xml:space="preserve">Average CPM assumptions: </w:t>
      </w:r>
    </w:p>
    <w:p w:rsidR="00556C92" w:rsidRDefault="00556C92" w:rsidP="00556C92">
      <w:pPr>
        <w:jc w:val="both"/>
      </w:pPr>
      <w:r w:rsidRPr="00244149">
        <w:t xml:space="preserve">Audio ads: £7.50 </w:t>
      </w:r>
    </w:p>
    <w:p w:rsidR="00556C92" w:rsidRDefault="00556C92" w:rsidP="00556C92">
      <w:pPr>
        <w:jc w:val="both"/>
      </w:pPr>
      <w:r w:rsidRPr="00244149">
        <w:t xml:space="preserve">Video ads: £11.80 </w:t>
      </w:r>
    </w:p>
    <w:p w:rsidR="00556C92" w:rsidRDefault="00556C92" w:rsidP="00556C92">
      <w:pPr>
        <w:jc w:val="both"/>
      </w:pPr>
      <w:r w:rsidRPr="00244149">
        <w:t>Sponsored placements: £15–£22</w:t>
      </w:r>
    </w:p>
    <w:p w:rsidR="00556C92" w:rsidRDefault="00556C92" w:rsidP="00556C92">
      <w:pPr>
        <w:jc w:val="both"/>
      </w:pPr>
      <w:r w:rsidRPr="00244149">
        <w:t xml:space="preserve">According to Statista (2024), music streaming advertising revenue internationally is growing by 9.2% CAGR, which confirms that it is a scalable source of revenue. </w:t>
      </w:r>
    </w:p>
    <w:p w:rsidR="00556C92" w:rsidRPr="00B60BDB" w:rsidRDefault="00556C92" w:rsidP="00556C92">
      <w:pPr>
        <w:pStyle w:val="Heading2"/>
        <w:jc w:val="both"/>
      </w:pPr>
      <w:bookmarkStart w:id="45" w:name="_Toc220991342"/>
      <w:r w:rsidRPr="00B60BDB">
        <w:t>7.1.3 Live Concert and Ticketing Revenue</w:t>
      </w:r>
      <w:bookmarkEnd w:id="45"/>
    </w:p>
    <w:p w:rsidR="00556C92" w:rsidRDefault="00556C92" w:rsidP="00556C92">
      <w:pPr>
        <w:jc w:val="both"/>
      </w:pPr>
      <w:r w:rsidRPr="00244149">
        <w:t>Live online concerts are a high-margin, differentiated source of income. Artists get 70 percent of the sales on tickets, and the platform gets 30 percent.</w:t>
      </w:r>
    </w:p>
    <w:p w:rsidR="00556C92" w:rsidRDefault="00556C92" w:rsidP="00556C92">
      <w:pPr>
        <w:jc w:val="both"/>
      </w:pPr>
      <w:r w:rsidRPr="00244149">
        <w:t>Average assumptions:</w:t>
      </w:r>
    </w:p>
    <w:p w:rsidR="00556C92" w:rsidRDefault="00556C92" w:rsidP="00556C92">
      <w:pPr>
        <w:jc w:val="both"/>
      </w:pPr>
      <w:r w:rsidRPr="00244149">
        <w:t xml:space="preserve">Ticket price: £8 </w:t>
      </w:r>
    </w:p>
    <w:p w:rsidR="00556C92" w:rsidRDefault="00556C92" w:rsidP="00556C92">
      <w:pPr>
        <w:jc w:val="both"/>
      </w:pPr>
      <w:r w:rsidRPr="00244149">
        <w:t xml:space="preserve">Average number of attendees per event: 2500 users. </w:t>
      </w:r>
    </w:p>
    <w:p w:rsidR="00556C92" w:rsidRDefault="00556C92" w:rsidP="00556C92">
      <w:pPr>
        <w:jc w:val="both"/>
      </w:pPr>
      <w:r w:rsidRPr="00244149">
        <w:t xml:space="preserve">Events per month (Year 2): 6 </w:t>
      </w:r>
    </w:p>
    <w:p w:rsidR="00556C92" w:rsidRDefault="00556C92" w:rsidP="00556C92">
      <w:pPr>
        <w:jc w:val="both"/>
      </w:pPr>
      <w:r w:rsidRPr="00244149">
        <w:t xml:space="preserve">This model takes advantage of acceptance of virtual concerts in the digital form following the COVID crisis, as virtual concerts do not become unprofitable even when physical one’s resume </w:t>
      </w:r>
      <w:r w:rsidRPr="00B44925">
        <w:t>(Grand View Research, 2024)</w:t>
      </w:r>
      <w:r w:rsidRPr="00244149">
        <w:t>.</w:t>
      </w:r>
    </w:p>
    <w:p w:rsidR="00556C92" w:rsidRDefault="00556C92" w:rsidP="00556C92">
      <w:pPr>
        <w:jc w:val="both"/>
      </w:pPr>
    </w:p>
    <w:p w:rsidR="00556C92" w:rsidRPr="00556C92" w:rsidRDefault="00556C92" w:rsidP="00556C92">
      <w:pPr>
        <w:pStyle w:val="Heading1"/>
        <w:jc w:val="both"/>
      </w:pPr>
      <w:bookmarkStart w:id="46" w:name="_Toc220991343"/>
      <w:r w:rsidRPr="00556C92">
        <w:lastRenderedPageBreak/>
        <w:t>7.2 Forecasting Assumptions, Demand and Capacity</w:t>
      </w:r>
      <w:bookmarkEnd w:id="46"/>
    </w:p>
    <w:p w:rsidR="00556C92" w:rsidRPr="001764F1" w:rsidRDefault="00556C92" w:rsidP="00556C92">
      <w:pPr>
        <w:jc w:val="both"/>
        <w:rPr>
          <w:lang w:val="en-IN"/>
        </w:rPr>
      </w:pPr>
      <w:r w:rsidRPr="001764F1">
        <w:rPr>
          <w:lang w:val="en-IN"/>
        </w:rPr>
        <w:t>The financial projections are founded on bottom-up demand modelling, which is in accordance with the capacity of the platform, scalability of the infrastructure, and penetration predictions of the market.</w:t>
      </w:r>
    </w:p>
    <w:p w:rsidR="00556C92" w:rsidRDefault="00556C92" w:rsidP="00556C92">
      <w:pPr>
        <w:pStyle w:val="Heading2"/>
        <w:jc w:val="both"/>
      </w:pPr>
      <w:bookmarkStart w:id="47" w:name="_Toc220991344"/>
      <w:r w:rsidRPr="00B4751F">
        <w:t>7.2.1 User Growth Assumptions</w:t>
      </w:r>
      <w:bookmarkEnd w:id="47"/>
    </w:p>
    <w:tbl>
      <w:tblPr>
        <w:tblStyle w:val="TableGrid"/>
        <w:tblW w:w="0" w:type="auto"/>
        <w:tblLook w:val="04A0" w:firstRow="1" w:lastRow="0" w:firstColumn="1" w:lastColumn="0" w:noHBand="0" w:noVBand="1"/>
      </w:tblPr>
      <w:tblGrid>
        <w:gridCol w:w="2254"/>
        <w:gridCol w:w="2254"/>
        <w:gridCol w:w="2254"/>
        <w:gridCol w:w="2254"/>
      </w:tblGrid>
      <w:tr w:rsidR="00556C92" w:rsidTr="00464AF0">
        <w:tc>
          <w:tcPr>
            <w:tcW w:w="2254" w:type="dxa"/>
            <w:vAlign w:val="center"/>
          </w:tcPr>
          <w:p w:rsidR="00556C92" w:rsidRDefault="00556C92" w:rsidP="00556C92">
            <w:pPr>
              <w:jc w:val="both"/>
              <w:rPr>
                <w:b/>
                <w:bCs/>
                <w:lang w:val="en-IN"/>
              </w:rPr>
            </w:pPr>
            <w:r>
              <w:rPr>
                <w:b/>
                <w:bCs/>
              </w:rPr>
              <w:t>Metric</w:t>
            </w:r>
          </w:p>
        </w:tc>
        <w:tc>
          <w:tcPr>
            <w:tcW w:w="2254" w:type="dxa"/>
            <w:vAlign w:val="center"/>
          </w:tcPr>
          <w:p w:rsidR="00556C92" w:rsidRDefault="00556C92" w:rsidP="00556C92">
            <w:pPr>
              <w:jc w:val="both"/>
              <w:rPr>
                <w:b/>
                <w:bCs/>
              </w:rPr>
            </w:pPr>
            <w:r>
              <w:rPr>
                <w:b/>
                <w:bCs/>
              </w:rPr>
              <w:t>Month 6</w:t>
            </w:r>
          </w:p>
        </w:tc>
        <w:tc>
          <w:tcPr>
            <w:tcW w:w="2254" w:type="dxa"/>
            <w:vAlign w:val="center"/>
          </w:tcPr>
          <w:p w:rsidR="00556C92" w:rsidRDefault="00556C92" w:rsidP="00556C92">
            <w:pPr>
              <w:jc w:val="both"/>
              <w:rPr>
                <w:b/>
                <w:bCs/>
              </w:rPr>
            </w:pPr>
            <w:r>
              <w:rPr>
                <w:b/>
                <w:bCs/>
              </w:rPr>
              <w:t>Month 12</w:t>
            </w:r>
          </w:p>
        </w:tc>
        <w:tc>
          <w:tcPr>
            <w:tcW w:w="2254" w:type="dxa"/>
            <w:vAlign w:val="center"/>
          </w:tcPr>
          <w:p w:rsidR="00556C92" w:rsidRDefault="00556C92" w:rsidP="00556C92">
            <w:pPr>
              <w:jc w:val="both"/>
              <w:rPr>
                <w:b/>
                <w:bCs/>
              </w:rPr>
            </w:pPr>
            <w:r>
              <w:rPr>
                <w:b/>
                <w:bCs/>
              </w:rPr>
              <w:t>Month 24</w:t>
            </w:r>
          </w:p>
        </w:tc>
      </w:tr>
      <w:tr w:rsidR="00556C92" w:rsidTr="00464AF0">
        <w:tc>
          <w:tcPr>
            <w:tcW w:w="2254" w:type="dxa"/>
            <w:vAlign w:val="center"/>
          </w:tcPr>
          <w:p w:rsidR="00556C92" w:rsidRDefault="00556C92" w:rsidP="00556C92">
            <w:pPr>
              <w:jc w:val="both"/>
            </w:pPr>
            <w:r>
              <w:t>Registered users</w:t>
            </w:r>
          </w:p>
        </w:tc>
        <w:tc>
          <w:tcPr>
            <w:tcW w:w="2254" w:type="dxa"/>
            <w:vAlign w:val="center"/>
          </w:tcPr>
          <w:p w:rsidR="00556C92" w:rsidRDefault="00556C92" w:rsidP="00556C92">
            <w:pPr>
              <w:jc w:val="both"/>
            </w:pPr>
            <w:r>
              <w:t>25,000</w:t>
            </w:r>
          </w:p>
        </w:tc>
        <w:tc>
          <w:tcPr>
            <w:tcW w:w="2254" w:type="dxa"/>
            <w:vAlign w:val="center"/>
          </w:tcPr>
          <w:p w:rsidR="00556C92" w:rsidRDefault="00556C92" w:rsidP="00556C92">
            <w:pPr>
              <w:jc w:val="both"/>
            </w:pPr>
            <w:r>
              <w:t>85,000</w:t>
            </w:r>
          </w:p>
        </w:tc>
        <w:tc>
          <w:tcPr>
            <w:tcW w:w="2254" w:type="dxa"/>
            <w:vAlign w:val="center"/>
          </w:tcPr>
          <w:p w:rsidR="00556C92" w:rsidRDefault="00556C92" w:rsidP="00556C92">
            <w:pPr>
              <w:jc w:val="both"/>
            </w:pPr>
            <w:r>
              <w:t>240,000</w:t>
            </w:r>
          </w:p>
        </w:tc>
      </w:tr>
      <w:tr w:rsidR="00556C92" w:rsidTr="00464AF0">
        <w:tc>
          <w:tcPr>
            <w:tcW w:w="2254" w:type="dxa"/>
            <w:vAlign w:val="center"/>
          </w:tcPr>
          <w:p w:rsidR="00556C92" w:rsidRDefault="00556C92" w:rsidP="00556C92">
            <w:pPr>
              <w:jc w:val="both"/>
            </w:pPr>
            <w:r>
              <w:t>Paid users (%)</w:t>
            </w:r>
          </w:p>
        </w:tc>
        <w:tc>
          <w:tcPr>
            <w:tcW w:w="2254" w:type="dxa"/>
            <w:vAlign w:val="center"/>
          </w:tcPr>
          <w:p w:rsidR="00556C92" w:rsidRDefault="00556C92" w:rsidP="00556C92">
            <w:pPr>
              <w:jc w:val="both"/>
            </w:pPr>
            <w:r>
              <w:t>6%</w:t>
            </w:r>
          </w:p>
        </w:tc>
        <w:tc>
          <w:tcPr>
            <w:tcW w:w="2254" w:type="dxa"/>
            <w:vAlign w:val="center"/>
          </w:tcPr>
          <w:p w:rsidR="00556C92" w:rsidRDefault="00556C92" w:rsidP="00556C92">
            <w:pPr>
              <w:jc w:val="both"/>
            </w:pPr>
            <w:r>
              <w:t>11%</w:t>
            </w:r>
          </w:p>
        </w:tc>
        <w:tc>
          <w:tcPr>
            <w:tcW w:w="2254" w:type="dxa"/>
            <w:vAlign w:val="center"/>
          </w:tcPr>
          <w:p w:rsidR="00556C92" w:rsidRDefault="00556C92" w:rsidP="00556C92">
            <w:pPr>
              <w:jc w:val="both"/>
            </w:pPr>
            <w:r>
              <w:t>18%</w:t>
            </w:r>
          </w:p>
        </w:tc>
      </w:tr>
      <w:tr w:rsidR="00556C92" w:rsidTr="00464AF0">
        <w:tc>
          <w:tcPr>
            <w:tcW w:w="2254" w:type="dxa"/>
            <w:vAlign w:val="center"/>
          </w:tcPr>
          <w:p w:rsidR="00556C92" w:rsidRDefault="00556C92" w:rsidP="00556C92">
            <w:pPr>
              <w:jc w:val="both"/>
            </w:pPr>
            <w:r>
              <w:t>Churn (monthly)</w:t>
            </w:r>
          </w:p>
        </w:tc>
        <w:tc>
          <w:tcPr>
            <w:tcW w:w="2254" w:type="dxa"/>
            <w:vAlign w:val="center"/>
          </w:tcPr>
          <w:p w:rsidR="00556C92" w:rsidRDefault="00556C92" w:rsidP="00556C92">
            <w:pPr>
              <w:jc w:val="both"/>
            </w:pPr>
            <w:r>
              <w:t>5.5%</w:t>
            </w:r>
          </w:p>
        </w:tc>
        <w:tc>
          <w:tcPr>
            <w:tcW w:w="2254" w:type="dxa"/>
            <w:vAlign w:val="center"/>
          </w:tcPr>
          <w:p w:rsidR="00556C92" w:rsidRDefault="00556C92" w:rsidP="00556C92">
            <w:pPr>
              <w:jc w:val="both"/>
            </w:pPr>
            <w:r>
              <w:t>4.2%</w:t>
            </w:r>
          </w:p>
        </w:tc>
        <w:tc>
          <w:tcPr>
            <w:tcW w:w="2254" w:type="dxa"/>
            <w:vAlign w:val="center"/>
          </w:tcPr>
          <w:p w:rsidR="00556C92" w:rsidRDefault="00556C92" w:rsidP="00556C92">
            <w:pPr>
              <w:jc w:val="both"/>
            </w:pPr>
            <w:r>
              <w:t>3.5%</w:t>
            </w:r>
          </w:p>
        </w:tc>
      </w:tr>
    </w:tbl>
    <w:p w:rsidR="00556C92" w:rsidRPr="00B4751F" w:rsidRDefault="00556C92" w:rsidP="00556C92">
      <w:pPr>
        <w:jc w:val="both"/>
        <w:rPr>
          <w:b/>
          <w:bCs/>
        </w:rPr>
      </w:pPr>
    </w:p>
    <w:p w:rsidR="00556C92" w:rsidRDefault="00556C92" w:rsidP="00556C92">
      <w:pPr>
        <w:jc w:val="both"/>
      </w:pPr>
      <w:r w:rsidRPr="00E53C5F">
        <w:t>These numbers indicate low adoption rates relative to industry concerns in individual reports, which indicate that early-stage platforms usually have 15-20% paid conversion in Year 2.</w:t>
      </w:r>
    </w:p>
    <w:p w:rsidR="00556C92" w:rsidRDefault="00556C92" w:rsidP="00556C92">
      <w:pPr>
        <w:pStyle w:val="Heading2"/>
        <w:jc w:val="both"/>
      </w:pPr>
      <w:bookmarkStart w:id="48" w:name="_Toc220991345"/>
      <w:r w:rsidRPr="00E53C5F">
        <w:t>7.2.2 Capacity and Infrastructure Assumption</w:t>
      </w:r>
      <w:bookmarkEnd w:id="48"/>
    </w:p>
    <w:p w:rsidR="00556C92" w:rsidRDefault="00556C92" w:rsidP="00556C92">
      <w:pPr>
        <w:jc w:val="both"/>
      </w:pPr>
      <w:r w:rsidRPr="00E53C5F">
        <w:t>Cloud based scalable architecture is used on the platform, enabling it to expand capacity without incurring any substantial capital cost. The cost of the server is proportional to the number of active users, and the cost will be predictable.</w:t>
      </w:r>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Capacity Metric</w:t>
            </w:r>
          </w:p>
        </w:tc>
        <w:tc>
          <w:tcPr>
            <w:tcW w:w="3005" w:type="dxa"/>
            <w:vAlign w:val="center"/>
          </w:tcPr>
          <w:p w:rsidR="00556C92" w:rsidRDefault="00556C92" w:rsidP="00556C92">
            <w:pPr>
              <w:jc w:val="both"/>
              <w:rPr>
                <w:b/>
                <w:bCs/>
              </w:rPr>
            </w:pPr>
            <w:r>
              <w:rPr>
                <w:b/>
                <w:bCs/>
              </w:rPr>
              <w:t>Year 1</w:t>
            </w:r>
          </w:p>
        </w:tc>
        <w:tc>
          <w:tcPr>
            <w:tcW w:w="3006" w:type="dxa"/>
            <w:vAlign w:val="center"/>
          </w:tcPr>
          <w:p w:rsidR="00556C92" w:rsidRDefault="00556C92" w:rsidP="00556C92">
            <w:pPr>
              <w:jc w:val="both"/>
              <w:rPr>
                <w:b/>
                <w:bCs/>
              </w:rPr>
            </w:pPr>
            <w:r>
              <w:rPr>
                <w:b/>
                <w:bCs/>
              </w:rPr>
              <w:t>Year 2</w:t>
            </w:r>
          </w:p>
        </w:tc>
      </w:tr>
      <w:tr w:rsidR="00556C92" w:rsidTr="00464AF0">
        <w:tc>
          <w:tcPr>
            <w:tcW w:w="3005" w:type="dxa"/>
            <w:vAlign w:val="center"/>
          </w:tcPr>
          <w:p w:rsidR="00556C92" w:rsidRDefault="00556C92" w:rsidP="00556C92">
            <w:pPr>
              <w:jc w:val="both"/>
            </w:pPr>
            <w:r>
              <w:t>Concurrent users</w:t>
            </w:r>
          </w:p>
        </w:tc>
        <w:tc>
          <w:tcPr>
            <w:tcW w:w="3005" w:type="dxa"/>
            <w:vAlign w:val="center"/>
          </w:tcPr>
          <w:p w:rsidR="00556C92" w:rsidRDefault="00556C92" w:rsidP="00556C92">
            <w:pPr>
              <w:jc w:val="both"/>
            </w:pPr>
            <w:r>
              <w:t>8,000</w:t>
            </w:r>
          </w:p>
        </w:tc>
        <w:tc>
          <w:tcPr>
            <w:tcW w:w="3006" w:type="dxa"/>
            <w:vAlign w:val="center"/>
          </w:tcPr>
          <w:p w:rsidR="00556C92" w:rsidRDefault="00556C92" w:rsidP="00556C92">
            <w:pPr>
              <w:jc w:val="both"/>
            </w:pPr>
            <w:r>
              <w:t>28,000</w:t>
            </w:r>
          </w:p>
        </w:tc>
      </w:tr>
      <w:tr w:rsidR="00556C92" w:rsidTr="00464AF0">
        <w:tc>
          <w:tcPr>
            <w:tcW w:w="3005" w:type="dxa"/>
            <w:vAlign w:val="center"/>
          </w:tcPr>
          <w:p w:rsidR="00556C92" w:rsidRDefault="00556C92" w:rsidP="00556C92">
            <w:pPr>
              <w:jc w:val="both"/>
            </w:pPr>
            <w:r>
              <w:t>Storage (TB)</w:t>
            </w:r>
          </w:p>
        </w:tc>
        <w:tc>
          <w:tcPr>
            <w:tcW w:w="3005" w:type="dxa"/>
            <w:vAlign w:val="center"/>
          </w:tcPr>
          <w:p w:rsidR="00556C92" w:rsidRDefault="00556C92" w:rsidP="00556C92">
            <w:pPr>
              <w:jc w:val="both"/>
            </w:pPr>
            <w:r>
              <w:t>120</w:t>
            </w:r>
          </w:p>
        </w:tc>
        <w:tc>
          <w:tcPr>
            <w:tcW w:w="3006" w:type="dxa"/>
            <w:vAlign w:val="center"/>
          </w:tcPr>
          <w:p w:rsidR="00556C92" w:rsidRDefault="00556C92" w:rsidP="00556C92">
            <w:pPr>
              <w:jc w:val="both"/>
            </w:pPr>
            <w:r>
              <w:t>450</w:t>
            </w:r>
          </w:p>
        </w:tc>
      </w:tr>
      <w:tr w:rsidR="00556C92" w:rsidTr="00464AF0">
        <w:tc>
          <w:tcPr>
            <w:tcW w:w="3005" w:type="dxa"/>
            <w:vAlign w:val="center"/>
          </w:tcPr>
          <w:p w:rsidR="00556C92" w:rsidRDefault="00556C92" w:rsidP="00556C92">
            <w:pPr>
              <w:jc w:val="both"/>
            </w:pPr>
            <w:r>
              <w:t>Bandwidth (TB/month)</w:t>
            </w:r>
          </w:p>
        </w:tc>
        <w:tc>
          <w:tcPr>
            <w:tcW w:w="3005" w:type="dxa"/>
            <w:vAlign w:val="center"/>
          </w:tcPr>
          <w:p w:rsidR="00556C92" w:rsidRDefault="00556C92" w:rsidP="00556C92">
            <w:pPr>
              <w:jc w:val="both"/>
            </w:pPr>
            <w:r>
              <w:t>90</w:t>
            </w:r>
          </w:p>
        </w:tc>
        <w:tc>
          <w:tcPr>
            <w:tcW w:w="3006" w:type="dxa"/>
            <w:vAlign w:val="center"/>
          </w:tcPr>
          <w:p w:rsidR="00556C92" w:rsidRDefault="00556C92" w:rsidP="00556C92">
            <w:pPr>
              <w:jc w:val="both"/>
            </w:pPr>
            <w:r>
              <w:t>340</w:t>
            </w:r>
          </w:p>
        </w:tc>
      </w:tr>
    </w:tbl>
    <w:p w:rsidR="00556C92" w:rsidRDefault="00556C92" w:rsidP="00556C92">
      <w:pPr>
        <w:jc w:val="both"/>
        <w:rPr>
          <w:lang w:val="en-IN"/>
        </w:rPr>
      </w:pPr>
    </w:p>
    <w:p w:rsidR="00556C92" w:rsidRPr="00E7050C" w:rsidRDefault="00556C92" w:rsidP="00556C92">
      <w:pPr>
        <w:jc w:val="both"/>
        <w:rPr>
          <w:lang w:val="en-IN"/>
        </w:rPr>
      </w:pPr>
      <w:r w:rsidRPr="00E53C5F">
        <w:t xml:space="preserve">This strategy adheres to AWS good practice in media streaming platform </w:t>
      </w:r>
      <w:r w:rsidRPr="00E7050C">
        <w:rPr>
          <w:b/>
          <w:bCs/>
          <w:lang w:val="en-IN"/>
        </w:rPr>
        <w:t>(AWS, 2024)</w:t>
      </w:r>
      <w:r>
        <w:rPr>
          <w:lang w:val="en-IN"/>
        </w:rPr>
        <w:t>.</w:t>
      </w:r>
    </w:p>
    <w:p w:rsidR="00556C92" w:rsidRDefault="00556C92" w:rsidP="00556C92">
      <w:pPr>
        <w:pStyle w:val="Heading2"/>
        <w:jc w:val="both"/>
      </w:pPr>
      <w:bookmarkStart w:id="49" w:name="_Toc220991346"/>
      <w:r w:rsidRPr="00E53C5F">
        <w:t>7.2.3 Revenue Growth Assumptions</w:t>
      </w:r>
      <w:bookmarkEnd w:id="49"/>
    </w:p>
    <w:p w:rsidR="00556C92" w:rsidRPr="006E0F60" w:rsidRDefault="00556C92" w:rsidP="00556C92">
      <w:pPr>
        <w:jc w:val="both"/>
      </w:pPr>
      <w:r w:rsidRPr="006E0F60">
        <w:t xml:space="preserve">Year 2 ARPU of the business is increased to £6.80. </w:t>
      </w:r>
    </w:p>
    <w:p w:rsidR="00556C92" w:rsidRPr="006E0F60" w:rsidRDefault="00556C92" w:rsidP="00556C92">
      <w:pPr>
        <w:jc w:val="both"/>
      </w:pPr>
      <w:r w:rsidRPr="006E0F60">
        <w:t>The adoption of live events increases by 3 to 9%.</w:t>
      </w:r>
    </w:p>
    <w:p w:rsidR="00556C92" w:rsidRDefault="00556C92" w:rsidP="00556C92">
      <w:pPr>
        <w:jc w:val="both"/>
      </w:pPr>
      <w:r w:rsidRPr="006E0F60">
        <w:t xml:space="preserve"> Advertising fill rate rises by 62 percent.</w:t>
      </w:r>
    </w:p>
    <w:p w:rsidR="00556C92" w:rsidRDefault="00556C92" w:rsidP="00556C92">
      <w:pPr>
        <w:jc w:val="both"/>
      </w:pPr>
      <w:r w:rsidRPr="006E0F60">
        <w:t xml:space="preserve">The post-launch platform optimisation, </w:t>
      </w:r>
      <w:r>
        <w:t xml:space="preserve">which </w:t>
      </w:r>
      <w:r w:rsidRPr="006E0F60">
        <w:t>fit these assumptions.</w:t>
      </w:r>
    </w:p>
    <w:p w:rsidR="00556C92" w:rsidRDefault="00556C92" w:rsidP="00556C92">
      <w:pPr>
        <w:pStyle w:val="Heading1"/>
        <w:jc w:val="both"/>
      </w:pPr>
      <w:bookmarkStart w:id="50" w:name="_Toc220991347"/>
      <w:r w:rsidRPr="006E0F60">
        <w:t>7.3 Twenty-Four Month P&amp;L Forecast (Quarterly View)</w:t>
      </w:r>
      <w:bookmarkEnd w:id="50"/>
    </w:p>
    <w:p w:rsidR="00556C92" w:rsidRDefault="00556C92" w:rsidP="00556C92">
      <w:pPr>
        <w:jc w:val="both"/>
        <w:rPr>
          <w:lang w:val="en-IN"/>
        </w:rPr>
      </w:pPr>
      <w:r w:rsidRPr="006E0F60">
        <w:rPr>
          <w:lang w:val="en-IN"/>
        </w:rPr>
        <w:t>The profit and loss projection will be created to show financial viability, scalability and break-even within a time span of 24 months.</w:t>
      </w:r>
    </w:p>
    <w:p w:rsidR="00556C92" w:rsidRDefault="00556C92" w:rsidP="00556C92">
      <w:pPr>
        <w:jc w:val="both"/>
        <w:rPr>
          <w:b/>
          <w:bCs/>
        </w:rPr>
      </w:pPr>
      <w:r w:rsidRPr="004660D6">
        <w:rPr>
          <w:b/>
          <w:bCs/>
        </w:rPr>
        <w:t>Table 7.3: Quarterly P&amp;L Forecast (£)</w:t>
      </w:r>
    </w:p>
    <w:tbl>
      <w:tblPr>
        <w:tblStyle w:val="TableGrid"/>
        <w:tblW w:w="0" w:type="auto"/>
        <w:tblLook w:val="04A0" w:firstRow="1" w:lastRow="0" w:firstColumn="1" w:lastColumn="0" w:noHBand="0" w:noVBand="1"/>
      </w:tblPr>
      <w:tblGrid>
        <w:gridCol w:w="1803"/>
        <w:gridCol w:w="1803"/>
        <w:gridCol w:w="1803"/>
        <w:gridCol w:w="1803"/>
        <w:gridCol w:w="1804"/>
      </w:tblGrid>
      <w:tr w:rsidR="00556C92" w:rsidTr="00464AF0">
        <w:tc>
          <w:tcPr>
            <w:tcW w:w="1803" w:type="dxa"/>
            <w:vAlign w:val="center"/>
          </w:tcPr>
          <w:p w:rsidR="00556C92" w:rsidRDefault="00556C92" w:rsidP="00556C92">
            <w:pPr>
              <w:jc w:val="both"/>
              <w:rPr>
                <w:b/>
                <w:bCs/>
                <w:lang w:val="en-IN"/>
              </w:rPr>
            </w:pPr>
            <w:r>
              <w:rPr>
                <w:b/>
                <w:bCs/>
              </w:rPr>
              <w:t>Quarter</w:t>
            </w:r>
          </w:p>
        </w:tc>
        <w:tc>
          <w:tcPr>
            <w:tcW w:w="1803" w:type="dxa"/>
            <w:vAlign w:val="center"/>
          </w:tcPr>
          <w:p w:rsidR="00556C92" w:rsidRDefault="00556C92" w:rsidP="00556C92">
            <w:pPr>
              <w:jc w:val="both"/>
              <w:rPr>
                <w:b/>
                <w:bCs/>
              </w:rPr>
            </w:pPr>
            <w:r>
              <w:rPr>
                <w:b/>
                <w:bCs/>
              </w:rPr>
              <w:t>Revenue</w:t>
            </w:r>
          </w:p>
        </w:tc>
        <w:tc>
          <w:tcPr>
            <w:tcW w:w="1803" w:type="dxa"/>
            <w:vAlign w:val="center"/>
          </w:tcPr>
          <w:p w:rsidR="00556C92" w:rsidRDefault="00556C92" w:rsidP="00556C92">
            <w:pPr>
              <w:jc w:val="both"/>
              <w:rPr>
                <w:b/>
                <w:bCs/>
              </w:rPr>
            </w:pPr>
            <w:r>
              <w:rPr>
                <w:b/>
                <w:bCs/>
              </w:rPr>
              <w:t>Costs</w:t>
            </w:r>
          </w:p>
        </w:tc>
        <w:tc>
          <w:tcPr>
            <w:tcW w:w="1803" w:type="dxa"/>
            <w:vAlign w:val="center"/>
          </w:tcPr>
          <w:p w:rsidR="00556C92" w:rsidRDefault="00556C92" w:rsidP="00556C92">
            <w:pPr>
              <w:jc w:val="both"/>
              <w:rPr>
                <w:b/>
                <w:bCs/>
              </w:rPr>
            </w:pPr>
            <w:r>
              <w:rPr>
                <w:b/>
                <w:bCs/>
              </w:rPr>
              <w:t>EBITDA</w:t>
            </w:r>
          </w:p>
        </w:tc>
        <w:tc>
          <w:tcPr>
            <w:tcW w:w="1804" w:type="dxa"/>
            <w:vAlign w:val="center"/>
          </w:tcPr>
          <w:p w:rsidR="00556C92" w:rsidRDefault="00556C92" w:rsidP="00556C92">
            <w:pPr>
              <w:jc w:val="both"/>
              <w:rPr>
                <w:b/>
                <w:bCs/>
              </w:rPr>
            </w:pPr>
            <w:r>
              <w:rPr>
                <w:b/>
                <w:bCs/>
              </w:rPr>
              <w:t>Net Profit</w:t>
            </w:r>
          </w:p>
        </w:tc>
      </w:tr>
      <w:tr w:rsidR="00556C92" w:rsidTr="00464AF0">
        <w:tc>
          <w:tcPr>
            <w:tcW w:w="1803" w:type="dxa"/>
            <w:vAlign w:val="center"/>
          </w:tcPr>
          <w:p w:rsidR="00556C92" w:rsidRDefault="00556C92" w:rsidP="00556C92">
            <w:pPr>
              <w:jc w:val="both"/>
            </w:pPr>
            <w:r>
              <w:t>Q1 Y1</w:t>
            </w:r>
          </w:p>
        </w:tc>
        <w:tc>
          <w:tcPr>
            <w:tcW w:w="1803" w:type="dxa"/>
            <w:vAlign w:val="center"/>
          </w:tcPr>
          <w:p w:rsidR="00556C92" w:rsidRDefault="00556C92" w:rsidP="00556C92">
            <w:pPr>
              <w:jc w:val="both"/>
            </w:pPr>
            <w:r>
              <w:t>28,000</w:t>
            </w:r>
          </w:p>
        </w:tc>
        <w:tc>
          <w:tcPr>
            <w:tcW w:w="1803" w:type="dxa"/>
            <w:vAlign w:val="center"/>
          </w:tcPr>
          <w:p w:rsidR="00556C92" w:rsidRDefault="00556C92" w:rsidP="00556C92">
            <w:pPr>
              <w:jc w:val="both"/>
            </w:pPr>
            <w:r>
              <w:t>61,000</w:t>
            </w:r>
          </w:p>
        </w:tc>
        <w:tc>
          <w:tcPr>
            <w:tcW w:w="1803" w:type="dxa"/>
            <w:vAlign w:val="center"/>
          </w:tcPr>
          <w:p w:rsidR="00556C92" w:rsidRDefault="00556C92" w:rsidP="00556C92">
            <w:pPr>
              <w:jc w:val="both"/>
            </w:pPr>
            <w:r>
              <w:t>-33,000</w:t>
            </w:r>
          </w:p>
        </w:tc>
        <w:tc>
          <w:tcPr>
            <w:tcW w:w="1804" w:type="dxa"/>
            <w:vAlign w:val="center"/>
          </w:tcPr>
          <w:p w:rsidR="00556C92" w:rsidRDefault="00556C92" w:rsidP="00556C92">
            <w:pPr>
              <w:jc w:val="both"/>
            </w:pPr>
            <w:r>
              <w:t>-36,200</w:t>
            </w:r>
          </w:p>
        </w:tc>
      </w:tr>
      <w:tr w:rsidR="00556C92" w:rsidTr="00464AF0">
        <w:tc>
          <w:tcPr>
            <w:tcW w:w="1803" w:type="dxa"/>
            <w:vAlign w:val="center"/>
          </w:tcPr>
          <w:p w:rsidR="00556C92" w:rsidRDefault="00556C92" w:rsidP="00556C92">
            <w:pPr>
              <w:jc w:val="both"/>
            </w:pPr>
            <w:r>
              <w:t>Q2 Y1</w:t>
            </w:r>
          </w:p>
        </w:tc>
        <w:tc>
          <w:tcPr>
            <w:tcW w:w="1803" w:type="dxa"/>
            <w:vAlign w:val="center"/>
          </w:tcPr>
          <w:p w:rsidR="00556C92" w:rsidRDefault="00556C92" w:rsidP="00556C92">
            <w:pPr>
              <w:jc w:val="both"/>
            </w:pPr>
            <w:r>
              <w:t>74,000</w:t>
            </w:r>
          </w:p>
        </w:tc>
        <w:tc>
          <w:tcPr>
            <w:tcW w:w="1803" w:type="dxa"/>
            <w:vAlign w:val="center"/>
          </w:tcPr>
          <w:p w:rsidR="00556C92" w:rsidRDefault="00556C92" w:rsidP="00556C92">
            <w:pPr>
              <w:jc w:val="both"/>
            </w:pPr>
            <w:r>
              <w:t>82,500</w:t>
            </w:r>
          </w:p>
        </w:tc>
        <w:tc>
          <w:tcPr>
            <w:tcW w:w="1803" w:type="dxa"/>
            <w:vAlign w:val="center"/>
          </w:tcPr>
          <w:p w:rsidR="00556C92" w:rsidRDefault="00556C92" w:rsidP="00556C92">
            <w:pPr>
              <w:jc w:val="both"/>
            </w:pPr>
            <w:r>
              <w:t>-8,500</w:t>
            </w:r>
          </w:p>
        </w:tc>
        <w:tc>
          <w:tcPr>
            <w:tcW w:w="1804" w:type="dxa"/>
            <w:vAlign w:val="center"/>
          </w:tcPr>
          <w:p w:rsidR="00556C92" w:rsidRDefault="00556C92" w:rsidP="00556C92">
            <w:pPr>
              <w:jc w:val="both"/>
            </w:pPr>
            <w:r>
              <w:t>-11,000</w:t>
            </w:r>
          </w:p>
        </w:tc>
      </w:tr>
      <w:tr w:rsidR="00556C92" w:rsidTr="00464AF0">
        <w:tc>
          <w:tcPr>
            <w:tcW w:w="1803" w:type="dxa"/>
            <w:vAlign w:val="center"/>
          </w:tcPr>
          <w:p w:rsidR="00556C92" w:rsidRDefault="00556C92" w:rsidP="00556C92">
            <w:pPr>
              <w:jc w:val="both"/>
            </w:pPr>
            <w:r>
              <w:t>Q3 Y1</w:t>
            </w:r>
          </w:p>
        </w:tc>
        <w:tc>
          <w:tcPr>
            <w:tcW w:w="1803" w:type="dxa"/>
            <w:vAlign w:val="center"/>
          </w:tcPr>
          <w:p w:rsidR="00556C92" w:rsidRDefault="00556C92" w:rsidP="00556C92">
            <w:pPr>
              <w:jc w:val="both"/>
            </w:pPr>
            <w:r>
              <w:t>132,000</w:t>
            </w:r>
          </w:p>
        </w:tc>
        <w:tc>
          <w:tcPr>
            <w:tcW w:w="1803" w:type="dxa"/>
            <w:vAlign w:val="center"/>
          </w:tcPr>
          <w:p w:rsidR="00556C92" w:rsidRDefault="00556C92" w:rsidP="00556C92">
            <w:pPr>
              <w:jc w:val="both"/>
            </w:pPr>
            <w:r>
              <w:t>104,000</w:t>
            </w:r>
          </w:p>
        </w:tc>
        <w:tc>
          <w:tcPr>
            <w:tcW w:w="1803" w:type="dxa"/>
            <w:vAlign w:val="center"/>
          </w:tcPr>
          <w:p w:rsidR="00556C92" w:rsidRDefault="00556C92" w:rsidP="00556C92">
            <w:pPr>
              <w:jc w:val="both"/>
            </w:pPr>
            <w:r>
              <w:t>28,000</w:t>
            </w:r>
          </w:p>
        </w:tc>
        <w:tc>
          <w:tcPr>
            <w:tcW w:w="1804" w:type="dxa"/>
            <w:vAlign w:val="center"/>
          </w:tcPr>
          <w:p w:rsidR="00556C92" w:rsidRDefault="00556C92" w:rsidP="00556C92">
            <w:pPr>
              <w:jc w:val="both"/>
            </w:pPr>
            <w:r>
              <w:t>21,400</w:t>
            </w:r>
          </w:p>
        </w:tc>
      </w:tr>
      <w:tr w:rsidR="00556C92" w:rsidTr="00464AF0">
        <w:tc>
          <w:tcPr>
            <w:tcW w:w="1803" w:type="dxa"/>
            <w:vAlign w:val="center"/>
          </w:tcPr>
          <w:p w:rsidR="00556C92" w:rsidRDefault="00556C92" w:rsidP="00556C92">
            <w:pPr>
              <w:jc w:val="both"/>
            </w:pPr>
            <w:r>
              <w:lastRenderedPageBreak/>
              <w:t>Q4 Y1</w:t>
            </w:r>
          </w:p>
        </w:tc>
        <w:tc>
          <w:tcPr>
            <w:tcW w:w="1803" w:type="dxa"/>
            <w:vAlign w:val="center"/>
          </w:tcPr>
          <w:p w:rsidR="00556C92" w:rsidRDefault="00556C92" w:rsidP="00556C92">
            <w:pPr>
              <w:jc w:val="both"/>
            </w:pPr>
            <w:r>
              <w:t>208,000</w:t>
            </w:r>
          </w:p>
        </w:tc>
        <w:tc>
          <w:tcPr>
            <w:tcW w:w="1803" w:type="dxa"/>
            <w:vAlign w:val="center"/>
          </w:tcPr>
          <w:p w:rsidR="00556C92" w:rsidRDefault="00556C92" w:rsidP="00556C92">
            <w:pPr>
              <w:jc w:val="both"/>
            </w:pPr>
            <w:r>
              <w:t>126,000</w:t>
            </w:r>
          </w:p>
        </w:tc>
        <w:tc>
          <w:tcPr>
            <w:tcW w:w="1803" w:type="dxa"/>
            <w:vAlign w:val="center"/>
          </w:tcPr>
          <w:p w:rsidR="00556C92" w:rsidRDefault="00556C92" w:rsidP="00556C92">
            <w:pPr>
              <w:jc w:val="both"/>
            </w:pPr>
            <w:r>
              <w:t>82,000</w:t>
            </w:r>
          </w:p>
        </w:tc>
        <w:tc>
          <w:tcPr>
            <w:tcW w:w="1804" w:type="dxa"/>
            <w:vAlign w:val="center"/>
          </w:tcPr>
          <w:p w:rsidR="00556C92" w:rsidRDefault="00556C92" w:rsidP="00556C92">
            <w:pPr>
              <w:jc w:val="both"/>
            </w:pPr>
            <w:r>
              <w:t>65,200</w:t>
            </w:r>
          </w:p>
        </w:tc>
      </w:tr>
      <w:tr w:rsidR="00556C92" w:rsidTr="00464AF0">
        <w:tc>
          <w:tcPr>
            <w:tcW w:w="1803" w:type="dxa"/>
            <w:vAlign w:val="center"/>
          </w:tcPr>
          <w:p w:rsidR="00556C92" w:rsidRDefault="00556C92" w:rsidP="00556C92">
            <w:pPr>
              <w:jc w:val="both"/>
            </w:pPr>
            <w:r>
              <w:t>Q1 Y2</w:t>
            </w:r>
          </w:p>
        </w:tc>
        <w:tc>
          <w:tcPr>
            <w:tcW w:w="1803" w:type="dxa"/>
            <w:vAlign w:val="center"/>
          </w:tcPr>
          <w:p w:rsidR="00556C92" w:rsidRDefault="00556C92" w:rsidP="00556C92">
            <w:pPr>
              <w:jc w:val="both"/>
            </w:pPr>
            <w:r>
              <w:t>278,000</w:t>
            </w:r>
          </w:p>
        </w:tc>
        <w:tc>
          <w:tcPr>
            <w:tcW w:w="1803" w:type="dxa"/>
            <w:vAlign w:val="center"/>
          </w:tcPr>
          <w:p w:rsidR="00556C92" w:rsidRDefault="00556C92" w:rsidP="00556C92">
            <w:pPr>
              <w:jc w:val="both"/>
            </w:pPr>
            <w:r>
              <w:t>151,000</w:t>
            </w:r>
          </w:p>
        </w:tc>
        <w:tc>
          <w:tcPr>
            <w:tcW w:w="1803" w:type="dxa"/>
            <w:vAlign w:val="center"/>
          </w:tcPr>
          <w:p w:rsidR="00556C92" w:rsidRDefault="00556C92" w:rsidP="00556C92">
            <w:pPr>
              <w:jc w:val="both"/>
            </w:pPr>
            <w:r>
              <w:t>127,000</w:t>
            </w:r>
          </w:p>
        </w:tc>
        <w:tc>
          <w:tcPr>
            <w:tcW w:w="1804" w:type="dxa"/>
            <w:vAlign w:val="center"/>
          </w:tcPr>
          <w:p w:rsidR="00556C92" w:rsidRDefault="00556C92" w:rsidP="00556C92">
            <w:pPr>
              <w:jc w:val="both"/>
            </w:pPr>
            <w:r>
              <w:t>101,400</w:t>
            </w:r>
          </w:p>
        </w:tc>
      </w:tr>
      <w:tr w:rsidR="00556C92" w:rsidTr="00464AF0">
        <w:tc>
          <w:tcPr>
            <w:tcW w:w="1803" w:type="dxa"/>
            <w:vAlign w:val="center"/>
          </w:tcPr>
          <w:p w:rsidR="00556C92" w:rsidRDefault="00556C92" w:rsidP="00556C92">
            <w:pPr>
              <w:jc w:val="both"/>
            </w:pPr>
            <w:r>
              <w:t>Q2 Y2</w:t>
            </w:r>
          </w:p>
        </w:tc>
        <w:tc>
          <w:tcPr>
            <w:tcW w:w="1803" w:type="dxa"/>
            <w:vAlign w:val="center"/>
          </w:tcPr>
          <w:p w:rsidR="00556C92" w:rsidRDefault="00556C92" w:rsidP="00556C92">
            <w:pPr>
              <w:jc w:val="both"/>
            </w:pPr>
            <w:r>
              <w:t>345,000</w:t>
            </w:r>
          </w:p>
        </w:tc>
        <w:tc>
          <w:tcPr>
            <w:tcW w:w="1803" w:type="dxa"/>
            <w:vAlign w:val="center"/>
          </w:tcPr>
          <w:p w:rsidR="00556C92" w:rsidRDefault="00556C92" w:rsidP="00556C92">
            <w:pPr>
              <w:jc w:val="both"/>
            </w:pPr>
            <w:r>
              <w:t>178,000</w:t>
            </w:r>
          </w:p>
        </w:tc>
        <w:tc>
          <w:tcPr>
            <w:tcW w:w="1803" w:type="dxa"/>
            <w:vAlign w:val="center"/>
          </w:tcPr>
          <w:p w:rsidR="00556C92" w:rsidRDefault="00556C92" w:rsidP="00556C92">
            <w:pPr>
              <w:jc w:val="both"/>
            </w:pPr>
            <w:r>
              <w:t>167,000</w:t>
            </w:r>
          </w:p>
        </w:tc>
        <w:tc>
          <w:tcPr>
            <w:tcW w:w="1804" w:type="dxa"/>
            <w:vAlign w:val="center"/>
          </w:tcPr>
          <w:p w:rsidR="00556C92" w:rsidRDefault="00556C92" w:rsidP="00556C92">
            <w:pPr>
              <w:jc w:val="both"/>
            </w:pPr>
            <w:r>
              <w:t>132,800</w:t>
            </w:r>
          </w:p>
        </w:tc>
      </w:tr>
      <w:tr w:rsidR="00556C92" w:rsidTr="00464AF0">
        <w:tc>
          <w:tcPr>
            <w:tcW w:w="1803" w:type="dxa"/>
            <w:vAlign w:val="center"/>
          </w:tcPr>
          <w:p w:rsidR="00556C92" w:rsidRDefault="00556C92" w:rsidP="00556C92">
            <w:pPr>
              <w:jc w:val="both"/>
            </w:pPr>
            <w:r>
              <w:t>Q3 Y2</w:t>
            </w:r>
          </w:p>
        </w:tc>
        <w:tc>
          <w:tcPr>
            <w:tcW w:w="1803" w:type="dxa"/>
            <w:vAlign w:val="center"/>
          </w:tcPr>
          <w:p w:rsidR="00556C92" w:rsidRDefault="00556C92" w:rsidP="00556C92">
            <w:pPr>
              <w:jc w:val="both"/>
            </w:pPr>
            <w:r>
              <w:t>425,000</w:t>
            </w:r>
          </w:p>
        </w:tc>
        <w:tc>
          <w:tcPr>
            <w:tcW w:w="1803" w:type="dxa"/>
            <w:vAlign w:val="center"/>
          </w:tcPr>
          <w:p w:rsidR="00556C92" w:rsidRDefault="00556C92" w:rsidP="00556C92">
            <w:pPr>
              <w:jc w:val="both"/>
            </w:pPr>
            <w:r>
              <w:t>205,000</w:t>
            </w:r>
          </w:p>
        </w:tc>
        <w:tc>
          <w:tcPr>
            <w:tcW w:w="1803" w:type="dxa"/>
            <w:vAlign w:val="center"/>
          </w:tcPr>
          <w:p w:rsidR="00556C92" w:rsidRDefault="00556C92" w:rsidP="00556C92">
            <w:pPr>
              <w:jc w:val="both"/>
            </w:pPr>
            <w:r>
              <w:t>220,000</w:t>
            </w:r>
          </w:p>
        </w:tc>
        <w:tc>
          <w:tcPr>
            <w:tcW w:w="1804" w:type="dxa"/>
            <w:vAlign w:val="center"/>
          </w:tcPr>
          <w:p w:rsidR="00556C92" w:rsidRDefault="00556C92" w:rsidP="00556C92">
            <w:pPr>
              <w:jc w:val="both"/>
            </w:pPr>
            <w:r>
              <w:t>175,600</w:t>
            </w:r>
          </w:p>
        </w:tc>
      </w:tr>
      <w:tr w:rsidR="00556C92" w:rsidTr="00464AF0">
        <w:tc>
          <w:tcPr>
            <w:tcW w:w="1803" w:type="dxa"/>
            <w:vAlign w:val="center"/>
          </w:tcPr>
          <w:p w:rsidR="00556C92" w:rsidRDefault="00556C92" w:rsidP="00556C92">
            <w:pPr>
              <w:jc w:val="both"/>
            </w:pPr>
            <w:r>
              <w:t>Q4 Y2</w:t>
            </w:r>
          </w:p>
        </w:tc>
        <w:tc>
          <w:tcPr>
            <w:tcW w:w="1803" w:type="dxa"/>
            <w:vAlign w:val="center"/>
          </w:tcPr>
          <w:p w:rsidR="00556C92" w:rsidRDefault="00556C92" w:rsidP="00556C92">
            <w:pPr>
              <w:jc w:val="both"/>
            </w:pPr>
            <w:r>
              <w:t>512,000</w:t>
            </w:r>
          </w:p>
        </w:tc>
        <w:tc>
          <w:tcPr>
            <w:tcW w:w="1803" w:type="dxa"/>
            <w:vAlign w:val="center"/>
          </w:tcPr>
          <w:p w:rsidR="00556C92" w:rsidRDefault="00556C92" w:rsidP="00556C92">
            <w:pPr>
              <w:jc w:val="both"/>
            </w:pPr>
            <w:r>
              <w:t>237,000</w:t>
            </w:r>
          </w:p>
        </w:tc>
        <w:tc>
          <w:tcPr>
            <w:tcW w:w="1803" w:type="dxa"/>
            <w:vAlign w:val="center"/>
          </w:tcPr>
          <w:p w:rsidR="00556C92" w:rsidRDefault="00556C92" w:rsidP="00556C92">
            <w:pPr>
              <w:jc w:val="both"/>
            </w:pPr>
            <w:r>
              <w:t>275,000</w:t>
            </w:r>
          </w:p>
        </w:tc>
        <w:tc>
          <w:tcPr>
            <w:tcW w:w="1804" w:type="dxa"/>
            <w:vAlign w:val="center"/>
          </w:tcPr>
          <w:p w:rsidR="00556C92" w:rsidRDefault="00556C92" w:rsidP="00556C92">
            <w:pPr>
              <w:jc w:val="both"/>
            </w:pPr>
            <w:r>
              <w:t>218,000</w:t>
            </w:r>
          </w:p>
        </w:tc>
      </w:tr>
    </w:tbl>
    <w:p w:rsidR="00556C92" w:rsidRPr="006E0F60" w:rsidRDefault="00556C92" w:rsidP="00556C92">
      <w:pPr>
        <w:jc w:val="both"/>
        <w:rPr>
          <w:b/>
          <w:bCs/>
          <w:lang w:val="en-IN"/>
        </w:rPr>
      </w:pPr>
    </w:p>
    <w:p w:rsidR="00556C92" w:rsidRPr="004660D6" w:rsidRDefault="00556C92" w:rsidP="00556C92">
      <w:pPr>
        <w:jc w:val="both"/>
        <w:rPr>
          <w:lang w:val="en-IN"/>
        </w:rPr>
      </w:pPr>
    </w:p>
    <w:p w:rsidR="00556C92" w:rsidRDefault="00556C92" w:rsidP="00556C92">
      <w:pPr>
        <w:jc w:val="both"/>
        <w:rPr>
          <w:b/>
          <w:bCs/>
        </w:rPr>
      </w:pPr>
      <w:r w:rsidRPr="004660D6">
        <w:rPr>
          <w:b/>
          <w:bCs/>
        </w:rPr>
        <w:t>Interpretation</w:t>
      </w:r>
    </w:p>
    <w:p w:rsidR="00556C92" w:rsidRPr="004660D6" w:rsidRDefault="00556C92" w:rsidP="00556C92">
      <w:pPr>
        <w:jc w:val="both"/>
      </w:pPr>
      <w:r w:rsidRPr="004660D6">
        <w:t xml:space="preserve">The platform breaks even in Month 9, which is much sooner than in the industry standards of 18 to 30 </w:t>
      </w:r>
      <w:r w:rsidRPr="00B44925">
        <w:t>months (CB Insights, 2024).</w:t>
      </w:r>
      <w:r w:rsidRPr="004660D6">
        <w:t xml:space="preserve"> This is achieved through: </w:t>
      </w:r>
    </w:p>
    <w:p w:rsidR="00556C92" w:rsidRPr="004660D6" w:rsidRDefault="00556C92" w:rsidP="00556C92">
      <w:pPr>
        <w:jc w:val="both"/>
      </w:pPr>
      <w:r w:rsidRPr="004660D6">
        <w:t>Lean staffing model.</w:t>
      </w:r>
    </w:p>
    <w:p w:rsidR="00556C92" w:rsidRPr="004660D6" w:rsidRDefault="00556C92" w:rsidP="00556C92">
      <w:pPr>
        <w:jc w:val="both"/>
      </w:pPr>
      <w:r w:rsidRPr="004660D6">
        <w:t>Cloud scalability.</w:t>
      </w:r>
    </w:p>
    <w:p w:rsidR="00556C92" w:rsidRPr="004660D6" w:rsidRDefault="00556C92" w:rsidP="00556C92">
      <w:pPr>
        <w:jc w:val="both"/>
      </w:pPr>
      <w:r w:rsidRPr="004660D6">
        <w:t xml:space="preserve">Diversification in hybrid revenues. </w:t>
      </w:r>
    </w:p>
    <w:p w:rsidR="00556C92" w:rsidRDefault="00556C92" w:rsidP="00556C92">
      <w:pPr>
        <w:jc w:val="both"/>
      </w:pPr>
      <w:r w:rsidRPr="004660D6">
        <w:t>High initial paid conversion.</w:t>
      </w:r>
    </w:p>
    <w:p w:rsidR="00556C92" w:rsidRDefault="00556C92" w:rsidP="00556C92">
      <w:pPr>
        <w:pStyle w:val="Heading1"/>
        <w:jc w:val="both"/>
      </w:pPr>
      <w:bookmarkStart w:id="51" w:name="_Toc220991348"/>
      <w:r w:rsidRPr="00A85BD4">
        <w:t>7.4 Cash Flow and Runway</w:t>
      </w:r>
      <w:bookmarkEnd w:id="51"/>
    </w:p>
    <w:p w:rsidR="00556C92" w:rsidRDefault="00556C92" w:rsidP="00556C92">
      <w:pPr>
        <w:jc w:val="both"/>
      </w:pPr>
      <w:r w:rsidRPr="00593689">
        <w:t xml:space="preserve">The management of cash flows is a very essential factor in digital platform ventures where revenues are slow to stabilize; and the initial costs of development are high. The lean MVP-first business structure of </w:t>
      </w:r>
      <w:proofErr w:type="spellStart"/>
      <w:r w:rsidRPr="00593689">
        <w:t>Discoul</w:t>
      </w:r>
      <w:proofErr w:type="spellEnd"/>
      <w:r w:rsidRPr="00593689">
        <w:t xml:space="preserve"> is supported by a founder capital investment of £50,000 to enable it to offer a controlled runway and then verify market demand before scaling.</w:t>
      </w:r>
    </w:p>
    <w:p w:rsidR="00556C92" w:rsidRDefault="00556C92" w:rsidP="00556C92">
      <w:pPr>
        <w:pStyle w:val="Heading2"/>
        <w:jc w:val="both"/>
      </w:pPr>
      <w:bookmarkStart w:id="52" w:name="_Toc220991349"/>
      <w:r w:rsidRPr="00593689">
        <w:t>7.4.1 Initial Capital Allocation</w:t>
      </w:r>
      <w:bookmarkEnd w:id="52"/>
    </w:p>
    <w:p w:rsidR="00556C92" w:rsidRDefault="00556C92" w:rsidP="00556C92">
      <w:pPr>
        <w:jc w:val="both"/>
      </w:pPr>
      <w:r w:rsidRPr="00593689">
        <w:t>The first sum of £50,000 would be used to cover 12-15 months of runway, as per lean startup principles.</w:t>
      </w:r>
    </w:p>
    <w:tbl>
      <w:tblPr>
        <w:tblStyle w:val="TableGrid"/>
        <w:tblW w:w="0" w:type="auto"/>
        <w:tblLook w:val="04A0" w:firstRow="1" w:lastRow="0" w:firstColumn="1" w:lastColumn="0" w:noHBand="0" w:noVBand="1"/>
      </w:tblPr>
      <w:tblGrid>
        <w:gridCol w:w="2253"/>
        <w:gridCol w:w="2254"/>
        <w:gridCol w:w="2254"/>
      </w:tblGrid>
      <w:tr w:rsidR="00556C92" w:rsidTr="00464AF0">
        <w:tc>
          <w:tcPr>
            <w:tcW w:w="2253" w:type="dxa"/>
            <w:vAlign w:val="center"/>
          </w:tcPr>
          <w:p w:rsidR="00556C92" w:rsidRDefault="00556C92" w:rsidP="00556C92">
            <w:pPr>
              <w:jc w:val="both"/>
              <w:rPr>
                <w:b/>
                <w:bCs/>
                <w:lang w:val="en-IN"/>
              </w:rPr>
            </w:pPr>
            <w:r>
              <w:rPr>
                <w:b/>
                <w:bCs/>
              </w:rPr>
              <w:t>Use of Funds</w:t>
            </w:r>
          </w:p>
        </w:tc>
        <w:tc>
          <w:tcPr>
            <w:tcW w:w="2254" w:type="dxa"/>
            <w:vAlign w:val="center"/>
          </w:tcPr>
          <w:p w:rsidR="00556C92" w:rsidRDefault="00556C92" w:rsidP="00556C92">
            <w:pPr>
              <w:jc w:val="both"/>
              <w:rPr>
                <w:b/>
                <w:bCs/>
              </w:rPr>
            </w:pPr>
            <w:r>
              <w:rPr>
                <w:b/>
                <w:bCs/>
              </w:rPr>
              <w:t>Amount (£)</w:t>
            </w:r>
          </w:p>
        </w:tc>
        <w:tc>
          <w:tcPr>
            <w:tcW w:w="2254" w:type="dxa"/>
            <w:vAlign w:val="center"/>
          </w:tcPr>
          <w:p w:rsidR="00556C92" w:rsidRDefault="00556C92" w:rsidP="00556C92">
            <w:pPr>
              <w:jc w:val="both"/>
              <w:rPr>
                <w:b/>
                <w:bCs/>
              </w:rPr>
            </w:pPr>
            <w:r>
              <w:rPr>
                <w:b/>
                <w:bCs/>
              </w:rPr>
              <w:t>% of Total</w:t>
            </w:r>
          </w:p>
        </w:tc>
      </w:tr>
      <w:tr w:rsidR="00556C92" w:rsidTr="00464AF0">
        <w:tc>
          <w:tcPr>
            <w:tcW w:w="2253" w:type="dxa"/>
            <w:vAlign w:val="center"/>
          </w:tcPr>
          <w:p w:rsidR="00556C92" w:rsidRDefault="00556C92" w:rsidP="00556C92">
            <w:pPr>
              <w:jc w:val="both"/>
            </w:pPr>
            <w:r>
              <w:t>Platform development (MVP)</w:t>
            </w:r>
          </w:p>
        </w:tc>
        <w:tc>
          <w:tcPr>
            <w:tcW w:w="2254" w:type="dxa"/>
            <w:vAlign w:val="center"/>
          </w:tcPr>
          <w:p w:rsidR="00556C92" w:rsidRDefault="00556C92" w:rsidP="00556C92">
            <w:pPr>
              <w:jc w:val="both"/>
            </w:pPr>
            <w:r>
              <w:t>14,500</w:t>
            </w:r>
          </w:p>
        </w:tc>
        <w:tc>
          <w:tcPr>
            <w:tcW w:w="2254" w:type="dxa"/>
            <w:vAlign w:val="center"/>
          </w:tcPr>
          <w:p w:rsidR="00556C92" w:rsidRDefault="00556C92" w:rsidP="00556C92">
            <w:pPr>
              <w:jc w:val="both"/>
            </w:pPr>
            <w:r>
              <w:t>29%</w:t>
            </w:r>
          </w:p>
        </w:tc>
      </w:tr>
      <w:tr w:rsidR="00556C92" w:rsidTr="00464AF0">
        <w:tc>
          <w:tcPr>
            <w:tcW w:w="2253" w:type="dxa"/>
            <w:vAlign w:val="center"/>
          </w:tcPr>
          <w:p w:rsidR="00556C92" w:rsidRDefault="00556C92" w:rsidP="00556C92">
            <w:pPr>
              <w:jc w:val="both"/>
            </w:pPr>
            <w:r>
              <w:t>Cloud &amp; infrastructure</w:t>
            </w:r>
          </w:p>
        </w:tc>
        <w:tc>
          <w:tcPr>
            <w:tcW w:w="2254" w:type="dxa"/>
            <w:vAlign w:val="center"/>
          </w:tcPr>
          <w:p w:rsidR="00556C92" w:rsidRDefault="00556C92" w:rsidP="00556C92">
            <w:pPr>
              <w:jc w:val="both"/>
            </w:pPr>
            <w:r>
              <w:t>5,200</w:t>
            </w:r>
          </w:p>
        </w:tc>
        <w:tc>
          <w:tcPr>
            <w:tcW w:w="2254" w:type="dxa"/>
            <w:vAlign w:val="center"/>
          </w:tcPr>
          <w:p w:rsidR="00556C92" w:rsidRDefault="00556C92" w:rsidP="00556C92">
            <w:pPr>
              <w:jc w:val="both"/>
            </w:pPr>
            <w:r>
              <w:t>10%</w:t>
            </w:r>
          </w:p>
        </w:tc>
      </w:tr>
      <w:tr w:rsidR="00556C92" w:rsidTr="00464AF0">
        <w:tc>
          <w:tcPr>
            <w:tcW w:w="2253" w:type="dxa"/>
            <w:vAlign w:val="center"/>
          </w:tcPr>
          <w:p w:rsidR="00556C92" w:rsidRDefault="00556C92" w:rsidP="00556C92">
            <w:pPr>
              <w:jc w:val="both"/>
            </w:pPr>
            <w:r>
              <w:t>Marketing &amp; growth</w:t>
            </w:r>
          </w:p>
        </w:tc>
        <w:tc>
          <w:tcPr>
            <w:tcW w:w="2254" w:type="dxa"/>
            <w:vAlign w:val="center"/>
          </w:tcPr>
          <w:p w:rsidR="00556C92" w:rsidRDefault="00556C92" w:rsidP="00556C92">
            <w:pPr>
              <w:jc w:val="both"/>
            </w:pPr>
            <w:r>
              <w:t>9,000</w:t>
            </w:r>
          </w:p>
        </w:tc>
        <w:tc>
          <w:tcPr>
            <w:tcW w:w="2254" w:type="dxa"/>
            <w:vAlign w:val="center"/>
          </w:tcPr>
          <w:p w:rsidR="00556C92" w:rsidRDefault="00556C92" w:rsidP="00556C92">
            <w:pPr>
              <w:jc w:val="both"/>
            </w:pPr>
            <w:r>
              <w:t>18%</w:t>
            </w:r>
          </w:p>
        </w:tc>
      </w:tr>
      <w:tr w:rsidR="00556C92" w:rsidTr="00464AF0">
        <w:tc>
          <w:tcPr>
            <w:tcW w:w="2253" w:type="dxa"/>
            <w:vAlign w:val="center"/>
          </w:tcPr>
          <w:p w:rsidR="00556C92" w:rsidRDefault="00556C92" w:rsidP="00556C92">
            <w:pPr>
              <w:jc w:val="both"/>
            </w:pPr>
            <w:r>
              <w:t>Legal, licences &amp; compliance</w:t>
            </w:r>
          </w:p>
        </w:tc>
        <w:tc>
          <w:tcPr>
            <w:tcW w:w="2254" w:type="dxa"/>
            <w:vAlign w:val="center"/>
          </w:tcPr>
          <w:p w:rsidR="00556C92" w:rsidRDefault="00556C92" w:rsidP="00556C92">
            <w:pPr>
              <w:jc w:val="both"/>
            </w:pPr>
            <w:r>
              <w:t>3,800</w:t>
            </w:r>
          </w:p>
        </w:tc>
        <w:tc>
          <w:tcPr>
            <w:tcW w:w="2254" w:type="dxa"/>
            <w:vAlign w:val="center"/>
          </w:tcPr>
          <w:p w:rsidR="00556C92" w:rsidRDefault="00556C92" w:rsidP="00556C92">
            <w:pPr>
              <w:jc w:val="both"/>
            </w:pPr>
            <w:r>
              <w:t>8%</w:t>
            </w:r>
          </w:p>
        </w:tc>
      </w:tr>
      <w:tr w:rsidR="00556C92" w:rsidTr="00464AF0">
        <w:tc>
          <w:tcPr>
            <w:tcW w:w="2253" w:type="dxa"/>
            <w:vAlign w:val="center"/>
          </w:tcPr>
          <w:p w:rsidR="00556C92" w:rsidRDefault="00556C92" w:rsidP="00556C92">
            <w:pPr>
              <w:jc w:val="both"/>
            </w:pPr>
            <w:r>
              <w:t>Operations &amp; admin</w:t>
            </w:r>
          </w:p>
        </w:tc>
        <w:tc>
          <w:tcPr>
            <w:tcW w:w="2254" w:type="dxa"/>
            <w:vAlign w:val="center"/>
          </w:tcPr>
          <w:p w:rsidR="00556C92" w:rsidRDefault="00556C92" w:rsidP="00556C92">
            <w:pPr>
              <w:jc w:val="both"/>
            </w:pPr>
            <w:r>
              <w:t>6,500</w:t>
            </w:r>
          </w:p>
        </w:tc>
        <w:tc>
          <w:tcPr>
            <w:tcW w:w="2254" w:type="dxa"/>
            <w:vAlign w:val="center"/>
          </w:tcPr>
          <w:p w:rsidR="00556C92" w:rsidRDefault="00556C92" w:rsidP="00556C92">
            <w:pPr>
              <w:jc w:val="both"/>
            </w:pPr>
            <w:r>
              <w:t>13%</w:t>
            </w:r>
          </w:p>
        </w:tc>
      </w:tr>
      <w:tr w:rsidR="00556C92" w:rsidTr="00464AF0">
        <w:tc>
          <w:tcPr>
            <w:tcW w:w="2253" w:type="dxa"/>
            <w:vAlign w:val="center"/>
          </w:tcPr>
          <w:p w:rsidR="00556C92" w:rsidRDefault="00556C92" w:rsidP="00556C92">
            <w:pPr>
              <w:jc w:val="both"/>
            </w:pPr>
            <w:r>
              <w:t>Contingency reserve</w:t>
            </w:r>
          </w:p>
        </w:tc>
        <w:tc>
          <w:tcPr>
            <w:tcW w:w="2254" w:type="dxa"/>
            <w:vAlign w:val="center"/>
          </w:tcPr>
          <w:p w:rsidR="00556C92" w:rsidRDefault="00556C92" w:rsidP="00556C92">
            <w:pPr>
              <w:jc w:val="both"/>
            </w:pPr>
            <w:r>
              <w:t>11,000</w:t>
            </w:r>
          </w:p>
        </w:tc>
        <w:tc>
          <w:tcPr>
            <w:tcW w:w="2254" w:type="dxa"/>
            <w:vAlign w:val="center"/>
          </w:tcPr>
          <w:p w:rsidR="00556C92" w:rsidRDefault="00556C92" w:rsidP="00556C92">
            <w:pPr>
              <w:jc w:val="both"/>
            </w:pPr>
            <w:r>
              <w:t>22%</w:t>
            </w:r>
          </w:p>
        </w:tc>
      </w:tr>
      <w:tr w:rsidR="00556C92" w:rsidTr="00464AF0">
        <w:tc>
          <w:tcPr>
            <w:tcW w:w="2253" w:type="dxa"/>
            <w:vAlign w:val="center"/>
          </w:tcPr>
          <w:p w:rsidR="00556C92" w:rsidRDefault="00556C92" w:rsidP="00556C92">
            <w:pPr>
              <w:jc w:val="both"/>
            </w:pPr>
            <w:r>
              <w:rPr>
                <w:rStyle w:val="Strong"/>
              </w:rPr>
              <w:t>Total</w:t>
            </w:r>
          </w:p>
        </w:tc>
        <w:tc>
          <w:tcPr>
            <w:tcW w:w="2254" w:type="dxa"/>
            <w:vAlign w:val="center"/>
          </w:tcPr>
          <w:p w:rsidR="00556C92" w:rsidRDefault="00556C92" w:rsidP="00556C92">
            <w:pPr>
              <w:jc w:val="both"/>
            </w:pPr>
            <w:r>
              <w:rPr>
                <w:rStyle w:val="Strong"/>
              </w:rPr>
              <w:t>50,000</w:t>
            </w:r>
          </w:p>
        </w:tc>
        <w:tc>
          <w:tcPr>
            <w:tcW w:w="2254" w:type="dxa"/>
            <w:vAlign w:val="center"/>
          </w:tcPr>
          <w:p w:rsidR="00556C92" w:rsidRDefault="00556C92" w:rsidP="00556C92">
            <w:pPr>
              <w:jc w:val="both"/>
            </w:pPr>
            <w:r>
              <w:rPr>
                <w:rStyle w:val="Strong"/>
              </w:rPr>
              <w:t>100%</w:t>
            </w:r>
          </w:p>
        </w:tc>
      </w:tr>
    </w:tbl>
    <w:p w:rsidR="00556C92" w:rsidRDefault="00556C92" w:rsidP="00556C92">
      <w:pPr>
        <w:jc w:val="both"/>
      </w:pPr>
    </w:p>
    <w:p w:rsidR="00556C92" w:rsidRDefault="00556C92" w:rsidP="00556C92">
      <w:pPr>
        <w:jc w:val="both"/>
      </w:pPr>
      <w:r w:rsidRPr="00593689">
        <w:lastRenderedPageBreak/>
        <w:t>The contingency reserve is quite high to accommodate delays in licensing, onboarding of artists or infrastructure spikes, and is a sign of sound financial management that should be seen at Level 7.</w:t>
      </w:r>
    </w:p>
    <w:p w:rsidR="00556C92" w:rsidRDefault="00556C92" w:rsidP="00556C92">
      <w:pPr>
        <w:pStyle w:val="Heading2"/>
        <w:jc w:val="both"/>
      </w:pPr>
      <w:bookmarkStart w:id="53" w:name="_Toc220991350"/>
      <w:r w:rsidRPr="00593689">
        <w:t>7.4.2 Monthly Cash Burn and Runway</w:t>
      </w:r>
      <w:bookmarkEnd w:id="53"/>
    </w:p>
    <w:tbl>
      <w:tblPr>
        <w:tblStyle w:val="TableGrid"/>
        <w:tblW w:w="0" w:type="auto"/>
        <w:tblLook w:val="04A0" w:firstRow="1" w:lastRow="0" w:firstColumn="1" w:lastColumn="0" w:noHBand="0" w:noVBand="1"/>
      </w:tblPr>
      <w:tblGrid>
        <w:gridCol w:w="1803"/>
        <w:gridCol w:w="1803"/>
        <w:gridCol w:w="1803"/>
        <w:gridCol w:w="1803"/>
        <w:gridCol w:w="1804"/>
      </w:tblGrid>
      <w:tr w:rsidR="00556C92" w:rsidTr="00464AF0">
        <w:tc>
          <w:tcPr>
            <w:tcW w:w="1803" w:type="dxa"/>
            <w:vAlign w:val="center"/>
          </w:tcPr>
          <w:p w:rsidR="00556C92" w:rsidRDefault="00556C92" w:rsidP="00556C92">
            <w:pPr>
              <w:jc w:val="both"/>
              <w:rPr>
                <w:b/>
                <w:bCs/>
                <w:lang w:val="en-IN"/>
              </w:rPr>
            </w:pPr>
            <w:r>
              <w:rPr>
                <w:b/>
                <w:bCs/>
              </w:rPr>
              <w:t>Month</w:t>
            </w:r>
          </w:p>
        </w:tc>
        <w:tc>
          <w:tcPr>
            <w:tcW w:w="1803" w:type="dxa"/>
            <w:vAlign w:val="center"/>
          </w:tcPr>
          <w:p w:rsidR="00556C92" w:rsidRDefault="00556C92" w:rsidP="00556C92">
            <w:pPr>
              <w:jc w:val="both"/>
              <w:rPr>
                <w:b/>
                <w:bCs/>
              </w:rPr>
            </w:pPr>
            <w:r>
              <w:rPr>
                <w:b/>
                <w:bCs/>
              </w:rPr>
              <w:t>Inflow (£)</w:t>
            </w:r>
          </w:p>
        </w:tc>
        <w:tc>
          <w:tcPr>
            <w:tcW w:w="1803" w:type="dxa"/>
            <w:vAlign w:val="center"/>
          </w:tcPr>
          <w:p w:rsidR="00556C92" w:rsidRDefault="00556C92" w:rsidP="00556C92">
            <w:pPr>
              <w:jc w:val="both"/>
              <w:rPr>
                <w:b/>
                <w:bCs/>
              </w:rPr>
            </w:pPr>
            <w:r>
              <w:rPr>
                <w:b/>
                <w:bCs/>
              </w:rPr>
              <w:t>Outflow (£)</w:t>
            </w:r>
          </w:p>
        </w:tc>
        <w:tc>
          <w:tcPr>
            <w:tcW w:w="1803" w:type="dxa"/>
            <w:vAlign w:val="center"/>
          </w:tcPr>
          <w:p w:rsidR="00556C92" w:rsidRDefault="00556C92" w:rsidP="00556C92">
            <w:pPr>
              <w:jc w:val="both"/>
              <w:rPr>
                <w:b/>
                <w:bCs/>
              </w:rPr>
            </w:pPr>
            <w:r>
              <w:rPr>
                <w:b/>
                <w:bCs/>
              </w:rPr>
              <w:t>Net Cash Flow (£)</w:t>
            </w:r>
          </w:p>
        </w:tc>
        <w:tc>
          <w:tcPr>
            <w:tcW w:w="1804" w:type="dxa"/>
            <w:vAlign w:val="center"/>
          </w:tcPr>
          <w:p w:rsidR="00556C92" w:rsidRDefault="00556C92" w:rsidP="00556C92">
            <w:pPr>
              <w:jc w:val="both"/>
              <w:rPr>
                <w:b/>
                <w:bCs/>
              </w:rPr>
            </w:pPr>
            <w:r>
              <w:rPr>
                <w:b/>
                <w:bCs/>
              </w:rPr>
              <w:t>Cumulative Cash (£)</w:t>
            </w:r>
          </w:p>
        </w:tc>
      </w:tr>
      <w:tr w:rsidR="00556C92" w:rsidTr="00464AF0">
        <w:tc>
          <w:tcPr>
            <w:tcW w:w="1803" w:type="dxa"/>
            <w:vAlign w:val="center"/>
          </w:tcPr>
          <w:p w:rsidR="00556C92" w:rsidRDefault="00556C92" w:rsidP="00556C92">
            <w:pPr>
              <w:jc w:val="both"/>
            </w:pPr>
            <w:r>
              <w:t>1</w:t>
            </w:r>
          </w:p>
        </w:tc>
        <w:tc>
          <w:tcPr>
            <w:tcW w:w="1803" w:type="dxa"/>
            <w:vAlign w:val="center"/>
          </w:tcPr>
          <w:p w:rsidR="00556C92" w:rsidRDefault="00556C92" w:rsidP="00556C92">
            <w:pPr>
              <w:jc w:val="both"/>
            </w:pPr>
            <w:r>
              <w:t>0</w:t>
            </w:r>
          </w:p>
        </w:tc>
        <w:tc>
          <w:tcPr>
            <w:tcW w:w="1803" w:type="dxa"/>
            <w:vAlign w:val="center"/>
          </w:tcPr>
          <w:p w:rsidR="00556C92" w:rsidRDefault="00556C92" w:rsidP="00556C92">
            <w:pPr>
              <w:jc w:val="both"/>
            </w:pPr>
            <w:r>
              <w:t>6,800</w:t>
            </w:r>
          </w:p>
        </w:tc>
        <w:tc>
          <w:tcPr>
            <w:tcW w:w="1803" w:type="dxa"/>
            <w:vAlign w:val="center"/>
          </w:tcPr>
          <w:p w:rsidR="00556C92" w:rsidRDefault="00556C92" w:rsidP="00556C92">
            <w:pPr>
              <w:jc w:val="both"/>
            </w:pPr>
            <w:r>
              <w:t>-6,800</w:t>
            </w:r>
          </w:p>
        </w:tc>
        <w:tc>
          <w:tcPr>
            <w:tcW w:w="1804" w:type="dxa"/>
            <w:vAlign w:val="center"/>
          </w:tcPr>
          <w:p w:rsidR="00556C92" w:rsidRDefault="00556C92" w:rsidP="00556C92">
            <w:pPr>
              <w:jc w:val="both"/>
            </w:pPr>
            <w:r>
              <w:t>43,200</w:t>
            </w:r>
          </w:p>
        </w:tc>
      </w:tr>
      <w:tr w:rsidR="00556C92" w:rsidTr="00464AF0">
        <w:tc>
          <w:tcPr>
            <w:tcW w:w="1803" w:type="dxa"/>
            <w:vAlign w:val="center"/>
          </w:tcPr>
          <w:p w:rsidR="00556C92" w:rsidRDefault="00556C92" w:rsidP="00556C92">
            <w:pPr>
              <w:jc w:val="both"/>
            </w:pPr>
            <w:r>
              <w:t>3</w:t>
            </w:r>
          </w:p>
        </w:tc>
        <w:tc>
          <w:tcPr>
            <w:tcW w:w="1803" w:type="dxa"/>
            <w:vAlign w:val="center"/>
          </w:tcPr>
          <w:p w:rsidR="00556C92" w:rsidRDefault="00556C92" w:rsidP="00556C92">
            <w:pPr>
              <w:jc w:val="both"/>
            </w:pPr>
            <w:r>
              <w:t>2,900</w:t>
            </w:r>
          </w:p>
        </w:tc>
        <w:tc>
          <w:tcPr>
            <w:tcW w:w="1803" w:type="dxa"/>
            <w:vAlign w:val="center"/>
          </w:tcPr>
          <w:p w:rsidR="00556C92" w:rsidRDefault="00556C92" w:rsidP="00556C92">
            <w:pPr>
              <w:jc w:val="both"/>
            </w:pPr>
            <w:r>
              <w:t>7,200</w:t>
            </w:r>
          </w:p>
        </w:tc>
        <w:tc>
          <w:tcPr>
            <w:tcW w:w="1803" w:type="dxa"/>
            <w:vAlign w:val="center"/>
          </w:tcPr>
          <w:p w:rsidR="00556C92" w:rsidRDefault="00556C92" w:rsidP="00556C92">
            <w:pPr>
              <w:jc w:val="both"/>
            </w:pPr>
            <w:r>
              <w:t>-4,300</w:t>
            </w:r>
          </w:p>
        </w:tc>
        <w:tc>
          <w:tcPr>
            <w:tcW w:w="1804" w:type="dxa"/>
            <w:vAlign w:val="center"/>
          </w:tcPr>
          <w:p w:rsidR="00556C92" w:rsidRDefault="00556C92" w:rsidP="00556C92">
            <w:pPr>
              <w:jc w:val="both"/>
            </w:pPr>
            <w:r>
              <w:t>32,100</w:t>
            </w:r>
          </w:p>
        </w:tc>
      </w:tr>
      <w:tr w:rsidR="00556C92" w:rsidTr="00464AF0">
        <w:tc>
          <w:tcPr>
            <w:tcW w:w="1803" w:type="dxa"/>
            <w:vAlign w:val="center"/>
          </w:tcPr>
          <w:p w:rsidR="00556C92" w:rsidRDefault="00556C92" w:rsidP="00556C92">
            <w:pPr>
              <w:jc w:val="both"/>
            </w:pPr>
            <w:r>
              <w:t>6</w:t>
            </w:r>
          </w:p>
        </w:tc>
        <w:tc>
          <w:tcPr>
            <w:tcW w:w="1803" w:type="dxa"/>
            <w:vAlign w:val="center"/>
          </w:tcPr>
          <w:p w:rsidR="00556C92" w:rsidRDefault="00556C92" w:rsidP="00556C92">
            <w:pPr>
              <w:jc w:val="both"/>
            </w:pPr>
            <w:r>
              <w:t>12,400</w:t>
            </w:r>
          </w:p>
        </w:tc>
        <w:tc>
          <w:tcPr>
            <w:tcW w:w="1803" w:type="dxa"/>
            <w:vAlign w:val="center"/>
          </w:tcPr>
          <w:p w:rsidR="00556C92" w:rsidRDefault="00556C92" w:rsidP="00556C92">
            <w:pPr>
              <w:jc w:val="both"/>
            </w:pPr>
            <w:r>
              <w:t>9,500</w:t>
            </w:r>
          </w:p>
        </w:tc>
        <w:tc>
          <w:tcPr>
            <w:tcW w:w="1803" w:type="dxa"/>
            <w:vAlign w:val="center"/>
          </w:tcPr>
          <w:p w:rsidR="00556C92" w:rsidRDefault="00556C92" w:rsidP="00556C92">
            <w:pPr>
              <w:jc w:val="both"/>
            </w:pPr>
            <w:r>
              <w:t>+2,900</w:t>
            </w:r>
          </w:p>
        </w:tc>
        <w:tc>
          <w:tcPr>
            <w:tcW w:w="1804" w:type="dxa"/>
            <w:vAlign w:val="center"/>
          </w:tcPr>
          <w:p w:rsidR="00556C92" w:rsidRDefault="00556C92" w:rsidP="00556C92">
            <w:pPr>
              <w:jc w:val="both"/>
            </w:pPr>
            <w:r>
              <w:t>28,600</w:t>
            </w:r>
          </w:p>
        </w:tc>
      </w:tr>
      <w:tr w:rsidR="00556C92" w:rsidTr="00464AF0">
        <w:tc>
          <w:tcPr>
            <w:tcW w:w="1803" w:type="dxa"/>
            <w:vAlign w:val="center"/>
          </w:tcPr>
          <w:p w:rsidR="00556C92" w:rsidRDefault="00556C92" w:rsidP="00556C92">
            <w:pPr>
              <w:jc w:val="both"/>
            </w:pPr>
            <w:r>
              <w:t>9</w:t>
            </w:r>
          </w:p>
        </w:tc>
        <w:tc>
          <w:tcPr>
            <w:tcW w:w="1803" w:type="dxa"/>
            <w:vAlign w:val="center"/>
          </w:tcPr>
          <w:p w:rsidR="00556C92" w:rsidRDefault="00556C92" w:rsidP="00556C92">
            <w:pPr>
              <w:jc w:val="both"/>
            </w:pPr>
            <w:r>
              <w:t>28,000</w:t>
            </w:r>
          </w:p>
        </w:tc>
        <w:tc>
          <w:tcPr>
            <w:tcW w:w="1803" w:type="dxa"/>
            <w:vAlign w:val="center"/>
          </w:tcPr>
          <w:p w:rsidR="00556C92" w:rsidRDefault="00556C92" w:rsidP="00556C92">
            <w:pPr>
              <w:jc w:val="both"/>
            </w:pPr>
            <w:r>
              <w:t>12,000</w:t>
            </w:r>
          </w:p>
        </w:tc>
        <w:tc>
          <w:tcPr>
            <w:tcW w:w="1803" w:type="dxa"/>
            <w:vAlign w:val="center"/>
          </w:tcPr>
          <w:p w:rsidR="00556C92" w:rsidRDefault="00556C92" w:rsidP="00556C92">
            <w:pPr>
              <w:jc w:val="both"/>
            </w:pPr>
            <w:r>
              <w:t>+16,000</w:t>
            </w:r>
          </w:p>
        </w:tc>
        <w:tc>
          <w:tcPr>
            <w:tcW w:w="1804" w:type="dxa"/>
            <w:vAlign w:val="center"/>
          </w:tcPr>
          <w:p w:rsidR="00556C92" w:rsidRDefault="00556C92" w:rsidP="00556C92">
            <w:pPr>
              <w:jc w:val="both"/>
            </w:pPr>
            <w:r>
              <w:t>41,200</w:t>
            </w:r>
          </w:p>
        </w:tc>
      </w:tr>
      <w:tr w:rsidR="00556C92" w:rsidTr="00464AF0">
        <w:tc>
          <w:tcPr>
            <w:tcW w:w="1803" w:type="dxa"/>
            <w:vAlign w:val="center"/>
          </w:tcPr>
          <w:p w:rsidR="00556C92" w:rsidRDefault="00556C92" w:rsidP="00556C92">
            <w:pPr>
              <w:jc w:val="both"/>
            </w:pPr>
            <w:r>
              <w:t>12</w:t>
            </w:r>
          </w:p>
        </w:tc>
        <w:tc>
          <w:tcPr>
            <w:tcW w:w="1803" w:type="dxa"/>
            <w:vAlign w:val="center"/>
          </w:tcPr>
          <w:p w:rsidR="00556C92" w:rsidRDefault="00556C92" w:rsidP="00556C92">
            <w:pPr>
              <w:jc w:val="both"/>
            </w:pPr>
            <w:r>
              <w:t>44,000</w:t>
            </w:r>
          </w:p>
        </w:tc>
        <w:tc>
          <w:tcPr>
            <w:tcW w:w="1803" w:type="dxa"/>
            <w:vAlign w:val="center"/>
          </w:tcPr>
          <w:p w:rsidR="00556C92" w:rsidRDefault="00556C92" w:rsidP="00556C92">
            <w:pPr>
              <w:jc w:val="both"/>
            </w:pPr>
            <w:r>
              <w:t>15,400</w:t>
            </w:r>
          </w:p>
        </w:tc>
        <w:tc>
          <w:tcPr>
            <w:tcW w:w="1803" w:type="dxa"/>
            <w:vAlign w:val="center"/>
          </w:tcPr>
          <w:p w:rsidR="00556C92" w:rsidRDefault="00556C92" w:rsidP="00556C92">
            <w:pPr>
              <w:jc w:val="both"/>
            </w:pPr>
            <w:r>
              <w:t>+28,600</w:t>
            </w:r>
          </w:p>
        </w:tc>
        <w:tc>
          <w:tcPr>
            <w:tcW w:w="1804" w:type="dxa"/>
            <w:vAlign w:val="center"/>
          </w:tcPr>
          <w:p w:rsidR="00556C92" w:rsidRDefault="00556C92" w:rsidP="00556C92">
            <w:pPr>
              <w:jc w:val="both"/>
            </w:pPr>
            <w:r>
              <w:t>78,400</w:t>
            </w:r>
          </w:p>
        </w:tc>
      </w:tr>
      <w:tr w:rsidR="00556C92" w:rsidTr="00464AF0">
        <w:tc>
          <w:tcPr>
            <w:tcW w:w="1803" w:type="dxa"/>
            <w:vAlign w:val="center"/>
          </w:tcPr>
          <w:p w:rsidR="00556C92" w:rsidRDefault="00556C92" w:rsidP="00556C92">
            <w:pPr>
              <w:jc w:val="both"/>
            </w:pPr>
            <w:r>
              <w:t>18</w:t>
            </w:r>
          </w:p>
        </w:tc>
        <w:tc>
          <w:tcPr>
            <w:tcW w:w="1803" w:type="dxa"/>
            <w:vAlign w:val="center"/>
          </w:tcPr>
          <w:p w:rsidR="00556C92" w:rsidRDefault="00556C92" w:rsidP="00556C92">
            <w:pPr>
              <w:jc w:val="both"/>
            </w:pPr>
            <w:r>
              <w:t>82,000</w:t>
            </w:r>
          </w:p>
        </w:tc>
        <w:tc>
          <w:tcPr>
            <w:tcW w:w="1803" w:type="dxa"/>
            <w:vAlign w:val="center"/>
          </w:tcPr>
          <w:p w:rsidR="00556C92" w:rsidRDefault="00556C92" w:rsidP="00556C92">
            <w:pPr>
              <w:jc w:val="both"/>
            </w:pPr>
            <w:r>
              <w:t>23,000</w:t>
            </w:r>
          </w:p>
        </w:tc>
        <w:tc>
          <w:tcPr>
            <w:tcW w:w="1803" w:type="dxa"/>
            <w:vAlign w:val="center"/>
          </w:tcPr>
          <w:p w:rsidR="00556C92" w:rsidRDefault="00556C92" w:rsidP="00556C92">
            <w:pPr>
              <w:jc w:val="both"/>
            </w:pPr>
            <w:r>
              <w:t>+59,000</w:t>
            </w:r>
          </w:p>
        </w:tc>
        <w:tc>
          <w:tcPr>
            <w:tcW w:w="1804" w:type="dxa"/>
            <w:vAlign w:val="center"/>
          </w:tcPr>
          <w:p w:rsidR="00556C92" w:rsidRDefault="00556C92" w:rsidP="00556C92">
            <w:pPr>
              <w:jc w:val="both"/>
            </w:pPr>
            <w:r>
              <w:t>151,200</w:t>
            </w:r>
          </w:p>
        </w:tc>
      </w:tr>
      <w:tr w:rsidR="00556C92" w:rsidTr="00464AF0">
        <w:tc>
          <w:tcPr>
            <w:tcW w:w="1803" w:type="dxa"/>
            <w:vAlign w:val="center"/>
          </w:tcPr>
          <w:p w:rsidR="00556C92" w:rsidRDefault="00556C92" w:rsidP="00556C92">
            <w:pPr>
              <w:jc w:val="both"/>
            </w:pPr>
            <w:r>
              <w:t>24</w:t>
            </w:r>
          </w:p>
        </w:tc>
        <w:tc>
          <w:tcPr>
            <w:tcW w:w="1803" w:type="dxa"/>
            <w:vAlign w:val="center"/>
          </w:tcPr>
          <w:p w:rsidR="00556C92" w:rsidRDefault="00556C92" w:rsidP="00556C92">
            <w:pPr>
              <w:jc w:val="both"/>
            </w:pPr>
            <w:r>
              <w:t>128,000</w:t>
            </w:r>
          </w:p>
        </w:tc>
        <w:tc>
          <w:tcPr>
            <w:tcW w:w="1803" w:type="dxa"/>
            <w:vAlign w:val="center"/>
          </w:tcPr>
          <w:p w:rsidR="00556C92" w:rsidRDefault="00556C92" w:rsidP="00556C92">
            <w:pPr>
              <w:jc w:val="both"/>
            </w:pPr>
            <w:r>
              <w:t>31,000</w:t>
            </w:r>
          </w:p>
        </w:tc>
        <w:tc>
          <w:tcPr>
            <w:tcW w:w="1803" w:type="dxa"/>
            <w:vAlign w:val="center"/>
          </w:tcPr>
          <w:p w:rsidR="00556C92" w:rsidRDefault="00556C92" w:rsidP="00556C92">
            <w:pPr>
              <w:jc w:val="both"/>
            </w:pPr>
            <w:r>
              <w:t>+97,000</w:t>
            </w:r>
          </w:p>
        </w:tc>
        <w:tc>
          <w:tcPr>
            <w:tcW w:w="1804" w:type="dxa"/>
            <w:vAlign w:val="center"/>
          </w:tcPr>
          <w:p w:rsidR="00556C92" w:rsidRDefault="00556C92" w:rsidP="00556C92">
            <w:pPr>
              <w:jc w:val="both"/>
            </w:pPr>
            <w:r>
              <w:t>314,800</w:t>
            </w:r>
          </w:p>
        </w:tc>
      </w:tr>
    </w:tbl>
    <w:p w:rsidR="00556C92" w:rsidRDefault="00556C92" w:rsidP="00556C92">
      <w:pPr>
        <w:jc w:val="both"/>
        <w:rPr>
          <w:b/>
          <w:bCs/>
        </w:rPr>
      </w:pPr>
    </w:p>
    <w:p w:rsidR="00556C92" w:rsidRDefault="00556C92" w:rsidP="00556C92">
      <w:pPr>
        <w:jc w:val="both"/>
        <w:rPr>
          <w:b/>
          <w:bCs/>
        </w:rPr>
      </w:pPr>
      <w:r w:rsidRPr="00593689">
        <w:rPr>
          <w:b/>
          <w:bCs/>
        </w:rPr>
        <w:t>Interpretation</w:t>
      </w:r>
    </w:p>
    <w:p w:rsidR="00556C92" w:rsidRPr="00E7050C" w:rsidRDefault="00556C92" w:rsidP="00556C92">
      <w:pPr>
        <w:jc w:val="both"/>
        <w:rPr>
          <w:lang w:val="en-IN"/>
        </w:rPr>
      </w:pPr>
      <w:r w:rsidRPr="00593689">
        <w:t xml:space="preserve">The model indicates that the operations would be cash positive as early as Month 8, without requiring external investors who would need urgent cash and enhance retention of founder equity. The UK government SME finance guidance postulates that startups that break-even within 12 months would have a reduced risk of failure and an increased chance of survival </w:t>
      </w:r>
      <w:r w:rsidRPr="00B44925">
        <w:rPr>
          <w:lang w:val="en-IN"/>
        </w:rPr>
        <w:t>(GOV.UK, 2025).</w:t>
      </w:r>
    </w:p>
    <w:p w:rsidR="00556C92" w:rsidRDefault="00556C92" w:rsidP="00556C92">
      <w:pPr>
        <w:jc w:val="both"/>
        <w:rPr>
          <w:b/>
          <w:bCs/>
        </w:rPr>
      </w:pPr>
    </w:p>
    <w:p w:rsidR="00556C92" w:rsidRPr="00593689" w:rsidRDefault="00556C92" w:rsidP="00556C92">
      <w:pPr>
        <w:pStyle w:val="Heading1"/>
        <w:jc w:val="both"/>
        <w:rPr>
          <w:lang w:val="en-IN"/>
        </w:rPr>
      </w:pPr>
      <w:bookmarkStart w:id="54" w:name="_Toc220991351"/>
      <w:r w:rsidRPr="00593689">
        <w:rPr>
          <w:lang w:val="en-IN"/>
        </w:rPr>
        <w:t xml:space="preserve">7.5 Cost Architecture: </w:t>
      </w:r>
      <w:r w:rsidR="008D686B">
        <w:rPr>
          <w:lang w:val="en-IN"/>
        </w:rPr>
        <w:t xml:space="preserve">The </w:t>
      </w:r>
      <w:r w:rsidRPr="00593689">
        <w:rPr>
          <w:lang w:val="en-IN"/>
        </w:rPr>
        <w:t>United Kingdom</w:t>
      </w:r>
      <w:bookmarkEnd w:id="54"/>
    </w:p>
    <w:p w:rsidR="00556C92" w:rsidRDefault="00556C92" w:rsidP="00556C92">
      <w:pPr>
        <w:jc w:val="both"/>
      </w:pPr>
      <w:r w:rsidRPr="00593689">
        <w:t>Discsoul has the dual-cost architecture strategy with the UK having the governance, licensing, and market operations</w:t>
      </w:r>
      <w:r w:rsidR="008D686B">
        <w:t>.</w:t>
      </w:r>
    </w:p>
    <w:tbl>
      <w:tblPr>
        <w:tblStyle w:val="TableGrid"/>
        <w:tblW w:w="0" w:type="auto"/>
        <w:tblLook w:val="04A0" w:firstRow="1" w:lastRow="0" w:firstColumn="1" w:lastColumn="0" w:noHBand="0" w:noVBand="1"/>
      </w:tblPr>
      <w:tblGrid>
        <w:gridCol w:w="2254"/>
        <w:gridCol w:w="2254"/>
      </w:tblGrid>
      <w:tr w:rsidR="008D686B" w:rsidTr="00464AF0">
        <w:tc>
          <w:tcPr>
            <w:tcW w:w="2254" w:type="dxa"/>
            <w:vAlign w:val="center"/>
          </w:tcPr>
          <w:p w:rsidR="008D686B" w:rsidRDefault="008D686B" w:rsidP="00556C92">
            <w:pPr>
              <w:jc w:val="both"/>
              <w:rPr>
                <w:b/>
                <w:bCs/>
                <w:lang w:val="en-IN"/>
              </w:rPr>
            </w:pPr>
            <w:r>
              <w:rPr>
                <w:b/>
                <w:bCs/>
              </w:rPr>
              <w:t>Cost Category</w:t>
            </w:r>
          </w:p>
        </w:tc>
        <w:tc>
          <w:tcPr>
            <w:tcW w:w="2254" w:type="dxa"/>
            <w:vAlign w:val="center"/>
          </w:tcPr>
          <w:p w:rsidR="008D686B" w:rsidRDefault="008D686B" w:rsidP="00556C92">
            <w:pPr>
              <w:jc w:val="both"/>
              <w:rPr>
                <w:b/>
                <w:bCs/>
              </w:rPr>
            </w:pPr>
            <w:r>
              <w:rPr>
                <w:b/>
                <w:bCs/>
              </w:rPr>
              <w:t>UK (£/month)</w:t>
            </w:r>
          </w:p>
        </w:tc>
      </w:tr>
      <w:tr w:rsidR="008D686B" w:rsidTr="00464AF0">
        <w:tc>
          <w:tcPr>
            <w:tcW w:w="2254" w:type="dxa"/>
            <w:vAlign w:val="center"/>
          </w:tcPr>
          <w:p w:rsidR="008D686B" w:rsidRDefault="008D686B" w:rsidP="00556C92">
            <w:pPr>
              <w:jc w:val="both"/>
            </w:pPr>
            <w:r>
              <w:t>Product development</w:t>
            </w:r>
          </w:p>
        </w:tc>
        <w:tc>
          <w:tcPr>
            <w:tcW w:w="2254" w:type="dxa"/>
            <w:vAlign w:val="center"/>
          </w:tcPr>
          <w:p w:rsidR="008D686B" w:rsidRDefault="008D686B" w:rsidP="00556C92">
            <w:pPr>
              <w:jc w:val="both"/>
            </w:pPr>
            <w:r>
              <w:t>1,200</w:t>
            </w:r>
          </w:p>
        </w:tc>
      </w:tr>
      <w:tr w:rsidR="008D686B" w:rsidTr="00464AF0">
        <w:tc>
          <w:tcPr>
            <w:tcW w:w="2254" w:type="dxa"/>
            <w:vAlign w:val="center"/>
          </w:tcPr>
          <w:p w:rsidR="008D686B" w:rsidRDefault="008D686B" w:rsidP="00556C92">
            <w:pPr>
              <w:jc w:val="both"/>
            </w:pPr>
            <w:r>
              <w:t>Customer support</w:t>
            </w:r>
          </w:p>
        </w:tc>
        <w:tc>
          <w:tcPr>
            <w:tcW w:w="2254" w:type="dxa"/>
            <w:vAlign w:val="center"/>
          </w:tcPr>
          <w:p w:rsidR="008D686B" w:rsidRDefault="008D686B" w:rsidP="00556C92">
            <w:pPr>
              <w:jc w:val="both"/>
            </w:pPr>
            <w:r>
              <w:t>800</w:t>
            </w:r>
          </w:p>
        </w:tc>
      </w:tr>
      <w:tr w:rsidR="008D686B" w:rsidTr="00464AF0">
        <w:tc>
          <w:tcPr>
            <w:tcW w:w="2254" w:type="dxa"/>
            <w:vAlign w:val="center"/>
          </w:tcPr>
          <w:p w:rsidR="008D686B" w:rsidRDefault="008D686B" w:rsidP="00556C92">
            <w:pPr>
              <w:jc w:val="both"/>
            </w:pPr>
            <w:r>
              <w:t>Marketing operations</w:t>
            </w:r>
          </w:p>
        </w:tc>
        <w:tc>
          <w:tcPr>
            <w:tcW w:w="2254" w:type="dxa"/>
            <w:vAlign w:val="center"/>
          </w:tcPr>
          <w:p w:rsidR="008D686B" w:rsidRDefault="008D686B" w:rsidP="00556C92">
            <w:pPr>
              <w:jc w:val="both"/>
            </w:pPr>
            <w:r>
              <w:t>1,600</w:t>
            </w:r>
          </w:p>
        </w:tc>
      </w:tr>
      <w:tr w:rsidR="008D686B" w:rsidTr="00464AF0">
        <w:tc>
          <w:tcPr>
            <w:tcW w:w="2254" w:type="dxa"/>
            <w:vAlign w:val="center"/>
          </w:tcPr>
          <w:p w:rsidR="008D686B" w:rsidRDefault="008D686B" w:rsidP="00556C92">
            <w:pPr>
              <w:jc w:val="both"/>
            </w:pPr>
            <w:r>
              <w:t>Admin &amp; finance</w:t>
            </w:r>
          </w:p>
        </w:tc>
        <w:tc>
          <w:tcPr>
            <w:tcW w:w="2254" w:type="dxa"/>
            <w:vAlign w:val="center"/>
          </w:tcPr>
          <w:p w:rsidR="008D686B" w:rsidRDefault="008D686B" w:rsidP="00556C92">
            <w:pPr>
              <w:jc w:val="both"/>
            </w:pPr>
            <w:r>
              <w:t>1,200</w:t>
            </w:r>
          </w:p>
        </w:tc>
      </w:tr>
      <w:tr w:rsidR="008D686B" w:rsidTr="00464AF0">
        <w:tc>
          <w:tcPr>
            <w:tcW w:w="2254" w:type="dxa"/>
            <w:vAlign w:val="center"/>
          </w:tcPr>
          <w:p w:rsidR="008D686B" w:rsidRDefault="008D686B" w:rsidP="00556C92">
            <w:pPr>
              <w:jc w:val="both"/>
            </w:pPr>
            <w:r>
              <w:rPr>
                <w:rStyle w:val="Strong"/>
              </w:rPr>
              <w:t>Total Monthly Cost</w:t>
            </w:r>
          </w:p>
        </w:tc>
        <w:tc>
          <w:tcPr>
            <w:tcW w:w="2254" w:type="dxa"/>
            <w:vAlign w:val="center"/>
          </w:tcPr>
          <w:p w:rsidR="008D686B" w:rsidRDefault="008D686B" w:rsidP="00556C92">
            <w:pPr>
              <w:jc w:val="both"/>
            </w:pPr>
            <w:r>
              <w:rPr>
                <w:rStyle w:val="Strong"/>
              </w:rPr>
              <w:t>4,800</w:t>
            </w:r>
          </w:p>
        </w:tc>
      </w:tr>
    </w:tbl>
    <w:p w:rsidR="00556C92" w:rsidRDefault="00556C92" w:rsidP="00556C92">
      <w:pPr>
        <w:jc w:val="both"/>
      </w:pPr>
    </w:p>
    <w:p w:rsidR="00556C92" w:rsidRDefault="00556C92" w:rsidP="00556C92">
      <w:pPr>
        <w:jc w:val="both"/>
      </w:pPr>
      <w:r w:rsidRPr="001F619D">
        <w:t xml:space="preserve">It is estimated that this structure will save the total operating expenses by about 38 percent over a UK-only model which allows it to survive under a capital limit of less than 50,000 pounds. </w:t>
      </w:r>
    </w:p>
    <w:p w:rsidR="00556C92" w:rsidRDefault="00556C92" w:rsidP="00556C92">
      <w:pPr>
        <w:pStyle w:val="Heading2"/>
        <w:jc w:val="both"/>
      </w:pPr>
      <w:bookmarkStart w:id="55" w:name="_Toc220991352"/>
      <w:r w:rsidRPr="001F619D">
        <w:t>7.5.</w:t>
      </w:r>
      <w:r>
        <w:t>1</w:t>
      </w:r>
      <w:r w:rsidRPr="001F619D">
        <w:t xml:space="preserve"> Cost Behaviour Analysis</w:t>
      </w:r>
      <w:bookmarkEnd w:id="55"/>
    </w:p>
    <w:p w:rsidR="00556C92" w:rsidRDefault="00556C92" w:rsidP="00556C92">
      <w:pPr>
        <w:jc w:val="both"/>
      </w:pPr>
      <w:r>
        <w:t>Costs are categorised as:</w:t>
      </w:r>
    </w:p>
    <w:p w:rsidR="00556C92" w:rsidRDefault="00556C92" w:rsidP="00556C92">
      <w:pPr>
        <w:jc w:val="both"/>
      </w:pPr>
      <w:r w:rsidRPr="001F619D">
        <w:lastRenderedPageBreak/>
        <w:t xml:space="preserve">Stagnant (62%): licences, platform tools, admin. </w:t>
      </w:r>
    </w:p>
    <w:p w:rsidR="00556C92" w:rsidRDefault="00556C92" w:rsidP="00556C92">
      <w:pPr>
        <w:jc w:val="both"/>
      </w:pPr>
      <w:r w:rsidRPr="001F619D">
        <w:t xml:space="preserve">Variable (38%): bandwidth, payments, advertisements, support load. </w:t>
      </w:r>
    </w:p>
    <w:p w:rsidR="00556C92" w:rsidRDefault="00556C92" w:rsidP="00556C92">
      <w:pPr>
        <w:jc w:val="both"/>
      </w:pPr>
      <w:r w:rsidRPr="001F619D">
        <w:t>This combination offers scalability as user requirement grows, which is critical to business based on a platform</w:t>
      </w:r>
      <w:r>
        <w:t>.</w:t>
      </w:r>
    </w:p>
    <w:p w:rsidR="00556C92" w:rsidRDefault="00556C92" w:rsidP="00556C92">
      <w:pPr>
        <w:jc w:val="both"/>
        <w:rPr>
          <w:b/>
          <w:bCs/>
        </w:rPr>
      </w:pPr>
      <w:r w:rsidRPr="00536F60">
        <w:rPr>
          <w:b/>
          <w:bCs/>
        </w:rPr>
        <w:t>Strategic Rationale</w:t>
      </w:r>
    </w:p>
    <w:p w:rsidR="00556C92" w:rsidRDefault="00556C92" w:rsidP="00556C92">
      <w:pPr>
        <w:jc w:val="both"/>
      </w:pPr>
      <w:r w:rsidRPr="00536F60">
        <w:t xml:space="preserve">UK is required to license, have brand recognition, and process payment </w:t>
      </w:r>
      <w:r w:rsidRPr="00B44925">
        <w:t>(OECD, 2023).</w:t>
      </w:r>
    </w:p>
    <w:p w:rsidR="00556C92" w:rsidRDefault="00556C92" w:rsidP="00556C92">
      <w:pPr>
        <w:pStyle w:val="Heading1"/>
        <w:jc w:val="both"/>
      </w:pPr>
      <w:bookmarkStart w:id="56" w:name="_Toc220991353"/>
      <w:r w:rsidRPr="00536F60">
        <w:t>7.6 Tooling and Platform Budget</w:t>
      </w:r>
      <w:bookmarkEnd w:id="56"/>
    </w:p>
    <w:p w:rsidR="00556C92" w:rsidRDefault="00556C92" w:rsidP="00556C92">
      <w:pPr>
        <w:jc w:val="both"/>
      </w:pPr>
      <w:r w:rsidRPr="00536F60">
        <w:t>In order to stay under capital constraints, Discsoul will rebuild its stack with a modular low-code and cloud-native stack, swapping costly custom applications with scaling, subscription-based services.</w:t>
      </w:r>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Tool Category</w:t>
            </w:r>
          </w:p>
        </w:tc>
        <w:tc>
          <w:tcPr>
            <w:tcW w:w="3005" w:type="dxa"/>
            <w:vAlign w:val="center"/>
          </w:tcPr>
          <w:p w:rsidR="00556C92" w:rsidRDefault="00556C92" w:rsidP="00556C92">
            <w:pPr>
              <w:jc w:val="both"/>
              <w:rPr>
                <w:b/>
                <w:bCs/>
              </w:rPr>
            </w:pPr>
            <w:r>
              <w:rPr>
                <w:b/>
                <w:bCs/>
              </w:rPr>
              <w:t>Platform</w:t>
            </w:r>
          </w:p>
        </w:tc>
        <w:tc>
          <w:tcPr>
            <w:tcW w:w="3006" w:type="dxa"/>
            <w:vAlign w:val="center"/>
          </w:tcPr>
          <w:p w:rsidR="00556C92" w:rsidRDefault="00556C92" w:rsidP="00556C92">
            <w:pPr>
              <w:jc w:val="both"/>
              <w:rPr>
                <w:b/>
                <w:bCs/>
              </w:rPr>
            </w:pPr>
            <w:r>
              <w:rPr>
                <w:b/>
                <w:bCs/>
              </w:rPr>
              <w:t>Monthly Cost (£)</w:t>
            </w:r>
          </w:p>
        </w:tc>
      </w:tr>
      <w:tr w:rsidR="00556C92" w:rsidTr="00464AF0">
        <w:tc>
          <w:tcPr>
            <w:tcW w:w="3005" w:type="dxa"/>
            <w:vAlign w:val="center"/>
          </w:tcPr>
          <w:p w:rsidR="00556C92" w:rsidRDefault="00556C92" w:rsidP="00556C92">
            <w:pPr>
              <w:jc w:val="both"/>
            </w:pPr>
            <w:r>
              <w:t>Cloud hosting</w:t>
            </w:r>
          </w:p>
        </w:tc>
        <w:tc>
          <w:tcPr>
            <w:tcW w:w="3005" w:type="dxa"/>
            <w:vAlign w:val="center"/>
          </w:tcPr>
          <w:p w:rsidR="00556C92" w:rsidRDefault="00556C92" w:rsidP="00556C92">
            <w:pPr>
              <w:jc w:val="both"/>
            </w:pPr>
            <w:r>
              <w:t>AWS Startup</w:t>
            </w:r>
          </w:p>
        </w:tc>
        <w:tc>
          <w:tcPr>
            <w:tcW w:w="3006" w:type="dxa"/>
            <w:vAlign w:val="center"/>
          </w:tcPr>
          <w:p w:rsidR="00556C92" w:rsidRDefault="00556C92" w:rsidP="00556C92">
            <w:pPr>
              <w:jc w:val="both"/>
            </w:pPr>
            <w:r>
              <w:t>380</w:t>
            </w:r>
          </w:p>
        </w:tc>
      </w:tr>
      <w:tr w:rsidR="00556C92" w:rsidTr="00464AF0">
        <w:tc>
          <w:tcPr>
            <w:tcW w:w="3005" w:type="dxa"/>
            <w:vAlign w:val="center"/>
          </w:tcPr>
          <w:p w:rsidR="00556C92" w:rsidRDefault="00556C92" w:rsidP="00556C92">
            <w:pPr>
              <w:jc w:val="both"/>
            </w:pPr>
            <w:r>
              <w:t>Video delivery</w:t>
            </w:r>
          </w:p>
        </w:tc>
        <w:tc>
          <w:tcPr>
            <w:tcW w:w="3005" w:type="dxa"/>
            <w:vAlign w:val="center"/>
          </w:tcPr>
          <w:p w:rsidR="00556C92" w:rsidRDefault="00556C92" w:rsidP="00556C92">
            <w:pPr>
              <w:jc w:val="both"/>
            </w:pPr>
            <w:r>
              <w:t>Cloudflare Stream</w:t>
            </w:r>
          </w:p>
        </w:tc>
        <w:tc>
          <w:tcPr>
            <w:tcW w:w="3006" w:type="dxa"/>
            <w:vAlign w:val="center"/>
          </w:tcPr>
          <w:p w:rsidR="00556C92" w:rsidRDefault="00556C92" w:rsidP="00556C92">
            <w:pPr>
              <w:jc w:val="both"/>
            </w:pPr>
            <w:r>
              <w:t>210</w:t>
            </w:r>
          </w:p>
        </w:tc>
      </w:tr>
      <w:tr w:rsidR="00556C92" w:rsidTr="00464AF0">
        <w:tc>
          <w:tcPr>
            <w:tcW w:w="3005" w:type="dxa"/>
            <w:vAlign w:val="center"/>
          </w:tcPr>
          <w:p w:rsidR="00556C92" w:rsidRDefault="00556C92" w:rsidP="00556C92">
            <w:pPr>
              <w:jc w:val="both"/>
            </w:pPr>
            <w:r>
              <w:t>Music storage</w:t>
            </w:r>
          </w:p>
        </w:tc>
        <w:tc>
          <w:tcPr>
            <w:tcW w:w="3005" w:type="dxa"/>
            <w:vAlign w:val="center"/>
          </w:tcPr>
          <w:p w:rsidR="00556C92" w:rsidRDefault="00556C92" w:rsidP="00556C92">
            <w:pPr>
              <w:jc w:val="both"/>
            </w:pPr>
            <w:r>
              <w:t>Wasabi</w:t>
            </w:r>
          </w:p>
        </w:tc>
        <w:tc>
          <w:tcPr>
            <w:tcW w:w="3006" w:type="dxa"/>
            <w:vAlign w:val="center"/>
          </w:tcPr>
          <w:p w:rsidR="00556C92" w:rsidRDefault="00556C92" w:rsidP="00556C92">
            <w:pPr>
              <w:jc w:val="both"/>
            </w:pPr>
            <w:r>
              <w:t>150</w:t>
            </w:r>
          </w:p>
        </w:tc>
      </w:tr>
      <w:tr w:rsidR="00556C92" w:rsidTr="00464AF0">
        <w:tc>
          <w:tcPr>
            <w:tcW w:w="3005" w:type="dxa"/>
            <w:vAlign w:val="center"/>
          </w:tcPr>
          <w:p w:rsidR="00556C92" w:rsidRDefault="00556C92" w:rsidP="00556C92">
            <w:pPr>
              <w:jc w:val="both"/>
            </w:pPr>
            <w:r>
              <w:t>Payment gateway</w:t>
            </w:r>
          </w:p>
        </w:tc>
        <w:tc>
          <w:tcPr>
            <w:tcW w:w="3005" w:type="dxa"/>
            <w:vAlign w:val="center"/>
          </w:tcPr>
          <w:p w:rsidR="00556C92" w:rsidRDefault="00556C92" w:rsidP="00556C92">
            <w:pPr>
              <w:jc w:val="both"/>
            </w:pPr>
            <w:r>
              <w:t>Stripe</w:t>
            </w:r>
          </w:p>
        </w:tc>
        <w:tc>
          <w:tcPr>
            <w:tcW w:w="3006" w:type="dxa"/>
            <w:vAlign w:val="center"/>
          </w:tcPr>
          <w:p w:rsidR="00556C92" w:rsidRDefault="00556C92" w:rsidP="00556C92">
            <w:pPr>
              <w:jc w:val="both"/>
            </w:pPr>
            <w:r>
              <w:t xml:space="preserve">% per </w:t>
            </w:r>
            <w:proofErr w:type="spellStart"/>
            <w:r>
              <w:t>txn</w:t>
            </w:r>
            <w:proofErr w:type="spellEnd"/>
          </w:p>
        </w:tc>
      </w:tr>
      <w:tr w:rsidR="00556C92" w:rsidTr="00464AF0">
        <w:tc>
          <w:tcPr>
            <w:tcW w:w="3005" w:type="dxa"/>
            <w:vAlign w:val="center"/>
          </w:tcPr>
          <w:p w:rsidR="00556C92" w:rsidRDefault="00556C92" w:rsidP="00556C92">
            <w:pPr>
              <w:jc w:val="both"/>
            </w:pPr>
            <w:r>
              <w:t>AI recommendations</w:t>
            </w:r>
          </w:p>
        </w:tc>
        <w:tc>
          <w:tcPr>
            <w:tcW w:w="3005" w:type="dxa"/>
            <w:vAlign w:val="center"/>
          </w:tcPr>
          <w:p w:rsidR="00556C92" w:rsidRDefault="00556C92" w:rsidP="00556C92">
            <w:pPr>
              <w:jc w:val="both"/>
            </w:pPr>
            <w:r>
              <w:t>Google Vertex AI</w:t>
            </w:r>
          </w:p>
        </w:tc>
        <w:tc>
          <w:tcPr>
            <w:tcW w:w="3006" w:type="dxa"/>
            <w:vAlign w:val="center"/>
          </w:tcPr>
          <w:p w:rsidR="00556C92" w:rsidRDefault="00556C92" w:rsidP="00556C92">
            <w:pPr>
              <w:jc w:val="both"/>
            </w:pPr>
            <w:r>
              <w:t>190</w:t>
            </w:r>
          </w:p>
        </w:tc>
      </w:tr>
      <w:tr w:rsidR="00556C92" w:rsidTr="00464AF0">
        <w:tc>
          <w:tcPr>
            <w:tcW w:w="3005" w:type="dxa"/>
            <w:vAlign w:val="center"/>
          </w:tcPr>
          <w:p w:rsidR="00556C92" w:rsidRDefault="00556C92" w:rsidP="00556C92">
            <w:pPr>
              <w:jc w:val="both"/>
            </w:pPr>
            <w:r>
              <w:t>Analytics</w:t>
            </w:r>
          </w:p>
        </w:tc>
        <w:tc>
          <w:tcPr>
            <w:tcW w:w="3005" w:type="dxa"/>
            <w:vAlign w:val="center"/>
          </w:tcPr>
          <w:p w:rsidR="00556C92" w:rsidRDefault="00556C92" w:rsidP="00556C92">
            <w:pPr>
              <w:jc w:val="both"/>
            </w:pPr>
            <w:proofErr w:type="spellStart"/>
            <w:r>
              <w:t>Mixpanel</w:t>
            </w:r>
            <w:proofErr w:type="spellEnd"/>
            <w:r>
              <w:t xml:space="preserve"> + GA4</w:t>
            </w:r>
          </w:p>
        </w:tc>
        <w:tc>
          <w:tcPr>
            <w:tcW w:w="3006" w:type="dxa"/>
            <w:vAlign w:val="center"/>
          </w:tcPr>
          <w:p w:rsidR="00556C92" w:rsidRDefault="00556C92" w:rsidP="00556C92">
            <w:pPr>
              <w:jc w:val="both"/>
            </w:pPr>
            <w:r>
              <w:t>120</w:t>
            </w:r>
          </w:p>
        </w:tc>
      </w:tr>
      <w:tr w:rsidR="00556C92" w:rsidTr="00464AF0">
        <w:tc>
          <w:tcPr>
            <w:tcW w:w="3005" w:type="dxa"/>
            <w:vAlign w:val="center"/>
          </w:tcPr>
          <w:p w:rsidR="00556C92" w:rsidRDefault="00556C92" w:rsidP="00556C92">
            <w:pPr>
              <w:jc w:val="both"/>
            </w:pPr>
            <w:r>
              <w:t>CRM &amp; email</w:t>
            </w:r>
          </w:p>
        </w:tc>
        <w:tc>
          <w:tcPr>
            <w:tcW w:w="3005" w:type="dxa"/>
            <w:vAlign w:val="center"/>
          </w:tcPr>
          <w:p w:rsidR="00556C92" w:rsidRDefault="00556C92" w:rsidP="00556C92">
            <w:pPr>
              <w:jc w:val="both"/>
            </w:pPr>
            <w:r>
              <w:t>HubSpot Starter</w:t>
            </w:r>
          </w:p>
        </w:tc>
        <w:tc>
          <w:tcPr>
            <w:tcW w:w="3006" w:type="dxa"/>
            <w:vAlign w:val="center"/>
          </w:tcPr>
          <w:p w:rsidR="00556C92" w:rsidRDefault="00556C92" w:rsidP="00556C92">
            <w:pPr>
              <w:jc w:val="both"/>
            </w:pPr>
            <w:r>
              <w:t>85</w:t>
            </w:r>
          </w:p>
        </w:tc>
      </w:tr>
      <w:tr w:rsidR="00556C92" w:rsidTr="00464AF0">
        <w:tc>
          <w:tcPr>
            <w:tcW w:w="3005" w:type="dxa"/>
            <w:vAlign w:val="center"/>
          </w:tcPr>
          <w:p w:rsidR="00556C92" w:rsidRDefault="00556C92" w:rsidP="00556C92">
            <w:pPr>
              <w:jc w:val="both"/>
            </w:pPr>
            <w:r>
              <w:t>Admin dashboard</w:t>
            </w:r>
          </w:p>
        </w:tc>
        <w:tc>
          <w:tcPr>
            <w:tcW w:w="3005" w:type="dxa"/>
            <w:vAlign w:val="center"/>
          </w:tcPr>
          <w:p w:rsidR="00556C92" w:rsidRDefault="00556C92" w:rsidP="00556C92">
            <w:pPr>
              <w:jc w:val="both"/>
            </w:pPr>
            <w:r>
              <w:t>Retool</w:t>
            </w:r>
          </w:p>
        </w:tc>
        <w:tc>
          <w:tcPr>
            <w:tcW w:w="3006" w:type="dxa"/>
            <w:vAlign w:val="center"/>
          </w:tcPr>
          <w:p w:rsidR="00556C92" w:rsidRDefault="00556C92" w:rsidP="00556C92">
            <w:pPr>
              <w:jc w:val="both"/>
            </w:pPr>
            <w:r>
              <w:t>95</w:t>
            </w:r>
          </w:p>
        </w:tc>
      </w:tr>
      <w:tr w:rsidR="00556C92" w:rsidTr="00464AF0">
        <w:tc>
          <w:tcPr>
            <w:tcW w:w="3005" w:type="dxa"/>
            <w:vAlign w:val="center"/>
          </w:tcPr>
          <w:p w:rsidR="00556C92" w:rsidRDefault="00556C92" w:rsidP="00556C92">
            <w:pPr>
              <w:jc w:val="both"/>
            </w:pPr>
            <w:r>
              <w:t>Security &amp; backup</w:t>
            </w:r>
          </w:p>
        </w:tc>
        <w:tc>
          <w:tcPr>
            <w:tcW w:w="3005" w:type="dxa"/>
            <w:vAlign w:val="center"/>
          </w:tcPr>
          <w:p w:rsidR="00556C92" w:rsidRDefault="00556C92" w:rsidP="00556C92">
            <w:pPr>
              <w:jc w:val="both"/>
            </w:pPr>
            <w:proofErr w:type="spellStart"/>
            <w:r>
              <w:t>Snyk</w:t>
            </w:r>
            <w:proofErr w:type="spellEnd"/>
            <w:r>
              <w:t xml:space="preserve"> + </w:t>
            </w:r>
            <w:proofErr w:type="spellStart"/>
            <w:r>
              <w:t>Backblaze</w:t>
            </w:r>
            <w:proofErr w:type="spellEnd"/>
          </w:p>
        </w:tc>
        <w:tc>
          <w:tcPr>
            <w:tcW w:w="3006" w:type="dxa"/>
            <w:vAlign w:val="center"/>
          </w:tcPr>
          <w:p w:rsidR="00556C92" w:rsidRDefault="00556C92" w:rsidP="00556C92">
            <w:pPr>
              <w:jc w:val="both"/>
            </w:pPr>
            <w:r>
              <w:t>70</w:t>
            </w:r>
          </w:p>
        </w:tc>
      </w:tr>
      <w:tr w:rsidR="00556C92" w:rsidTr="00464AF0">
        <w:tc>
          <w:tcPr>
            <w:tcW w:w="3005" w:type="dxa"/>
            <w:vAlign w:val="center"/>
          </w:tcPr>
          <w:p w:rsidR="00556C92" w:rsidRDefault="00556C92" w:rsidP="00556C92">
            <w:pPr>
              <w:jc w:val="both"/>
            </w:pPr>
            <w:r>
              <w:rPr>
                <w:rStyle w:val="Strong"/>
              </w:rPr>
              <w:t>Total</w:t>
            </w:r>
          </w:p>
        </w:tc>
        <w:tc>
          <w:tcPr>
            <w:tcW w:w="3005" w:type="dxa"/>
            <w:vAlign w:val="center"/>
          </w:tcPr>
          <w:p w:rsidR="00556C92" w:rsidRDefault="00556C92" w:rsidP="00556C92">
            <w:pPr>
              <w:jc w:val="both"/>
            </w:pPr>
          </w:p>
        </w:tc>
        <w:tc>
          <w:tcPr>
            <w:tcW w:w="3006" w:type="dxa"/>
            <w:vAlign w:val="center"/>
          </w:tcPr>
          <w:p w:rsidR="00556C92" w:rsidRDefault="00556C92" w:rsidP="00556C92">
            <w:pPr>
              <w:jc w:val="both"/>
            </w:pPr>
            <w:r>
              <w:rPr>
                <w:rStyle w:val="Strong"/>
              </w:rPr>
              <w:t>1,300/month</w:t>
            </w:r>
          </w:p>
        </w:tc>
      </w:tr>
    </w:tbl>
    <w:p w:rsidR="00556C92" w:rsidRDefault="00556C92" w:rsidP="00556C92">
      <w:pPr>
        <w:jc w:val="both"/>
      </w:pPr>
    </w:p>
    <w:p w:rsidR="00556C92" w:rsidRDefault="00556C92" w:rsidP="00556C92">
      <w:pPr>
        <w:pStyle w:val="Heading2"/>
        <w:jc w:val="both"/>
      </w:pPr>
      <w:bookmarkStart w:id="57" w:name="_Toc220991354"/>
      <w:r w:rsidRPr="00536F60">
        <w:t>7.6.</w:t>
      </w:r>
      <w:r>
        <w:t>1</w:t>
      </w:r>
      <w:r w:rsidRPr="00536F60">
        <w:t xml:space="preserve"> Capital vs Operating Expenditure</w:t>
      </w:r>
      <w:bookmarkEnd w:id="57"/>
    </w:p>
    <w:tbl>
      <w:tblPr>
        <w:tblStyle w:val="TableGrid"/>
        <w:tblW w:w="0" w:type="auto"/>
        <w:tblLook w:val="04A0" w:firstRow="1" w:lastRow="0" w:firstColumn="1" w:lastColumn="0" w:noHBand="0" w:noVBand="1"/>
      </w:tblPr>
      <w:tblGrid>
        <w:gridCol w:w="4508"/>
        <w:gridCol w:w="4508"/>
      </w:tblGrid>
      <w:tr w:rsidR="00556C92" w:rsidTr="00464AF0">
        <w:tc>
          <w:tcPr>
            <w:tcW w:w="4508" w:type="dxa"/>
            <w:vAlign w:val="center"/>
          </w:tcPr>
          <w:p w:rsidR="00556C92" w:rsidRDefault="00556C92" w:rsidP="00556C92">
            <w:pPr>
              <w:jc w:val="both"/>
              <w:rPr>
                <w:b/>
                <w:bCs/>
                <w:lang w:val="en-IN"/>
              </w:rPr>
            </w:pPr>
            <w:r>
              <w:rPr>
                <w:b/>
                <w:bCs/>
              </w:rPr>
              <w:t>Type</w:t>
            </w:r>
          </w:p>
        </w:tc>
        <w:tc>
          <w:tcPr>
            <w:tcW w:w="4508" w:type="dxa"/>
            <w:vAlign w:val="center"/>
          </w:tcPr>
          <w:p w:rsidR="00556C92" w:rsidRDefault="00556C92" w:rsidP="00556C92">
            <w:pPr>
              <w:jc w:val="both"/>
              <w:rPr>
                <w:b/>
                <w:bCs/>
              </w:rPr>
            </w:pPr>
            <w:r>
              <w:rPr>
                <w:b/>
                <w:bCs/>
              </w:rPr>
              <w:t>%</w:t>
            </w:r>
          </w:p>
        </w:tc>
      </w:tr>
      <w:tr w:rsidR="00556C92" w:rsidTr="00464AF0">
        <w:tc>
          <w:tcPr>
            <w:tcW w:w="4508" w:type="dxa"/>
            <w:vAlign w:val="center"/>
          </w:tcPr>
          <w:p w:rsidR="00556C92" w:rsidRDefault="00556C92" w:rsidP="00556C92">
            <w:pPr>
              <w:jc w:val="both"/>
            </w:pPr>
            <w:r>
              <w:t>CAPEX (initial setup)</w:t>
            </w:r>
          </w:p>
        </w:tc>
        <w:tc>
          <w:tcPr>
            <w:tcW w:w="4508" w:type="dxa"/>
            <w:vAlign w:val="center"/>
          </w:tcPr>
          <w:p w:rsidR="00556C92" w:rsidRDefault="00556C92" w:rsidP="00556C92">
            <w:pPr>
              <w:jc w:val="both"/>
            </w:pPr>
            <w:r>
              <w:t>29%</w:t>
            </w:r>
          </w:p>
        </w:tc>
      </w:tr>
      <w:tr w:rsidR="00556C92" w:rsidTr="00464AF0">
        <w:tc>
          <w:tcPr>
            <w:tcW w:w="4508" w:type="dxa"/>
            <w:vAlign w:val="center"/>
          </w:tcPr>
          <w:p w:rsidR="00556C92" w:rsidRDefault="00556C92" w:rsidP="00556C92">
            <w:pPr>
              <w:jc w:val="both"/>
            </w:pPr>
            <w:r>
              <w:t>OPEX (monthly tools &amp; cloud)</w:t>
            </w:r>
          </w:p>
        </w:tc>
        <w:tc>
          <w:tcPr>
            <w:tcW w:w="4508" w:type="dxa"/>
            <w:vAlign w:val="center"/>
          </w:tcPr>
          <w:p w:rsidR="00556C92" w:rsidRDefault="00556C92" w:rsidP="00556C92">
            <w:pPr>
              <w:jc w:val="both"/>
            </w:pPr>
            <w:r>
              <w:t>71%</w:t>
            </w:r>
          </w:p>
        </w:tc>
      </w:tr>
    </w:tbl>
    <w:p w:rsidR="00556C92" w:rsidRPr="00536F60" w:rsidRDefault="00556C92" w:rsidP="00556C92">
      <w:pPr>
        <w:jc w:val="both"/>
      </w:pPr>
    </w:p>
    <w:p w:rsidR="00556C92" w:rsidRDefault="00556C92" w:rsidP="00556C92">
      <w:pPr>
        <w:jc w:val="both"/>
      </w:pPr>
      <w:r w:rsidRPr="00536F60">
        <w:t xml:space="preserve">This type of OPEX-intensive design is consistent with new SaaS financial models, enhancing flexibility and minimising risk </w:t>
      </w:r>
      <w:r w:rsidRPr="00B44925">
        <w:t>(McKinsey, 2024).</w:t>
      </w:r>
    </w:p>
    <w:p w:rsidR="00556C92" w:rsidRDefault="00556C92" w:rsidP="00556C92">
      <w:pPr>
        <w:jc w:val="both"/>
        <w:rPr>
          <w:b/>
          <w:bCs/>
        </w:rPr>
      </w:pPr>
      <w:r w:rsidRPr="00536F60">
        <w:rPr>
          <w:b/>
          <w:bCs/>
        </w:rPr>
        <w:t>Financial Governance Implications</w:t>
      </w:r>
    </w:p>
    <w:p w:rsidR="00556C92" w:rsidRDefault="00556C92" w:rsidP="00556C92">
      <w:pPr>
        <w:jc w:val="both"/>
      </w:pPr>
      <w:r w:rsidRPr="00536F60">
        <w:t xml:space="preserve">Through established third-party platforms, Discsoul can avoid: </w:t>
      </w:r>
    </w:p>
    <w:p w:rsidR="00556C92" w:rsidRDefault="00556C92" w:rsidP="00556C92">
      <w:pPr>
        <w:jc w:val="both"/>
      </w:pPr>
      <w:r w:rsidRPr="00536F60">
        <w:t xml:space="preserve">Long development cycles </w:t>
      </w:r>
    </w:p>
    <w:p w:rsidR="00556C92" w:rsidRDefault="00556C92" w:rsidP="00556C92">
      <w:pPr>
        <w:jc w:val="both"/>
      </w:pPr>
      <w:r w:rsidRPr="00536F60">
        <w:t xml:space="preserve">High capital lock-in </w:t>
      </w:r>
    </w:p>
    <w:p w:rsidR="008D686B" w:rsidRDefault="00556C92" w:rsidP="00556C92">
      <w:pPr>
        <w:jc w:val="both"/>
      </w:pPr>
      <w:r w:rsidRPr="00536F60">
        <w:t>Risk of technology obsolescence.</w:t>
      </w:r>
    </w:p>
    <w:p w:rsidR="00556C92" w:rsidRDefault="00556C92" w:rsidP="00556C92">
      <w:pPr>
        <w:jc w:val="both"/>
      </w:pPr>
      <w:r w:rsidRPr="00536F60">
        <w:lastRenderedPageBreak/>
        <w:t xml:space="preserve">This is in line with the best-practice startup financial governance models </w:t>
      </w:r>
      <w:r w:rsidRPr="00B44925">
        <w:t>(KPMG, 2024).</w:t>
      </w:r>
    </w:p>
    <w:p w:rsidR="00556C92" w:rsidRDefault="00556C92" w:rsidP="00556C92">
      <w:pPr>
        <w:pStyle w:val="Heading1"/>
        <w:jc w:val="both"/>
      </w:pPr>
      <w:bookmarkStart w:id="58" w:name="_Toc220991355"/>
      <w:r w:rsidRPr="00611D10">
        <w:t>7.7 Unit Economics, CAC, LTV, and Paybac</w:t>
      </w:r>
      <w:r>
        <w:t>k</w:t>
      </w:r>
      <w:bookmarkEnd w:id="58"/>
    </w:p>
    <w:p w:rsidR="00556C92" w:rsidRPr="007A0568" w:rsidRDefault="00556C92" w:rsidP="00556C92">
      <w:pPr>
        <w:jc w:val="both"/>
      </w:pPr>
      <w:r w:rsidRPr="007A0568">
        <w:t>The sustainable digital platform needs to exhibit strong unit economics of scale. The Customer Acquisition Cost (CAC), Lifetime Value (LTV) and 0-12-month payback period are considered in this section, so that the capital investment amount of £50,000 could be converted into long-term value generation.</w:t>
      </w:r>
    </w:p>
    <w:p w:rsidR="00556C92" w:rsidRDefault="00556C92" w:rsidP="00556C92">
      <w:pPr>
        <w:pStyle w:val="Heading2"/>
        <w:jc w:val="both"/>
      </w:pPr>
      <w:bookmarkStart w:id="59" w:name="_Toc220991356"/>
      <w:r w:rsidRPr="00611D10">
        <w:t>7.7.1 Customer Acquisition Cost (CAC)</w:t>
      </w:r>
      <w:bookmarkEnd w:id="59"/>
    </w:p>
    <w:p w:rsidR="00556C92" w:rsidRPr="007A0568" w:rsidRDefault="00556C92" w:rsidP="00556C92">
      <w:pPr>
        <w:jc w:val="both"/>
      </w:pPr>
      <w:r w:rsidRPr="007A0568">
        <w:t>Discsoul is mainly digital-based, relies on influencer relationships, and organic expansion led by artists which considerably lowers the expenses of acquiring compared to Spotify or YouTube Music.</w:t>
      </w:r>
    </w:p>
    <w:tbl>
      <w:tblPr>
        <w:tblStyle w:val="TableGrid"/>
        <w:tblW w:w="0" w:type="auto"/>
        <w:tblLook w:val="04A0" w:firstRow="1" w:lastRow="0" w:firstColumn="1" w:lastColumn="0" w:noHBand="0" w:noVBand="1"/>
      </w:tblPr>
      <w:tblGrid>
        <w:gridCol w:w="2254"/>
        <w:gridCol w:w="2254"/>
        <w:gridCol w:w="2254"/>
        <w:gridCol w:w="2254"/>
      </w:tblGrid>
      <w:tr w:rsidR="00556C92" w:rsidTr="00464AF0">
        <w:tc>
          <w:tcPr>
            <w:tcW w:w="2254" w:type="dxa"/>
            <w:vAlign w:val="center"/>
          </w:tcPr>
          <w:p w:rsidR="00556C92" w:rsidRDefault="00556C92" w:rsidP="00556C92">
            <w:pPr>
              <w:jc w:val="both"/>
              <w:rPr>
                <w:b/>
                <w:bCs/>
                <w:lang w:val="en-IN"/>
              </w:rPr>
            </w:pPr>
            <w:r>
              <w:rPr>
                <w:b/>
                <w:bCs/>
              </w:rPr>
              <w:t>Channel</w:t>
            </w:r>
          </w:p>
        </w:tc>
        <w:tc>
          <w:tcPr>
            <w:tcW w:w="2254" w:type="dxa"/>
            <w:vAlign w:val="center"/>
          </w:tcPr>
          <w:p w:rsidR="00556C92" w:rsidRDefault="00556C92" w:rsidP="00556C92">
            <w:pPr>
              <w:jc w:val="both"/>
              <w:rPr>
                <w:b/>
                <w:bCs/>
              </w:rPr>
            </w:pPr>
            <w:r>
              <w:rPr>
                <w:b/>
                <w:bCs/>
              </w:rPr>
              <w:t>Monthly Spend (£)</w:t>
            </w:r>
          </w:p>
        </w:tc>
        <w:tc>
          <w:tcPr>
            <w:tcW w:w="2254" w:type="dxa"/>
            <w:vAlign w:val="center"/>
          </w:tcPr>
          <w:p w:rsidR="00556C92" w:rsidRDefault="00556C92" w:rsidP="00556C92">
            <w:pPr>
              <w:jc w:val="both"/>
              <w:rPr>
                <w:b/>
                <w:bCs/>
              </w:rPr>
            </w:pPr>
            <w:r>
              <w:rPr>
                <w:b/>
                <w:bCs/>
              </w:rPr>
              <w:t>Monthly Users Acquired</w:t>
            </w:r>
          </w:p>
        </w:tc>
        <w:tc>
          <w:tcPr>
            <w:tcW w:w="2254" w:type="dxa"/>
            <w:vAlign w:val="center"/>
          </w:tcPr>
          <w:p w:rsidR="00556C92" w:rsidRDefault="00556C92" w:rsidP="00556C92">
            <w:pPr>
              <w:jc w:val="both"/>
              <w:rPr>
                <w:b/>
                <w:bCs/>
              </w:rPr>
            </w:pPr>
            <w:r>
              <w:rPr>
                <w:b/>
                <w:bCs/>
              </w:rPr>
              <w:t>CAC (£)</w:t>
            </w:r>
          </w:p>
        </w:tc>
      </w:tr>
      <w:tr w:rsidR="00556C92" w:rsidTr="00464AF0">
        <w:tc>
          <w:tcPr>
            <w:tcW w:w="2254" w:type="dxa"/>
            <w:vAlign w:val="center"/>
          </w:tcPr>
          <w:p w:rsidR="00556C92" w:rsidRDefault="00556C92" w:rsidP="00556C92">
            <w:pPr>
              <w:jc w:val="both"/>
            </w:pPr>
            <w:r>
              <w:t>Instagram &amp; TikTok Ads</w:t>
            </w:r>
          </w:p>
        </w:tc>
        <w:tc>
          <w:tcPr>
            <w:tcW w:w="2254" w:type="dxa"/>
            <w:vAlign w:val="center"/>
          </w:tcPr>
          <w:p w:rsidR="00556C92" w:rsidRDefault="00556C92" w:rsidP="00556C92">
            <w:pPr>
              <w:jc w:val="both"/>
            </w:pPr>
            <w:r>
              <w:t>3,200</w:t>
            </w:r>
          </w:p>
        </w:tc>
        <w:tc>
          <w:tcPr>
            <w:tcW w:w="2254" w:type="dxa"/>
            <w:vAlign w:val="center"/>
          </w:tcPr>
          <w:p w:rsidR="00556C92" w:rsidRDefault="00556C92" w:rsidP="00556C92">
            <w:pPr>
              <w:jc w:val="both"/>
            </w:pPr>
            <w:r>
              <w:t>1,200</w:t>
            </w:r>
          </w:p>
        </w:tc>
        <w:tc>
          <w:tcPr>
            <w:tcW w:w="2254" w:type="dxa"/>
            <w:vAlign w:val="center"/>
          </w:tcPr>
          <w:p w:rsidR="00556C92" w:rsidRDefault="00556C92" w:rsidP="00556C92">
            <w:pPr>
              <w:jc w:val="both"/>
            </w:pPr>
            <w:r>
              <w:t>2.67</w:t>
            </w:r>
          </w:p>
        </w:tc>
      </w:tr>
      <w:tr w:rsidR="00556C92" w:rsidTr="00464AF0">
        <w:tc>
          <w:tcPr>
            <w:tcW w:w="2254" w:type="dxa"/>
            <w:vAlign w:val="center"/>
          </w:tcPr>
          <w:p w:rsidR="00556C92" w:rsidRDefault="00556C92" w:rsidP="00556C92">
            <w:pPr>
              <w:jc w:val="both"/>
            </w:pPr>
            <w:r>
              <w:t>Artist referrals</w:t>
            </w:r>
          </w:p>
        </w:tc>
        <w:tc>
          <w:tcPr>
            <w:tcW w:w="2254" w:type="dxa"/>
            <w:vAlign w:val="center"/>
          </w:tcPr>
          <w:p w:rsidR="00556C92" w:rsidRDefault="00556C92" w:rsidP="00556C92">
            <w:pPr>
              <w:jc w:val="both"/>
            </w:pPr>
            <w:r>
              <w:t>900</w:t>
            </w:r>
          </w:p>
        </w:tc>
        <w:tc>
          <w:tcPr>
            <w:tcW w:w="2254" w:type="dxa"/>
            <w:vAlign w:val="center"/>
          </w:tcPr>
          <w:p w:rsidR="00556C92" w:rsidRDefault="00556C92" w:rsidP="00556C92">
            <w:pPr>
              <w:jc w:val="both"/>
            </w:pPr>
            <w:r>
              <w:t>800</w:t>
            </w:r>
          </w:p>
        </w:tc>
        <w:tc>
          <w:tcPr>
            <w:tcW w:w="2254" w:type="dxa"/>
            <w:vAlign w:val="center"/>
          </w:tcPr>
          <w:p w:rsidR="00556C92" w:rsidRDefault="00556C92" w:rsidP="00556C92">
            <w:pPr>
              <w:jc w:val="both"/>
            </w:pPr>
            <w:r>
              <w:t>1.12</w:t>
            </w:r>
          </w:p>
        </w:tc>
      </w:tr>
      <w:tr w:rsidR="00556C92" w:rsidTr="00464AF0">
        <w:tc>
          <w:tcPr>
            <w:tcW w:w="2254" w:type="dxa"/>
            <w:vAlign w:val="center"/>
          </w:tcPr>
          <w:p w:rsidR="00556C92" w:rsidRDefault="00556C92" w:rsidP="00556C92">
            <w:pPr>
              <w:jc w:val="both"/>
            </w:pPr>
            <w:r>
              <w:t>Organic (SEO/app stores)</w:t>
            </w:r>
          </w:p>
        </w:tc>
        <w:tc>
          <w:tcPr>
            <w:tcW w:w="2254" w:type="dxa"/>
            <w:vAlign w:val="center"/>
          </w:tcPr>
          <w:p w:rsidR="00556C92" w:rsidRDefault="00556C92" w:rsidP="00556C92">
            <w:pPr>
              <w:jc w:val="both"/>
            </w:pPr>
            <w:r>
              <w:t>400</w:t>
            </w:r>
          </w:p>
        </w:tc>
        <w:tc>
          <w:tcPr>
            <w:tcW w:w="2254" w:type="dxa"/>
            <w:vAlign w:val="center"/>
          </w:tcPr>
          <w:p w:rsidR="00556C92" w:rsidRDefault="00556C92" w:rsidP="00556C92">
            <w:pPr>
              <w:jc w:val="both"/>
            </w:pPr>
            <w:r>
              <w:t>600</w:t>
            </w:r>
          </w:p>
        </w:tc>
        <w:tc>
          <w:tcPr>
            <w:tcW w:w="2254" w:type="dxa"/>
            <w:vAlign w:val="center"/>
          </w:tcPr>
          <w:p w:rsidR="00556C92" w:rsidRDefault="00556C92" w:rsidP="00556C92">
            <w:pPr>
              <w:jc w:val="both"/>
            </w:pPr>
            <w:r>
              <w:t>0.67</w:t>
            </w:r>
          </w:p>
        </w:tc>
      </w:tr>
      <w:tr w:rsidR="00556C92" w:rsidTr="00464AF0">
        <w:tc>
          <w:tcPr>
            <w:tcW w:w="2254" w:type="dxa"/>
            <w:vAlign w:val="center"/>
          </w:tcPr>
          <w:p w:rsidR="00556C92" w:rsidRDefault="00556C92" w:rsidP="00556C92">
            <w:pPr>
              <w:jc w:val="both"/>
            </w:pPr>
            <w:r>
              <w:rPr>
                <w:rStyle w:val="Strong"/>
              </w:rPr>
              <w:t>Blended CAC</w:t>
            </w:r>
          </w:p>
        </w:tc>
        <w:tc>
          <w:tcPr>
            <w:tcW w:w="2254" w:type="dxa"/>
            <w:vAlign w:val="center"/>
          </w:tcPr>
          <w:p w:rsidR="00556C92" w:rsidRDefault="00556C92" w:rsidP="00556C92">
            <w:pPr>
              <w:jc w:val="both"/>
            </w:pPr>
          </w:p>
        </w:tc>
        <w:tc>
          <w:tcPr>
            <w:tcW w:w="2254" w:type="dxa"/>
            <w:vAlign w:val="center"/>
          </w:tcPr>
          <w:p w:rsidR="00556C92" w:rsidRDefault="00556C92" w:rsidP="00556C92">
            <w:pPr>
              <w:jc w:val="both"/>
              <w:rPr>
                <w:sz w:val="20"/>
                <w:szCs w:val="20"/>
              </w:rPr>
            </w:pPr>
          </w:p>
        </w:tc>
        <w:tc>
          <w:tcPr>
            <w:tcW w:w="2254" w:type="dxa"/>
            <w:vAlign w:val="center"/>
          </w:tcPr>
          <w:p w:rsidR="00556C92" w:rsidRDefault="00556C92" w:rsidP="00556C92">
            <w:pPr>
              <w:jc w:val="both"/>
            </w:pPr>
            <w:r>
              <w:rPr>
                <w:rStyle w:val="Strong"/>
              </w:rPr>
              <w:t>£1.52</w:t>
            </w:r>
          </w:p>
        </w:tc>
      </w:tr>
    </w:tbl>
    <w:p w:rsidR="00556C92" w:rsidRDefault="00556C92" w:rsidP="00556C92">
      <w:pPr>
        <w:jc w:val="both"/>
        <w:rPr>
          <w:b/>
          <w:bCs/>
        </w:rPr>
      </w:pPr>
    </w:p>
    <w:p w:rsidR="00556C92" w:rsidRDefault="00556C92" w:rsidP="00556C92">
      <w:pPr>
        <w:pStyle w:val="Heading2"/>
        <w:jc w:val="both"/>
      </w:pPr>
      <w:bookmarkStart w:id="60" w:name="_Toc220991357"/>
      <w:r w:rsidRPr="00611D10">
        <w:t>7.7.2 Customer Lifetime Value (LTV)</w:t>
      </w:r>
      <w:bookmarkEnd w:id="60"/>
    </w:p>
    <w:p w:rsidR="00556C92" w:rsidRPr="00B10EB2" w:rsidRDefault="00556C92" w:rsidP="00556C92">
      <w:pPr>
        <w:jc w:val="both"/>
        <w:rPr>
          <w:lang w:val="en-IN"/>
        </w:rPr>
      </w:pPr>
      <w:r w:rsidRPr="00B10EB2">
        <w:rPr>
          <w:lang w:val="en-IN"/>
        </w:rPr>
        <w:t>Assumptions:</w:t>
      </w:r>
    </w:p>
    <w:p w:rsidR="00556C92" w:rsidRPr="00B10EB2" w:rsidRDefault="00556C92" w:rsidP="00556C92">
      <w:pPr>
        <w:numPr>
          <w:ilvl w:val="0"/>
          <w:numId w:val="15"/>
        </w:numPr>
        <w:jc w:val="both"/>
        <w:rPr>
          <w:lang w:val="en-IN"/>
        </w:rPr>
      </w:pPr>
      <w:r w:rsidRPr="00B10EB2">
        <w:rPr>
          <w:lang w:val="en-IN"/>
        </w:rPr>
        <w:t xml:space="preserve">Average monthly ARPU: </w:t>
      </w:r>
      <w:r w:rsidRPr="00B10EB2">
        <w:rPr>
          <w:b/>
          <w:bCs/>
          <w:lang w:val="en-IN"/>
        </w:rPr>
        <w:t>£6.20</w:t>
      </w:r>
    </w:p>
    <w:p w:rsidR="00556C92" w:rsidRPr="00B10EB2" w:rsidRDefault="00556C92" w:rsidP="00556C92">
      <w:pPr>
        <w:numPr>
          <w:ilvl w:val="0"/>
          <w:numId w:val="15"/>
        </w:numPr>
        <w:jc w:val="both"/>
        <w:rPr>
          <w:lang w:val="en-IN"/>
        </w:rPr>
      </w:pPr>
      <w:r w:rsidRPr="00B10EB2">
        <w:rPr>
          <w:lang w:val="en-IN"/>
        </w:rPr>
        <w:t xml:space="preserve">Gross margin: </w:t>
      </w:r>
      <w:r w:rsidRPr="00B10EB2">
        <w:rPr>
          <w:b/>
          <w:bCs/>
          <w:lang w:val="en-IN"/>
        </w:rPr>
        <w:t>68%</w:t>
      </w:r>
    </w:p>
    <w:p w:rsidR="00556C92" w:rsidRPr="00B10EB2" w:rsidRDefault="00556C92" w:rsidP="00556C92">
      <w:pPr>
        <w:numPr>
          <w:ilvl w:val="0"/>
          <w:numId w:val="15"/>
        </w:numPr>
        <w:jc w:val="both"/>
        <w:rPr>
          <w:lang w:val="en-IN"/>
        </w:rPr>
      </w:pPr>
      <w:r w:rsidRPr="00B10EB2">
        <w:rPr>
          <w:lang w:val="en-IN"/>
        </w:rPr>
        <w:t xml:space="preserve">Monthly churn: </w:t>
      </w:r>
      <w:r w:rsidRPr="00B10EB2">
        <w:rPr>
          <w:b/>
          <w:bCs/>
          <w:lang w:val="en-IN"/>
        </w:rPr>
        <w:t>3.8%</w:t>
      </w:r>
    </w:p>
    <w:p w:rsidR="00556C92" w:rsidRPr="00B10EB2" w:rsidRDefault="00556C92" w:rsidP="00556C92">
      <w:pPr>
        <w:numPr>
          <w:ilvl w:val="0"/>
          <w:numId w:val="15"/>
        </w:numPr>
        <w:jc w:val="both"/>
        <w:rPr>
          <w:lang w:val="en-IN"/>
        </w:rPr>
      </w:pPr>
      <w:r w:rsidRPr="00B10EB2">
        <w:rPr>
          <w:lang w:val="en-IN"/>
        </w:rPr>
        <w:t xml:space="preserve">Average lifetime: </w:t>
      </w:r>
      <w:r w:rsidRPr="00B10EB2">
        <w:rPr>
          <w:b/>
          <w:bCs/>
          <w:lang w:val="en-IN"/>
        </w:rPr>
        <w:t>26 months</w:t>
      </w:r>
    </w:p>
    <w:p w:rsidR="00556C92" w:rsidRPr="00B10EB2" w:rsidRDefault="00556C92" w:rsidP="00556C92">
      <w:pPr>
        <w:jc w:val="both"/>
      </w:pPr>
      <m:oMathPara>
        <m:oMath>
          <m:r>
            <w:rPr>
              <w:rFonts w:ascii="Cambria Math" w:hAnsi="Cambria Math"/>
              <w:lang w:val="en-IN"/>
            </w:rPr>
            <m:t>LTV=ARPU×GrossMargin×Lifetime=6.20×0.68×26=</m:t>
          </m:r>
          <m:r>
            <m:rPr>
              <m:sty m:val="p"/>
            </m:rPr>
            <w:rPr>
              <w:rFonts w:ascii="Cambria Math" w:hAnsi="Cambria Math"/>
              <w:lang w:val="en-IN"/>
            </w:rPr>
            <m:t>£</m:t>
          </m:r>
          <m:r>
            <w:rPr>
              <w:rFonts w:ascii="Cambria Math" w:hAnsi="Cambria Math"/>
              <w:lang w:val="en-IN"/>
            </w:rPr>
            <m:t>109.6</m:t>
          </m:r>
        </m:oMath>
      </m:oMathPara>
    </w:p>
    <w:p w:rsidR="00556C92" w:rsidRDefault="00556C92" w:rsidP="00556C92">
      <w:pPr>
        <w:pStyle w:val="Heading2"/>
        <w:jc w:val="both"/>
      </w:pPr>
      <w:bookmarkStart w:id="61" w:name="_Toc220991358"/>
      <w:r w:rsidRPr="00611D10">
        <w:t>7.7.3 LTV / CAC Ratio and Payback</w:t>
      </w:r>
      <w:bookmarkEnd w:id="61"/>
    </w:p>
    <w:tbl>
      <w:tblPr>
        <w:tblStyle w:val="TableGrid"/>
        <w:tblW w:w="0" w:type="auto"/>
        <w:tblLook w:val="04A0" w:firstRow="1" w:lastRow="0" w:firstColumn="1" w:lastColumn="0" w:noHBand="0" w:noVBand="1"/>
      </w:tblPr>
      <w:tblGrid>
        <w:gridCol w:w="4508"/>
        <w:gridCol w:w="4508"/>
      </w:tblGrid>
      <w:tr w:rsidR="00556C92" w:rsidTr="00464AF0">
        <w:tc>
          <w:tcPr>
            <w:tcW w:w="4508" w:type="dxa"/>
            <w:vAlign w:val="center"/>
          </w:tcPr>
          <w:p w:rsidR="00556C92" w:rsidRDefault="00556C92" w:rsidP="00556C92">
            <w:pPr>
              <w:jc w:val="both"/>
              <w:rPr>
                <w:b/>
                <w:bCs/>
                <w:lang w:val="en-IN"/>
              </w:rPr>
            </w:pPr>
            <w:r>
              <w:rPr>
                <w:b/>
                <w:bCs/>
              </w:rPr>
              <w:t>Metric</w:t>
            </w:r>
          </w:p>
        </w:tc>
        <w:tc>
          <w:tcPr>
            <w:tcW w:w="4508" w:type="dxa"/>
            <w:vAlign w:val="center"/>
          </w:tcPr>
          <w:p w:rsidR="00556C92" w:rsidRDefault="00556C92" w:rsidP="00556C92">
            <w:pPr>
              <w:jc w:val="both"/>
              <w:rPr>
                <w:b/>
                <w:bCs/>
              </w:rPr>
            </w:pPr>
            <w:r>
              <w:rPr>
                <w:b/>
                <w:bCs/>
              </w:rPr>
              <w:t>Value</w:t>
            </w:r>
          </w:p>
        </w:tc>
      </w:tr>
      <w:tr w:rsidR="00556C92" w:rsidTr="00464AF0">
        <w:tc>
          <w:tcPr>
            <w:tcW w:w="4508" w:type="dxa"/>
            <w:vAlign w:val="center"/>
          </w:tcPr>
          <w:p w:rsidR="00556C92" w:rsidRDefault="00556C92" w:rsidP="00556C92">
            <w:pPr>
              <w:jc w:val="both"/>
            </w:pPr>
            <w:r>
              <w:t>LTV</w:t>
            </w:r>
          </w:p>
        </w:tc>
        <w:tc>
          <w:tcPr>
            <w:tcW w:w="4508" w:type="dxa"/>
            <w:vAlign w:val="center"/>
          </w:tcPr>
          <w:p w:rsidR="00556C92" w:rsidRDefault="00556C92" w:rsidP="00556C92">
            <w:pPr>
              <w:jc w:val="both"/>
            </w:pPr>
            <w:r>
              <w:t>£109.6</w:t>
            </w:r>
          </w:p>
        </w:tc>
      </w:tr>
      <w:tr w:rsidR="00556C92" w:rsidTr="00464AF0">
        <w:tc>
          <w:tcPr>
            <w:tcW w:w="4508" w:type="dxa"/>
            <w:vAlign w:val="center"/>
          </w:tcPr>
          <w:p w:rsidR="00556C92" w:rsidRDefault="00556C92" w:rsidP="00556C92">
            <w:pPr>
              <w:jc w:val="both"/>
            </w:pPr>
            <w:r>
              <w:t>CAC</w:t>
            </w:r>
          </w:p>
        </w:tc>
        <w:tc>
          <w:tcPr>
            <w:tcW w:w="4508" w:type="dxa"/>
            <w:vAlign w:val="center"/>
          </w:tcPr>
          <w:p w:rsidR="00556C92" w:rsidRDefault="00556C92" w:rsidP="00556C92">
            <w:pPr>
              <w:jc w:val="both"/>
            </w:pPr>
            <w:r>
              <w:t>£1.52</w:t>
            </w:r>
          </w:p>
        </w:tc>
      </w:tr>
      <w:tr w:rsidR="00556C92" w:rsidTr="00464AF0">
        <w:tc>
          <w:tcPr>
            <w:tcW w:w="4508" w:type="dxa"/>
            <w:vAlign w:val="center"/>
          </w:tcPr>
          <w:p w:rsidR="00556C92" w:rsidRDefault="00556C92" w:rsidP="00556C92">
            <w:pPr>
              <w:jc w:val="both"/>
            </w:pPr>
            <w:r>
              <w:t>LTV:CAC ratio</w:t>
            </w:r>
          </w:p>
        </w:tc>
        <w:tc>
          <w:tcPr>
            <w:tcW w:w="4508" w:type="dxa"/>
            <w:vAlign w:val="center"/>
          </w:tcPr>
          <w:p w:rsidR="00556C92" w:rsidRDefault="00556C92" w:rsidP="00556C92">
            <w:pPr>
              <w:jc w:val="both"/>
            </w:pPr>
            <w:r>
              <w:rPr>
                <w:rStyle w:val="Strong"/>
              </w:rPr>
              <w:t>72:1</w:t>
            </w:r>
          </w:p>
        </w:tc>
      </w:tr>
      <w:tr w:rsidR="00556C92" w:rsidTr="00464AF0">
        <w:tc>
          <w:tcPr>
            <w:tcW w:w="4508" w:type="dxa"/>
            <w:vAlign w:val="center"/>
          </w:tcPr>
          <w:p w:rsidR="00556C92" w:rsidRDefault="00556C92" w:rsidP="00556C92">
            <w:pPr>
              <w:jc w:val="both"/>
            </w:pPr>
            <w:r>
              <w:t>Payback period</w:t>
            </w:r>
          </w:p>
        </w:tc>
        <w:tc>
          <w:tcPr>
            <w:tcW w:w="4508" w:type="dxa"/>
            <w:vAlign w:val="center"/>
          </w:tcPr>
          <w:p w:rsidR="00556C92" w:rsidRDefault="00556C92" w:rsidP="00556C92">
            <w:pPr>
              <w:jc w:val="both"/>
            </w:pPr>
            <w:r>
              <w:rPr>
                <w:rStyle w:val="Strong"/>
              </w:rPr>
              <w:t>0.8 months</w:t>
            </w:r>
          </w:p>
        </w:tc>
      </w:tr>
    </w:tbl>
    <w:p w:rsidR="00556C92" w:rsidRDefault="00556C92" w:rsidP="00556C92">
      <w:pPr>
        <w:jc w:val="both"/>
        <w:rPr>
          <w:b/>
          <w:bCs/>
        </w:rPr>
      </w:pPr>
    </w:p>
    <w:p w:rsidR="00556C92" w:rsidRPr="007A0568" w:rsidRDefault="00556C92" w:rsidP="00556C92">
      <w:pPr>
        <w:jc w:val="both"/>
      </w:pPr>
      <w:r w:rsidRPr="007A0568">
        <w:t>This is a very high ratio that is above the SaaS ratio of 3:1, which indicates a good financial sustainability.</w:t>
      </w:r>
    </w:p>
    <w:p w:rsidR="00556C92" w:rsidRDefault="00556C92" w:rsidP="00556C92">
      <w:pPr>
        <w:pStyle w:val="Heading1"/>
        <w:jc w:val="both"/>
      </w:pPr>
      <w:bookmarkStart w:id="62" w:name="_Toc220991359"/>
      <w:r w:rsidRPr="00611D10">
        <w:lastRenderedPageBreak/>
        <w:t>7.8 Break-Even and Sensitivity Analysis</w:t>
      </w:r>
      <w:bookmarkEnd w:id="62"/>
    </w:p>
    <w:p w:rsidR="00556C92" w:rsidRDefault="00556C92" w:rsidP="00556C92">
      <w:pPr>
        <w:pStyle w:val="Heading2"/>
        <w:jc w:val="both"/>
      </w:pPr>
      <w:bookmarkStart w:id="63" w:name="_Toc220991360"/>
      <w:r w:rsidRPr="00611D10">
        <w:t>7.8.1 Break-Even Point</w:t>
      </w:r>
      <w:bookmarkEnd w:id="63"/>
    </w:p>
    <w:p w:rsidR="00556C92" w:rsidRPr="00E711D4" w:rsidRDefault="00556C92" w:rsidP="00556C92">
      <w:pPr>
        <w:jc w:val="both"/>
        <w:rPr>
          <w:lang w:val="en-IN"/>
        </w:rPr>
      </w:pPr>
      <w:r w:rsidRPr="00E711D4">
        <w:rPr>
          <w:lang w:val="en-IN"/>
        </w:rPr>
        <w:t>Monthly fixed costs: £9,000</w:t>
      </w:r>
      <w:r w:rsidRPr="00E711D4">
        <w:rPr>
          <w:lang w:val="en-IN"/>
        </w:rPr>
        <w:br/>
        <w:t>Gross margin per user: £4.20</w:t>
      </w:r>
    </w:p>
    <w:p w:rsidR="00556C92" w:rsidRPr="00E711D4" w:rsidRDefault="00556C92" w:rsidP="00556C92">
      <w:pPr>
        <w:jc w:val="both"/>
        <w:rPr>
          <w:lang w:val="en-IN"/>
        </w:rPr>
      </w:pPr>
      <m:oMathPara>
        <m:oMath>
          <m:r>
            <w:rPr>
              <w:rFonts w:ascii="Cambria Math" w:hAnsi="Cambria Math"/>
              <w:lang w:val="en-IN"/>
            </w:rPr>
            <m:t>Break-evenusers=9,000</m:t>
          </m:r>
          <m:r>
            <m:rPr>
              <m:sty m:val="p"/>
            </m:rPr>
            <w:rPr>
              <w:rFonts w:ascii="Cambria Math" w:hAnsi="Cambria Math"/>
              <w:lang w:val="en-IN"/>
            </w:rPr>
            <m:t>/</m:t>
          </m:r>
          <m:r>
            <w:rPr>
              <w:rFonts w:ascii="Cambria Math" w:hAnsi="Cambria Math"/>
              <w:lang w:val="en-IN"/>
            </w:rPr>
            <m:t>4.20=2,143users</m:t>
          </m:r>
          <m:r>
            <m:rPr>
              <m:sty m:val="p"/>
            </m:rPr>
            <w:rPr>
              <w:rFonts w:ascii="Cambria Math" w:hAnsi="Cambria Math"/>
              <w:lang w:val="en-IN"/>
            </w:rPr>
            <w:br/>
          </m:r>
        </m:oMath>
      </m:oMathPara>
    </w:p>
    <w:p w:rsidR="00556C92" w:rsidRPr="00E711D4" w:rsidRDefault="00556C92" w:rsidP="00556C92">
      <w:pPr>
        <w:jc w:val="both"/>
        <w:rPr>
          <w:lang w:val="en-IN"/>
        </w:rPr>
      </w:pPr>
      <w:r w:rsidRPr="00E711D4">
        <w:rPr>
          <w:lang w:val="en-IN"/>
        </w:rPr>
        <w:t xml:space="preserve">Discsoul reaches break-even in Month 7, earlier than industry average </w:t>
      </w:r>
      <w:r w:rsidRPr="00B44925">
        <w:rPr>
          <w:lang w:val="en-IN"/>
        </w:rPr>
        <w:t>(Statista, 2024).</w:t>
      </w:r>
    </w:p>
    <w:p w:rsidR="00556C92" w:rsidRDefault="00556C92" w:rsidP="00556C92">
      <w:pPr>
        <w:pStyle w:val="Heading2"/>
        <w:jc w:val="both"/>
      </w:pPr>
      <w:bookmarkStart w:id="64" w:name="_Toc220991361"/>
      <w:r w:rsidRPr="00611D10">
        <w:t>7.8.2 Sensitivity Analysis</w:t>
      </w:r>
      <w:bookmarkEnd w:id="64"/>
    </w:p>
    <w:tbl>
      <w:tblPr>
        <w:tblStyle w:val="TableGrid"/>
        <w:tblW w:w="0" w:type="auto"/>
        <w:tblLook w:val="04A0" w:firstRow="1" w:lastRow="0" w:firstColumn="1" w:lastColumn="0" w:noHBand="0" w:noVBand="1"/>
      </w:tblPr>
      <w:tblGrid>
        <w:gridCol w:w="2254"/>
        <w:gridCol w:w="2254"/>
        <w:gridCol w:w="2254"/>
        <w:gridCol w:w="2254"/>
      </w:tblGrid>
      <w:tr w:rsidR="00556C92" w:rsidTr="00464AF0">
        <w:tc>
          <w:tcPr>
            <w:tcW w:w="2254" w:type="dxa"/>
            <w:vAlign w:val="center"/>
          </w:tcPr>
          <w:p w:rsidR="00556C92" w:rsidRDefault="00556C92" w:rsidP="00556C92">
            <w:pPr>
              <w:jc w:val="both"/>
              <w:rPr>
                <w:b/>
                <w:bCs/>
                <w:lang w:val="en-IN"/>
              </w:rPr>
            </w:pPr>
            <w:r>
              <w:rPr>
                <w:b/>
                <w:bCs/>
              </w:rPr>
              <w:t>Scenario</w:t>
            </w:r>
          </w:p>
        </w:tc>
        <w:tc>
          <w:tcPr>
            <w:tcW w:w="2254" w:type="dxa"/>
            <w:vAlign w:val="center"/>
          </w:tcPr>
          <w:p w:rsidR="00556C92" w:rsidRDefault="00556C92" w:rsidP="00556C92">
            <w:pPr>
              <w:jc w:val="both"/>
              <w:rPr>
                <w:b/>
                <w:bCs/>
              </w:rPr>
            </w:pPr>
            <w:r>
              <w:rPr>
                <w:b/>
                <w:bCs/>
              </w:rPr>
              <w:t>Users</w:t>
            </w:r>
          </w:p>
        </w:tc>
        <w:tc>
          <w:tcPr>
            <w:tcW w:w="2254" w:type="dxa"/>
            <w:vAlign w:val="center"/>
          </w:tcPr>
          <w:p w:rsidR="00556C92" w:rsidRDefault="00556C92" w:rsidP="00556C92">
            <w:pPr>
              <w:jc w:val="both"/>
              <w:rPr>
                <w:b/>
                <w:bCs/>
              </w:rPr>
            </w:pPr>
            <w:r>
              <w:rPr>
                <w:b/>
                <w:bCs/>
              </w:rPr>
              <w:t>Revenue (£/month)</w:t>
            </w:r>
          </w:p>
        </w:tc>
        <w:tc>
          <w:tcPr>
            <w:tcW w:w="2254" w:type="dxa"/>
            <w:vAlign w:val="center"/>
          </w:tcPr>
          <w:p w:rsidR="00556C92" w:rsidRDefault="00556C92" w:rsidP="00556C92">
            <w:pPr>
              <w:jc w:val="both"/>
              <w:rPr>
                <w:b/>
                <w:bCs/>
              </w:rPr>
            </w:pPr>
            <w:r>
              <w:rPr>
                <w:b/>
                <w:bCs/>
              </w:rPr>
              <w:t>Profit (£/month)</w:t>
            </w:r>
          </w:p>
        </w:tc>
      </w:tr>
      <w:tr w:rsidR="00556C92" w:rsidTr="00464AF0">
        <w:tc>
          <w:tcPr>
            <w:tcW w:w="2254" w:type="dxa"/>
            <w:vAlign w:val="center"/>
          </w:tcPr>
          <w:p w:rsidR="00556C92" w:rsidRDefault="00556C92" w:rsidP="00556C92">
            <w:pPr>
              <w:jc w:val="both"/>
            </w:pPr>
            <w:r>
              <w:t>Worst case (-30%)</w:t>
            </w:r>
          </w:p>
        </w:tc>
        <w:tc>
          <w:tcPr>
            <w:tcW w:w="2254" w:type="dxa"/>
            <w:vAlign w:val="center"/>
          </w:tcPr>
          <w:p w:rsidR="00556C92" w:rsidRDefault="00556C92" w:rsidP="00556C92">
            <w:pPr>
              <w:jc w:val="both"/>
            </w:pPr>
            <w:r>
              <w:t>1,500</w:t>
            </w:r>
          </w:p>
        </w:tc>
        <w:tc>
          <w:tcPr>
            <w:tcW w:w="2254" w:type="dxa"/>
            <w:vAlign w:val="center"/>
          </w:tcPr>
          <w:p w:rsidR="00556C92" w:rsidRDefault="00556C92" w:rsidP="00556C92">
            <w:pPr>
              <w:jc w:val="both"/>
            </w:pPr>
            <w:r>
              <w:t>9,300</w:t>
            </w:r>
          </w:p>
        </w:tc>
        <w:tc>
          <w:tcPr>
            <w:tcW w:w="2254" w:type="dxa"/>
            <w:vAlign w:val="center"/>
          </w:tcPr>
          <w:p w:rsidR="00556C92" w:rsidRDefault="00556C92" w:rsidP="00556C92">
            <w:pPr>
              <w:jc w:val="both"/>
            </w:pPr>
            <w:r>
              <w:t>-1,400</w:t>
            </w:r>
          </w:p>
        </w:tc>
      </w:tr>
      <w:tr w:rsidR="00556C92" w:rsidTr="00464AF0">
        <w:tc>
          <w:tcPr>
            <w:tcW w:w="2254" w:type="dxa"/>
            <w:vAlign w:val="center"/>
          </w:tcPr>
          <w:p w:rsidR="00556C92" w:rsidRDefault="00556C92" w:rsidP="00556C92">
            <w:pPr>
              <w:jc w:val="both"/>
            </w:pPr>
            <w:r>
              <w:t>Base case</w:t>
            </w:r>
          </w:p>
        </w:tc>
        <w:tc>
          <w:tcPr>
            <w:tcW w:w="2254" w:type="dxa"/>
            <w:vAlign w:val="center"/>
          </w:tcPr>
          <w:p w:rsidR="00556C92" w:rsidRDefault="00556C92" w:rsidP="00556C92">
            <w:pPr>
              <w:jc w:val="both"/>
            </w:pPr>
            <w:r>
              <w:t>2,500</w:t>
            </w:r>
          </w:p>
        </w:tc>
        <w:tc>
          <w:tcPr>
            <w:tcW w:w="2254" w:type="dxa"/>
            <w:vAlign w:val="center"/>
          </w:tcPr>
          <w:p w:rsidR="00556C92" w:rsidRDefault="00556C92" w:rsidP="00556C92">
            <w:pPr>
              <w:jc w:val="both"/>
            </w:pPr>
            <w:r>
              <w:t>15,500</w:t>
            </w:r>
          </w:p>
        </w:tc>
        <w:tc>
          <w:tcPr>
            <w:tcW w:w="2254" w:type="dxa"/>
            <w:vAlign w:val="center"/>
          </w:tcPr>
          <w:p w:rsidR="00556C92" w:rsidRDefault="00556C92" w:rsidP="00556C92">
            <w:pPr>
              <w:jc w:val="both"/>
            </w:pPr>
            <w:r>
              <w:t>3,800</w:t>
            </w:r>
          </w:p>
        </w:tc>
      </w:tr>
      <w:tr w:rsidR="00556C92" w:rsidTr="00464AF0">
        <w:tc>
          <w:tcPr>
            <w:tcW w:w="2254" w:type="dxa"/>
            <w:vAlign w:val="center"/>
          </w:tcPr>
          <w:p w:rsidR="00556C92" w:rsidRDefault="00556C92" w:rsidP="00556C92">
            <w:pPr>
              <w:jc w:val="both"/>
            </w:pPr>
            <w:r>
              <w:t>Best case (+30%)</w:t>
            </w:r>
          </w:p>
        </w:tc>
        <w:tc>
          <w:tcPr>
            <w:tcW w:w="2254" w:type="dxa"/>
            <w:vAlign w:val="center"/>
          </w:tcPr>
          <w:p w:rsidR="00556C92" w:rsidRDefault="00556C92" w:rsidP="00556C92">
            <w:pPr>
              <w:jc w:val="both"/>
            </w:pPr>
            <w:r>
              <w:t>3,300</w:t>
            </w:r>
          </w:p>
        </w:tc>
        <w:tc>
          <w:tcPr>
            <w:tcW w:w="2254" w:type="dxa"/>
            <w:vAlign w:val="center"/>
          </w:tcPr>
          <w:p w:rsidR="00556C92" w:rsidRDefault="00556C92" w:rsidP="00556C92">
            <w:pPr>
              <w:jc w:val="both"/>
            </w:pPr>
            <w:r>
              <w:t>20,460</w:t>
            </w:r>
          </w:p>
        </w:tc>
        <w:tc>
          <w:tcPr>
            <w:tcW w:w="2254" w:type="dxa"/>
            <w:vAlign w:val="center"/>
          </w:tcPr>
          <w:p w:rsidR="00556C92" w:rsidRDefault="00556C92" w:rsidP="00556C92">
            <w:pPr>
              <w:jc w:val="both"/>
            </w:pPr>
            <w:r>
              <w:t>7,600</w:t>
            </w:r>
          </w:p>
        </w:tc>
      </w:tr>
    </w:tbl>
    <w:p w:rsidR="00556C92" w:rsidRDefault="00556C92" w:rsidP="00556C92">
      <w:pPr>
        <w:jc w:val="both"/>
        <w:rPr>
          <w:b/>
          <w:bCs/>
        </w:rPr>
      </w:pPr>
    </w:p>
    <w:p w:rsidR="00556C92" w:rsidRDefault="00556C92" w:rsidP="00556C92">
      <w:pPr>
        <w:pStyle w:val="Heading1"/>
        <w:jc w:val="both"/>
      </w:pPr>
      <w:bookmarkStart w:id="65" w:name="_Toc220991362"/>
      <w:r w:rsidRPr="00611D10">
        <w:t>7.9 Tax and Compliance Considerations</w:t>
      </w:r>
      <w:bookmarkEnd w:id="65"/>
    </w:p>
    <w:p w:rsidR="00556C92" w:rsidRPr="007A0568" w:rsidRDefault="00556C92" w:rsidP="00556C92">
      <w:pPr>
        <w:jc w:val="both"/>
      </w:pPr>
      <w:r w:rsidRPr="007A0568">
        <w:t xml:space="preserve">Discsoul is an incorporated UK private limited company, which is in compliance with: </w:t>
      </w:r>
    </w:p>
    <w:p w:rsidR="00556C92" w:rsidRPr="007A0568" w:rsidRDefault="00556C92" w:rsidP="00556C92">
      <w:pPr>
        <w:jc w:val="both"/>
      </w:pPr>
      <w:r w:rsidRPr="007A0568">
        <w:t xml:space="preserve">UK Corporation Tax (25%) </w:t>
      </w:r>
    </w:p>
    <w:p w:rsidR="00556C92" w:rsidRPr="007A0568" w:rsidRDefault="00556C92" w:rsidP="00556C92">
      <w:pPr>
        <w:jc w:val="both"/>
      </w:pPr>
      <w:r w:rsidRPr="007A0568">
        <w:t xml:space="preserve">VAT on digital services (20%) </w:t>
      </w:r>
    </w:p>
    <w:p w:rsidR="00556C92" w:rsidRPr="007A0568" w:rsidRDefault="00556C92" w:rsidP="00556C92">
      <w:pPr>
        <w:jc w:val="both"/>
      </w:pPr>
      <w:r w:rsidRPr="007A0568">
        <w:t>Tax exemption on artist royalties.</w:t>
      </w:r>
    </w:p>
    <w:p w:rsidR="00556C92" w:rsidRDefault="00556C92" w:rsidP="00556C92">
      <w:pPr>
        <w:jc w:val="both"/>
        <w:rPr>
          <w:b/>
          <w:bCs/>
        </w:rPr>
      </w:pPr>
      <w:r w:rsidRPr="00611D10">
        <w:rPr>
          <w:b/>
          <w:bCs/>
        </w:rPr>
        <w:t>Table 7.9: Tax Structure</w:t>
      </w:r>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Area</w:t>
            </w:r>
          </w:p>
        </w:tc>
        <w:tc>
          <w:tcPr>
            <w:tcW w:w="3005" w:type="dxa"/>
            <w:vAlign w:val="center"/>
          </w:tcPr>
          <w:p w:rsidR="00556C92" w:rsidRDefault="00556C92" w:rsidP="00556C92">
            <w:pPr>
              <w:jc w:val="both"/>
              <w:rPr>
                <w:b/>
                <w:bCs/>
              </w:rPr>
            </w:pPr>
            <w:r>
              <w:rPr>
                <w:b/>
                <w:bCs/>
              </w:rPr>
              <w:t>Rate</w:t>
            </w:r>
          </w:p>
        </w:tc>
        <w:tc>
          <w:tcPr>
            <w:tcW w:w="3006" w:type="dxa"/>
            <w:vAlign w:val="center"/>
          </w:tcPr>
          <w:p w:rsidR="00556C92" w:rsidRDefault="00556C92" w:rsidP="00556C92">
            <w:pPr>
              <w:jc w:val="both"/>
              <w:rPr>
                <w:b/>
                <w:bCs/>
              </w:rPr>
            </w:pPr>
            <w:r>
              <w:rPr>
                <w:b/>
                <w:bCs/>
              </w:rPr>
              <w:t>Notes</w:t>
            </w:r>
          </w:p>
        </w:tc>
      </w:tr>
      <w:tr w:rsidR="00556C92" w:rsidTr="00464AF0">
        <w:tc>
          <w:tcPr>
            <w:tcW w:w="3005" w:type="dxa"/>
            <w:vAlign w:val="center"/>
          </w:tcPr>
          <w:p w:rsidR="00556C92" w:rsidRDefault="00556C92" w:rsidP="00556C92">
            <w:pPr>
              <w:jc w:val="both"/>
            </w:pPr>
            <w:r>
              <w:t>Corporation tax</w:t>
            </w:r>
          </w:p>
        </w:tc>
        <w:tc>
          <w:tcPr>
            <w:tcW w:w="3005" w:type="dxa"/>
            <w:vAlign w:val="center"/>
          </w:tcPr>
          <w:p w:rsidR="00556C92" w:rsidRDefault="00556C92" w:rsidP="00556C92">
            <w:pPr>
              <w:jc w:val="both"/>
            </w:pPr>
            <w:r>
              <w:t>25%</w:t>
            </w:r>
          </w:p>
        </w:tc>
        <w:tc>
          <w:tcPr>
            <w:tcW w:w="3006" w:type="dxa"/>
            <w:vAlign w:val="center"/>
          </w:tcPr>
          <w:p w:rsidR="00556C92" w:rsidRDefault="00556C92" w:rsidP="00556C92">
            <w:pPr>
              <w:jc w:val="both"/>
            </w:pPr>
            <w:r>
              <w:t>UK standard</w:t>
            </w:r>
          </w:p>
        </w:tc>
      </w:tr>
      <w:tr w:rsidR="00556C92" w:rsidTr="00464AF0">
        <w:tc>
          <w:tcPr>
            <w:tcW w:w="3005" w:type="dxa"/>
            <w:vAlign w:val="center"/>
          </w:tcPr>
          <w:p w:rsidR="00556C92" w:rsidRDefault="00556C92" w:rsidP="00556C92">
            <w:pPr>
              <w:jc w:val="both"/>
            </w:pPr>
            <w:r>
              <w:t>VAT (subscriptions)</w:t>
            </w:r>
          </w:p>
        </w:tc>
        <w:tc>
          <w:tcPr>
            <w:tcW w:w="3005" w:type="dxa"/>
            <w:vAlign w:val="center"/>
          </w:tcPr>
          <w:p w:rsidR="00556C92" w:rsidRDefault="00556C92" w:rsidP="00556C92">
            <w:pPr>
              <w:jc w:val="both"/>
            </w:pPr>
            <w:r>
              <w:t>20%</w:t>
            </w:r>
          </w:p>
        </w:tc>
        <w:tc>
          <w:tcPr>
            <w:tcW w:w="3006" w:type="dxa"/>
            <w:vAlign w:val="center"/>
          </w:tcPr>
          <w:p w:rsidR="00556C92" w:rsidRDefault="00556C92" w:rsidP="00556C92">
            <w:pPr>
              <w:jc w:val="both"/>
            </w:pPr>
            <w:r>
              <w:t>Digital services</w:t>
            </w:r>
          </w:p>
        </w:tc>
      </w:tr>
      <w:tr w:rsidR="00556C92" w:rsidTr="00464AF0">
        <w:tc>
          <w:tcPr>
            <w:tcW w:w="3005" w:type="dxa"/>
            <w:vAlign w:val="center"/>
          </w:tcPr>
          <w:p w:rsidR="00556C92" w:rsidRDefault="00556C92" w:rsidP="00556C92">
            <w:pPr>
              <w:jc w:val="both"/>
            </w:pPr>
            <w:r>
              <w:t>VAT (EU users)</w:t>
            </w:r>
          </w:p>
        </w:tc>
        <w:tc>
          <w:tcPr>
            <w:tcW w:w="3005" w:type="dxa"/>
            <w:vAlign w:val="center"/>
          </w:tcPr>
          <w:p w:rsidR="00556C92" w:rsidRDefault="00556C92" w:rsidP="00556C92">
            <w:pPr>
              <w:jc w:val="both"/>
            </w:pPr>
            <w:r>
              <w:t>Variable</w:t>
            </w:r>
          </w:p>
        </w:tc>
        <w:tc>
          <w:tcPr>
            <w:tcW w:w="3006" w:type="dxa"/>
            <w:vAlign w:val="center"/>
          </w:tcPr>
          <w:p w:rsidR="00556C92" w:rsidRDefault="00556C92" w:rsidP="00556C92">
            <w:pPr>
              <w:jc w:val="both"/>
            </w:pPr>
            <w:r>
              <w:t>OSS scheme</w:t>
            </w:r>
          </w:p>
        </w:tc>
      </w:tr>
      <w:tr w:rsidR="00556C92" w:rsidTr="00464AF0">
        <w:tc>
          <w:tcPr>
            <w:tcW w:w="3005" w:type="dxa"/>
            <w:vAlign w:val="center"/>
          </w:tcPr>
          <w:p w:rsidR="00556C92" w:rsidRDefault="00556C92" w:rsidP="00556C92">
            <w:pPr>
              <w:jc w:val="both"/>
            </w:pPr>
            <w:r>
              <w:t>Withholding tax</w:t>
            </w:r>
          </w:p>
        </w:tc>
        <w:tc>
          <w:tcPr>
            <w:tcW w:w="3005" w:type="dxa"/>
            <w:vAlign w:val="center"/>
          </w:tcPr>
          <w:p w:rsidR="00556C92" w:rsidRDefault="00556C92" w:rsidP="00556C92">
            <w:pPr>
              <w:jc w:val="both"/>
            </w:pPr>
            <w:r>
              <w:t>10%</w:t>
            </w:r>
          </w:p>
        </w:tc>
        <w:tc>
          <w:tcPr>
            <w:tcW w:w="3006" w:type="dxa"/>
            <w:vAlign w:val="center"/>
          </w:tcPr>
          <w:p w:rsidR="00556C92" w:rsidRDefault="00556C92" w:rsidP="00556C92">
            <w:pPr>
              <w:jc w:val="both"/>
            </w:pPr>
            <w:r>
              <w:t>Artist payouts</w:t>
            </w:r>
          </w:p>
        </w:tc>
      </w:tr>
    </w:tbl>
    <w:p w:rsidR="00556C92" w:rsidRDefault="00556C92" w:rsidP="00556C92">
      <w:pPr>
        <w:jc w:val="both"/>
        <w:rPr>
          <w:b/>
          <w:bCs/>
        </w:rPr>
      </w:pPr>
    </w:p>
    <w:p w:rsidR="00556C92" w:rsidRPr="00E64F1A" w:rsidRDefault="00556C92" w:rsidP="00556C92">
      <w:pPr>
        <w:jc w:val="both"/>
      </w:pPr>
      <w:r w:rsidRPr="00E64F1A">
        <w:t xml:space="preserve">R&amp;D tax credits and innovative industry reliefs under tax planning are reduced by effective tax rate to about 18% </w:t>
      </w:r>
      <w:r w:rsidRPr="00B44925">
        <w:t>(HMRC, 2025).</w:t>
      </w:r>
    </w:p>
    <w:p w:rsidR="00556C92" w:rsidRDefault="00556C92" w:rsidP="00556C92">
      <w:pPr>
        <w:pStyle w:val="Heading1"/>
        <w:jc w:val="both"/>
      </w:pPr>
      <w:bookmarkStart w:id="66" w:name="_Toc220991363"/>
      <w:r w:rsidRPr="00611D10">
        <w:t>7.10 Financial Controls and Reporting</w:t>
      </w:r>
      <w:bookmarkEnd w:id="66"/>
    </w:p>
    <w:p w:rsidR="00556C92" w:rsidRPr="00E64F1A" w:rsidRDefault="00556C92" w:rsidP="00556C92">
      <w:pPr>
        <w:jc w:val="both"/>
      </w:pPr>
      <w:r w:rsidRPr="00E64F1A">
        <w:t>The controls are supposed to be strong in order to satisfy the interests of the investor, auditor and the university.</w:t>
      </w:r>
    </w:p>
    <w:p w:rsidR="00556C92" w:rsidRDefault="00556C92" w:rsidP="00556C92">
      <w:pPr>
        <w:pStyle w:val="Heading2"/>
        <w:jc w:val="both"/>
      </w:pPr>
      <w:bookmarkStart w:id="67" w:name="_Toc220991364"/>
      <w:r w:rsidRPr="00611D10">
        <w:t>7.10.1 Control Framework</w:t>
      </w:r>
      <w:bookmarkEnd w:id="67"/>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Control Area</w:t>
            </w:r>
          </w:p>
        </w:tc>
        <w:tc>
          <w:tcPr>
            <w:tcW w:w="3005" w:type="dxa"/>
            <w:vAlign w:val="center"/>
          </w:tcPr>
          <w:p w:rsidR="00556C92" w:rsidRDefault="00556C92" w:rsidP="00556C92">
            <w:pPr>
              <w:jc w:val="both"/>
              <w:rPr>
                <w:b/>
                <w:bCs/>
              </w:rPr>
            </w:pPr>
            <w:r>
              <w:rPr>
                <w:b/>
                <w:bCs/>
              </w:rPr>
              <w:t>Tool</w:t>
            </w:r>
          </w:p>
        </w:tc>
        <w:tc>
          <w:tcPr>
            <w:tcW w:w="3006" w:type="dxa"/>
            <w:vAlign w:val="center"/>
          </w:tcPr>
          <w:p w:rsidR="00556C92" w:rsidRDefault="00556C92" w:rsidP="00556C92">
            <w:pPr>
              <w:jc w:val="both"/>
              <w:rPr>
                <w:b/>
                <w:bCs/>
              </w:rPr>
            </w:pPr>
            <w:r>
              <w:rPr>
                <w:b/>
                <w:bCs/>
              </w:rPr>
              <w:t>Frequency</w:t>
            </w:r>
          </w:p>
        </w:tc>
      </w:tr>
      <w:tr w:rsidR="00556C92" w:rsidTr="00464AF0">
        <w:tc>
          <w:tcPr>
            <w:tcW w:w="3005" w:type="dxa"/>
            <w:vAlign w:val="center"/>
          </w:tcPr>
          <w:p w:rsidR="00556C92" w:rsidRDefault="00556C92" w:rsidP="00556C92">
            <w:pPr>
              <w:jc w:val="both"/>
            </w:pPr>
            <w:r>
              <w:t>Revenue reconciliation</w:t>
            </w:r>
          </w:p>
        </w:tc>
        <w:tc>
          <w:tcPr>
            <w:tcW w:w="3005" w:type="dxa"/>
            <w:vAlign w:val="center"/>
          </w:tcPr>
          <w:p w:rsidR="00556C92" w:rsidRDefault="00556C92" w:rsidP="00556C92">
            <w:pPr>
              <w:jc w:val="both"/>
            </w:pPr>
            <w:r>
              <w:t>Stripe + Xero</w:t>
            </w:r>
          </w:p>
        </w:tc>
        <w:tc>
          <w:tcPr>
            <w:tcW w:w="3006" w:type="dxa"/>
            <w:vAlign w:val="center"/>
          </w:tcPr>
          <w:p w:rsidR="00556C92" w:rsidRDefault="00556C92" w:rsidP="00556C92">
            <w:pPr>
              <w:jc w:val="both"/>
            </w:pPr>
            <w:r>
              <w:t>Weekly</w:t>
            </w:r>
          </w:p>
        </w:tc>
      </w:tr>
      <w:tr w:rsidR="00556C92" w:rsidTr="00464AF0">
        <w:tc>
          <w:tcPr>
            <w:tcW w:w="3005" w:type="dxa"/>
            <w:vAlign w:val="center"/>
          </w:tcPr>
          <w:p w:rsidR="00556C92" w:rsidRDefault="00556C92" w:rsidP="00556C92">
            <w:pPr>
              <w:jc w:val="both"/>
            </w:pPr>
            <w:r>
              <w:lastRenderedPageBreak/>
              <w:t>Cost monitoring</w:t>
            </w:r>
          </w:p>
        </w:tc>
        <w:tc>
          <w:tcPr>
            <w:tcW w:w="3005" w:type="dxa"/>
            <w:vAlign w:val="center"/>
          </w:tcPr>
          <w:p w:rsidR="00556C92" w:rsidRDefault="00556C92" w:rsidP="00556C92">
            <w:pPr>
              <w:jc w:val="both"/>
            </w:pPr>
            <w:r>
              <w:t>AWS Budgets</w:t>
            </w:r>
          </w:p>
        </w:tc>
        <w:tc>
          <w:tcPr>
            <w:tcW w:w="3006" w:type="dxa"/>
            <w:vAlign w:val="center"/>
          </w:tcPr>
          <w:p w:rsidR="00556C92" w:rsidRDefault="00556C92" w:rsidP="00556C92">
            <w:pPr>
              <w:jc w:val="both"/>
            </w:pPr>
            <w:r>
              <w:t>Real-time</w:t>
            </w:r>
          </w:p>
        </w:tc>
      </w:tr>
      <w:tr w:rsidR="00556C92" w:rsidTr="00464AF0">
        <w:tc>
          <w:tcPr>
            <w:tcW w:w="3005" w:type="dxa"/>
            <w:vAlign w:val="center"/>
          </w:tcPr>
          <w:p w:rsidR="00556C92" w:rsidRDefault="00556C92" w:rsidP="00556C92">
            <w:pPr>
              <w:jc w:val="both"/>
            </w:pPr>
            <w:r>
              <w:t>Payroll</w:t>
            </w:r>
          </w:p>
        </w:tc>
        <w:tc>
          <w:tcPr>
            <w:tcW w:w="3005" w:type="dxa"/>
            <w:vAlign w:val="center"/>
          </w:tcPr>
          <w:p w:rsidR="00556C92" w:rsidRDefault="00556C92" w:rsidP="00556C92">
            <w:pPr>
              <w:jc w:val="both"/>
            </w:pPr>
            <w:r>
              <w:t>Deel</w:t>
            </w:r>
          </w:p>
        </w:tc>
        <w:tc>
          <w:tcPr>
            <w:tcW w:w="3006" w:type="dxa"/>
            <w:vAlign w:val="center"/>
          </w:tcPr>
          <w:p w:rsidR="00556C92" w:rsidRDefault="00556C92" w:rsidP="00556C92">
            <w:pPr>
              <w:jc w:val="both"/>
            </w:pPr>
            <w:r>
              <w:t>Monthly</w:t>
            </w:r>
          </w:p>
        </w:tc>
      </w:tr>
      <w:tr w:rsidR="00556C92" w:rsidTr="00464AF0">
        <w:tc>
          <w:tcPr>
            <w:tcW w:w="3005" w:type="dxa"/>
            <w:vAlign w:val="center"/>
          </w:tcPr>
          <w:p w:rsidR="00556C92" w:rsidRDefault="00556C92" w:rsidP="00556C92">
            <w:pPr>
              <w:jc w:val="both"/>
            </w:pPr>
            <w:r>
              <w:t>VAT compliance</w:t>
            </w:r>
          </w:p>
        </w:tc>
        <w:tc>
          <w:tcPr>
            <w:tcW w:w="3005" w:type="dxa"/>
            <w:vAlign w:val="center"/>
          </w:tcPr>
          <w:p w:rsidR="00556C92" w:rsidRDefault="00556C92" w:rsidP="00556C92">
            <w:pPr>
              <w:jc w:val="both"/>
            </w:pPr>
            <w:proofErr w:type="spellStart"/>
            <w:r>
              <w:t>TaxScouts</w:t>
            </w:r>
            <w:proofErr w:type="spellEnd"/>
          </w:p>
        </w:tc>
        <w:tc>
          <w:tcPr>
            <w:tcW w:w="3006" w:type="dxa"/>
            <w:vAlign w:val="center"/>
          </w:tcPr>
          <w:p w:rsidR="00556C92" w:rsidRDefault="00556C92" w:rsidP="00556C92">
            <w:pPr>
              <w:jc w:val="both"/>
            </w:pPr>
            <w:r>
              <w:t>Quarterly</w:t>
            </w:r>
          </w:p>
        </w:tc>
      </w:tr>
      <w:tr w:rsidR="00556C92" w:rsidTr="00464AF0">
        <w:tc>
          <w:tcPr>
            <w:tcW w:w="3005" w:type="dxa"/>
            <w:vAlign w:val="center"/>
          </w:tcPr>
          <w:p w:rsidR="00556C92" w:rsidRDefault="00556C92" w:rsidP="00556C92">
            <w:pPr>
              <w:jc w:val="both"/>
            </w:pPr>
            <w:r>
              <w:t>Board reporting</w:t>
            </w:r>
          </w:p>
        </w:tc>
        <w:tc>
          <w:tcPr>
            <w:tcW w:w="3005" w:type="dxa"/>
            <w:vAlign w:val="center"/>
          </w:tcPr>
          <w:p w:rsidR="00556C92" w:rsidRDefault="00556C92" w:rsidP="00556C92">
            <w:pPr>
              <w:jc w:val="both"/>
            </w:pPr>
            <w:r>
              <w:t>KPI dashboard</w:t>
            </w:r>
          </w:p>
        </w:tc>
        <w:tc>
          <w:tcPr>
            <w:tcW w:w="3006" w:type="dxa"/>
            <w:vAlign w:val="center"/>
          </w:tcPr>
          <w:p w:rsidR="00556C92" w:rsidRDefault="00556C92" w:rsidP="00556C92">
            <w:pPr>
              <w:jc w:val="both"/>
            </w:pPr>
            <w:r>
              <w:t>Monthly</w:t>
            </w:r>
          </w:p>
        </w:tc>
      </w:tr>
    </w:tbl>
    <w:p w:rsidR="00556C92" w:rsidRPr="00E64F1A" w:rsidRDefault="00556C92" w:rsidP="00556C92">
      <w:pPr>
        <w:jc w:val="both"/>
      </w:pPr>
    </w:p>
    <w:p w:rsidR="00556C92" w:rsidRPr="00E64F1A" w:rsidRDefault="00556C92" w:rsidP="00556C92">
      <w:pPr>
        <w:jc w:val="both"/>
      </w:pPr>
      <w:r w:rsidRPr="00E64F1A">
        <w:t xml:space="preserve">Discsoul adheres to COSO internal control framework which is accurate, transparent and accountable </w:t>
      </w:r>
      <w:r w:rsidRPr="00B44925">
        <w:t>(COSO, 2023).</w:t>
      </w:r>
    </w:p>
    <w:p w:rsidR="00556C92" w:rsidRPr="00611D10" w:rsidRDefault="00556C92" w:rsidP="00556C92">
      <w:pPr>
        <w:jc w:val="both"/>
        <w:rPr>
          <w:lang w:val="en-IN"/>
        </w:rPr>
      </w:pPr>
      <w:r w:rsidRPr="00611D10">
        <w:rPr>
          <w:lang w:val="en-IN"/>
        </w:rPr>
        <w:t>(Description: Automated data flows from platform to accounting to board dashboard.)</w:t>
      </w:r>
    </w:p>
    <w:p w:rsidR="00556C92" w:rsidRPr="00611D10" w:rsidRDefault="00556C92" w:rsidP="00556C92">
      <w:pPr>
        <w:pStyle w:val="Heading1"/>
        <w:jc w:val="both"/>
        <w:rPr>
          <w:lang w:val="en-IN"/>
        </w:rPr>
      </w:pPr>
      <w:bookmarkStart w:id="68" w:name="_Toc220991365"/>
      <w:r w:rsidRPr="00611D10">
        <w:rPr>
          <w:lang w:val="en-IN"/>
        </w:rPr>
        <w:t>7.11 Evidence, Benchmarks, Success and Failure Parallels</w:t>
      </w:r>
      <w:bookmarkEnd w:id="68"/>
    </w:p>
    <w:p w:rsidR="00556C92" w:rsidRDefault="00556C92" w:rsidP="00556C92">
      <w:pPr>
        <w:pStyle w:val="Heading2"/>
        <w:jc w:val="both"/>
      </w:pPr>
      <w:bookmarkStart w:id="69" w:name="_Toc220991366"/>
      <w:r w:rsidRPr="00611D10">
        <w:t>7.11.1 Industry Benchmarks</w:t>
      </w:r>
      <w:bookmarkEnd w:id="69"/>
    </w:p>
    <w:tbl>
      <w:tblPr>
        <w:tblStyle w:val="TableGrid"/>
        <w:tblW w:w="0" w:type="auto"/>
        <w:tblLook w:val="04A0" w:firstRow="1" w:lastRow="0" w:firstColumn="1" w:lastColumn="0" w:noHBand="0" w:noVBand="1"/>
      </w:tblPr>
      <w:tblGrid>
        <w:gridCol w:w="3005"/>
        <w:gridCol w:w="3005"/>
        <w:gridCol w:w="3006"/>
      </w:tblGrid>
      <w:tr w:rsidR="00556C92" w:rsidTr="00464AF0">
        <w:tc>
          <w:tcPr>
            <w:tcW w:w="3005" w:type="dxa"/>
            <w:vAlign w:val="center"/>
          </w:tcPr>
          <w:p w:rsidR="00556C92" w:rsidRDefault="00556C92" w:rsidP="00556C92">
            <w:pPr>
              <w:jc w:val="both"/>
              <w:rPr>
                <w:b/>
                <w:bCs/>
                <w:lang w:val="en-IN"/>
              </w:rPr>
            </w:pPr>
            <w:r>
              <w:rPr>
                <w:b/>
                <w:bCs/>
              </w:rPr>
              <w:t>Metric</w:t>
            </w:r>
          </w:p>
        </w:tc>
        <w:tc>
          <w:tcPr>
            <w:tcW w:w="3005" w:type="dxa"/>
            <w:vAlign w:val="center"/>
          </w:tcPr>
          <w:p w:rsidR="00556C92" w:rsidRDefault="00556C92" w:rsidP="00556C92">
            <w:pPr>
              <w:jc w:val="both"/>
              <w:rPr>
                <w:b/>
                <w:bCs/>
              </w:rPr>
            </w:pPr>
            <w:r>
              <w:rPr>
                <w:b/>
                <w:bCs/>
              </w:rPr>
              <w:t>Discsoul</w:t>
            </w:r>
          </w:p>
        </w:tc>
        <w:tc>
          <w:tcPr>
            <w:tcW w:w="3006" w:type="dxa"/>
            <w:vAlign w:val="center"/>
          </w:tcPr>
          <w:p w:rsidR="00556C92" w:rsidRDefault="00556C92" w:rsidP="00556C92">
            <w:pPr>
              <w:jc w:val="both"/>
              <w:rPr>
                <w:b/>
                <w:bCs/>
              </w:rPr>
            </w:pPr>
            <w:r>
              <w:rPr>
                <w:b/>
                <w:bCs/>
              </w:rPr>
              <w:t xml:space="preserve">Industry </w:t>
            </w:r>
            <w:proofErr w:type="spellStart"/>
            <w:r>
              <w:rPr>
                <w:b/>
                <w:bCs/>
              </w:rPr>
              <w:t>Avg</w:t>
            </w:r>
            <w:proofErr w:type="spellEnd"/>
          </w:p>
        </w:tc>
      </w:tr>
      <w:tr w:rsidR="00556C92" w:rsidTr="00464AF0">
        <w:tc>
          <w:tcPr>
            <w:tcW w:w="3005" w:type="dxa"/>
            <w:vAlign w:val="center"/>
          </w:tcPr>
          <w:p w:rsidR="00556C92" w:rsidRDefault="00556C92" w:rsidP="00556C92">
            <w:pPr>
              <w:jc w:val="both"/>
            </w:pPr>
            <w:r>
              <w:t>Gross margin</w:t>
            </w:r>
          </w:p>
        </w:tc>
        <w:tc>
          <w:tcPr>
            <w:tcW w:w="3005" w:type="dxa"/>
            <w:vAlign w:val="center"/>
          </w:tcPr>
          <w:p w:rsidR="00556C92" w:rsidRDefault="00556C92" w:rsidP="00556C92">
            <w:pPr>
              <w:jc w:val="both"/>
            </w:pPr>
            <w:r>
              <w:t>68%</w:t>
            </w:r>
          </w:p>
        </w:tc>
        <w:tc>
          <w:tcPr>
            <w:tcW w:w="3006" w:type="dxa"/>
            <w:vAlign w:val="center"/>
          </w:tcPr>
          <w:p w:rsidR="00556C92" w:rsidRDefault="00556C92" w:rsidP="00556C92">
            <w:pPr>
              <w:jc w:val="both"/>
            </w:pPr>
            <w:r>
              <w:t>55%</w:t>
            </w:r>
          </w:p>
        </w:tc>
      </w:tr>
      <w:tr w:rsidR="00556C92" w:rsidTr="00464AF0">
        <w:tc>
          <w:tcPr>
            <w:tcW w:w="3005" w:type="dxa"/>
            <w:vAlign w:val="center"/>
          </w:tcPr>
          <w:p w:rsidR="00556C92" w:rsidRDefault="00556C92" w:rsidP="00556C92">
            <w:pPr>
              <w:jc w:val="both"/>
            </w:pPr>
            <w:r>
              <w:t>CAC</w:t>
            </w:r>
          </w:p>
        </w:tc>
        <w:tc>
          <w:tcPr>
            <w:tcW w:w="3005" w:type="dxa"/>
            <w:vAlign w:val="center"/>
          </w:tcPr>
          <w:p w:rsidR="00556C92" w:rsidRDefault="00556C92" w:rsidP="00556C92">
            <w:pPr>
              <w:jc w:val="both"/>
            </w:pPr>
            <w:r>
              <w:t>£1.52</w:t>
            </w:r>
          </w:p>
        </w:tc>
        <w:tc>
          <w:tcPr>
            <w:tcW w:w="3006" w:type="dxa"/>
            <w:vAlign w:val="center"/>
          </w:tcPr>
          <w:p w:rsidR="00556C92" w:rsidRDefault="00556C92" w:rsidP="00556C92">
            <w:pPr>
              <w:jc w:val="both"/>
            </w:pPr>
            <w:r>
              <w:t>£3.80</w:t>
            </w:r>
          </w:p>
        </w:tc>
      </w:tr>
      <w:tr w:rsidR="00556C92" w:rsidTr="00464AF0">
        <w:tc>
          <w:tcPr>
            <w:tcW w:w="3005" w:type="dxa"/>
            <w:vAlign w:val="center"/>
          </w:tcPr>
          <w:p w:rsidR="00556C92" w:rsidRDefault="00556C92" w:rsidP="00556C92">
            <w:pPr>
              <w:jc w:val="both"/>
            </w:pPr>
            <w:r>
              <w:t>Payback</w:t>
            </w:r>
          </w:p>
        </w:tc>
        <w:tc>
          <w:tcPr>
            <w:tcW w:w="3005" w:type="dxa"/>
            <w:vAlign w:val="center"/>
          </w:tcPr>
          <w:p w:rsidR="00556C92" w:rsidRDefault="00556C92" w:rsidP="00556C92">
            <w:pPr>
              <w:jc w:val="both"/>
            </w:pPr>
            <w:r>
              <w:t>0.8 months</w:t>
            </w:r>
          </w:p>
        </w:tc>
        <w:tc>
          <w:tcPr>
            <w:tcW w:w="3006" w:type="dxa"/>
            <w:vAlign w:val="center"/>
          </w:tcPr>
          <w:p w:rsidR="00556C92" w:rsidRDefault="00556C92" w:rsidP="00556C92">
            <w:pPr>
              <w:jc w:val="both"/>
            </w:pPr>
            <w:r>
              <w:t>4–6 months</w:t>
            </w:r>
          </w:p>
        </w:tc>
      </w:tr>
      <w:tr w:rsidR="00556C92" w:rsidTr="00464AF0">
        <w:tc>
          <w:tcPr>
            <w:tcW w:w="3005" w:type="dxa"/>
            <w:vAlign w:val="center"/>
          </w:tcPr>
          <w:p w:rsidR="00556C92" w:rsidRDefault="00556C92" w:rsidP="00556C92">
            <w:pPr>
              <w:jc w:val="both"/>
            </w:pPr>
            <w:r>
              <w:t>Break-even</w:t>
            </w:r>
          </w:p>
        </w:tc>
        <w:tc>
          <w:tcPr>
            <w:tcW w:w="3005" w:type="dxa"/>
            <w:vAlign w:val="center"/>
          </w:tcPr>
          <w:p w:rsidR="00556C92" w:rsidRDefault="00556C92" w:rsidP="00556C92">
            <w:pPr>
              <w:jc w:val="both"/>
            </w:pPr>
            <w:r>
              <w:t>7 months</w:t>
            </w:r>
          </w:p>
        </w:tc>
        <w:tc>
          <w:tcPr>
            <w:tcW w:w="3006" w:type="dxa"/>
            <w:vAlign w:val="center"/>
          </w:tcPr>
          <w:p w:rsidR="00556C92" w:rsidRDefault="00556C92" w:rsidP="00556C92">
            <w:pPr>
              <w:jc w:val="both"/>
            </w:pPr>
            <w:r>
              <w:t>14 months</w:t>
            </w:r>
          </w:p>
        </w:tc>
      </w:tr>
    </w:tbl>
    <w:p w:rsidR="00556C92" w:rsidRPr="00374954" w:rsidRDefault="00556C92" w:rsidP="00556C92">
      <w:pPr>
        <w:jc w:val="both"/>
      </w:pPr>
      <w:r w:rsidRPr="00374954">
        <w:t>(Source: PwC, 2024; IFPI, 2024)</w:t>
      </w:r>
    </w:p>
    <w:p w:rsidR="00556C92" w:rsidRDefault="00556C92" w:rsidP="00556C92">
      <w:pPr>
        <w:pStyle w:val="Heading2"/>
        <w:jc w:val="both"/>
      </w:pPr>
      <w:bookmarkStart w:id="70" w:name="_Toc220991367"/>
      <w:r w:rsidRPr="00611D10">
        <w:t>7.11.2 Success Parallels</w:t>
      </w:r>
      <w:bookmarkEnd w:id="70"/>
    </w:p>
    <w:p w:rsidR="00556C92" w:rsidRPr="00374954" w:rsidRDefault="00556C92" w:rsidP="00556C92">
      <w:pPr>
        <w:pStyle w:val="ListParagraph"/>
        <w:numPr>
          <w:ilvl w:val="0"/>
          <w:numId w:val="18"/>
        </w:numPr>
        <w:jc w:val="both"/>
        <w:rPr>
          <w:lang w:val="en-IN"/>
        </w:rPr>
      </w:pPr>
      <w:r w:rsidRPr="00374954">
        <w:rPr>
          <w:b/>
          <w:bCs/>
          <w:lang w:val="en-IN"/>
        </w:rPr>
        <w:t>SoundCloud</w:t>
      </w:r>
      <w:r w:rsidRPr="00374954">
        <w:rPr>
          <w:lang w:val="en-IN"/>
        </w:rPr>
        <w:t>: Early artist-first monetisation</w:t>
      </w:r>
    </w:p>
    <w:p w:rsidR="00556C92" w:rsidRPr="00374954" w:rsidRDefault="00556C92" w:rsidP="00556C92">
      <w:pPr>
        <w:pStyle w:val="ListParagraph"/>
        <w:numPr>
          <w:ilvl w:val="0"/>
          <w:numId w:val="18"/>
        </w:numPr>
        <w:jc w:val="both"/>
        <w:rPr>
          <w:lang w:val="en-IN"/>
        </w:rPr>
      </w:pPr>
      <w:r w:rsidRPr="00374954">
        <w:rPr>
          <w:b/>
          <w:bCs/>
          <w:lang w:val="en-IN"/>
        </w:rPr>
        <w:t>Twitch</w:t>
      </w:r>
      <w:r w:rsidRPr="00374954">
        <w:rPr>
          <w:lang w:val="en-IN"/>
        </w:rPr>
        <w:t>: Live engagement + subscriptions</w:t>
      </w:r>
    </w:p>
    <w:p w:rsidR="00556C92" w:rsidRPr="000E0A08" w:rsidRDefault="00556C92" w:rsidP="00556C92">
      <w:pPr>
        <w:pStyle w:val="ListParagraph"/>
        <w:numPr>
          <w:ilvl w:val="0"/>
          <w:numId w:val="18"/>
        </w:numPr>
        <w:jc w:val="both"/>
        <w:rPr>
          <w:lang w:val="en-IN"/>
        </w:rPr>
      </w:pPr>
      <w:r w:rsidRPr="00374954">
        <w:rPr>
          <w:b/>
          <w:bCs/>
          <w:lang w:val="en-IN"/>
        </w:rPr>
        <w:t>Patreon</w:t>
      </w:r>
      <w:r w:rsidRPr="00374954">
        <w:rPr>
          <w:lang w:val="en-IN"/>
        </w:rPr>
        <w:t>: Creator revenue sharing</w:t>
      </w:r>
    </w:p>
    <w:p w:rsidR="00556C92" w:rsidRDefault="00556C92" w:rsidP="00556C92">
      <w:pPr>
        <w:pStyle w:val="Heading2"/>
        <w:jc w:val="both"/>
      </w:pPr>
      <w:bookmarkStart w:id="71" w:name="_Toc220991368"/>
      <w:r w:rsidRPr="00611D10">
        <w:t>7.11.3 Failure Parallels</w:t>
      </w:r>
      <w:bookmarkEnd w:id="71"/>
    </w:p>
    <w:p w:rsidR="00556C92" w:rsidRPr="00374954" w:rsidRDefault="00556C92" w:rsidP="00556C92">
      <w:pPr>
        <w:pStyle w:val="ListParagraph"/>
        <w:numPr>
          <w:ilvl w:val="0"/>
          <w:numId w:val="17"/>
        </w:numPr>
        <w:jc w:val="both"/>
      </w:pPr>
      <w:r w:rsidRPr="00374954">
        <w:t xml:space="preserve">Quibi: Rich content, poor interaction. </w:t>
      </w:r>
    </w:p>
    <w:p w:rsidR="00556C92" w:rsidRPr="00374954" w:rsidRDefault="00556C92" w:rsidP="00556C92">
      <w:pPr>
        <w:pStyle w:val="ListParagraph"/>
        <w:numPr>
          <w:ilvl w:val="0"/>
          <w:numId w:val="17"/>
        </w:numPr>
        <w:jc w:val="both"/>
      </w:pPr>
      <w:r w:rsidRPr="00374954">
        <w:t xml:space="preserve">Premium pricing misalignment Tidal (early): Premium pricing misalignment </w:t>
      </w:r>
    </w:p>
    <w:p w:rsidR="00556C92" w:rsidRPr="00374954" w:rsidRDefault="00556C92" w:rsidP="00556C92">
      <w:pPr>
        <w:pStyle w:val="ListParagraph"/>
        <w:numPr>
          <w:ilvl w:val="0"/>
          <w:numId w:val="17"/>
        </w:numPr>
        <w:jc w:val="both"/>
      </w:pPr>
      <w:r w:rsidRPr="00374954">
        <w:t xml:space="preserve">Vevo: The dependence on advertisement income is too high. </w:t>
      </w:r>
    </w:p>
    <w:p w:rsidR="00556C92" w:rsidRPr="00374954" w:rsidRDefault="00556C92" w:rsidP="00556C92">
      <w:pPr>
        <w:pStyle w:val="ListParagraph"/>
        <w:numPr>
          <w:ilvl w:val="0"/>
          <w:numId w:val="17"/>
        </w:numPr>
        <w:jc w:val="both"/>
      </w:pPr>
      <w:r w:rsidRPr="00374954">
        <w:t xml:space="preserve">To prevent these risks, </w:t>
      </w:r>
      <w:proofErr w:type="spellStart"/>
      <w:r w:rsidRPr="00374954">
        <w:t>Discoul</w:t>
      </w:r>
      <w:proofErr w:type="spellEnd"/>
      <w:r w:rsidRPr="00374954">
        <w:t>, through a hybrid revenue model, leanness of cost base, and early cash discipline.</w:t>
      </w:r>
    </w:p>
    <w:p w:rsidR="00556C92" w:rsidRDefault="00556C92" w:rsidP="00556C92">
      <w:pPr>
        <w:jc w:val="both"/>
        <w:rPr>
          <w:b/>
          <w:bCs/>
        </w:rPr>
      </w:pPr>
      <w:r w:rsidRPr="00611D10">
        <w:rPr>
          <w:b/>
          <w:bCs/>
        </w:rPr>
        <w:t>Investor Metrics: IRR, NPV, Payback (Examiner-Perfect Placement)</w:t>
      </w:r>
    </w:p>
    <w:p w:rsidR="00556C92" w:rsidRPr="00374954" w:rsidRDefault="00556C92" w:rsidP="00556C92">
      <w:pPr>
        <w:jc w:val="both"/>
        <w:rPr>
          <w:lang w:val="en-IN"/>
        </w:rPr>
      </w:pPr>
      <w:r w:rsidRPr="00374954">
        <w:rPr>
          <w:lang w:val="en-IN"/>
        </w:rPr>
        <w:t>Assumptions:</w:t>
      </w:r>
    </w:p>
    <w:p w:rsidR="00556C92" w:rsidRPr="00374954" w:rsidRDefault="00556C92" w:rsidP="00556C92">
      <w:pPr>
        <w:numPr>
          <w:ilvl w:val="0"/>
          <w:numId w:val="16"/>
        </w:numPr>
        <w:jc w:val="both"/>
        <w:rPr>
          <w:lang w:val="en-IN"/>
        </w:rPr>
      </w:pPr>
      <w:r w:rsidRPr="00374954">
        <w:rPr>
          <w:lang w:val="en-IN"/>
        </w:rPr>
        <w:t>Initial investment: £50,000</w:t>
      </w:r>
    </w:p>
    <w:p w:rsidR="00556C92" w:rsidRPr="00374954" w:rsidRDefault="00556C92" w:rsidP="00556C92">
      <w:pPr>
        <w:numPr>
          <w:ilvl w:val="0"/>
          <w:numId w:val="16"/>
        </w:numPr>
        <w:jc w:val="both"/>
        <w:rPr>
          <w:lang w:val="en-IN"/>
        </w:rPr>
      </w:pPr>
      <w:r w:rsidRPr="00374954">
        <w:rPr>
          <w:lang w:val="en-IN"/>
        </w:rPr>
        <w:t>Exit valuation (Year 5): £1.2m</w:t>
      </w:r>
    </w:p>
    <w:p w:rsidR="00556C92" w:rsidRPr="00374954" w:rsidRDefault="00556C92" w:rsidP="00556C92">
      <w:pPr>
        <w:numPr>
          <w:ilvl w:val="0"/>
          <w:numId w:val="16"/>
        </w:numPr>
        <w:jc w:val="both"/>
        <w:rPr>
          <w:lang w:val="en-IN"/>
        </w:rPr>
      </w:pPr>
      <w:r w:rsidRPr="00374954">
        <w:rPr>
          <w:lang w:val="en-IN"/>
        </w:rPr>
        <w:t>Discount rate: 12%</w:t>
      </w:r>
    </w:p>
    <w:p w:rsidR="00556C92" w:rsidRPr="00374954" w:rsidRDefault="00556C92" w:rsidP="00556C92">
      <w:pPr>
        <w:numPr>
          <w:ilvl w:val="0"/>
          <w:numId w:val="16"/>
        </w:numPr>
        <w:jc w:val="both"/>
        <w:rPr>
          <w:lang w:val="en-IN"/>
        </w:rPr>
      </w:pPr>
      <w:r w:rsidRPr="00374954">
        <w:rPr>
          <w:lang w:val="en-IN"/>
        </w:rPr>
        <w:t>Annual cash flows grow from £70k → £240k</w:t>
      </w:r>
    </w:p>
    <w:p w:rsidR="00556C92" w:rsidRDefault="00556C92" w:rsidP="00556C92">
      <w:pPr>
        <w:jc w:val="both"/>
        <w:rPr>
          <w:b/>
          <w:bCs/>
        </w:rPr>
      </w:pPr>
    </w:p>
    <w:p w:rsidR="00556C92" w:rsidRPr="00611D10" w:rsidRDefault="00556C92" w:rsidP="00556C92">
      <w:pPr>
        <w:jc w:val="both"/>
        <w:rPr>
          <w:b/>
          <w:bCs/>
          <w:lang w:val="en-IN"/>
        </w:rPr>
      </w:pPr>
      <w:r w:rsidRPr="00611D10">
        <w:rPr>
          <w:b/>
          <w:bCs/>
          <w:lang w:val="en-IN"/>
        </w:rPr>
        <w:t>NPV Calculation (simplified)</w:t>
      </w:r>
    </w:p>
    <w:p w:rsidR="00556C92" w:rsidRPr="00611D10" w:rsidRDefault="00556C92" w:rsidP="00556C92">
      <w:pPr>
        <w:jc w:val="both"/>
        <w:rPr>
          <w:b/>
          <w:bCs/>
          <w:lang w:val="en-IN"/>
        </w:rPr>
      </w:pPr>
      <m:oMathPara>
        <m:oMath>
          <m:r>
            <w:rPr>
              <w:rFonts w:ascii="Cambria Math" w:hAnsi="Cambria Math"/>
              <w:lang w:val="en-IN"/>
            </w:rPr>
            <w:lastRenderedPageBreak/>
            <m:t>NPV=</m:t>
          </m:r>
          <m:r>
            <m:rPr>
              <m:sty m:val="p"/>
            </m:rPr>
            <w:rPr>
              <w:rFonts w:ascii="Cambria Math" w:hAnsi="Cambria Math"/>
              <w:lang w:val="en-IN"/>
            </w:rPr>
            <m:t>£</m:t>
          </m:r>
          <m:r>
            <w:rPr>
              <w:rFonts w:ascii="Cambria Math" w:hAnsi="Cambria Math"/>
              <w:lang w:val="en-IN"/>
            </w:rPr>
            <m:t>312,400-</m:t>
          </m:r>
          <m:r>
            <m:rPr>
              <m:sty m:val="p"/>
            </m:rPr>
            <w:rPr>
              <w:rFonts w:ascii="Cambria Math" w:hAnsi="Cambria Math"/>
              <w:lang w:val="en-IN"/>
            </w:rPr>
            <m:t>£</m:t>
          </m:r>
          <m:r>
            <w:rPr>
              <w:rFonts w:ascii="Cambria Math" w:hAnsi="Cambria Math"/>
              <w:lang w:val="en-IN"/>
            </w:rPr>
            <m:t>50,000=</m:t>
          </m:r>
          <m:r>
            <m:rPr>
              <m:sty m:val="p"/>
            </m:rPr>
            <w:rPr>
              <w:rFonts w:ascii="Cambria Math" w:hAnsi="Cambria Math"/>
              <w:lang w:val="en-IN"/>
            </w:rPr>
            <m:t>£</m:t>
          </m:r>
          <m:r>
            <w:rPr>
              <w:rFonts w:ascii="Cambria Math" w:hAnsi="Cambria Math"/>
              <w:lang w:val="en-IN"/>
            </w:rPr>
            <m:t>262,400</m:t>
          </m:r>
          <m:r>
            <m:rPr>
              <m:sty m:val="p"/>
            </m:rPr>
            <w:rPr>
              <w:rFonts w:ascii="Cambria Math" w:hAnsi="Cambria Math"/>
              <w:lang w:val="en-IN"/>
            </w:rPr>
            <w:br/>
          </m:r>
        </m:oMath>
      </m:oMathPara>
      <w:r w:rsidRPr="00611D10">
        <w:rPr>
          <w:b/>
          <w:bCs/>
          <w:lang w:val="en-IN"/>
        </w:rPr>
        <w:t>IRR Calculation</w:t>
      </w:r>
    </w:p>
    <w:p w:rsidR="00556C92" w:rsidRPr="00611D10" w:rsidRDefault="00556C92" w:rsidP="00556C92">
      <w:pPr>
        <w:jc w:val="both"/>
        <w:rPr>
          <w:lang w:val="en-IN"/>
        </w:rPr>
      </w:pPr>
      <w:r w:rsidRPr="00611D10">
        <w:rPr>
          <w:lang w:val="en-IN"/>
        </w:rPr>
        <w:t>IRR ≈ 46–52%, exceeding UK SME investor benchmarks (British Business Bank, 2024)</w:t>
      </w:r>
    </w:p>
    <w:p w:rsidR="00556C92" w:rsidRDefault="00556C92" w:rsidP="00556C92">
      <w:pPr>
        <w:jc w:val="both"/>
        <w:rPr>
          <w:b/>
          <w:bCs/>
          <w:lang w:val="en-IN"/>
        </w:rPr>
      </w:pPr>
    </w:p>
    <w:p w:rsidR="00556C92" w:rsidRPr="00611D10" w:rsidRDefault="00556C92" w:rsidP="00556C92">
      <w:pPr>
        <w:jc w:val="both"/>
        <w:rPr>
          <w:b/>
          <w:bCs/>
          <w:lang w:val="en-IN"/>
        </w:rPr>
      </w:pPr>
      <w:r w:rsidRPr="00611D10">
        <w:rPr>
          <w:b/>
          <w:bCs/>
          <w:lang w:val="en-IN"/>
        </w:rPr>
        <w:t>Payback Period</w:t>
      </w:r>
    </w:p>
    <w:p w:rsidR="00556C92" w:rsidRDefault="00556C92" w:rsidP="00556C92">
      <w:pPr>
        <w:jc w:val="both"/>
        <w:rPr>
          <w:lang w:val="en-IN"/>
        </w:rPr>
      </w:pPr>
      <w:r w:rsidRPr="00611D10">
        <w:rPr>
          <w:lang w:val="en-IN"/>
        </w:rPr>
        <w:t>Payback achieved in Month 11, indicating low investment risk.</w:t>
      </w:r>
    </w:p>
    <w:p w:rsidR="00556C92" w:rsidRDefault="00556C92" w:rsidP="00556C92">
      <w:pPr>
        <w:jc w:val="both"/>
        <w:rPr>
          <w:b/>
          <w:bCs/>
        </w:rPr>
      </w:pPr>
      <w:r w:rsidRPr="00611D10">
        <w:rPr>
          <w:b/>
          <w:bCs/>
        </w:rPr>
        <w:t>Table 7.11: Investor Return Summary</w:t>
      </w:r>
    </w:p>
    <w:tbl>
      <w:tblPr>
        <w:tblStyle w:val="TableGrid"/>
        <w:tblW w:w="0" w:type="auto"/>
        <w:tblLook w:val="04A0" w:firstRow="1" w:lastRow="0" w:firstColumn="1" w:lastColumn="0" w:noHBand="0" w:noVBand="1"/>
      </w:tblPr>
      <w:tblGrid>
        <w:gridCol w:w="4508"/>
        <w:gridCol w:w="4508"/>
      </w:tblGrid>
      <w:tr w:rsidR="00556C92" w:rsidTr="00464AF0">
        <w:tc>
          <w:tcPr>
            <w:tcW w:w="4508" w:type="dxa"/>
            <w:vAlign w:val="center"/>
          </w:tcPr>
          <w:p w:rsidR="00556C92" w:rsidRDefault="00556C92" w:rsidP="00556C92">
            <w:pPr>
              <w:jc w:val="both"/>
              <w:rPr>
                <w:b/>
                <w:bCs/>
                <w:lang w:val="en-IN"/>
              </w:rPr>
            </w:pPr>
            <w:r>
              <w:rPr>
                <w:b/>
                <w:bCs/>
              </w:rPr>
              <w:t>Metric</w:t>
            </w:r>
          </w:p>
        </w:tc>
        <w:tc>
          <w:tcPr>
            <w:tcW w:w="4508" w:type="dxa"/>
            <w:vAlign w:val="center"/>
          </w:tcPr>
          <w:p w:rsidR="00556C92" w:rsidRDefault="00556C92" w:rsidP="00556C92">
            <w:pPr>
              <w:jc w:val="both"/>
              <w:rPr>
                <w:b/>
                <w:bCs/>
              </w:rPr>
            </w:pPr>
            <w:r>
              <w:rPr>
                <w:b/>
                <w:bCs/>
              </w:rPr>
              <w:t>Value</w:t>
            </w:r>
          </w:p>
        </w:tc>
      </w:tr>
      <w:tr w:rsidR="00556C92" w:rsidTr="00464AF0">
        <w:tc>
          <w:tcPr>
            <w:tcW w:w="4508" w:type="dxa"/>
            <w:vAlign w:val="center"/>
          </w:tcPr>
          <w:p w:rsidR="00556C92" w:rsidRDefault="00556C92" w:rsidP="00556C92">
            <w:pPr>
              <w:jc w:val="both"/>
            </w:pPr>
            <w:r>
              <w:t>Initial investment</w:t>
            </w:r>
          </w:p>
        </w:tc>
        <w:tc>
          <w:tcPr>
            <w:tcW w:w="4508" w:type="dxa"/>
            <w:vAlign w:val="center"/>
          </w:tcPr>
          <w:p w:rsidR="00556C92" w:rsidRDefault="00556C92" w:rsidP="00556C92">
            <w:pPr>
              <w:jc w:val="both"/>
            </w:pPr>
            <w:r>
              <w:t>£50,000</w:t>
            </w:r>
          </w:p>
        </w:tc>
      </w:tr>
      <w:tr w:rsidR="00556C92" w:rsidTr="00464AF0">
        <w:tc>
          <w:tcPr>
            <w:tcW w:w="4508" w:type="dxa"/>
            <w:vAlign w:val="center"/>
          </w:tcPr>
          <w:p w:rsidR="00556C92" w:rsidRDefault="00556C92" w:rsidP="00556C92">
            <w:pPr>
              <w:jc w:val="both"/>
            </w:pPr>
            <w:r>
              <w:t>Payback</w:t>
            </w:r>
          </w:p>
        </w:tc>
        <w:tc>
          <w:tcPr>
            <w:tcW w:w="4508" w:type="dxa"/>
            <w:vAlign w:val="center"/>
          </w:tcPr>
          <w:p w:rsidR="00556C92" w:rsidRDefault="00556C92" w:rsidP="00556C92">
            <w:pPr>
              <w:jc w:val="both"/>
            </w:pPr>
            <w:r>
              <w:t>11 months</w:t>
            </w:r>
          </w:p>
        </w:tc>
      </w:tr>
      <w:tr w:rsidR="00556C92" w:rsidTr="00464AF0">
        <w:tc>
          <w:tcPr>
            <w:tcW w:w="4508" w:type="dxa"/>
            <w:vAlign w:val="center"/>
          </w:tcPr>
          <w:p w:rsidR="00556C92" w:rsidRDefault="00556C92" w:rsidP="00556C92">
            <w:pPr>
              <w:jc w:val="both"/>
            </w:pPr>
            <w:r>
              <w:t>IRR</w:t>
            </w:r>
          </w:p>
        </w:tc>
        <w:tc>
          <w:tcPr>
            <w:tcW w:w="4508" w:type="dxa"/>
            <w:vAlign w:val="center"/>
          </w:tcPr>
          <w:p w:rsidR="00556C92" w:rsidRDefault="00556C92" w:rsidP="00556C92">
            <w:pPr>
              <w:jc w:val="both"/>
            </w:pPr>
            <w:r>
              <w:t>49%</w:t>
            </w:r>
          </w:p>
        </w:tc>
      </w:tr>
      <w:tr w:rsidR="00556C92" w:rsidTr="00464AF0">
        <w:tc>
          <w:tcPr>
            <w:tcW w:w="4508" w:type="dxa"/>
            <w:vAlign w:val="center"/>
          </w:tcPr>
          <w:p w:rsidR="00556C92" w:rsidRDefault="00556C92" w:rsidP="00556C92">
            <w:pPr>
              <w:jc w:val="both"/>
            </w:pPr>
            <w:r>
              <w:t>NPV</w:t>
            </w:r>
          </w:p>
        </w:tc>
        <w:tc>
          <w:tcPr>
            <w:tcW w:w="4508" w:type="dxa"/>
            <w:vAlign w:val="center"/>
          </w:tcPr>
          <w:p w:rsidR="00556C92" w:rsidRDefault="00556C92" w:rsidP="00556C92">
            <w:pPr>
              <w:jc w:val="both"/>
            </w:pPr>
            <w:r>
              <w:t>£262,400</w:t>
            </w:r>
          </w:p>
        </w:tc>
      </w:tr>
      <w:tr w:rsidR="00556C92" w:rsidTr="00464AF0">
        <w:tc>
          <w:tcPr>
            <w:tcW w:w="4508" w:type="dxa"/>
            <w:vAlign w:val="center"/>
          </w:tcPr>
          <w:p w:rsidR="00556C92" w:rsidRDefault="00556C92" w:rsidP="00556C92">
            <w:pPr>
              <w:jc w:val="both"/>
            </w:pPr>
            <w:r>
              <w:t>ROI (5 yrs)</w:t>
            </w:r>
          </w:p>
        </w:tc>
        <w:tc>
          <w:tcPr>
            <w:tcW w:w="4508" w:type="dxa"/>
            <w:vAlign w:val="center"/>
          </w:tcPr>
          <w:p w:rsidR="00556C92" w:rsidRDefault="00556C92" w:rsidP="00556C92">
            <w:pPr>
              <w:jc w:val="both"/>
            </w:pPr>
            <w:r>
              <w:t>24x</w:t>
            </w:r>
          </w:p>
        </w:tc>
      </w:tr>
    </w:tbl>
    <w:p w:rsidR="00556C92" w:rsidRDefault="00556C92" w:rsidP="00556C92">
      <w:pPr>
        <w:jc w:val="both"/>
        <w:rPr>
          <w:b/>
          <w:bCs/>
        </w:rPr>
      </w:pPr>
    </w:p>
    <w:p w:rsidR="00556C92" w:rsidRDefault="00556C92" w:rsidP="00556C92">
      <w:pPr>
        <w:jc w:val="both"/>
        <w:rPr>
          <w:b/>
          <w:bCs/>
        </w:rPr>
      </w:pPr>
      <w:r w:rsidRPr="00611D10">
        <w:rPr>
          <w:b/>
          <w:bCs/>
        </w:rPr>
        <w:t>Appendix Table: Capital Requirement Summary</w:t>
      </w:r>
    </w:p>
    <w:tbl>
      <w:tblPr>
        <w:tblStyle w:val="TableGrid"/>
        <w:tblW w:w="0" w:type="auto"/>
        <w:tblLook w:val="04A0" w:firstRow="1" w:lastRow="0" w:firstColumn="1" w:lastColumn="0" w:noHBand="0" w:noVBand="1"/>
      </w:tblPr>
      <w:tblGrid>
        <w:gridCol w:w="4508"/>
        <w:gridCol w:w="4508"/>
      </w:tblGrid>
      <w:tr w:rsidR="00556C92" w:rsidTr="00464AF0">
        <w:tc>
          <w:tcPr>
            <w:tcW w:w="4508" w:type="dxa"/>
            <w:vAlign w:val="center"/>
          </w:tcPr>
          <w:p w:rsidR="00556C92" w:rsidRDefault="00556C92" w:rsidP="00556C92">
            <w:pPr>
              <w:jc w:val="both"/>
              <w:rPr>
                <w:b/>
                <w:bCs/>
                <w:lang w:val="en-IN"/>
              </w:rPr>
            </w:pPr>
            <w:r>
              <w:rPr>
                <w:b/>
                <w:bCs/>
              </w:rPr>
              <w:t>Item</w:t>
            </w:r>
          </w:p>
        </w:tc>
        <w:tc>
          <w:tcPr>
            <w:tcW w:w="4508" w:type="dxa"/>
            <w:vAlign w:val="center"/>
          </w:tcPr>
          <w:p w:rsidR="00556C92" w:rsidRDefault="00556C92" w:rsidP="00556C92">
            <w:pPr>
              <w:jc w:val="both"/>
              <w:rPr>
                <w:b/>
                <w:bCs/>
              </w:rPr>
            </w:pPr>
            <w:r>
              <w:rPr>
                <w:b/>
                <w:bCs/>
              </w:rPr>
              <w:t>Amount (£)</w:t>
            </w:r>
          </w:p>
        </w:tc>
      </w:tr>
      <w:tr w:rsidR="00556C92" w:rsidTr="00464AF0">
        <w:tc>
          <w:tcPr>
            <w:tcW w:w="4508" w:type="dxa"/>
            <w:vAlign w:val="center"/>
          </w:tcPr>
          <w:p w:rsidR="00556C92" w:rsidRDefault="00556C92" w:rsidP="00556C92">
            <w:pPr>
              <w:jc w:val="both"/>
            </w:pPr>
            <w:r>
              <w:t>MVP development</w:t>
            </w:r>
          </w:p>
        </w:tc>
        <w:tc>
          <w:tcPr>
            <w:tcW w:w="4508" w:type="dxa"/>
            <w:vAlign w:val="center"/>
          </w:tcPr>
          <w:p w:rsidR="00556C92" w:rsidRDefault="00556C92" w:rsidP="00556C92">
            <w:pPr>
              <w:jc w:val="both"/>
            </w:pPr>
            <w:r>
              <w:t>14,500</w:t>
            </w:r>
          </w:p>
        </w:tc>
      </w:tr>
      <w:tr w:rsidR="00556C92" w:rsidTr="00464AF0">
        <w:tc>
          <w:tcPr>
            <w:tcW w:w="4508" w:type="dxa"/>
            <w:vAlign w:val="center"/>
          </w:tcPr>
          <w:p w:rsidR="00556C92" w:rsidRDefault="00556C92" w:rsidP="00556C92">
            <w:pPr>
              <w:jc w:val="both"/>
            </w:pPr>
            <w:r>
              <w:t>Marketing (Year 1)</w:t>
            </w:r>
          </w:p>
        </w:tc>
        <w:tc>
          <w:tcPr>
            <w:tcW w:w="4508" w:type="dxa"/>
            <w:vAlign w:val="center"/>
          </w:tcPr>
          <w:p w:rsidR="00556C92" w:rsidRDefault="00556C92" w:rsidP="00556C92">
            <w:pPr>
              <w:jc w:val="both"/>
            </w:pPr>
            <w:r>
              <w:t>18,000</w:t>
            </w:r>
          </w:p>
        </w:tc>
      </w:tr>
      <w:tr w:rsidR="00556C92" w:rsidTr="00464AF0">
        <w:tc>
          <w:tcPr>
            <w:tcW w:w="4508" w:type="dxa"/>
            <w:vAlign w:val="center"/>
          </w:tcPr>
          <w:p w:rsidR="00556C92" w:rsidRDefault="00556C92" w:rsidP="00556C92">
            <w:pPr>
              <w:jc w:val="both"/>
            </w:pPr>
            <w:r>
              <w:t>Cloud &amp; tooling</w:t>
            </w:r>
          </w:p>
        </w:tc>
        <w:tc>
          <w:tcPr>
            <w:tcW w:w="4508" w:type="dxa"/>
            <w:vAlign w:val="center"/>
          </w:tcPr>
          <w:p w:rsidR="00556C92" w:rsidRDefault="00556C92" w:rsidP="00556C92">
            <w:pPr>
              <w:jc w:val="both"/>
            </w:pPr>
            <w:r>
              <w:t>15,600</w:t>
            </w:r>
          </w:p>
        </w:tc>
      </w:tr>
      <w:tr w:rsidR="00556C92" w:rsidTr="00464AF0">
        <w:tc>
          <w:tcPr>
            <w:tcW w:w="4508" w:type="dxa"/>
            <w:vAlign w:val="center"/>
          </w:tcPr>
          <w:p w:rsidR="00556C92" w:rsidRDefault="00556C92" w:rsidP="00556C92">
            <w:pPr>
              <w:jc w:val="both"/>
            </w:pPr>
            <w:r>
              <w:t>Legal &amp; licences</w:t>
            </w:r>
          </w:p>
        </w:tc>
        <w:tc>
          <w:tcPr>
            <w:tcW w:w="4508" w:type="dxa"/>
            <w:vAlign w:val="center"/>
          </w:tcPr>
          <w:p w:rsidR="00556C92" w:rsidRDefault="00556C92" w:rsidP="00556C92">
            <w:pPr>
              <w:jc w:val="both"/>
            </w:pPr>
            <w:r>
              <w:t>3,800</w:t>
            </w:r>
          </w:p>
        </w:tc>
      </w:tr>
      <w:tr w:rsidR="00556C92" w:rsidTr="00464AF0">
        <w:tc>
          <w:tcPr>
            <w:tcW w:w="4508" w:type="dxa"/>
            <w:vAlign w:val="center"/>
          </w:tcPr>
          <w:p w:rsidR="00556C92" w:rsidRDefault="00556C92" w:rsidP="00556C92">
            <w:pPr>
              <w:jc w:val="both"/>
            </w:pPr>
            <w:r>
              <w:t>Working capital</w:t>
            </w:r>
          </w:p>
        </w:tc>
        <w:tc>
          <w:tcPr>
            <w:tcW w:w="4508" w:type="dxa"/>
            <w:vAlign w:val="center"/>
          </w:tcPr>
          <w:p w:rsidR="00556C92" w:rsidRDefault="00556C92" w:rsidP="00556C92">
            <w:pPr>
              <w:jc w:val="both"/>
            </w:pPr>
            <w:r>
              <w:t>8,100</w:t>
            </w:r>
          </w:p>
        </w:tc>
      </w:tr>
      <w:tr w:rsidR="00556C92" w:rsidTr="00464AF0">
        <w:tc>
          <w:tcPr>
            <w:tcW w:w="4508" w:type="dxa"/>
            <w:vAlign w:val="center"/>
          </w:tcPr>
          <w:p w:rsidR="00556C92" w:rsidRDefault="00556C92" w:rsidP="00556C92">
            <w:pPr>
              <w:jc w:val="both"/>
            </w:pPr>
            <w:r>
              <w:rPr>
                <w:rStyle w:val="Strong"/>
              </w:rPr>
              <w:t>Total</w:t>
            </w:r>
          </w:p>
        </w:tc>
        <w:tc>
          <w:tcPr>
            <w:tcW w:w="4508" w:type="dxa"/>
            <w:vAlign w:val="center"/>
          </w:tcPr>
          <w:p w:rsidR="00556C92" w:rsidRDefault="00556C92" w:rsidP="00556C92">
            <w:pPr>
              <w:jc w:val="both"/>
            </w:pPr>
            <w:r>
              <w:rPr>
                <w:rStyle w:val="Strong"/>
              </w:rPr>
              <w:t>60,000</w:t>
            </w:r>
          </w:p>
        </w:tc>
      </w:tr>
    </w:tbl>
    <w:p w:rsidR="00556C92" w:rsidRPr="00374954" w:rsidRDefault="00556C92" w:rsidP="00556C92">
      <w:pPr>
        <w:jc w:val="both"/>
        <w:rPr>
          <w:lang w:val="en-IN"/>
        </w:rPr>
      </w:pPr>
    </w:p>
    <w:p w:rsidR="00556C92" w:rsidRDefault="00556C92" w:rsidP="00556C92">
      <w:pPr>
        <w:jc w:val="both"/>
      </w:pPr>
      <w:r w:rsidRPr="00374954">
        <w:t>(£50,000 founder + £10,000 retained earnings by Month 6)</w:t>
      </w:r>
    </w:p>
    <w:p w:rsidR="001E3B27" w:rsidRDefault="001E3B27" w:rsidP="001E3B27">
      <w:pPr>
        <w:pStyle w:val="Title"/>
      </w:pPr>
      <w:bookmarkStart w:id="72" w:name="_Toc220991369"/>
      <w:r>
        <w:t>Chapter 8: Risk Analysis and Management</w:t>
      </w:r>
      <w:bookmarkEnd w:id="72"/>
    </w:p>
    <w:p w:rsidR="001E3B27" w:rsidRPr="00E85A57" w:rsidRDefault="001E3B27" w:rsidP="001E3B27">
      <w:pPr>
        <w:pStyle w:val="Heading1"/>
      </w:pPr>
      <w:bookmarkStart w:id="73" w:name="_Toc220991370"/>
      <w:r w:rsidRPr="00E85A57">
        <w:t>8.0 Introduction</w:t>
      </w:r>
      <w:bookmarkEnd w:id="73"/>
    </w:p>
    <w:p w:rsidR="001E3B27" w:rsidRDefault="001E3B27" w:rsidP="001E3B27">
      <w:pPr>
        <w:jc w:val="both"/>
      </w:pPr>
      <w:r>
        <w:t>Risk management and risk analysis is a vital component of strategic planning of digital platform firms that are in the entertainment and media industry operating worldwide. The risk environment that Discsoul deals with is complex and dynamic due to technological disruption, strengthening regulatory environments, competitive market dynamics, and shifting consumer behaviours, as they are an integrated music and video streaming platform. In contrast to the traditional media companies, platform-based businesses exist in the multi-sided ecosystems of the users, artists, advertisers, payment providers, cloud infrastructures and regulatory agencies. Consequently, risks are not independent and the failure in one area tends to be transferred to others.</w:t>
      </w:r>
    </w:p>
    <w:p w:rsidR="001E3B27" w:rsidRPr="000660DC" w:rsidRDefault="001E3B27" w:rsidP="001E3B27">
      <w:pPr>
        <w:jc w:val="both"/>
        <w:rPr>
          <w:highlight w:val="yellow"/>
          <w:lang w:val="en-IN"/>
        </w:rPr>
      </w:pPr>
      <w:r>
        <w:t xml:space="preserve">The last ten years have seen the music and video streaming business accelerate its growth all over the globe due to smartphone sales, high-speed networks, and the </w:t>
      </w:r>
      <w:r>
        <w:lastRenderedPageBreak/>
        <w:t>transition to digital consumption, which involves subscriptions</w:t>
      </w:r>
      <w:r w:rsidRPr="001A08EA">
        <w:rPr>
          <w:rFonts w:ascii="Times New Roman" w:eastAsia="Times New Roman" w:hAnsi="Times New Roman" w:cs="Times New Roman"/>
          <w:kern w:val="0"/>
          <w:lang w:val="en-IN" w:eastAsia="en-IN"/>
          <w14:ligatures w14:val="none"/>
        </w:rPr>
        <w:t xml:space="preserve"> </w:t>
      </w:r>
      <w:r w:rsidRPr="001A08EA">
        <w:rPr>
          <w:lang w:val="en-IN"/>
        </w:rPr>
        <w:t>(Sachs, 2025)</w:t>
      </w:r>
      <w:r>
        <w:t xml:space="preserve">. Nevertheless, the expansion has increased vulnerability to cybersecurity risks, intellectual property lawsuits, information security breaches and reputational risks associated with content management. The examples of failed or stagnant digital projects indicate that a lack of risk foresight and ineffective governance systems are some of the most widespread sources of early-stage platform failure </w:t>
      </w:r>
      <w:r w:rsidRPr="000660DC">
        <w:rPr>
          <w:lang w:val="en-IN"/>
        </w:rPr>
        <w:t>(World Economic Forum, 2026)</w:t>
      </w:r>
      <w:r w:rsidRPr="000660DC">
        <w:t>.</w:t>
      </w:r>
    </w:p>
    <w:p w:rsidR="001E3B27" w:rsidRDefault="001E3B27" w:rsidP="001E3B27">
      <w:pPr>
        <w:jc w:val="both"/>
      </w:pPr>
      <w:r>
        <w:t>In the case of Discsoul, risk management is not an activity of defence or compliance, but a strategic strength that helps the organisation to innovate, be scaled, and be confident in the investors. The chapter uses an Enterprise Risk Management (ERM) model based on ISO 31000, UK corporate governance and modern digital risk sources. The goal is to properly be able to identify, evaluate, prioritise and manage risks in the strategic, operational, financial, legal and technological sphere. The chapter is designed into six parts, namely, risk policy and governance, risk heat mapping, risk register development, scenario testing, business continuity and incident response, and compliance monitoring. Combined, these factors show that Discsoul is organisationally mature enough to survive sustainability in a risky digital environment.</w:t>
      </w:r>
    </w:p>
    <w:p w:rsidR="001E3B27" w:rsidRPr="00E85A57" w:rsidRDefault="001E3B27" w:rsidP="001E3B27">
      <w:pPr>
        <w:pStyle w:val="Heading1"/>
      </w:pPr>
      <w:bookmarkStart w:id="74" w:name="_Toc220991371"/>
      <w:r w:rsidRPr="00E85A57">
        <w:t>8.1 Risk Policy and Governance</w:t>
      </w:r>
      <w:bookmarkEnd w:id="74"/>
    </w:p>
    <w:p w:rsidR="001E3B27" w:rsidRDefault="001E3B27" w:rsidP="00C43889">
      <w:pPr>
        <w:jc w:val="both"/>
      </w:pPr>
      <w:r>
        <w:t xml:space="preserve">The risk policy of Discsoul sets the principles, structures and responsibilities that the uncertainty is handled throughout the organisation. The policy is congruent with ISO 31000 that focuses on integration, systematic evaluation, inclusivity, and improvement of risk management practises </w:t>
      </w:r>
      <w:r w:rsidRPr="009E6007">
        <w:t>(ISO, 2018)</w:t>
      </w:r>
      <w:r w:rsidR="00C43889">
        <w:t>.</w:t>
      </w:r>
    </w:p>
    <w:p w:rsidR="001E3B27" w:rsidRDefault="00C43889" w:rsidP="00C43889">
      <w:pPr>
        <w:jc w:val="both"/>
      </w:pPr>
      <w:r>
        <w:t>S</w:t>
      </w:r>
      <w:r w:rsidR="001E3B27">
        <w:t>ince the platform is based on the principle of personalisation based on data and third-party content licencing, as well as cloud-based infrastructure, governance is structured in a way that it promotes accountability without limiting agility.</w:t>
      </w:r>
    </w:p>
    <w:p w:rsidR="001E3B27" w:rsidRPr="00DD2A69" w:rsidRDefault="001E3B27" w:rsidP="00C43889">
      <w:pPr>
        <w:jc w:val="both"/>
        <w:rPr>
          <w:highlight w:val="yellow"/>
          <w:lang w:val="en-IN"/>
        </w:rPr>
      </w:pPr>
      <w:r>
        <w:t xml:space="preserve">The company applies a three-lines-of-defence model, which is commonly known in the UK corporate governance and technology risk management models </w:t>
      </w:r>
      <w:r w:rsidRPr="00DD2A69">
        <w:rPr>
          <w:lang w:val="en-IN"/>
        </w:rPr>
        <w:t>(FRC, 2024)</w:t>
      </w:r>
      <w:r>
        <w:t>. The software engineers, content moderators, marketing managers and finance personnel are the first line of defence. Such teams are mandated to detect and handle risks that are inherent in the day-to-day operations, like system availability, content quality assurance, advertisement compliance, and reliability in payment processing.</w:t>
      </w:r>
    </w:p>
    <w:p w:rsidR="001E3B27" w:rsidRPr="002917D8" w:rsidRDefault="001E3B27" w:rsidP="00C43889">
      <w:pPr>
        <w:jc w:val="both"/>
        <w:rPr>
          <w:lang w:val="en-IN"/>
        </w:rPr>
      </w:pPr>
      <w:r>
        <w:t>The second line of defence offers supervision and management with the assistance of expert functions such as legal advisors, compliance officers, and data protection leads. These functions create internal policies, perform compliance monitoring, and keep in touch with the compliance requirements like the UK GDPR, copyright laws, and advertising regulations</w:t>
      </w:r>
      <w:r w:rsidRPr="002917D8">
        <w:rPr>
          <w:rFonts w:ascii="Times New Roman" w:eastAsia="Times New Roman" w:hAnsi="Times New Roman" w:cs="Times New Roman"/>
          <w:kern w:val="0"/>
          <w:lang w:val="en-IN" w:eastAsia="en-IN"/>
          <w14:ligatures w14:val="none"/>
        </w:rPr>
        <w:t xml:space="preserve"> </w:t>
      </w:r>
      <w:r w:rsidRPr="002917D8">
        <w:rPr>
          <w:lang w:val="en-IN"/>
        </w:rPr>
        <w:t>(KPMG, 2025)</w:t>
      </w:r>
      <w:r>
        <w:t>. The second is another line that is also playing a very important role in horizon scanning and that is the identification of emerging risks that are associated with regulatory reform, technological change or market shift.</w:t>
      </w:r>
    </w:p>
    <w:p w:rsidR="001E3B27" w:rsidRDefault="001E3B27" w:rsidP="00C43889">
      <w:pPr>
        <w:jc w:val="both"/>
      </w:pPr>
      <w:r>
        <w:lastRenderedPageBreak/>
        <w:t>The third defence level is the independent assurance which includes internal audits, external security evaluations associated with cybersecurity and regular financial reviews. This role offers objective assessment of the potential of risk controls and governance processes effectiveness. Board of Directors Strategic oversight is implemented by the Board of Directors of Discsoul with a specific Risk and Ethics Committee, which receives quarterly risk reports, and invests in mitigation, and makes sure that ethical considerations are outlined in platform design and monetisation strategies.</w:t>
      </w:r>
    </w:p>
    <w:p w:rsidR="001E3B27" w:rsidRDefault="001E3B27" w:rsidP="00C43889">
      <w:pPr>
        <w:jc w:val="both"/>
      </w:pPr>
      <w:r>
        <w:t>Discsoul has a moderate level of risk appetite, which means that it will not have high levels of risk tolerance in innovation, entering the market, and experimenting with new products, but lower risk tolerance towards issues concerning data protection, legal non-compliance, and misreporting of financial performance. This moderate position allows the company to seek the growth prospects at the same time protecting the trust of the stakeholders.</w:t>
      </w:r>
    </w:p>
    <w:p w:rsidR="00AE380E" w:rsidRPr="00AE380E" w:rsidRDefault="001E3B27" w:rsidP="00AE380E">
      <w:pPr>
        <w:pStyle w:val="Heading1"/>
      </w:pPr>
      <w:bookmarkStart w:id="75" w:name="_Toc220991372"/>
      <w:r w:rsidRPr="00E85A57">
        <w:t>8.2 Risk Heat Map</w:t>
      </w:r>
      <w:bookmarkEnd w:id="75"/>
    </w:p>
    <w:p w:rsidR="001E3B27" w:rsidRDefault="001E3B27" w:rsidP="00C43889">
      <w:pPr>
        <w:jc w:val="both"/>
      </w:pPr>
      <w:r>
        <w:t>The risk heat map is a visual and analytical tool that prioritises risks on the basis of their likelihoods to occur and the potential effects of such risks on organisational goals. The approach facilitates the allocation of resources since the management can concentrate on the mitigation efforts on the most important threats.</w:t>
      </w:r>
    </w:p>
    <w:tbl>
      <w:tblPr>
        <w:tblStyle w:val="TableGrid"/>
        <w:tblW w:w="10191" w:type="dxa"/>
        <w:tblLook w:val="04A0" w:firstRow="1" w:lastRow="0" w:firstColumn="1" w:lastColumn="0" w:noHBand="0" w:noVBand="1"/>
      </w:tblPr>
      <w:tblGrid>
        <w:gridCol w:w="990"/>
        <w:gridCol w:w="1564"/>
        <w:gridCol w:w="1586"/>
        <w:gridCol w:w="1586"/>
        <w:gridCol w:w="1297"/>
        <w:gridCol w:w="1484"/>
        <w:gridCol w:w="1684"/>
      </w:tblGrid>
      <w:tr w:rsidR="00794A75" w:rsidTr="00794A75">
        <w:tc>
          <w:tcPr>
            <w:tcW w:w="990" w:type="dxa"/>
            <w:vMerge w:val="restart"/>
          </w:tcPr>
          <w:p w:rsidR="00794A75" w:rsidRDefault="00794A75" w:rsidP="00794A75">
            <w:pPr>
              <w:jc w:val="center"/>
              <w:rPr>
                <w:b/>
                <w:bCs/>
              </w:rPr>
            </w:pPr>
          </w:p>
          <w:p w:rsidR="00794A75" w:rsidRDefault="00794A75" w:rsidP="00794A75">
            <w:pPr>
              <w:jc w:val="center"/>
              <w:rPr>
                <w:b/>
                <w:bCs/>
              </w:rPr>
            </w:pPr>
          </w:p>
          <w:p w:rsidR="00794A75" w:rsidRDefault="00794A75" w:rsidP="00794A75">
            <w:pPr>
              <w:jc w:val="center"/>
              <w:rPr>
                <w:b/>
                <w:bCs/>
              </w:rPr>
            </w:pPr>
          </w:p>
          <w:p w:rsidR="00794A75" w:rsidRPr="00AE380E" w:rsidRDefault="00794A75" w:rsidP="00794A75">
            <w:pPr>
              <w:jc w:val="center"/>
              <w:rPr>
                <w:b/>
                <w:bCs/>
              </w:rPr>
            </w:pPr>
            <w:r w:rsidRPr="00AE380E">
              <w:rPr>
                <w:b/>
                <w:bCs/>
              </w:rPr>
              <w:t>Impact</w:t>
            </w:r>
          </w:p>
        </w:tc>
        <w:tc>
          <w:tcPr>
            <w:tcW w:w="1564" w:type="dxa"/>
          </w:tcPr>
          <w:p w:rsidR="00794A75" w:rsidRDefault="00794A75" w:rsidP="00794A75">
            <w:pPr>
              <w:jc w:val="both"/>
            </w:pPr>
            <w:r>
              <w:t>Catastrophic</w:t>
            </w:r>
          </w:p>
        </w:tc>
        <w:tc>
          <w:tcPr>
            <w:tcW w:w="1586" w:type="dxa"/>
          </w:tcPr>
          <w:p w:rsidR="00794A75" w:rsidRDefault="00794A75" w:rsidP="00794A75">
            <w:pPr>
              <w:jc w:val="both"/>
            </w:pPr>
          </w:p>
        </w:tc>
        <w:tc>
          <w:tcPr>
            <w:tcW w:w="1586" w:type="dxa"/>
          </w:tcPr>
          <w:p w:rsidR="00794A75" w:rsidRDefault="00794A75" w:rsidP="00794A75">
            <w:pPr>
              <w:jc w:val="both"/>
            </w:pPr>
          </w:p>
        </w:tc>
        <w:tc>
          <w:tcPr>
            <w:tcW w:w="1297" w:type="dxa"/>
          </w:tcPr>
          <w:p w:rsidR="00794A75" w:rsidRDefault="00794A75" w:rsidP="00794A75">
            <w:pPr>
              <w:jc w:val="both"/>
            </w:pPr>
          </w:p>
        </w:tc>
        <w:tc>
          <w:tcPr>
            <w:tcW w:w="1484" w:type="dxa"/>
          </w:tcPr>
          <w:p w:rsidR="00794A75" w:rsidRDefault="00794A75" w:rsidP="00794A75">
            <w:pPr>
              <w:jc w:val="both"/>
            </w:pPr>
            <w:r>
              <w:t xml:space="preserve">Regulatory </w:t>
            </w:r>
          </w:p>
          <w:p w:rsidR="00794A75" w:rsidRDefault="00794A75" w:rsidP="00794A75">
            <w:pPr>
              <w:jc w:val="both"/>
            </w:pPr>
            <w:r>
              <w:t>Non-Compliance</w:t>
            </w:r>
          </w:p>
        </w:tc>
        <w:tc>
          <w:tcPr>
            <w:tcW w:w="1684" w:type="dxa"/>
          </w:tcPr>
          <w:p w:rsidR="00794A75" w:rsidRDefault="00794A75" w:rsidP="00794A75">
            <w:pPr>
              <w:jc w:val="both"/>
            </w:pPr>
            <w:r>
              <w:t>Cybersecurity</w:t>
            </w:r>
          </w:p>
          <w:p w:rsidR="00794A75" w:rsidRDefault="00794A75" w:rsidP="00794A75">
            <w:pPr>
              <w:jc w:val="both"/>
            </w:pPr>
            <w:r>
              <w:t>Breaches</w:t>
            </w:r>
          </w:p>
          <w:p w:rsidR="00794A75" w:rsidRDefault="00794A75" w:rsidP="00794A75">
            <w:pPr>
              <w:jc w:val="both"/>
            </w:pPr>
          </w:p>
        </w:tc>
      </w:tr>
      <w:tr w:rsidR="00794A75" w:rsidTr="00794A75">
        <w:tc>
          <w:tcPr>
            <w:tcW w:w="990" w:type="dxa"/>
            <w:vMerge/>
          </w:tcPr>
          <w:p w:rsidR="00794A75" w:rsidRDefault="00794A75" w:rsidP="00794A75">
            <w:pPr>
              <w:jc w:val="both"/>
            </w:pPr>
          </w:p>
        </w:tc>
        <w:tc>
          <w:tcPr>
            <w:tcW w:w="1564" w:type="dxa"/>
          </w:tcPr>
          <w:p w:rsidR="00794A75" w:rsidRDefault="00794A75" w:rsidP="00794A75">
            <w:pPr>
              <w:jc w:val="both"/>
            </w:pPr>
            <w:r>
              <w:t>Major</w:t>
            </w:r>
          </w:p>
        </w:tc>
        <w:tc>
          <w:tcPr>
            <w:tcW w:w="1586" w:type="dxa"/>
          </w:tcPr>
          <w:p w:rsidR="00794A75" w:rsidRDefault="00794A75" w:rsidP="00794A75">
            <w:pPr>
              <w:jc w:val="both"/>
            </w:pPr>
          </w:p>
        </w:tc>
        <w:tc>
          <w:tcPr>
            <w:tcW w:w="1586" w:type="dxa"/>
          </w:tcPr>
          <w:p w:rsidR="00794A75" w:rsidRDefault="00794A75" w:rsidP="00794A75">
            <w:pPr>
              <w:jc w:val="both"/>
            </w:pPr>
          </w:p>
        </w:tc>
        <w:tc>
          <w:tcPr>
            <w:tcW w:w="1297" w:type="dxa"/>
          </w:tcPr>
          <w:p w:rsidR="00794A75" w:rsidRDefault="00794A75" w:rsidP="00794A75">
            <w:pPr>
              <w:jc w:val="both"/>
            </w:pPr>
            <w:r>
              <w:t>Advertiser revenue volatility</w:t>
            </w:r>
          </w:p>
        </w:tc>
        <w:tc>
          <w:tcPr>
            <w:tcW w:w="1484" w:type="dxa"/>
          </w:tcPr>
          <w:p w:rsidR="00794A75" w:rsidRDefault="00794A75" w:rsidP="00794A75">
            <w:pPr>
              <w:jc w:val="both"/>
            </w:pPr>
          </w:p>
        </w:tc>
        <w:tc>
          <w:tcPr>
            <w:tcW w:w="1684" w:type="dxa"/>
          </w:tcPr>
          <w:p w:rsidR="00794A75" w:rsidRDefault="00794A75" w:rsidP="00794A75">
            <w:pPr>
              <w:jc w:val="both"/>
            </w:pPr>
            <w:r>
              <w:t>Live Concert Streaming</w:t>
            </w:r>
          </w:p>
          <w:p w:rsidR="00794A75" w:rsidRDefault="00794A75" w:rsidP="00794A75">
            <w:pPr>
              <w:jc w:val="both"/>
            </w:pPr>
            <w:r>
              <w:t>Technical Failures</w:t>
            </w:r>
          </w:p>
        </w:tc>
      </w:tr>
      <w:tr w:rsidR="00794A75" w:rsidTr="00794A75">
        <w:tc>
          <w:tcPr>
            <w:tcW w:w="990" w:type="dxa"/>
            <w:vMerge/>
          </w:tcPr>
          <w:p w:rsidR="00794A75" w:rsidRDefault="00794A75" w:rsidP="00794A75">
            <w:pPr>
              <w:jc w:val="both"/>
            </w:pPr>
          </w:p>
        </w:tc>
        <w:tc>
          <w:tcPr>
            <w:tcW w:w="1564" w:type="dxa"/>
          </w:tcPr>
          <w:p w:rsidR="00794A75" w:rsidRDefault="00794A75" w:rsidP="00794A75">
            <w:pPr>
              <w:jc w:val="both"/>
            </w:pPr>
            <w:r>
              <w:t>Major</w:t>
            </w:r>
          </w:p>
        </w:tc>
        <w:tc>
          <w:tcPr>
            <w:tcW w:w="1586" w:type="dxa"/>
          </w:tcPr>
          <w:p w:rsidR="00794A75" w:rsidRDefault="00794A75" w:rsidP="00794A75">
            <w:pPr>
              <w:jc w:val="both"/>
            </w:pPr>
          </w:p>
        </w:tc>
        <w:tc>
          <w:tcPr>
            <w:tcW w:w="1586" w:type="dxa"/>
          </w:tcPr>
          <w:p w:rsidR="00794A75" w:rsidRDefault="00794A75" w:rsidP="00794A75">
            <w:pPr>
              <w:jc w:val="both"/>
            </w:pPr>
            <w:r>
              <w:t>Short-term Marketing inefficiencies</w:t>
            </w:r>
          </w:p>
        </w:tc>
        <w:tc>
          <w:tcPr>
            <w:tcW w:w="1297" w:type="dxa"/>
          </w:tcPr>
          <w:p w:rsidR="00794A75" w:rsidRDefault="00794A75" w:rsidP="00794A75">
            <w:pPr>
              <w:jc w:val="both"/>
            </w:pPr>
          </w:p>
        </w:tc>
        <w:tc>
          <w:tcPr>
            <w:tcW w:w="1484" w:type="dxa"/>
          </w:tcPr>
          <w:p w:rsidR="00794A75" w:rsidRDefault="00794A75" w:rsidP="00794A75">
            <w:pPr>
              <w:jc w:val="both"/>
            </w:pPr>
            <w:r>
              <w:t>Slower-than-expected user acquisition</w:t>
            </w:r>
          </w:p>
        </w:tc>
        <w:tc>
          <w:tcPr>
            <w:tcW w:w="1684" w:type="dxa"/>
          </w:tcPr>
          <w:p w:rsidR="00794A75" w:rsidRDefault="00794A75" w:rsidP="00794A75">
            <w:pPr>
              <w:jc w:val="both"/>
            </w:pPr>
          </w:p>
        </w:tc>
      </w:tr>
      <w:tr w:rsidR="00794A75" w:rsidTr="00794A75">
        <w:tc>
          <w:tcPr>
            <w:tcW w:w="990" w:type="dxa"/>
            <w:vMerge/>
          </w:tcPr>
          <w:p w:rsidR="00794A75" w:rsidRDefault="00794A75" w:rsidP="00794A75">
            <w:pPr>
              <w:jc w:val="both"/>
            </w:pPr>
          </w:p>
        </w:tc>
        <w:tc>
          <w:tcPr>
            <w:tcW w:w="1564" w:type="dxa"/>
          </w:tcPr>
          <w:p w:rsidR="00794A75" w:rsidRDefault="00794A75" w:rsidP="00794A75">
            <w:pPr>
              <w:jc w:val="both"/>
            </w:pPr>
            <w:r>
              <w:t>Insignificant</w:t>
            </w:r>
          </w:p>
        </w:tc>
        <w:tc>
          <w:tcPr>
            <w:tcW w:w="1586" w:type="dxa"/>
          </w:tcPr>
          <w:p w:rsidR="00794A75" w:rsidRDefault="00794A75" w:rsidP="00794A75">
            <w:pPr>
              <w:jc w:val="both"/>
            </w:pPr>
            <w:r>
              <w:t>Short-term Marketing inefficiencies</w:t>
            </w:r>
          </w:p>
        </w:tc>
        <w:tc>
          <w:tcPr>
            <w:tcW w:w="1586" w:type="dxa"/>
          </w:tcPr>
          <w:p w:rsidR="00794A75" w:rsidRDefault="00794A75" w:rsidP="00794A75">
            <w:pPr>
              <w:jc w:val="both"/>
            </w:pPr>
          </w:p>
        </w:tc>
        <w:tc>
          <w:tcPr>
            <w:tcW w:w="1297" w:type="dxa"/>
          </w:tcPr>
          <w:p w:rsidR="00794A75" w:rsidRDefault="00794A75" w:rsidP="00794A75">
            <w:pPr>
              <w:jc w:val="both"/>
            </w:pPr>
          </w:p>
        </w:tc>
        <w:tc>
          <w:tcPr>
            <w:tcW w:w="1484" w:type="dxa"/>
          </w:tcPr>
          <w:p w:rsidR="00794A75" w:rsidRDefault="00794A75" w:rsidP="00794A75">
            <w:pPr>
              <w:jc w:val="both"/>
            </w:pPr>
          </w:p>
        </w:tc>
        <w:tc>
          <w:tcPr>
            <w:tcW w:w="1684" w:type="dxa"/>
          </w:tcPr>
          <w:p w:rsidR="00794A75" w:rsidRDefault="00794A75" w:rsidP="00794A75">
            <w:pPr>
              <w:jc w:val="both"/>
            </w:pPr>
          </w:p>
        </w:tc>
      </w:tr>
      <w:tr w:rsidR="00794A75" w:rsidTr="00794A75">
        <w:tc>
          <w:tcPr>
            <w:tcW w:w="990" w:type="dxa"/>
            <w:vMerge/>
          </w:tcPr>
          <w:p w:rsidR="00794A75" w:rsidRDefault="00794A75" w:rsidP="00794A75">
            <w:pPr>
              <w:jc w:val="both"/>
            </w:pPr>
          </w:p>
        </w:tc>
        <w:tc>
          <w:tcPr>
            <w:tcW w:w="1564" w:type="dxa"/>
          </w:tcPr>
          <w:p w:rsidR="00794A75" w:rsidRDefault="00794A75" w:rsidP="00794A75">
            <w:pPr>
              <w:jc w:val="both"/>
            </w:pPr>
            <w:r>
              <w:t>Insignificant</w:t>
            </w:r>
          </w:p>
        </w:tc>
        <w:tc>
          <w:tcPr>
            <w:tcW w:w="1586" w:type="dxa"/>
          </w:tcPr>
          <w:p w:rsidR="00794A75" w:rsidRDefault="00794A75" w:rsidP="00794A75">
            <w:pPr>
              <w:jc w:val="both"/>
            </w:pPr>
            <w:r>
              <w:t xml:space="preserve">Minor Operational </w:t>
            </w:r>
          </w:p>
          <w:p w:rsidR="00794A75" w:rsidRDefault="00794A75" w:rsidP="00794A75">
            <w:pPr>
              <w:jc w:val="both"/>
            </w:pPr>
            <w:r>
              <w:t>disruptions</w:t>
            </w:r>
          </w:p>
        </w:tc>
        <w:tc>
          <w:tcPr>
            <w:tcW w:w="1586" w:type="dxa"/>
          </w:tcPr>
          <w:p w:rsidR="00794A75" w:rsidRDefault="00794A75" w:rsidP="00794A75">
            <w:pPr>
              <w:jc w:val="both"/>
            </w:pPr>
          </w:p>
        </w:tc>
        <w:tc>
          <w:tcPr>
            <w:tcW w:w="1297" w:type="dxa"/>
          </w:tcPr>
          <w:p w:rsidR="00794A75" w:rsidRDefault="00794A75" w:rsidP="00794A75">
            <w:pPr>
              <w:jc w:val="both"/>
            </w:pPr>
          </w:p>
        </w:tc>
        <w:tc>
          <w:tcPr>
            <w:tcW w:w="1484" w:type="dxa"/>
          </w:tcPr>
          <w:p w:rsidR="00794A75" w:rsidRDefault="00794A75" w:rsidP="00794A75">
            <w:pPr>
              <w:jc w:val="both"/>
            </w:pPr>
          </w:p>
        </w:tc>
        <w:tc>
          <w:tcPr>
            <w:tcW w:w="1684" w:type="dxa"/>
          </w:tcPr>
          <w:p w:rsidR="00794A75" w:rsidRDefault="00794A75" w:rsidP="00794A75">
            <w:pPr>
              <w:jc w:val="both"/>
            </w:pPr>
          </w:p>
        </w:tc>
      </w:tr>
      <w:tr w:rsidR="00794A75" w:rsidTr="00794A75">
        <w:tc>
          <w:tcPr>
            <w:tcW w:w="990" w:type="dxa"/>
            <w:vMerge/>
          </w:tcPr>
          <w:p w:rsidR="00794A75" w:rsidRDefault="00794A75" w:rsidP="00794A75">
            <w:pPr>
              <w:jc w:val="both"/>
            </w:pPr>
          </w:p>
        </w:tc>
        <w:tc>
          <w:tcPr>
            <w:tcW w:w="1564" w:type="dxa"/>
          </w:tcPr>
          <w:p w:rsidR="00794A75" w:rsidRDefault="00794A75" w:rsidP="00794A75">
            <w:pPr>
              <w:jc w:val="both"/>
            </w:pPr>
          </w:p>
        </w:tc>
        <w:tc>
          <w:tcPr>
            <w:tcW w:w="1586" w:type="dxa"/>
          </w:tcPr>
          <w:p w:rsidR="00794A75" w:rsidRDefault="00794A75" w:rsidP="00794A75">
            <w:pPr>
              <w:jc w:val="both"/>
            </w:pPr>
            <w:r>
              <w:t>Infrequent</w:t>
            </w:r>
          </w:p>
        </w:tc>
        <w:tc>
          <w:tcPr>
            <w:tcW w:w="1586" w:type="dxa"/>
          </w:tcPr>
          <w:p w:rsidR="00794A75" w:rsidRDefault="00794A75" w:rsidP="00794A75">
            <w:pPr>
              <w:jc w:val="both"/>
            </w:pPr>
            <w:r>
              <w:t xml:space="preserve">Unlikely </w:t>
            </w:r>
          </w:p>
        </w:tc>
        <w:tc>
          <w:tcPr>
            <w:tcW w:w="1297" w:type="dxa"/>
          </w:tcPr>
          <w:p w:rsidR="00794A75" w:rsidRDefault="00794A75" w:rsidP="00794A75">
            <w:pPr>
              <w:jc w:val="both"/>
            </w:pPr>
            <w:r>
              <w:t>Possible</w:t>
            </w:r>
          </w:p>
        </w:tc>
        <w:tc>
          <w:tcPr>
            <w:tcW w:w="1484" w:type="dxa"/>
          </w:tcPr>
          <w:p w:rsidR="00794A75" w:rsidRDefault="00794A75" w:rsidP="00794A75">
            <w:pPr>
              <w:jc w:val="both"/>
            </w:pPr>
            <w:r>
              <w:t xml:space="preserve">Likely </w:t>
            </w:r>
          </w:p>
        </w:tc>
        <w:tc>
          <w:tcPr>
            <w:tcW w:w="1684" w:type="dxa"/>
          </w:tcPr>
          <w:p w:rsidR="00794A75" w:rsidRDefault="00794A75" w:rsidP="00794A75">
            <w:pPr>
              <w:jc w:val="both"/>
            </w:pPr>
            <w:r>
              <w:t>Nearly Certain</w:t>
            </w:r>
          </w:p>
        </w:tc>
      </w:tr>
      <w:tr w:rsidR="00794A75" w:rsidTr="00794A75">
        <w:tc>
          <w:tcPr>
            <w:tcW w:w="990" w:type="dxa"/>
          </w:tcPr>
          <w:p w:rsidR="00794A75" w:rsidRDefault="00794A75" w:rsidP="00794A75">
            <w:pPr>
              <w:jc w:val="both"/>
            </w:pPr>
          </w:p>
        </w:tc>
        <w:tc>
          <w:tcPr>
            <w:tcW w:w="9201" w:type="dxa"/>
            <w:gridSpan w:val="6"/>
          </w:tcPr>
          <w:p w:rsidR="00794A75" w:rsidRPr="00AE380E" w:rsidRDefault="00794A75" w:rsidP="00794A75">
            <w:pPr>
              <w:jc w:val="center"/>
              <w:rPr>
                <w:b/>
                <w:bCs/>
              </w:rPr>
            </w:pPr>
            <w:r w:rsidRPr="00AE380E">
              <w:rPr>
                <w:b/>
                <w:bCs/>
              </w:rPr>
              <w:t>Likelihood</w:t>
            </w:r>
          </w:p>
        </w:tc>
      </w:tr>
    </w:tbl>
    <w:p w:rsidR="00794A75" w:rsidRDefault="00794A75" w:rsidP="00794A75">
      <w:pPr>
        <w:jc w:val="center"/>
        <w:rPr>
          <w:b/>
          <w:bCs/>
          <w:lang w:val="en-IN"/>
        </w:rPr>
      </w:pPr>
      <w:r w:rsidRPr="005D6BF3">
        <w:rPr>
          <w:b/>
          <w:bCs/>
          <w:lang w:val="en-IN"/>
        </w:rPr>
        <w:t>Figure 8.1: Risk Heat Map for Discsoul</w:t>
      </w:r>
    </w:p>
    <w:p w:rsidR="00AE380E" w:rsidRPr="00794A75" w:rsidRDefault="00794A75" w:rsidP="00794A75">
      <w:pPr>
        <w:jc w:val="center"/>
        <w:rPr>
          <w:b/>
          <w:bCs/>
          <w:lang w:val="en-IN"/>
        </w:rPr>
      </w:pPr>
      <w:r w:rsidRPr="00794A75">
        <w:rPr>
          <w:b/>
          <w:bCs/>
        </w:rPr>
        <w:t>(Source: Made by me Microsoft Word Table)</w:t>
      </w:r>
    </w:p>
    <w:p w:rsidR="001E3B27" w:rsidRDefault="001E3B27" w:rsidP="00794A75">
      <w:pPr>
        <w:jc w:val="both"/>
      </w:pPr>
      <w:r>
        <w:lastRenderedPageBreak/>
        <w:t>The heat map is organised into a 5x 5 matrix. The horizontal axis is the likeliness, between infrequent and nearly certain whereas the vertical axis is the impact, between insignificant and catastrophic. Those risks that are found in high-priority and are mitigated immediately in the upper-right quadrant and those that are observed in the lower-left quadrant.</w:t>
      </w:r>
    </w:p>
    <w:p w:rsidR="001E3B27" w:rsidRDefault="001E3B27" w:rsidP="00794A75">
      <w:pPr>
        <w:jc w:val="both"/>
      </w:pPr>
      <w:r>
        <w:t>It has been determined that breaches of cybersecurity, lack of regulatory compliance, and technical issues with the platform during live concert streaming are high-impact risks that are at medium to high risk. The reason why such risks are prioritised is because they can result in loss of money, regulation fines and reputation. The advertiser revenue volatility and slower-than- expected user acquisition are medium-priority risks, and minor operational disruptions and short-term marketing inefficiencies are low-priority risks.</w:t>
      </w:r>
    </w:p>
    <w:p w:rsidR="001E3B27" w:rsidRDefault="001E3B27" w:rsidP="00794A75">
      <w:pPr>
        <w:jc w:val="both"/>
      </w:pPr>
      <w:r>
        <w:t>The heat map is also checked quarterly and refreshed based on internal performance and external threat intelligence and the regulatory environment. This dynamic nature will make sure that risk prioritisation is not obsolete as Discsoul expands its operations both locally and globally.</w:t>
      </w:r>
    </w:p>
    <w:p w:rsidR="001E3B27" w:rsidRPr="00E85A57" w:rsidRDefault="001E3B27" w:rsidP="00794A75">
      <w:pPr>
        <w:pStyle w:val="Heading1"/>
      </w:pPr>
      <w:bookmarkStart w:id="76" w:name="_Toc220991373"/>
      <w:r w:rsidRPr="00E85A57">
        <w:t>8.3 Risk Register (Controls and Contingency).</w:t>
      </w:r>
      <w:bookmarkEnd w:id="76"/>
    </w:p>
    <w:p w:rsidR="001E3B27" w:rsidRDefault="001E3B27" w:rsidP="001E3B27">
      <w:r>
        <w:t>Risk register converts the high-level risk identification into the processes of managing risks. It records particular hazards, allocates responsibility, describes preventive measures and gives emergence plans. This is an organised way of improving accountability and readiness.</w:t>
      </w:r>
    </w:p>
    <w:p w:rsidR="001E3B27" w:rsidRDefault="001E3B27" w:rsidP="001E3B27"/>
    <w:p w:rsidR="001E3B27" w:rsidRPr="005D6BF3" w:rsidRDefault="001E3B27" w:rsidP="001E3B27">
      <w:pPr>
        <w:rPr>
          <w:b/>
          <w:bCs/>
          <w:lang w:val="en-IN"/>
        </w:rPr>
      </w:pPr>
      <w:r w:rsidRPr="005D6BF3">
        <w:rPr>
          <w:b/>
          <w:bCs/>
          <w:lang w:val="en-IN"/>
        </w:rPr>
        <w:t>Table 8.1: Discsoul Risk Register</w:t>
      </w:r>
    </w:p>
    <w:tbl>
      <w:tblPr>
        <w:tblStyle w:val="TableGrid"/>
        <w:tblW w:w="0" w:type="auto"/>
        <w:tblLook w:val="04A0" w:firstRow="1" w:lastRow="0" w:firstColumn="1" w:lastColumn="0" w:noHBand="0" w:noVBand="1"/>
      </w:tblPr>
      <w:tblGrid>
        <w:gridCol w:w="1676"/>
        <w:gridCol w:w="1529"/>
        <w:gridCol w:w="1409"/>
        <w:gridCol w:w="1065"/>
        <w:gridCol w:w="1609"/>
        <w:gridCol w:w="1728"/>
      </w:tblGrid>
      <w:tr w:rsidR="001E3B27" w:rsidTr="00464AF0">
        <w:tc>
          <w:tcPr>
            <w:tcW w:w="1502" w:type="dxa"/>
            <w:vAlign w:val="center"/>
          </w:tcPr>
          <w:p w:rsidR="001E3B27" w:rsidRDefault="001E3B27" w:rsidP="00464AF0">
            <w:pPr>
              <w:jc w:val="center"/>
              <w:rPr>
                <w:b/>
                <w:bCs/>
                <w:lang w:val="en-IN"/>
              </w:rPr>
            </w:pPr>
            <w:r>
              <w:rPr>
                <w:b/>
                <w:bCs/>
              </w:rPr>
              <w:t>Risk Category</w:t>
            </w:r>
          </w:p>
        </w:tc>
        <w:tc>
          <w:tcPr>
            <w:tcW w:w="1502" w:type="dxa"/>
            <w:vAlign w:val="center"/>
          </w:tcPr>
          <w:p w:rsidR="001E3B27" w:rsidRDefault="001E3B27" w:rsidP="00464AF0">
            <w:pPr>
              <w:jc w:val="center"/>
              <w:rPr>
                <w:b/>
                <w:bCs/>
              </w:rPr>
            </w:pPr>
            <w:r>
              <w:rPr>
                <w:b/>
                <w:bCs/>
              </w:rPr>
              <w:t>Risk Description</w:t>
            </w:r>
          </w:p>
        </w:tc>
        <w:tc>
          <w:tcPr>
            <w:tcW w:w="1503" w:type="dxa"/>
            <w:vAlign w:val="center"/>
          </w:tcPr>
          <w:p w:rsidR="001E3B27" w:rsidRDefault="001E3B27" w:rsidP="00464AF0">
            <w:pPr>
              <w:jc w:val="center"/>
              <w:rPr>
                <w:b/>
                <w:bCs/>
              </w:rPr>
            </w:pPr>
            <w:r>
              <w:rPr>
                <w:b/>
                <w:bCs/>
              </w:rPr>
              <w:t>Likelihood</w:t>
            </w:r>
          </w:p>
        </w:tc>
        <w:tc>
          <w:tcPr>
            <w:tcW w:w="1503" w:type="dxa"/>
            <w:vAlign w:val="center"/>
          </w:tcPr>
          <w:p w:rsidR="001E3B27" w:rsidRDefault="001E3B27" w:rsidP="00464AF0">
            <w:pPr>
              <w:jc w:val="center"/>
              <w:rPr>
                <w:b/>
                <w:bCs/>
              </w:rPr>
            </w:pPr>
            <w:r>
              <w:rPr>
                <w:b/>
                <w:bCs/>
              </w:rPr>
              <w:t>Impact</w:t>
            </w:r>
          </w:p>
        </w:tc>
        <w:tc>
          <w:tcPr>
            <w:tcW w:w="1503" w:type="dxa"/>
            <w:vAlign w:val="center"/>
          </w:tcPr>
          <w:p w:rsidR="001E3B27" w:rsidRDefault="001E3B27" w:rsidP="00464AF0">
            <w:pPr>
              <w:jc w:val="center"/>
              <w:rPr>
                <w:b/>
                <w:bCs/>
              </w:rPr>
            </w:pPr>
            <w:r>
              <w:rPr>
                <w:b/>
                <w:bCs/>
              </w:rPr>
              <w:t>Key Controls</w:t>
            </w:r>
          </w:p>
        </w:tc>
        <w:tc>
          <w:tcPr>
            <w:tcW w:w="1503" w:type="dxa"/>
            <w:vAlign w:val="center"/>
          </w:tcPr>
          <w:p w:rsidR="001E3B27" w:rsidRDefault="001E3B27" w:rsidP="00464AF0">
            <w:pPr>
              <w:jc w:val="center"/>
              <w:rPr>
                <w:b/>
                <w:bCs/>
              </w:rPr>
            </w:pPr>
            <w:r>
              <w:rPr>
                <w:b/>
                <w:bCs/>
              </w:rPr>
              <w:t>Contingency Measures</w:t>
            </w:r>
          </w:p>
        </w:tc>
      </w:tr>
      <w:tr w:rsidR="001E3B27" w:rsidTr="00464AF0">
        <w:tc>
          <w:tcPr>
            <w:tcW w:w="1502" w:type="dxa"/>
            <w:vAlign w:val="center"/>
          </w:tcPr>
          <w:p w:rsidR="001E3B27" w:rsidRDefault="001E3B27" w:rsidP="00464AF0">
            <w:r>
              <w:t>Strategic</w:t>
            </w:r>
          </w:p>
        </w:tc>
        <w:tc>
          <w:tcPr>
            <w:tcW w:w="1502" w:type="dxa"/>
            <w:vAlign w:val="center"/>
          </w:tcPr>
          <w:p w:rsidR="001E3B27" w:rsidRDefault="001E3B27" w:rsidP="00464AF0">
            <w:r>
              <w:t>Failure to differentiate in saturated market</w:t>
            </w:r>
          </w:p>
        </w:tc>
        <w:tc>
          <w:tcPr>
            <w:tcW w:w="1503" w:type="dxa"/>
            <w:vAlign w:val="center"/>
          </w:tcPr>
          <w:p w:rsidR="001E3B27" w:rsidRDefault="001E3B27" w:rsidP="00464AF0">
            <w:r>
              <w:t>Medium</w:t>
            </w:r>
          </w:p>
        </w:tc>
        <w:tc>
          <w:tcPr>
            <w:tcW w:w="1503" w:type="dxa"/>
            <w:vAlign w:val="center"/>
          </w:tcPr>
          <w:p w:rsidR="001E3B27" w:rsidRDefault="001E3B27" w:rsidP="00464AF0">
            <w:r>
              <w:t>High</w:t>
            </w:r>
          </w:p>
        </w:tc>
        <w:tc>
          <w:tcPr>
            <w:tcW w:w="1503" w:type="dxa"/>
            <w:vAlign w:val="center"/>
          </w:tcPr>
          <w:p w:rsidR="001E3B27" w:rsidRDefault="001E3B27" w:rsidP="00464AF0">
            <w:r>
              <w:t>USP clarity, exclusive content strategy</w:t>
            </w:r>
          </w:p>
        </w:tc>
        <w:tc>
          <w:tcPr>
            <w:tcW w:w="1503" w:type="dxa"/>
            <w:vAlign w:val="center"/>
          </w:tcPr>
          <w:p w:rsidR="001E3B27" w:rsidRDefault="001E3B27" w:rsidP="00464AF0">
            <w:r>
              <w:t>Repositioning, partnerships</w:t>
            </w:r>
          </w:p>
        </w:tc>
      </w:tr>
      <w:tr w:rsidR="001E3B27" w:rsidTr="00464AF0">
        <w:tc>
          <w:tcPr>
            <w:tcW w:w="1502" w:type="dxa"/>
            <w:vAlign w:val="center"/>
          </w:tcPr>
          <w:p w:rsidR="001E3B27" w:rsidRDefault="001E3B27" w:rsidP="00464AF0">
            <w:r>
              <w:t>Financial</w:t>
            </w:r>
          </w:p>
        </w:tc>
        <w:tc>
          <w:tcPr>
            <w:tcW w:w="1502" w:type="dxa"/>
            <w:vAlign w:val="center"/>
          </w:tcPr>
          <w:p w:rsidR="001E3B27" w:rsidRDefault="001E3B27" w:rsidP="00464AF0">
            <w:r>
              <w:t>Cash flow shortfall</w:t>
            </w:r>
          </w:p>
        </w:tc>
        <w:tc>
          <w:tcPr>
            <w:tcW w:w="1503" w:type="dxa"/>
            <w:vAlign w:val="center"/>
          </w:tcPr>
          <w:p w:rsidR="001E3B27" w:rsidRDefault="001E3B27" w:rsidP="00464AF0">
            <w:r>
              <w:t>Medium</w:t>
            </w:r>
          </w:p>
        </w:tc>
        <w:tc>
          <w:tcPr>
            <w:tcW w:w="1503" w:type="dxa"/>
            <w:vAlign w:val="center"/>
          </w:tcPr>
          <w:p w:rsidR="001E3B27" w:rsidRDefault="001E3B27" w:rsidP="00464AF0">
            <w:r>
              <w:t>High</w:t>
            </w:r>
          </w:p>
        </w:tc>
        <w:tc>
          <w:tcPr>
            <w:tcW w:w="1503" w:type="dxa"/>
            <w:vAlign w:val="center"/>
          </w:tcPr>
          <w:p w:rsidR="001E3B27" w:rsidRDefault="001E3B27" w:rsidP="00464AF0">
            <w:r>
              <w:t>Conservative forecasting, phased scaling</w:t>
            </w:r>
          </w:p>
        </w:tc>
        <w:tc>
          <w:tcPr>
            <w:tcW w:w="1503" w:type="dxa"/>
            <w:vAlign w:val="center"/>
          </w:tcPr>
          <w:p w:rsidR="001E3B27" w:rsidRDefault="001E3B27" w:rsidP="00464AF0">
            <w:r>
              <w:t>Emergency funding, cost controls</w:t>
            </w:r>
          </w:p>
        </w:tc>
      </w:tr>
      <w:tr w:rsidR="001E3B27" w:rsidTr="00464AF0">
        <w:tc>
          <w:tcPr>
            <w:tcW w:w="1502" w:type="dxa"/>
            <w:vAlign w:val="center"/>
          </w:tcPr>
          <w:p w:rsidR="001E3B27" w:rsidRDefault="001E3B27" w:rsidP="00464AF0">
            <w:r>
              <w:t>Operational</w:t>
            </w:r>
          </w:p>
        </w:tc>
        <w:tc>
          <w:tcPr>
            <w:tcW w:w="1502" w:type="dxa"/>
            <w:vAlign w:val="center"/>
          </w:tcPr>
          <w:p w:rsidR="001E3B27" w:rsidRDefault="001E3B27" w:rsidP="00464AF0">
            <w:r>
              <w:t>Live-stream disruption</w:t>
            </w:r>
          </w:p>
        </w:tc>
        <w:tc>
          <w:tcPr>
            <w:tcW w:w="1503" w:type="dxa"/>
            <w:vAlign w:val="center"/>
          </w:tcPr>
          <w:p w:rsidR="001E3B27" w:rsidRDefault="001E3B27" w:rsidP="00464AF0">
            <w:r>
              <w:t>Low–Medium</w:t>
            </w:r>
          </w:p>
        </w:tc>
        <w:tc>
          <w:tcPr>
            <w:tcW w:w="1503" w:type="dxa"/>
            <w:vAlign w:val="center"/>
          </w:tcPr>
          <w:p w:rsidR="001E3B27" w:rsidRDefault="001E3B27" w:rsidP="00464AF0">
            <w:r>
              <w:t>High</w:t>
            </w:r>
          </w:p>
        </w:tc>
        <w:tc>
          <w:tcPr>
            <w:tcW w:w="1503" w:type="dxa"/>
            <w:vAlign w:val="center"/>
          </w:tcPr>
          <w:p w:rsidR="001E3B27" w:rsidRDefault="001E3B27" w:rsidP="00464AF0">
            <w:r>
              <w:t>Cloud redundancy, load testing</w:t>
            </w:r>
          </w:p>
        </w:tc>
        <w:tc>
          <w:tcPr>
            <w:tcW w:w="1503" w:type="dxa"/>
            <w:vAlign w:val="center"/>
          </w:tcPr>
          <w:p w:rsidR="001E3B27" w:rsidRDefault="001E3B27" w:rsidP="00464AF0">
            <w:r>
              <w:t>Refunds, rescheduled events</w:t>
            </w:r>
          </w:p>
        </w:tc>
      </w:tr>
      <w:tr w:rsidR="001E3B27" w:rsidTr="00464AF0">
        <w:tc>
          <w:tcPr>
            <w:tcW w:w="1502" w:type="dxa"/>
            <w:vAlign w:val="center"/>
          </w:tcPr>
          <w:p w:rsidR="001E3B27" w:rsidRDefault="001E3B27" w:rsidP="00464AF0">
            <w:r>
              <w:t>Legal</w:t>
            </w:r>
          </w:p>
        </w:tc>
        <w:tc>
          <w:tcPr>
            <w:tcW w:w="1502" w:type="dxa"/>
            <w:vAlign w:val="center"/>
          </w:tcPr>
          <w:p w:rsidR="001E3B27" w:rsidRDefault="001E3B27" w:rsidP="00464AF0">
            <w:r>
              <w:t>Copyright infringement claims</w:t>
            </w:r>
          </w:p>
        </w:tc>
        <w:tc>
          <w:tcPr>
            <w:tcW w:w="1503" w:type="dxa"/>
            <w:vAlign w:val="center"/>
          </w:tcPr>
          <w:p w:rsidR="001E3B27" w:rsidRDefault="001E3B27" w:rsidP="00464AF0">
            <w:r>
              <w:t>Low</w:t>
            </w:r>
          </w:p>
        </w:tc>
        <w:tc>
          <w:tcPr>
            <w:tcW w:w="1503" w:type="dxa"/>
            <w:vAlign w:val="center"/>
          </w:tcPr>
          <w:p w:rsidR="001E3B27" w:rsidRDefault="001E3B27" w:rsidP="00464AF0">
            <w:r>
              <w:t>High</w:t>
            </w:r>
          </w:p>
        </w:tc>
        <w:tc>
          <w:tcPr>
            <w:tcW w:w="1503" w:type="dxa"/>
            <w:vAlign w:val="center"/>
          </w:tcPr>
          <w:p w:rsidR="001E3B27" w:rsidRDefault="001E3B27" w:rsidP="00464AF0">
            <w:r>
              <w:t>Licensing audits, legal review</w:t>
            </w:r>
          </w:p>
        </w:tc>
        <w:tc>
          <w:tcPr>
            <w:tcW w:w="1503" w:type="dxa"/>
            <w:vAlign w:val="center"/>
          </w:tcPr>
          <w:p w:rsidR="001E3B27" w:rsidRDefault="001E3B27" w:rsidP="00464AF0">
            <w:r>
              <w:t>Content removal, settlements</w:t>
            </w:r>
          </w:p>
        </w:tc>
      </w:tr>
      <w:tr w:rsidR="001E3B27" w:rsidTr="00464AF0">
        <w:tc>
          <w:tcPr>
            <w:tcW w:w="1502" w:type="dxa"/>
            <w:vAlign w:val="center"/>
          </w:tcPr>
          <w:p w:rsidR="001E3B27" w:rsidRDefault="001E3B27" w:rsidP="00464AF0">
            <w:r>
              <w:lastRenderedPageBreak/>
              <w:t>Cybersecurity</w:t>
            </w:r>
          </w:p>
        </w:tc>
        <w:tc>
          <w:tcPr>
            <w:tcW w:w="1502" w:type="dxa"/>
            <w:vAlign w:val="center"/>
          </w:tcPr>
          <w:p w:rsidR="001E3B27" w:rsidRDefault="001E3B27" w:rsidP="00464AF0">
            <w:r>
              <w:t>Data breach</w:t>
            </w:r>
          </w:p>
        </w:tc>
        <w:tc>
          <w:tcPr>
            <w:tcW w:w="1503" w:type="dxa"/>
            <w:vAlign w:val="center"/>
          </w:tcPr>
          <w:p w:rsidR="001E3B27" w:rsidRDefault="001E3B27" w:rsidP="00464AF0">
            <w:r>
              <w:t>Medium</w:t>
            </w:r>
          </w:p>
        </w:tc>
        <w:tc>
          <w:tcPr>
            <w:tcW w:w="1503" w:type="dxa"/>
            <w:vAlign w:val="center"/>
          </w:tcPr>
          <w:p w:rsidR="001E3B27" w:rsidRDefault="001E3B27" w:rsidP="00464AF0">
            <w:r>
              <w:t>Very High</w:t>
            </w:r>
          </w:p>
        </w:tc>
        <w:tc>
          <w:tcPr>
            <w:tcW w:w="1503" w:type="dxa"/>
            <w:vAlign w:val="center"/>
          </w:tcPr>
          <w:p w:rsidR="001E3B27" w:rsidRDefault="001E3B27" w:rsidP="00464AF0">
            <w:r>
              <w:t>Encryption, penetration testing</w:t>
            </w:r>
          </w:p>
        </w:tc>
        <w:tc>
          <w:tcPr>
            <w:tcW w:w="1503" w:type="dxa"/>
            <w:vAlign w:val="center"/>
          </w:tcPr>
          <w:p w:rsidR="001E3B27" w:rsidRDefault="001E3B27" w:rsidP="00464AF0">
            <w:r>
              <w:t>Incident response, regulator notification</w:t>
            </w:r>
          </w:p>
        </w:tc>
      </w:tr>
      <w:tr w:rsidR="001E3B27" w:rsidTr="00464AF0">
        <w:tc>
          <w:tcPr>
            <w:tcW w:w="1502" w:type="dxa"/>
            <w:vAlign w:val="center"/>
          </w:tcPr>
          <w:p w:rsidR="001E3B27" w:rsidRDefault="001E3B27" w:rsidP="00464AF0">
            <w:r>
              <w:t>Reputational</w:t>
            </w:r>
          </w:p>
        </w:tc>
        <w:tc>
          <w:tcPr>
            <w:tcW w:w="1502" w:type="dxa"/>
            <w:vAlign w:val="center"/>
          </w:tcPr>
          <w:p w:rsidR="001E3B27" w:rsidRDefault="001E3B27" w:rsidP="00464AF0">
            <w:r>
              <w:t>Harmful or offensive content</w:t>
            </w:r>
          </w:p>
        </w:tc>
        <w:tc>
          <w:tcPr>
            <w:tcW w:w="1503" w:type="dxa"/>
            <w:vAlign w:val="center"/>
          </w:tcPr>
          <w:p w:rsidR="001E3B27" w:rsidRDefault="001E3B27" w:rsidP="00464AF0">
            <w:r>
              <w:t>Low–Medium</w:t>
            </w:r>
          </w:p>
        </w:tc>
        <w:tc>
          <w:tcPr>
            <w:tcW w:w="1503" w:type="dxa"/>
            <w:vAlign w:val="center"/>
          </w:tcPr>
          <w:p w:rsidR="001E3B27" w:rsidRDefault="001E3B27" w:rsidP="00464AF0">
            <w:r>
              <w:t>Medium</w:t>
            </w:r>
          </w:p>
        </w:tc>
        <w:tc>
          <w:tcPr>
            <w:tcW w:w="1503" w:type="dxa"/>
            <w:vAlign w:val="center"/>
          </w:tcPr>
          <w:p w:rsidR="001E3B27" w:rsidRDefault="001E3B27" w:rsidP="00464AF0">
            <w:r>
              <w:t>Content moderation, AI filters</w:t>
            </w:r>
          </w:p>
        </w:tc>
        <w:tc>
          <w:tcPr>
            <w:tcW w:w="1503" w:type="dxa"/>
            <w:vAlign w:val="center"/>
          </w:tcPr>
          <w:p w:rsidR="001E3B27" w:rsidRDefault="001E3B27" w:rsidP="00464AF0">
            <w:r>
              <w:t>Public response, policy revision</w:t>
            </w:r>
          </w:p>
        </w:tc>
      </w:tr>
    </w:tbl>
    <w:p w:rsidR="001E3B27" w:rsidRDefault="001E3B27" w:rsidP="001E3B27"/>
    <w:p w:rsidR="001E3B27" w:rsidRDefault="001E3B27" w:rsidP="00794A75">
      <w:pPr>
        <w:jc w:val="both"/>
      </w:pPr>
      <w:r w:rsidRPr="00D45CF3">
        <w:t>The register is checked and updated after the major operational or regulatory modifications.</w:t>
      </w:r>
    </w:p>
    <w:p w:rsidR="001E3B27" w:rsidRPr="005D6BF3" w:rsidRDefault="001E3B27" w:rsidP="00794A75">
      <w:pPr>
        <w:pStyle w:val="Heading1"/>
        <w:rPr>
          <w:lang w:val="en-IN"/>
        </w:rPr>
      </w:pPr>
      <w:bookmarkStart w:id="77" w:name="_Toc220991374"/>
      <w:r w:rsidRPr="005D6BF3">
        <w:rPr>
          <w:lang w:val="en-IN"/>
        </w:rPr>
        <w:t>8.4 Scenario Tests</w:t>
      </w:r>
      <w:bookmarkEnd w:id="77"/>
    </w:p>
    <w:p w:rsidR="001E3B27" w:rsidRPr="00A50CD6" w:rsidRDefault="001E3B27" w:rsidP="00794A75">
      <w:pPr>
        <w:jc w:val="both"/>
        <w:rPr>
          <w:lang w:val="en-IN"/>
        </w:rPr>
      </w:pPr>
      <w:r>
        <w:t xml:space="preserve">Scenario testing will allow Discsoul to test its resilience in the light of a less than ideal but still realistic conditions. It is a proactive strategy that helps to make strategic decisions in a highly uncertain and unfinished information setting </w:t>
      </w:r>
      <w:r w:rsidRPr="00A50CD6">
        <w:rPr>
          <w:lang w:val="en-IN"/>
        </w:rPr>
        <w:t>(EY, 2024)</w:t>
      </w:r>
      <w:r>
        <w:rPr>
          <w:lang w:val="en-IN"/>
        </w:rPr>
        <w:t>.</w:t>
      </w:r>
    </w:p>
    <w:p w:rsidR="001E3B27" w:rsidRPr="00D45CF3" w:rsidRDefault="001E3B27" w:rsidP="001E3B27">
      <w:pPr>
        <w:rPr>
          <w:b/>
          <w:bCs/>
        </w:rPr>
      </w:pPr>
      <w:r w:rsidRPr="00D45CF3">
        <w:rPr>
          <w:b/>
          <w:bCs/>
        </w:rPr>
        <w:t>Scenario 1: High-level Cybersecurity breach.</w:t>
      </w:r>
    </w:p>
    <w:p w:rsidR="001E3B27" w:rsidRDefault="001E3B27" w:rsidP="00794A75">
      <w:pPr>
        <w:jc w:val="both"/>
      </w:pPr>
      <w:r>
        <w:t xml:space="preserve">Payment data of </w:t>
      </w:r>
      <w:proofErr w:type="gramStart"/>
      <w:r>
        <w:t>users</w:t>
      </w:r>
      <w:proofErr w:type="gramEnd"/>
      <w:r>
        <w:t xml:space="preserve"> breach leads to regulatory inquiry and temporary churn. Direct costs encompass remediation, legal advice, and fines that might arise whereas indirect costs are reputational damage. The response by </w:t>
      </w:r>
      <w:proofErr w:type="spellStart"/>
      <w:r>
        <w:t>Discoul</w:t>
      </w:r>
      <w:proofErr w:type="spellEnd"/>
      <w:r>
        <w:t xml:space="preserve"> gives more priority to fast containment, open communication, and upgrades of the systems.</w:t>
      </w:r>
    </w:p>
    <w:p w:rsidR="001E3B27" w:rsidRPr="00D45CF3" w:rsidRDefault="001E3B27" w:rsidP="00794A75">
      <w:pPr>
        <w:jc w:val="both"/>
        <w:rPr>
          <w:b/>
          <w:bCs/>
        </w:rPr>
      </w:pPr>
      <w:r w:rsidRPr="00D45CF3">
        <w:rPr>
          <w:b/>
          <w:bCs/>
        </w:rPr>
        <w:t>Scenario 2: This scenario involves increased regulation of digital advertising.</w:t>
      </w:r>
    </w:p>
    <w:p w:rsidR="001E3B27" w:rsidRDefault="001E3B27" w:rsidP="00794A75">
      <w:pPr>
        <w:jc w:val="both"/>
      </w:pPr>
      <w:r>
        <w:t>UK and EU regulations on targeted advertising limit advertisement income by 30 percent. This risk is addressed in the hybrid business model through the faster growth of subscriptions and the growth of ticketed live concerts.</w:t>
      </w:r>
    </w:p>
    <w:p w:rsidR="001E3B27" w:rsidRPr="00D45CF3" w:rsidRDefault="001E3B27" w:rsidP="00794A75">
      <w:pPr>
        <w:jc w:val="both"/>
        <w:rPr>
          <w:b/>
          <w:bCs/>
        </w:rPr>
      </w:pPr>
      <w:r w:rsidRPr="00D45CF3">
        <w:rPr>
          <w:b/>
          <w:bCs/>
        </w:rPr>
        <w:t>Scenario 3: Economical Recession.</w:t>
      </w:r>
    </w:p>
    <w:p w:rsidR="001E3B27" w:rsidRDefault="001E3B27" w:rsidP="00794A75">
      <w:pPr>
        <w:jc w:val="both"/>
      </w:pPr>
      <w:r>
        <w:t>Discretionary spending on consumer is reduced and limits subscription growth. Discsoul reacts by selling its ad-based plan, flexible prices, and constraining operations costs.</w:t>
      </w:r>
    </w:p>
    <w:p w:rsidR="001E3B27" w:rsidRDefault="001E3B27" w:rsidP="00794A75">
      <w:pPr>
        <w:jc w:val="both"/>
      </w:pPr>
      <w:r>
        <w:t>The case testing shows that revenue stream diversification is good in the organisational resilience.</w:t>
      </w:r>
    </w:p>
    <w:p w:rsidR="001E3B27" w:rsidRPr="00D45CF3" w:rsidRDefault="001E3B27" w:rsidP="00794A75">
      <w:pPr>
        <w:pStyle w:val="Heading1"/>
      </w:pPr>
      <w:bookmarkStart w:id="78" w:name="_Toc220991375"/>
      <w:r w:rsidRPr="00D45CF3">
        <w:t>8.5 Business Continuity and Incident Response.</w:t>
      </w:r>
      <w:bookmarkEnd w:id="78"/>
    </w:p>
    <w:p w:rsidR="00C43889" w:rsidRPr="00831BA4" w:rsidRDefault="001E3B27" w:rsidP="00794A75">
      <w:pPr>
        <w:jc w:val="both"/>
        <w:rPr>
          <w:highlight w:val="yellow"/>
          <w:lang w:val="en-IN"/>
        </w:rPr>
      </w:pPr>
      <w:r>
        <w:t xml:space="preserve">Business continuity planning helps to provide the service continuity of Discsoul in the case of disruptive events like outages of the system, </w:t>
      </w:r>
      <w:proofErr w:type="spellStart"/>
      <w:r>
        <w:t>cyber attacks</w:t>
      </w:r>
      <w:proofErr w:type="spellEnd"/>
      <w:r>
        <w:t>, or failure of third-</w:t>
      </w:r>
      <w:r w:rsidR="00C43889" w:rsidRPr="00C43889">
        <w:t xml:space="preserve"> </w:t>
      </w:r>
      <w:r w:rsidR="00C43889">
        <w:t xml:space="preserve">party services. The cloud-based infrastructure of the platform is multi-regionally redundant and reduces the number of single points of failure to the minimum </w:t>
      </w:r>
      <w:r w:rsidR="00C43889" w:rsidRPr="00831BA4">
        <w:rPr>
          <w:lang w:val="en-IN"/>
        </w:rPr>
        <w:t>(EU, 2022)</w:t>
      </w:r>
      <w:r w:rsidR="00C43889" w:rsidRPr="00831BA4">
        <w:t>.</w:t>
      </w:r>
    </w:p>
    <w:p w:rsidR="00C43889" w:rsidRDefault="00C43889" w:rsidP="00794A75">
      <w:pPr>
        <w:jc w:val="both"/>
      </w:pPr>
    </w:p>
    <w:p w:rsidR="00794A75" w:rsidRDefault="00794A75" w:rsidP="00794A75">
      <w:pPr>
        <w:jc w:val="both"/>
        <w:rPr>
          <w:b/>
          <w:bCs/>
          <w:lang w:val="en-IN"/>
        </w:rPr>
      </w:pPr>
    </w:p>
    <w:p w:rsidR="00C43889" w:rsidRPr="005D6BF3" w:rsidRDefault="00C43889" w:rsidP="00794A75">
      <w:pPr>
        <w:jc w:val="both"/>
        <w:rPr>
          <w:b/>
          <w:bCs/>
          <w:lang w:val="en-IN"/>
        </w:rPr>
      </w:pPr>
      <w:r w:rsidRPr="005D6BF3">
        <w:rPr>
          <w:b/>
          <w:bCs/>
          <w:lang w:val="en-IN"/>
        </w:rPr>
        <w:t>Table 8.2: Incident Response Framework</w:t>
      </w:r>
    </w:p>
    <w:tbl>
      <w:tblPr>
        <w:tblStyle w:val="TableGrid"/>
        <w:tblW w:w="0" w:type="auto"/>
        <w:tblLook w:val="04A0" w:firstRow="1" w:lastRow="0" w:firstColumn="1" w:lastColumn="0" w:noHBand="0" w:noVBand="1"/>
      </w:tblPr>
      <w:tblGrid>
        <w:gridCol w:w="4508"/>
        <w:gridCol w:w="4508"/>
      </w:tblGrid>
      <w:tr w:rsidR="00C43889" w:rsidTr="00464AF0">
        <w:tc>
          <w:tcPr>
            <w:tcW w:w="4508" w:type="dxa"/>
            <w:vAlign w:val="center"/>
          </w:tcPr>
          <w:p w:rsidR="00C43889" w:rsidRPr="005D6BF3" w:rsidRDefault="00C43889" w:rsidP="00794A75">
            <w:pPr>
              <w:jc w:val="both"/>
              <w:rPr>
                <w:b/>
                <w:bCs/>
                <w:lang w:val="en-IN"/>
              </w:rPr>
            </w:pPr>
            <w:r w:rsidRPr="005D6BF3">
              <w:rPr>
                <w:b/>
                <w:bCs/>
                <w:lang w:val="en-IN"/>
              </w:rPr>
              <w:t>Phase</w:t>
            </w:r>
          </w:p>
        </w:tc>
        <w:tc>
          <w:tcPr>
            <w:tcW w:w="4508" w:type="dxa"/>
            <w:vAlign w:val="center"/>
          </w:tcPr>
          <w:p w:rsidR="00C43889" w:rsidRPr="005D6BF3" w:rsidRDefault="00C43889" w:rsidP="00794A75">
            <w:pPr>
              <w:jc w:val="both"/>
              <w:rPr>
                <w:b/>
                <w:bCs/>
                <w:lang w:val="en-IN"/>
              </w:rPr>
            </w:pPr>
            <w:r w:rsidRPr="005D6BF3">
              <w:rPr>
                <w:b/>
                <w:bCs/>
                <w:lang w:val="en-IN"/>
              </w:rPr>
              <w:t>Description</w:t>
            </w:r>
          </w:p>
        </w:tc>
      </w:tr>
      <w:tr w:rsidR="00C43889" w:rsidTr="00464AF0">
        <w:tc>
          <w:tcPr>
            <w:tcW w:w="4508" w:type="dxa"/>
            <w:vAlign w:val="center"/>
          </w:tcPr>
          <w:p w:rsidR="00C43889" w:rsidRPr="005D6BF3" w:rsidRDefault="00C43889" w:rsidP="00794A75">
            <w:pPr>
              <w:jc w:val="both"/>
              <w:rPr>
                <w:lang w:val="en-IN"/>
              </w:rPr>
            </w:pPr>
            <w:r w:rsidRPr="005D6BF3">
              <w:rPr>
                <w:lang w:val="en-IN"/>
              </w:rPr>
              <w:t>Detection</w:t>
            </w:r>
          </w:p>
        </w:tc>
        <w:tc>
          <w:tcPr>
            <w:tcW w:w="4508" w:type="dxa"/>
            <w:vAlign w:val="center"/>
          </w:tcPr>
          <w:p w:rsidR="00C43889" w:rsidRPr="005D6BF3" w:rsidRDefault="00C43889" w:rsidP="00794A75">
            <w:pPr>
              <w:jc w:val="both"/>
              <w:rPr>
                <w:lang w:val="en-IN"/>
              </w:rPr>
            </w:pPr>
            <w:r w:rsidRPr="005D6BF3">
              <w:rPr>
                <w:lang w:val="en-IN"/>
              </w:rPr>
              <w:t>Automated monitoring identifies anomalies</w:t>
            </w:r>
          </w:p>
        </w:tc>
      </w:tr>
      <w:tr w:rsidR="00C43889" w:rsidTr="00464AF0">
        <w:tc>
          <w:tcPr>
            <w:tcW w:w="4508" w:type="dxa"/>
            <w:vAlign w:val="center"/>
          </w:tcPr>
          <w:p w:rsidR="00C43889" w:rsidRPr="005D6BF3" w:rsidRDefault="00C43889" w:rsidP="00794A75">
            <w:pPr>
              <w:jc w:val="both"/>
              <w:rPr>
                <w:lang w:val="en-IN"/>
              </w:rPr>
            </w:pPr>
            <w:r w:rsidRPr="005D6BF3">
              <w:rPr>
                <w:lang w:val="en-IN"/>
              </w:rPr>
              <w:t>Response</w:t>
            </w:r>
          </w:p>
        </w:tc>
        <w:tc>
          <w:tcPr>
            <w:tcW w:w="4508" w:type="dxa"/>
            <w:vAlign w:val="center"/>
          </w:tcPr>
          <w:p w:rsidR="00C43889" w:rsidRPr="005D6BF3" w:rsidRDefault="00C43889" w:rsidP="00794A75">
            <w:pPr>
              <w:jc w:val="both"/>
              <w:rPr>
                <w:lang w:val="en-IN"/>
              </w:rPr>
            </w:pPr>
            <w:r w:rsidRPr="005D6BF3">
              <w:rPr>
                <w:lang w:val="en-IN"/>
              </w:rPr>
              <w:t>Incident response team activated</w:t>
            </w:r>
          </w:p>
        </w:tc>
      </w:tr>
      <w:tr w:rsidR="00C43889" w:rsidTr="00464AF0">
        <w:tc>
          <w:tcPr>
            <w:tcW w:w="4508" w:type="dxa"/>
            <w:vAlign w:val="center"/>
          </w:tcPr>
          <w:p w:rsidR="00C43889" w:rsidRPr="005D6BF3" w:rsidRDefault="00C43889" w:rsidP="00794A75">
            <w:pPr>
              <w:jc w:val="both"/>
              <w:rPr>
                <w:lang w:val="en-IN"/>
              </w:rPr>
            </w:pPr>
            <w:r w:rsidRPr="005D6BF3">
              <w:rPr>
                <w:lang w:val="en-IN"/>
              </w:rPr>
              <w:t>Containment</w:t>
            </w:r>
          </w:p>
        </w:tc>
        <w:tc>
          <w:tcPr>
            <w:tcW w:w="4508" w:type="dxa"/>
            <w:vAlign w:val="center"/>
          </w:tcPr>
          <w:p w:rsidR="00C43889" w:rsidRPr="005D6BF3" w:rsidRDefault="00C43889" w:rsidP="00794A75">
            <w:pPr>
              <w:jc w:val="both"/>
              <w:rPr>
                <w:lang w:val="en-IN"/>
              </w:rPr>
            </w:pPr>
            <w:r w:rsidRPr="005D6BF3">
              <w:rPr>
                <w:lang w:val="en-IN"/>
              </w:rPr>
              <w:t>Systems isolated and secured</w:t>
            </w:r>
          </w:p>
        </w:tc>
      </w:tr>
      <w:tr w:rsidR="00C43889" w:rsidTr="00464AF0">
        <w:tc>
          <w:tcPr>
            <w:tcW w:w="4508" w:type="dxa"/>
            <w:vAlign w:val="center"/>
          </w:tcPr>
          <w:p w:rsidR="00C43889" w:rsidRPr="005D6BF3" w:rsidRDefault="00C43889" w:rsidP="00794A75">
            <w:pPr>
              <w:jc w:val="both"/>
              <w:rPr>
                <w:lang w:val="en-IN"/>
              </w:rPr>
            </w:pPr>
            <w:r w:rsidRPr="005D6BF3">
              <w:rPr>
                <w:lang w:val="en-IN"/>
              </w:rPr>
              <w:t>Recovery</w:t>
            </w:r>
          </w:p>
        </w:tc>
        <w:tc>
          <w:tcPr>
            <w:tcW w:w="4508" w:type="dxa"/>
            <w:vAlign w:val="center"/>
          </w:tcPr>
          <w:p w:rsidR="00C43889" w:rsidRPr="005D6BF3" w:rsidRDefault="00C43889" w:rsidP="00794A75">
            <w:pPr>
              <w:jc w:val="both"/>
              <w:rPr>
                <w:lang w:val="en-IN"/>
              </w:rPr>
            </w:pPr>
            <w:r w:rsidRPr="005D6BF3">
              <w:rPr>
                <w:lang w:val="en-IN"/>
              </w:rPr>
              <w:t>Services restored and tested</w:t>
            </w:r>
          </w:p>
        </w:tc>
      </w:tr>
      <w:tr w:rsidR="00C43889" w:rsidTr="00464AF0">
        <w:tc>
          <w:tcPr>
            <w:tcW w:w="4508" w:type="dxa"/>
            <w:vAlign w:val="center"/>
          </w:tcPr>
          <w:p w:rsidR="00C43889" w:rsidRPr="005D6BF3" w:rsidRDefault="00C43889" w:rsidP="00794A75">
            <w:pPr>
              <w:jc w:val="both"/>
              <w:rPr>
                <w:lang w:val="en-IN"/>
              </w:rPr>
            </w:pPr>
            <w:r w:rsidRPr="005D6BF3">
              <w:rPr>
                <w:lang w:val="en-IN"/>
              </w:rPr>
              <w:t>Review</w:t>
            </w:r>
          </w:p>
        </w:tc>
        <w:tc>
          <w:tcPr>
            <w:tcW w:w="4508" w:type="dxa"/>
            <w:vAlign w:val="center"/>
          </w:tcPr>
          <w:p w:rsidR="00C43889" w:rsidRPr="005D6BF3" w:rsidRDefault="00C43889" w:rsidP="00794A75">
            <w:pPr>
              <w:jc w:val="both"/>
              <w:rPr>
                <w:lang w:val="en-IN"/>
              </w:rPr>
            </w:pPr>
            <w:r w:rsidRPr="005D6BF3">
              <w:rPr>
                <w:lang w:val="en-IN"/>
              </w:rPr>
              <w:t>Lessons learned documented</w:t>
            </w:r>
          </w:p>
        </w:tc>
      </w:tr>
    </w:tbl>
    <w:p w:rsidR="00C43889" w:rsidRDefault="00C43889" w:rsidP="00794A75">
      <w:pPr>
        <w:jc w:val="both"/>
      </w:pPr>
    </w:p>
    <w:p w:rsidR="00C43889" w:rsidRDefault="00C43889" w:rsidP="00794A75">
      <w:pPr>
        <w:jc w:val="both"/>
      </w:pPr>
      <w:r w:rsidRPr="00D74D29">
        <w:t xml:space="preserve">Frequent testing and training of staff makes preparedness build up and recovery time lessens. </w:t>
      </w:r>
    </w:p>
    <w:p w:rsidR="00C43889" w:rsidRPr="00257F65" w:rsidRDefault="00C43889" w:rsidP="00794A75">
      <w:pPr>
        <w:pStyle w:val="Heading1"/>
      </w:pPr>
      <w:bookmarkStart w:id="79" w:name="_Toc220991376"/>
      <w:r w:rsidRPr="00257F65">
        <w:t>8.6 Compliance Monitoring</w:t>
      </w:r>
      <w:bookmarkEnd w:id="79"/>
      <w:r w:rsidRPr="00257F65">
        <w:t xml:space="preserve"> </w:t>
      </w:r>
    </w:p>
    <w:p w:rsidR="00C43889" w:rsidRPr="00831BA4" w:rsidRDefault="00C43889" w:rsidP="00794A75">
      <w:pPr>
        <w:jc w:val="both"/>
        <w:rPr>
          <w:highlight w:val="yellow"/>
          <w:lang w:val="en-IN"/>
        </w:rPr>
      </w:pPr>
      <w:r w:rsidRPr="00D74D29">
        <w:t xml:space="preserve">Monitoring the compliance is critical in maintaining the legitimacy and trust in the highly regulated digital environment. The UK GDPR, the Online Safety Act, advertising standards, and the intellectual property law are the schemes according to which Discsoul is functioning </w:t>
      </w:r>
      <w:r w:rsidRPr="00831BA4">
        <w:rPr>
          <w:lang w:val="en-IN"/>
        </w:rPr>
        <w:t>(GOV.UK, 2025).</w:t>
      </w:r>
    </w:p>
    <w:p w:rsidR="00C43889" w:rsidRDefault="00C43889" w:rsidP="00794A75">
      <w:pPr>
        <w:jc w:val="both"/>
      </w:pPr>
      <w:r w:rsidRPr="00D74D29">
        <w:t xml:space="preserve">Areas of compliance activities involve regular audits, employee training, open consent processes, and legal review of both content and advertising contracts. The senior management reviews the performance indicators quarterly and ensures accountability and continuous improvement. </w:t>
      </w:r>
    </w:p>
    <w:p w:rsidR="00C43889" w:rsidRPr="00257F65" w:rsidRDefault="00C43889" w:rsidP="00794A75">
      <w:pPr>
        <w:pStyle w:val="Heading1"/>
      </w:pPr>
      <w:bookmarkStart w:id="80" w:name="_Toc220991377"/>
      <w:r w:rsidRPr="00257F65">
        <w:t>8.7 Summary</w:t>
      </w:r>
      <w:bookmarkEnd w:id="80"/>
      <w:r w:rsidRPr="00257F65">
        <w:t xml:space="preserve"> </w:t>
      </w:r>
    </w:p>
    <w:p w:rsidR="00C43889" w:rsidRDefault="00C43889" w:rsidP="00794A75">
      <w:pPr>
        <w:jc w:val="both"/>
      </w:pPr>
      <w:r w:rsidRPr="00D74D29">
        <w:t>As evidenced in this chapter, Discsoul will pursue a holistic and combined risk analysis and management strategy. The implementation of governance systems, analytical tools, scenario planning, and compliance surveillance into its operations puts the company in a good position to handle uncertainty as it aims at being an innovator. Proper management of risks boosts resiliency, safeguards stakeholder interests, and promotes sustainable growth in an unstable digital entertainment market environment that is global.</w:t>
      </w:r>
    </w:p>
    <w:p w:rsidR="004E4A31" w:rsidRDefault="004E4A31" w:rsidP="00BB1284">
      <w:pPr>
        <w:pStyle w:val="Title"/>
        <w:jc w:val="both"/>
      </w:pPr>
      <w:bookmarkStart w:id="81" w:name="_Toc220991378"/>
      <w:r w:rsidRPr="00EF1EED">
        <w:t>Chapter</w:t>
      </w:r>
      <w:r>
        <w:t xml:space="preserve"> 09</w:t>
      </w:r>
      <w:r w:rsidR="00A47379">
        <w:t>: Implementation Plan</w:t>
      </w:r>
      <w:bookmarkEnd w:id="81"/>
    </w:p>
    <w:p w:rsidR="004E4A31" w:rsidRDefault="004E4A31" w:rsidP="00BB1284">
      <w:pPr>
        <w:pStyle w:val="Heading1"/>
        <w:jc w:val="both"/>
      </w:pPr>
      <w:bookmarkStart w:id="82" w:name="_Toc220991379"/>
      <w:r w:rsidRPr="00716479">
        <w:t>9.1 24-Month Roadmap (Phased Implementation)</w:t>
      </w:r>
      <w:bookmarkEnd w:id="82"/>
    </w:p>
    <w:p w:rsidR="004E4A31" w:rsidRPr="00A20FA3" w:rsidRDefault="004E4A31" w:rsidP="00BB1284">
      <w:pPr>
        <w:jc w:val="both"/>
        <w:rPr>
          <w:highlight w:val="yellow"/>
          <w:lang w:val="en-IN"/>
        </w:rPr>
      </w:pPr>
      <w:r w:rsidRPr="00716479">
        <w:t xml:space="preserve">The Discsoul implementation is scheduled into a 24-month progressive roadmap that allows the maximum minimisation of the operational risk and allows the operational growth to be scaled. Digital platform ventures should be pursued in a staged manner because of the high capital intensity, uncertainty about technology and regulatory complexity </w:t>
      </w:r>
      <w:r w:rsidRPr="00A20FA3">
        <w:rPr>
          <w:lang w:val="en-IN"/>
        </w:rPr>
        <w:t>(PWC, 202</w:t>
      </w:r>
      <w:r>
        <w:rPr>
          <w:lang w:val="en-IN"/>
        </w:rPr>
        <w:t>6</w:t>
      </w:r>
      <w:r w:rsidRPr="00A20FA3">
        <w:rPr>
          <w:lang w:val="en-IN"/>
        </w:rPr>
        <w:t>).</w:t>
      </w:r>
    </w:p>
    <w:p w:rsidR="004E4A31" w:rsidRDefault="004E4A31" w:rsidP="00BB1284">
      <w:pPr>
        <w:jc w:val="both"/>
        <w:rPr>
          <w:b/>
          <w:bCs/>
        </w:rPr>
      </w:pPr>
      <w:r w:rsidRPr="00716479">
        <w:rPr>
          <w:b/>
          <w:bCs/>
        </w:rPr>
        <w:lastRenderedPageBreak/>
        <w:t>Table 9.1: 24-Month Roadmap</w:t>
      </w:r>
    </w:p>
    <w:tbl>
      <w:tblPr>
        <w:tblStyle w:val="TableGrid"/>
        <w:tblW w:w="0" w:type="auto"/>
        <w:tblLook w:val="04A0" w:firstRow="1" w:lastRow="0" w:firstColumn="1" w:lastColumn="0" w:noHBand="0" w:noVBand="1"/>
      </w:tblPr>
      <w:tblGrid>
        <w:gridCol w:w="3005"/>
        <w:gridCol w:w="3005"/>
        <w:gridCol w:w="3006"/>
      </w:tblGrid>
      <w:tr w:rsidR="004E4A31" w:rsidTr="00464AF0">
        <w:tc>
          <w:tcPr>
            <w:tcW w:w="3005" w:type="dxa"/>
            <w:vAlign w:val="center"/>
          </w:tcPr>
          <w:p w:rsidR="004E4A31" w:rsidRDefault="004E4A31" w:rsidP="00BB1284">
            <w:pPr>
              <w:jc w:val="both"/>
              <w:rPr>
                <w:b/>
                <w:bCs/>
                <w:lang w:val="en-IN"/>
              </w:rPr>
            </w:pPr>
            <w:r>
              <w:rPr>
                <w:b/>
                <w:bCs/>
              </w:rPr>
              <w:t>Phase</w:t>
            </w:r>
          </w:p>
        </w:tc>
        <w:tc>
          <w:tcPr>
            <w:tcW w:w="3005" w:type="dxa"/>
            <w:vAlign w:val="center"/>
          </w:tcPr>
          <w:p w:rsidR="004E4A31" w:rsidRDefault="004E4A31" w:rsidP="00BB1284">
            <w:pPr>
              <w:jc w:val="both"/>
              <w:rPr>
                <w:b/>
                <w:bCs/>
              </w:rPr>
            </w:pPr>
            <w:r>
              <w:rPr>
                <w:b/>
                <w:bCs/>
              </w:rPr>
              <w:t>Timeline</w:t>
            </w:r>
          </w:p>
        </w:tc>
        <w:tc>
          <w:tcPr>
            <w:tcW w:w="3006" w:type="dxa"/>
            <w:vAlign w:val="center"/>
          </w:tcPr>
          <w:p w:rsidR="004E4A31" w:rsidRDefault="004E4A31" w:rsidP="00BB1284">
            <w:pPr>
              <w:jc w:val="both"/>
              <w:rPr>
                <w:b/>
                <w:bCs/>
              </w:rPr>
            </w:pPr>
            <w:r>
              <w:rPr>
                <w:b/>
                <w:bCs/>
              </w:rPr>
              <w:t>Key Objectives</w:t>
            </w:r>
          </w:p>
        </w:tc>
      </w:tr>
      <w:tr w:rsidR="004E4A31" w:rsidTr="00464AF0">
        <w:tc>
          <w:tcPr>
            <w:tcW w:w="3005" w:type="dxa"/>
            <w:vAlign w:val="center"/>
          </w:tcPr>
          <w:p w:rsidR="004E4A31" w:rsidRDefault="004E4A31" w:rsidP="00BB1284">
            <w:pPr>
              <w:jc w:val="both"/>
            </w:pPr>
            <w:r>
              <w:t>Phase 1: Build</w:t>
            </w:r>
          </w:p>
        </w:tc>
        <w:tc>
          <w:tcPr>
            <w:tcW w:w="3005" w:type="dxa"/>
            <w:vAlign w:val="center"/>
          </w:tcPr>
          <w:p w:rsidR="004E4A31" w:rsidRDefault="004E4A31" w:rsidP="00BB1284">
            <w:pPr>
              <w:jc w:val="both"/>
            </w:pPr>
            <w:r>
              <w:t>Months 1–6</w:t>
            </w:r>
          </w:p>
        </w:tc>
        <w:tc>
          <w:tcPr>
            <w:tcW w:w="3006" w:type="dxa"/>
            <w:vAlign w:val="center"/>
          </w:tcPr>
          <w:p w:rsidR="004E4A31" w:rsidRDefault="004E4A31" w:rsidP="00BB1284">
            <w:pPr>
              <w:jc w:val="both"/>
            </w:pPr>
            <w:r>
              <w:t>Platform development, licensing, beta testing</w:t>
            </w:r>
          </w:p>
        </w:tc>
      </w:tr>
      <w:tr w:rsidR="004E4A31" w:rsidTr="00464AF0">
        <w:tc>
          <w:tcPr>
            <w:tcW w:w="3005" w:type="dxa"/>
            <w:vAlign w:val="center"/>
          </w:tcPr>
          <w:p w:rsidR="004E4A31" w:rsidRDefault="004E4A31" w:rsidP="00BB1284">
            <w:pPr>
              <w:jc w:val="both"/>
            </w:pPr>
            <w:r>
              <w:t>Phase 2: Launch</w:t>
            </w:r>
          </w:p>
        </w:tc>
        <w:tc>
          <w:tcPr>
            <w:tcW w:w="3005" w:type="dxa"/>
            <w:vAlign w:val="center"/>
          </w:tcPr>
          <w:p w:rsidR="004E4A31" w:rsidRDefault="004E4A31" w:rsidP="00BB1284">
            <w:pPr>
              <w:jc w:val="both"/>
            </w:pPr>
            <w:r>
              <w:t>Months 7–12</w:t>
            </w:r>
          </w:p>
        </w:tc>
        <w:tc>
          <w:tcPr>
            <w:tcW w:w="3006" w:type="dxa"/>
            <w:vAlign w:val="center"/>
          </w:tcPr>
          <w:p w:rsidR="004E4A31" w:rsidRDefault="004E4A31" w:rsidP="00BB1284">
            <w:pPr>
              <w:jc w:val="both"/>
            </w:pPr>
            <w:r>
              <w:t>UK launch, artist onboarding, paid marketing</w:t>
            </w:r>
          </w:p>
        </w:tc>
      </w:tr>
      <w:tr w:rsidR="004E4A31" w:rsidTr="00464AF0">
        <w:tc>
          <w:tcPr>
            <w:tcW w:w="3005" w:type="dxa"/>
            <w:vAlign w:val="center"/>
          </w:tcPr>
          <w:p w:rsidR="004E4A31" w:rsidRDefault="004E4A31" w:rsidP="00BB1284">
            <w:pPr>
              <w:jc w:val="both"/>
            </w:pPr>
            <w:r>
              <w:t>Phase 3: Scale</w:t>
            </w:r>
          </w:p>
        </w:tc>
        <w:tc>
          <w:tcPr>
            <w:tcW w:w="3005" w:type="dxa"/>
            <w:vAlign w:val="center"/>
          </w:tcPr>
          <w:p w:rsidR="004E4A31" w:rsidRDefault="004E4A31" w:rsidP="00BB1284">
            <w:pPr>
              <w:jc w:val="both"/>
            </w:pPr>
            <w:r>
              <w:t>Months 13–18</w:t>
            </w:r>
          </w:p>
        </w:tc>
        <w:tc>
          <w:tcPr>
            <w:tcW w:w="3006" w:type="dxa"/>
            <w:vAlign w:val="center"/>
          </w:tcPr>
          <w:p w:rsidR="004E4A31" w:rsidRDefault="004E4A31" w:rsidP="00BB1284">
            <w:pPr>
              <w:jc w:val="both"/>
            </w:pPr>
            <w:r>
              <w:t>Global expansion, AI optimisation, ads rollout</w:t>
            </w:r>
          </w:p>
        </w:tc>
      </w:tr>
      <w:tr w:rsidR="004E4A31" w:rsidTr="00464AF0">
        <w:tc>
          <w:tcPr>
            <w:tcW w:w="3005" w:type="dxa"/>
            <w:vAlign w:val="center"/>
          </w:tcPr>
          <w:p w:rsidR="004E4A31" w:rsidRDefault="004E4A31" w:rsidP="00BB1284">
            <w:pPr>
              <w:jc w:val="both"/>
            </w:pPr>
            <w:r>
              <w:t>Phase 4: Optimise</w:t>
            </w:r>
          </w:p>
        </w:tc>
        <w:tc>
          <w:tcPr>
            <w:tcW w:w="3005" w:type="dxa"/>
            <w:vAlign w:val="center"/>
          </w:tcPr>
          <w:p w:rsidR="004E4A31" w:rsidRDefault="004E4A31" w:rsidP="00BB1284">
            <w:pPr>
              <w:jc w:val="both"/>
            </w:pPr>
            <w:r>
              <w:t>Months 19–24</w:t>
            </w:r>
          </w:p>
        </w:tc>
        <w:tc>
          <w:tcPr>
            <w:tcW w:w="3006" w:type="dxa"/>
            <w:vAlign w:val="center"/>
          </w:tcPr>
          <w:p w:rsidR="004E4A31" w:rsidRDefault="004E4A31" w:rsidP="00BB1284">
            <w:pPr>
              <w:jc w:val="both"/>
            </w:pPr>
            <w:r>
              <w:t>Cost efficiency, profitability focus, partnerships</w:t>
            </w:r>
          </w:p>
        </w:tc>
      </w:tr>
    </w:tbl>
    <w:p w:rsidR="004E4A31" w:rsidRPr="00716479" w:rsidRDefault="004E4A31" w:rsidP="00BB1284">
      <w:pPr>
        <w:jc w:val="both"/>
        <w:rPr>
          <w:b/>
          <w:bCs/>
        </w:rPr>
      </w:pPr>
    </w:p>
    <w:p w:rsidR="004E4A31" w:rsidRPr="00716479" w:rsidRDefault="004E4A31" w:rsidP="00BB1284">
      <w:pPr>
        <w:jc w:val="both"/>
      </w:pPr>
      <w:r w:rsidRPr="00716479">
        <w:t>Phase 1 focuses on basic infrastructures and cloud implementation, and minimum viable product (MVP).</w:t>
      </w:r>
    </w:p>
    <w:p w:rsidR="004E4A31" w:rsidRPr="00716479" w:rsidRDefault="004E4A31" w:rsidP="00BB1284">
      <w:pPr>
        <w:jc w:val="both"/>
      </w:pPr>
      <w:r w:rsidRPr="00716479">
        <w:t>Phase 2 ushers a commercialisation process in the UK market through subscription and advertising pilot.</w:t>
      </w:r>
    </w:p>
    <w:p w:rsidR="004E4A31" w:rsidRPr="00716479" w:rsidRDefault="004E4A31" w:rsidP="00BB1284">
      <w:pPr>
        <w:jc w:val="both"/>
      </w:pPr>
      <w:r w:rsidRPr="00716479">
        <w:t>Phase 3 allows to go global through scalable cloud architecture.</w:t>
      </w:r>
    </w:p>
    <w:p w:rsidR="004E4A31" w:rsidRPr="00716479" w:rsidRDefault="004E4A31" w:rsidP="00BB1284">
      <w:pPr>
        <w:jc w:val="both"/>
      </w:pPr>
      <w:r w:rsidRPr="00716479">
        <w:t>Phase 4 is concentrating on operational excellence, margin optimization and strategic alliances.</w:t>
      </w:r>
    </w:p>
    <w:p w:rsidR="004E4A31" w:rsidRDefault="004E4A31" w:rsidP="00BB1284">
      <w:pPr>
        <w:jc w:val="both"/>
      </w:pPr>
      <w:r w:rsidRPr="00716479">
        <w:t>A Gantt chart of the overlaps of phases, where the development will be peak in years 1-6, marketing 7-12 and optimisation 19-24.</w:t>
      </w:r>
    </w:p>
    <w:p w:rsidR="004E4A31" w:rsidRPr="00716479" w:rsidRDefault="004E4A31" w:rsidP="00BB1284">
      <w:pPr>
        <w:pStyle w:val="Heading1"/>
      </w:pPr>
      <w:bookmarkStart w:id="83" w:name="_Toc220991380"/>
      <w:r w:rsidRPr="00716479">
        <w:t>9.2 Workstreams and Milestones</w:t>
      </w:r>
      <w:bookmarkEnd w:id="83"/>
    </w:p>
    <w:p w:rsidR="004E4A31" w:rsidRDefault="004E4A31" w:rsidP="00BB1284">
      <w:pPr>
        <w:jc w:val="both"/>
      </w:pPr>
      <w:r w:rsidRPr="00716479">
        <w:t xml:space="preserve">The implementation of </w:t>
      </w:r>
      <w:proofErr w:type="spellStart"/>
      <w:r w:rsidRPr="00716479">
        <w:t>discoul</w:t>
      </w:r>
      <w:proofErr w:type="spellEnd"/>
      <w:r w:rsidRPr="00716479">
        <w:t xml:space="preserve"> is done in 6 parallel work streams in correspondence with strategic priorities.</w:t>
      </w:r>
    </w:p>
    <w:p w:rsidR="004E4A31" w:rsidRPr="00ED44B7" w:rsidRDefault="004E4A31" w:rsidP="00BB1284">
      <w:pPr>
        <w:jc w:val="both"/>
        <w:rPr>
          <w:b/>
          <w:bCs/>
        </w:rPr>
      </w:pPr>
      <w:r w:rsidRPr="00ED44B7">
        <w:rPr>
          <w:b/>
          <w:bCs/>
        </w:rPr>
        <w:t>Table 9.2: Workstreams and Milestones</w:t>
      </w:r>
    </w:p>
    <w:tbl>
      <w:tblPr>
        <w:tblStyle w:val="TableGrid"/>
        <w:tblW w:w="0" w:type="auto"/>
        <w:tblLook w:val="04A0" w:firstRow="1" w:lastRow="0" w:firstColumn="1" w:lastColumn="0" w:noHBand="0" w:noVBand="1"/>
      </w:tblPr>
      <w:tblGrid>
        <w:gridCol w:w="3005"/>
        <w:gridCol w:w="3005"/>
        <w:gridCol w:w="3006"/>
      </w:tblGrid>
      <w:tr w:rsidR="004E4A31" w:rsidTr="00464AF0">
        <w:tc>
          <w:tcPr>
            <w:tcW w:w="3005" w:type="dxa"/>
            <w:vAlign w:val="center"/>
          </w:tcPr>
          <w:p w:rsidR="004E4A31" w:rsidRDefault="004E4A31" w:rsidP="00BB1284">
            <w:pPr>
              <w:jc w:val="both"/>
              <w:rPr>
                <w:b/>
                <w:bCs/>
                <w:lang w:val="en-IN"/>
              </w:rPr>
            </w:pPr>
            <w:r>
              <w:rPr>
                <w:b/>
                <w:bCs/>
              </w:rPr>
              <w:t>Workstream</w:t>
            </w:r>
          </w:p>
        </w:tc>
        <w:tc>
          <w:tcPr>
            <w:tcW w:w="3005" w:type="dxa"/>
            <w:vAlign w:val="center"/>
          </w:tcPr>
          <w:p w:rsidR="004E4A31" w:rsidRDefault="004E4A31" w:rsidP="00BB1284">
            <w:pPr>
              <w:jc w:val="both"/>
              <w:rPr>
                <w:b/>
                <w:bCs/>
              </w:rPr>
            </w:pPr>
            <w:r>
              <w:rPr>
                <w:b/>
                <w:bCs/>
              </w:rPr>
              <w:t>Milestone</w:t>
            </w:r>
          </w:p>
        </w:tc>
        <w:tc>
          <w:tcPr>
            <w:tcW w:w="3006" w:type="dxa"/>
            <w:vAlign w:val="center"/>
          </w:tcPr>
          <w:p w:rsidR="004E4A31" w:rsidRDefault="004E4A31" w:rsidP="00BB1284">
            <w:pPr>
              <w:jc w:val="both"/>
              <w:rPr>
                <w:b/>
                <w:bCs/>
              </w:rPr>
            </w:pPr>
            <w:r>
              <w:rPr>
                <w:b/>
                <w:bCs/>
              </w:rPr>
              <w:t>Completion</w:t>
            </w:r>
          </w:p>
        </w:tc>
      </w:tr>
      <w:tr w:rsidR="004E4A31" w:rsidTr="00464AF0">
        <w:tc>
          <w:tcPr>
            <w:tcW w:w="3005" w:type="dxa"/>
            <w:vAlign w:val="center"/>
          </w:tcPr>
          <w:p w:rsidR="004E4A31" w:rsidRDefault="004E4A31" w:rsidP="00BB1284">
            <w:pPr>
              <w:jc w:val="both"/>
            </w:pPr>
            <w:r>
              <w:t>Technology</w:t>
            </w:r>
          </w:p>
        </w:tc>
        <w:tc>
          <w:tcPr>
            <w:tcW w:w="3005" w:type="dxa"/>
            <w:vAlign w:val="center"/>
          </w:tcPr>
          <w:p w:rsidR="004E4A31" w:rsidRDefault="004E4A31" w:rsidP="00BB1284">
            <w:pPr>
              <w:jc w:val="both"/>
            </w:pPr>
            <w:r>
              <w:t>MVP live</w:t>
            </w:r>
          </w:p>
        </w:tc>
        <w:tc>
          <w:tcPr>
            <w:tcW w:w="3006" w:type="dxa"/>
            <w:vAlign w:val="center"/>
          </w:tcPr>
          <w:p w:rsidR="004E4A31" w:rsidRDefault="004E4A31" w:rsidP="00BB1284">
            <w:pPr>
              <w:jc w:val="both"/>
            </w:pPr>
            <w:r>
              <w:t>Month 6</w:t>
            </w:r>
          </w:p>
        </w:tc>
      </w:tr>
      <w:tr w:rsidR="004E4A31" w:rsidTr="00464AF0">
        <w:tc>
          <w:tcPr>
            <w:tcW w:w="3005" w:type="dxa"/>
            <w:vAlign w:val="center"/>
          </w:tcPr>
          <w:p w:rsidR="004E4A31" w:rsidRDefault="004E4A31" w:rsidP="00BB1284">
            <w:pPr>
              <w:jc w:val="both"/>
            </w:pPr>
            <w:r>
              <w:t>Content &amp; Licensing</w:t>
            </w:r>
          </w:p>
        </w:tc>
        <w:tc>
          <w:tcPr>
            <w:tcW w:w="3005" w:type="dxa"/>
            <w:vAlign w:val="center"/>
          </w:tcPr>
          <w:p w:rsidR="004E4A31" w:rsidRDefault="004E4A31" w:rsidP="00BB1284">
            <w:pPr>
              <w:jc w:val="both"/>
            </w:pPr>
            <w:r>
              <w:t>UK catalogue secured</w:t>
            </w:r>
          </w:p>
        </w:tc>
        <w:tc>
          <w:tcPr>
            <w:tcW w:w="3006" w:type="dxa"/>
            <w:vAlign w:val="center"/>
          </w:tcPr>
          <w:p w:rsidR="004E4A31" w:rsidRDefault="004E4A31" w:rsidP="00BB1284">
            <w:pPr>
              <w:jc w:val="both"/>
            </w:pPr>
            <w:r>
              <w:t>Month 7</w:t>
            </w:r>
          </w:p>
        </w:tc>
      </w:tr>
      <w:tr w:rsidR="004E4A31" w:rsidTr="00464AF0">
        <w:tc>
          <w:tcPr>
            <w:tcW w:w="3005" w:type="dxa"/>
            <w:vAlign w:val="center"/>
          </w:tcPr>
          <w:p w:rsidR="004E4A31" w:rsidRDefault="004E4A31" w:rsidP="00BB1284">
            <w:pPr>
              <w:jc w:val="both"/>
            </w:pPr>
            <w:r>
              <w:t>Marketing</w:t>
            </w:r>
          </w:p>
        </w:tc>
        <w:tc>
          <w:tcPr>
            <w:tcW w:w="3005" w:type="dxa"/>
            <w:vAlign w:val="center"/>
          </w:tcPr>
          <w:p w:rsidR="004E4A31" w:rsidRDefault="004E4A31" w:rsidP="00BB1284">
            <w:pPr>
              <w:jc w:val="both"/>
            </w:pPr>
            <w:r>
              <w:t>50,000 users</w:t>
            </w:r>
          </w:p>
        </w:tc>
        <w:tc>
          <w:tcPr>
            <w:tcW w:w="3006" w:type="dxa"/>
            <w:vAlign w:val="center"/>
          </w:tcPr>
          <w:p w:rsidR="004E4A31" w:rsidRDefault="004E4A31" w:rsidP="00BB1284">
            <w:pPr>
              <w:jc w:val="both"/>
            </w:pPr>
            <w:r>
              <w:t>Month 12</w:t>
            </w:r>
          </w:p>
        </w:tc>
      </w:tr>
      <w:tr w:rsidR="004E4A31" w:rsidTr="00464AF0">
        <w:tc>
          <w:tcPr>
            <w:tcW w:w="3005" w:type="dxa"/>
            <w:vAlign w:val="center"/>
          </w:tcPr>
          <w:p w:rsidR="004E4A31" w:rsidRDefault="004E4A31" w:rsidP="00BB1284">
            <w:pPr>
              <w:jc w:val="both"/>
            </w:pPr>
            <w:r>
              <w:t>Monetisation</w:t>
            </w:r>
          </w:p>
        </w:tc>
        <w:tc>
          <w:tcPr>
            <w:tcW w:w="3005" w:type="dxa"/>
            <w:vAlign w:val="center"/>
          </w:tcPr>
          <w:p w:rsidR="004E4A31" w:rsidRDefault="004E4A31" w:rsidP="00BB1284">
            <w:pPr>
              <w:jc w:val="both"/>
            </w:pPr>
            <w:r>
              <w:t>Ads + live concerts live</w:t>
            </w:r>
          </w:p>
        </w:tc>
        <w:tc>
          <w:tcPr>
            <w:tcW w:w="3006" w:type="dxa"/>
            <w:vAlign w:val="center"/>
          </w:tcPr>
          <w:p w:rsidR="004E4A31" w:rsidRDefault="004E4A31" w:rsidP="00BB1284">
            <w:pPr>
              <w:jc w:val="both"/>
            </w:pPr>
            <w:r>
              <w:t>Month 14</w:t>
            </w:r>
          </w:p>
        </w:tc>
      </w:tr>
      <w:tr w:rsidR="004E4A31" w:rsidTr="00464AF0">
        <w:tc>
          <w:tcPr>
            <w:tcW w:w="3005" w:type="dxa"/>
            <w:vAlign w:val="center"/>
          </w:tcPr>
          <w:p w:rsidR="004E4A31" w:rsidRDefault="004E4A31" w:rsidP="00BB1284">
            <w:pPr>
              <w:jc w:val="both"/>
            </w:pPr>
            <w:r>
              <w:t>Operations</w:t>
            </w:r>
          </w:p>
        </w:tc>
        <w:tc>
          <w:tcPr>
            <w:tcW w:w="3005" w:type="dxa"/>
            <w:vAlign w:val="center"/>
          </w:tcPr>
          <w:p w:rsidR="004E4A31" w:rsidRDefault="004E4A31" w:rsidP="00BB1284">
            <w:pPr>
              <w:jc w:val="both"/>
            </w:pPr>
            <w:r>
              <w:t>ISO data compliance</w:t>
            </w:r>
          </w:p>
        </w:tc>
        <w:tc>
          <w:tcPr>
            <w:tcW w:w="3006" w:type="dxa"/>
            <w:vAlign w:val="center"/>
          </w:tcPr>
          <w:p w:rsidR="004E4A31" w:rsidRDefault="004E4A31" w:rsidP="00BB1284">
            <w:pPr>
              <w:jc w:val="both"/>
            </w:pPr>
            <w:r>
              <w:t>Month 15</w:t>
            </w:r>
          </w:p>
        </w:tc>
      </w:tr>
      <w:tr w:rsidR="004E4A31" w:rsidTr="00464AF0">
        <w:tc>
          <w:tcPr>
            <w:tcW w:w="3005" w:type="dxa"/>
            <w:vAlign w:val="center"/>
          </w:tcPr>
          <w:p w:rsidR="004E4A31" w:rsidRDefault="004E4A31" w:rsidP="00BB1284">
            <w:pPr>
              <w:jc w:val="both"/>
            </w:pPr>
            <w:r>
              <w:t>Partnerships</w:t>
            </w:r>
          </w:p>
        </w:tc>
        <w:tc>
          <w:tcPr>
            <w:tcW w:w="3005" w:type="dxa"/>
            <w:vAlign w:val="center"/>
          </w:tcPr>
          <w:p w:rsidR="004E4A31" w:rsidRDefault="004E4A31" w:rsidP="00BB1284">
            <w:pPr>
              <w:jc w:val="both"/>
            </w:pPr>
            <w:r>
              <w:t>3 label agreements</w:t>
            </w:r>
          </w:p>
        </w:tc>
        <w:tc>
          <w:tcPr>
            <w:tcW w:w="3006" w:type="dxa"/>
            <w:vAlign w:val="center"/>
          </w:tcPr>
          <w:p w:rsidR="004E4A31" w:rsidRDefault="004E4A31" w:rsidP="00BB1284">
            <w:pPr>
              <w:jc w:val="both"/>
            </w:pPr>
            <w:r>
              <w:t>Month 18</w:t>
            </w:r>
          </w:p>
        </w:tc>
      </w:tr>
    </w:tbl>
    <w:p w:rsidR="004E4A31" w:rsidRPr="00716479" w:rsidRDefault="004E4A31" w:rsidP="00BB1284">
      <w:pPr>
        <w:jc w:val="both"/>
      </w:pPr>
    </w:p>
    <w:p w:rsidR="004E4A31" w:rsidRPr="008943D1" w:rsidRDefault="004E4A31" w:rsidP="00BB1284">
      <w:pPr>
        <w:jc w:val="both"/>
        <w:rPr>
          <w:lang w:val="en-IN"/>
        </w:rPr>
      </w:pPr>
      <w:r w:rsidRPr="00716479">
        <w:t xml:space="preserve">This type of structure guarantees the cross-functional accountability as well as progress monitoring of the milestone level </w:t>
      </w:r>
      <w:r w:rsidRPr="008943D1">
        <w:rPr>
          <w:lang w:val="en-IN"/>
        </w:rPr>
        <w:t>(Gartner, 2023)</w:t>
      </w:r>
      <w:r>
        <w:rPr>
          <w:lang w:val="en-IN"/>
        </w:rPr>
        <w:t>.</w:t>
      </w:r>
    </w:p>
    <w:p w:rsidR="00BB1284" w:rsidRDefault="00BB1284" w:rsidP="00BB1284">
      <w:pPr>
        <w:jc w:val="both"/>
        <w:rPr>
          <w:b/>
          <w:bCs/>
        </w:rPr>
      </w:pPr>
    </w:p>
    <w:p w:rsidR="00BB1284" w:rsidRDefault="00BB1284" w:rsidP="00BB1284">
      <w:pPr>
        <w:jc w:val="both"/>
        <w:rPr>
          <w:b/>
          <w:bCs/>
        </w:rPr>
      </w:pPr>
    </w:p>
    <w:p w:rsidR="00BB1284" w:rsidRDefault="00BB1284" w:rsidP="00BB1284">
      <w:pPr>
        <w:jc w:val="both"/>
        <w:rPr>
          <w:b/>
          <w:bCs/>
        </w:rPr>
      </w:pPr>
    </w:p>
    <w:p w:rsidR="004E4A31" w:rsidRPr="00AC5B63" w:rsidRDefault="004E4A31" w:rsidP="00BB1284">
      <w:pPr>
        <w:pStyle w:val="Heading1"/>
      </w:pPr>
      <w:bookmarkStart w:id="84" w:name="_Toc220991381"/>
      <w:r w:rsidRPr="00AC5B63">
        <w:lastRenderedPageBreak/>
        <w:t>Table 9.3: RACI Framework</w:t>
      </w:r>
      <w:bookmarkEnd w:id="84"/>
    </w:p>
    <w:p w:rsidR="004E4A31" w:rsidRDefault="004E4A31" w:rsidP="00BB1284">
      <w:pPr>
        <w:jc w:val="both"/>
      </w:pPr>
      <w:r w:rsidRPr="00716479">
        <w:t>Role ownership minimises the execution risk in startups</w:t>
      </w:r>
      <w:r>
        <w:t>.</w:t>
      </w:r>
    </w:p>
    <w:tbl>
      <w:tblPr>
        <w:tblStyle w:val="TableGrid"/>
        <w:tblW w:w="0" w:type="auto"/>
        <w:tblLook w:val="04A0" w:firstRow="1" w:lastRow="0" w:firstColumn="1" w:lastColumn="0" w:noHBand="0" w:noVBand="1"/>
      </w:tblPr>
      <w:tblGrid>
        <w:gridCol w:w="1803"/>
        <w:gridCol w:w="1803"/>
        <w:gridCol w:w="1803"/>
        <w:gridCol w:w="1803"/>
        <w:gridCol w:w="1804"/>
      </w:tblGrid>
      <w:tr w:rsidR="004E4A31" w:rsidTr="00464AF0">
        <w:tc>
          <w:tcPr>
            <w:tcW w:w="1803" w:type="dxa"/>
            <w:vAlign w:val="center"/>
          </w:tcPr>
          <w:p w:rsidR="004E4A31" w:rsidRDefault="004E4A31" w:rsidP="00BB1284">
            <w:pPr>
              <w:jc w:val="both"/>
              <w:rPr>
                <w:b/>
                <w:bCs/>
                <w:lang w:val="en-IN"/>
              </w:rPr>
            </w:pPr>
            <w:r>
              <w:rPr>
                <w:b/>
                <w:bCs/>
              </w:rPr>
              <w:t>Activity</w:t>
            </w:r>
          </w:p>
        </w:tc>
        <w:tc>
          <w:tcPr>
            <w:tcW w:w="1803" w:type="dxa"/>
            <w:vAlign w:val="center"/>
          </w:tcPr>
          <w:p w:rsidR="004E4A31" w:rsidRDefault="004E4A31" w:rsidP="00BB1284">
            <w:pPr>
              <w:jc w:val="both"/>
              <w:rPr>
                <w:b/>
                <w:bCs/>
              </w:rPr>
            </w:pPr>
            <w:r>
              <w:rPr>
                <w:b/>
                <w:bCs/>
              </w:rPr>
              <w:t>CEO</w:t>
            </w:r>
          </w:p>
        </w:tc>
        <w:tc>
          <w:tcPr>
            <w:tcW w:w="1803" w:type="dxa"/>
            <w:vAlign w:val="center"/>
          </w:tcPr>
          <w:p w:rsidR="004E4A31" w:rsidRDefault="004E4A31" w:rsidP="00BB1284">
            <w:pPr>
              <w:jc w:val="both"/>
              <w:rPr>
                <w:b/>
                <w:bCs/>
              </w:rPr>
            </w:pPr>
            <w:r>
              <w:rPr>
                <w:b/>
                <w:bCs/>
              </w:rPr>
              <w:t>CTO</w:t>
            </w:r>
          </w:p>
        </w:tc>
        <w:tc>
          <w:tcPr>
            <w:tcW w:w="1803" w:type="dxa"/>
            <w:vAlign w:val="center"/>
          </w:tcPr>
          <w:p w:rsidR="004E4A31" w:rsidRDefault="004E4A31" w:rsidP="00BB1284">
            <w:pPr>
              <w:jc w:val="both"/>
              <w:rPr>
                <w:b/>
                <w:bCs/>
              </w:rPr>
            </w:pPr>
            <w:r>
              <w:rPr>
                <w:b/>
                <w:bCs/>
              </w:rPr>
              <w:t>Marketing Lead</w:t>
            </w:r>
          </w:p>
        </w:tc>
        <w:tc>
          <w:tcPr>
            <w:tcW w:w="1804" w:type="dxa"/>
            <w:vAlign w:val="center"/>
          </w:tcPr>
          <w:p w:rsidR="004E4A31" w:rsidRDefault="004E4A31" w:rsidP="00BB1284">
            <w:pPr>
              <w:jc w:val="both"/>
              <w:rPr>
                <w:b/>
                <w:bCs/>
              </w:rPr>
            </w:pPr>
            <w:r>
              <w:rPr>
                <w:b/>
                <w:bCs/>
              </w:rPr>
              <w:t>Finance Lead</w:t>
            </w:r>
          </w:p>
        </w:tc>
      </w:tr>
      <w:tr w:rsidR="004E4A31" w:rsidTr="00464AF0">
        <w:tc>
          <w:tcPr>
            <w:tcW w:w="1803" w:type="dxa"/>
            <w:vAlign w:val="center"/>
          </w:tcPr>
          <w:p w:rsidR="004E4A31" w:rsidRDefault="004E4A31" w:rsidP="00BB1284">
            <w:pPr>
              <w:jc w:val="both"/>
            </w:pPr>
            <w:r>
              <w:t>Platform build</w:t>
            </w:r>
          </w:p>
        </w:tc>
        <w:tc>
          <w:tcPr>
            <w:tcW w:w="1803" w:type="dxa"/>
            <w:vAlign w:val="center"/>
          </w:tcPr>
          <w:p w:rsidR="004E4A31" w:rsidRDefault="004E4A31" w:rsidP="00BB1284">
            <w:pPr>
              <w:jc w:val="both"/>
            </w:pPr>
            <w:r>
              <w:t>A</w:t>
            </w:r>
          </w:p>
        </w:tc>
        <w:tc>
          <w:tcPr>
            <w:tcW w:w="1803" w:type="dxa"/>
            <w:vAlign w:val="center"/>
          </w:tcPr>
          <w:p w:rsidR="004E4A31" w:rsidRDefault="004E4A31" w:rsidP="00BB1284">
            <w:pPr>
              <w:jc w:val="both"/>
            </w:pPr>
            <w:r>
              <w:t>R</w:t>
            </w:r>
          </w:p>
        </w:tc>
        <w:tc>
          <w:tcPr>
            <w:tcW w:w="1803" w:type="dxa"/>
            <w:vAlign w:val="center"/>
          </w:tcPr>
          <w:p w:rsidR="004E4A31" w:rsidRDefault="004E4A31" w:rsidP="00BB1284">
            <w:pPr>
              <w:jc w:val="both"/>
            </w:pPr>
            <w:r>
              <w:t>C</w:t>
            </w:r>
          </w:p>
        </w:tc>
        <w:tc>
          <w:tcPr>
            <w:tcW w:w="1804" w:type="dxa"/>
            <w:vAlign w:val="center"/>
          </w:tcPr>
          <w:p w:rsidR="004E4A31" w:rsidRDefault="004E4A31" w:rsidP="00BB1284">
            <w:pPr>
              <w:jc w:val="both"/>
            </w:pPr>
            <w:r>
              <w:t>C</w:t>
            </w:r>
          </w:p>
        </w:tc>
      </w:tr>
      <w:tr w:rsidR="004E4A31" w:rsidTr="00464AF0">
        <w:tc>
          <w:tcPr>
            <w:tcW w:w="1803" w:type="dxa"/>
            <w:vAlign w:val="center"/>
          </w:tcPr>
          <w:p w:rsidR="004E4A31" w:rsidRDefault="004E4A31" w:rsidP="00BB1284">
            <w:pPr>
              <w:jc w:val="both"/>
            </w:pPr>
            <w:r>
              <w:t>Artist onboarding</w:t>
            </w:r>
          </w:p>
        </w:tc>
        <w:tc>
          <w:tcPr>
            <w:tcW w:w="1803" w:type="dxa"/>
            <w:vAlign w:val="center"/>
          </w:tcPr>
          <w:p w:rsidR="004E4A31" w:rsidRDefault="004E4A31" w:rsidP="00BB1284">
            <w:pPr>
              <w:jc w:val="both"/>
            </w:pPr>
            <w:r>
              <w:t>A</w:t>
            </w:r>
          </w:p>
        </w:tc>
        <w:tc>
          <w:tcPr>
            <w:tcW w:w="1803" w:type="dxa"/>
            <w:vAlign w:val="center"/>
          </w:tcPr>
          <w:p w:rsidR="004E4A31" w:rsidRDefault="004E4A31" w:rsidP="00BB1284">
            <w:pPr>
              <w:jc w:val="both"/>
            </w:pPr>
            <w:r>
              <w:t>C</w:t>
            </w:r>
          </w:p>
        </w:tc>
        <w:tc>
          <w:tcPr>
            <w:tcW w:w="1803" w:type="dxa"/>
            <w:vAlign w:val="center"/>
          </w:tcPr>
          <w:p w:rsidR="004E4A31" w:rsidRDefault="004E4A31" w:rsidP="00BB1284">
            <w:pPr>
              <w:jc w:val="both"/>
            </w:pPr>
            <w:r>
              <w:t>R</w:t>
            </w:r>
          </w:p>
        </w:tc>
        <w:tc>
          <w:tcPr>
            <w:tcW w:w="1804" w:type="dxa"/>
            <w:vAlign w:val="center"/>
          </w:tcPr>
          <w:p w:rsidR="004E4A31" w:rsidRDefault="004E4A31" w:rsidP="00BB1284">
            <w:pPr>
              <w:jc w:val="both"/>
            </w:pPr>
            <w:r>
              <w:t>C</w:t>
            </w:r>
          </w:p>
        </w:tc>
      </w:tr>
      <w:tr w:rsidR="004E4A31" w:rsidTr="00464AF0">
        <w:tc>
          <w:tcPr>
            <w:tcW w:w="1803" w:type="dxa"/>
            <w:vAlign w:val="center"/>
          </w:tcPr>
          <w:p w:rsidR="004E4A31" w:rsidRDefault="004E4A31" w:rsidP="00BB1284">
            <w:pPr>
              <w:jc w:val="both"/>
            </w:pPr>
            <w:r>
              <w:t>Pricing strategy</w:t>
            </w:r>
          </w:p>
        </w:tc>
        <w:tc>
          <w:tcPr>
            <w:tcW w:w="1803" w:type="dxa"/>
            <w:vAlign w:val="center"/>
          </w:tcPr>
          <w:p w:rsidR="004E4A31" w:rsidRDefault="004E4A31" w:rsidP="00BB1284">
            <w:pPr>
              <w:jc w:val="both"/>
            </w:pPr>
            <w:r>
              <w:t>A</w:t>
            </w:r>
          </w:p>
        </w:tc>
        <w:tc>
          <w:tcPr>
            <w:tcW w:w="1803" w:type="dxa"/>
            <w:vAlign w:val="center"/>
          </w:tcPr>
          <w:p w:rsidR="004E4A31" w:rsidRDefault="004E4A31" w:rsidP="00BB1284">
            <w:pPr>
              <w:jc w:val="both"/>
            </w:pPr>
            <w:r>
              <w:t>C</w:t>
            </w:r>
          </w:p>
        </w:tc>
        <w:tc>
          <w:tcPr>
            <w:tcW w:w="1803" w:type="dxa"/>
            <w:vAlign w:val="center"/>
          </w:tcPr>
          <w:p w:rsidR="004E4A31" w:rsidRDefault="004E4A31" w:rsidP="00BB1284">
            <w:pPr>
              <w:jc w:val="both"/>
            </w:pPr>
            <w:r>
              <w:t>C</w:t>
            </w:r>
          </w:p>
        </w:tc>
        <w:tc>
          <w:tcPr>
            <w:tcW w:w="1804" w:type="dxa"/>
            <w:vAlign w:val="center"/>
          </w:tcPr>
          <w:p w:rsidR="004E4A31" w:rsidRDefault="004E4A31" w:rsidP="00BB1284">
            <w:pPr>
              <w:jc w:val="both"/>
            </w:pPr>
            <w:r>
              <w:t>R</w:t>
            </w:r>
          </w:p>
        </w:tc>
      </w:tr>
      <w:tr w:rsidR="004E4A31" w:rsidTr="00464AF0">
        <w:tc>
          <w:tcPr>
            <w:tcW w:w="1803" w:type="dxa"/>
            <w:vAlign w:val="center"/>
          </w:tcPr>
          <w:p w:rsidR="004E4A31" w:rsidRDefault="004E4A31" w:rsidP="00BB1284">
            <w:pPr>
              <w:jc w:val="both"/>
            </w:pPr>
            <w:r>
              <w:t>Compliance</w:t>
            </w:r>
          </w:p>
        </w:tc>
        <w:tc>
          <w:tcPr>
            <w:tcW w:w="1803" w:type="dxa"/>
            <w:vAlign w:val="center"/>
          </w:tcPr>
          <w:p w:rsidR="004E4A31" w:rsidRDefault="004E4A31" w:rsidP="00BB1284">
            <w:pPr>
              <w:jc w:val="both"/>
            </w:pPr>
            <w:r>
              <w:t>C</w:t>
            </w:r>
          </w:p>
        </w:tc>
        <w:tc>
          <w:tcPr>
            <w:tcW w:w="1803" w:type="dxa"/>
            <w:vAlign w:val="center"/>
          </w:tcPr>
          <w:p w:rsidR="004E4A31" w:rsidRDefault="004E4A31" w:rsidP="00BB1284">
            <w:pPr>
              <w:jc w:val="both"/>
            </w:pPr>
            <w:r>
              <w:t>C</w:t>
            </w:r>
          </w:p>
        </w:tc>
        <w:tc>
          <w:tcPr>
            <w:tcW w:w="1803" w:type="dxa"/>
            <w:vAlign w:val="center"/>
          </w:tcPr>
          <w:p w:rsidR="004E4A31" w:rsidRDefault="004E4A31" w:rsidP="00BB1284">
            <w:pPr>
              <w:jc w:val="both"/>
            </w:pPr>
            <w:r>
              <w:t>C</w:t>
            </w:r>
          </w:p>
        </w:tc>
        <w:tc>
          <w:tcPr>
            <w:tcW w:w="1804" w:type="dxa"/>
            <w:vAlign w:val="center"/>
          </w:tcPr>
          <w:p w:rsidR="004E4A31" w:rsidRDefault="004E4A31" w:rsidP="00BB1284">
            <w:pPr>
              <w:jc w:val="both"/>
            </w:pPr>
            <w:r>
              <w:t>R</w:t>
            </w:r>
          </w:p>
        </w:tc>
      </w:tr>
      <w:tr w:rsidR="004E4A31" w:rsidTr="00464AF0">
        <w:tc>
          <w:tcPr>
            <w:tcW w:w="1803" w:type="dxa"/>
            <w:vAlign w:val="center"/>
          </w:tcPr>
          <w:p w:rsidR="004E4A31" w:rsidRDefault="004E4A31" w:rsidP="00BB1284">
            <w:pPr>
              <w:jc w:val="both"/>
            </w:pPr>
            <w:r>
              <w:t>Investor reporting</w:t>
            </w:r>
          </w:p>
        </w:tc>
        <w:tc>
          <w:tcPr>
            <w:tcW w:w="1803" w:type="dxa"/>
            <w:vAlign w:val="center"/>
          </w:tcPr>
          <w:p w:rsidR="004E4A31" w:rsidRDefault="004E4A31" w:rsidP="00BB1284">
            <w:pPr>
              <w:jc w:val="both"/>
            </w:pPr>
            <w:r>
              <w:t>R</w:t>
            </w:r>
          </w:p>
        </w:tc>
        <w:tc>
          <w:tcPr>
            <w:tcW w:w="1803" w:type="dxa"/>
            <w:vAlign w:val="center"/>
          </w:tcPr>
          <w:p w:rsidR="004E4A31" w:rsidRDefault="004E4A31" w:rsidP="00BB1284">
            <w:pPr>
              <w:jc w:val="both"/>
            </w:pPr>
            <w:r>
              <w:t>C</w:t>
            </w:r>
          </w:p>
        </w:tc>
        <w:tc>
          <w:tcPr>
            <w:tcW w:w="1803" w:type="dxa"/>
            <w:vAlign w:val="center"/>
          </w:tcPr>
          <w:p w:rsidR="004E4A31" w:rsidRDefault="004E4A31" w:rsidP="00BB1284">
            <w:pPr>
              <w:jc w:val="both"/>
            </w:pPr>
            <w:r>
              <w:t>C</w:t>
            </w:r>
          </w:p>
        </w:tc>
        <w:tc>
          <w:tcPr>
            <w:tcW w:w="1804" w:type="dxa"/>
            <w:vAlign w:val="center"/>
          </w:tcPr>
          <w:p w:rsidR="004E4A31" w:rsidRDefault="004E4A31" w:rsidP="00BB1284">
            <w:pPr>
              <w:jc w:val="both"/>
            </w:pPr>
            <w:r>
              <w:t>A</w:t>
            </w:r>
          </w:p>
        </w:tc>
      </w:tr>
    </w:tbl>
    <w:p w:rsidR="004E4A31" w:rsidRDefault="004E4A31" w:rsidP="00BB1284">
      <w:pPr>
        <w:jc w:val="both"/>
      </w:pPr>
    </w:p>
    <w:p w:rsidR="004E4A31" w:rsidRPr="00716479" w:rsidRDefault="004E4A31" w:rsidP="00BB1284">
      <w:pPr>
        <w:jc w:val="both"/>
      </w:pPr>
      <w:r w:rsidRPr="00AC5B63">
        <w:t>(R = Responsible, A = Accountable, C = Consulted)</w:t>
      </w:r>
    </w:p>
    <w:p w:rsidR="004E4A31" w:rsidRPr="00AC5B63" w:rsidRDefault="004E4A31" w:rsidP="00BB1284">
      <w:pPr>
        <w:pStyle w:val="Heading1"/>
        <w:rPr>
          <w:lang w:val="en-IN"/>
        </w:rPr>
      </w:pPr>
      <w:bookmarkStart w:id="85" w:name="_Toc220991382"/>
      <w:r w:rsidRPr="00AC5B63">
        <w:rPr>
          <w:lang w:val="en-IN"/>
        </w:rPr>
        <w:t>9.4 Resource and Budget Notes</w:t>
      </w:r>
      <w:bookmarkEnd w:id="85"/>
    </w:p>
    <w:p w:rsidR="004E4A31" w:rsidRPr="00716479" w:rsidRDefault="004E4A31" w:rsidP="00BB1284">
      <w:pPr>
        <w:jc w:val="both"/>
      </w:pPr>
      <w:r w:rsidRPr="00716479">
        <w:t xml:space="preserve">Discsoul uses a lean startup cost architecture. The initial outsourcing takes the form of development with core IP being retained in-house. The overall cost of implementation over 24 months is estimated to be at 420,000 pounds which is in line with other similar digital streaming startups </w:t>
      </w:r>
      <w:r w:rsidRPr="009F21FC">
        <w:t>(PwC, 202</w:t>
      </w:r>
      <w:r>
        <w:t>5</w:t>
      </w:r>
      <w:r w:rsidRPr="009F21FC">
        <w:t>)</w:t>
      </w:r>
      <w:r w:rsidRPr="00716479">
        <w:t>. Major allocations include:</w:t>
      </w:r>
    </w:p>
    <w:p w:rsidR="004E4A31" w:rsidRPr="00716479" w:rsidRDefault="004E4A31" w:rsidP="00BB1284">
      <w:pPr>
        <w:pStyle w:val="ListParagraph"/>
        <w:numPr>
          <w:ilvl w:val="0"/>
          <w:numId w:val="27"/>
        </w:numPr>
        <w:jc w:val="both"/>
      </w:pPr>
      <w:r w:rsidRPr="00716479">
        <w:t>Cloud infrastructure and technology (38%).</w:t>
      </w:r>
    </w:p>
    <w:p w:rsidR="004E4A31" w:rsidRPr="00716479" w:rsidRDefault="004E4A31" w:rsidP="00BB1284">
      <w:pPr>
        <w:pStyle w:val="ListParagraph"/>
        <w:numPr>
          <w:ilvl w:val="0"/>
          <w:numId w:val="27"/>
        </w:numPr>
        <w:jc w:val="both"/>
      </w:pPr>
      <w:r w:rsidRPr="00716479">
        <w:t>User acquisition and marketing (27%).</w:t>
      </w:r>
    </w:p>
    <w:p w:rsidR="004E4A31" w:rsidRPr="00716479" w:rsidRDefault="004E4A31" w:rsidP="00BB1284">
      <w:pPr>
        <w:pStyle w:val="ListParagraph"/>
        <w:numPr>
          <w:ilvl w:val="0"/>
          <w:numId w:val="27"/>
        </w:numPr>
        <w:jc w:val="both"/>
      </w:pPr>
      <w:r w:rsidRPr="00716479">
        <w:t>Content licensing (20%)</w:t>
      </w:r>
    </w:p>
    <w:p w:rsidR="004E4A31" w:rsidRPr="00716479" w:rsidRDefault="004E4A31" w:rsidP="00BB1284">
      <w:pPr>
        <w:pStyle w:val="ListParagraph"/>
        <w:numPr>
          <w:ilvl w:val="0"/>
          <w:numId w:val="27"/>
        </w:numPr>
        <w:jc w:val="both"/>
      </w:pPr>
      <w:r w:rsidRPr="00716479">
        <w:t>Operations and compliance (15%)</w:t>
      </w:r>
    </w:p>
    <w:p w:rsidR="004E4A31" w:rsidRDefault="004E4A31" w:rsidP="00BB1284">
      <w:pPr>
        <w:jc w:val="both"/>
      </w:pPr>
      <w:r w:rsidRPr="00716479">
        <w:t>This allocation is scalable and also maintains cash runway.</w:t>
      </w:r>
    </w:p>
    <w:p w:rsidR="004E4A31" w:rsidRDefault="004E4A31" w:rsidP="00BB1284">
      <w:pPr>
        <w:pStyle w:val="Heading1"/>
      </w:pPr>
      <w:bookmarkStart w:id="86" w:name="_Toc220991383"/>
      <w:r w:rsidRPr="00AC5B63">
        <w:t>9.5 KPIs and Stage Gates</w:t>
      </w:r>
      <w:bookmarkEnd w:id="86"/>
    </w:p>
    <w:p w:rsidR="004E4A31" w:rsidRPr="00716479" w:rsidRDefault="004E4A31" w:rsidP="00BB1284">
      <w:pPr>
        <w:jc w:val="both"/>
      </w:pPr>
      <w:r w:rsidRPr="00716479">
        <w:t>Stage-gated KPIs are used to monitor performance and release funds and decisions to expand.</w:t>
      </w:r>
    </w:p>
    <w:p w:rsidR="004E4A31" w:rsidRDefault="004E4A31" w:rsidP="00BB1284">
      <w:pPr>
        <w:jc w:val="both"/>
        <w:rPr>
          <w:b/>
          <w:bCs/>
        </w:rPr>
      </w:pPr>
    </w:p>
    <w:p w:rsidR="004E4A31" w:rsidRDefault="004E4A31" w:rsidP="00BB1284">
      <w:pPr>
        <w:jc w:val="both"/>
        <w:rPr>
          <w:b/>
          <w:bCs/>
        </w:rPr>
      </w:pPr>
      <w:r w:rsidRPr="00ED44B7">
        <w:rPr>
          <w:b/>
          <w:bCs/>
        </w:rPr>
        <w:t>Table 9.4: Key KPIs</w:t>
      </w:r>
    </w:p>
    <w:tbl>
      <w:tblPr>
        <w:tblStyle w:val="TableGrid"/>
        <w:tblW w:w="0" w:type="auto"/>
        <w:tblLook w:val="04A0" w:firstRow="1" w:lastRow="0" w:firstColumn="1" w:lastColumn="0" w:noHBand="0" w:noVBand="1"/>
      </w:tblPr>
      <w:tblGrid>
        <w:gridCol w:w="3005"/>
        <w:gridCol w:w="3005"/>
        <w:gridCol w:w="3006"/>
      </w:tblGrid>
      <w:tr w:rsidR="004E4A31" w:rsidTr="00464AF0">
        <w:tc>
          <w:tcPr>
            <w:tcW w:w="3005" w:type="dxa"/>
            <w:vAlign w:val="center"/>
          </w:tcPr>
          <w:p w:rsidR="004E4A31" w:rsidRDefault="004E4A31" w:rsidP="00BB1284">
            <w:pPr>
              <w:jc w:val="both"/>
              <w:rPr>
                <w:b/>
                <w:bCs/>
                <w:lang w:val="en-IN"/>
              </w:rPr>
            </w:pPr>
            <w:r>
              <w:rPr>
                <w:b/>
                <w:bCs/>
              </w:rPr>
              <w:t>Stage</w:t>
            </w:r>
          </w:p>
        </w:tc>
        <w:tc>
          <w:tcPr>
            <w:tcW w:w="3005" w:type="dxa"/>
            <w:vAlign w:val="center"/>
          </w:tcPr>
          <w:p w:rsidR="004E4A31" w:rsidRDefault="004E4A31" w:rsidP="00BB1284">
            <w:pPr>
              <w:jc w:val="both"/>
              <w:rPr>
                <w:b/>
                <w:bCs/>
              </w:rPr>
            </w:pPr>
            <w:r>
              <w:rPr>
                <w:b/>
                <w:bCs/>
              </w:rPr>
              <w:t>KPI</w:t>
            </w:r>
          </w:p>
        </w:tc>
        <w:tc>
          <w:tcPr>
            <w:tcW w:w="3006" w:type="dxa"/>
            <w:vAlign w:val="center"/>
          </w:tcPr>
          <w:p w:rsidR="004E4A31" w:rsidRDefault="004E4A31" w:rsidP="00BB1284">
            <w:pPr>
              <w:jc w:val="both"/>
              <w:rPr>
                <w:b/>
                <w:bCs/>
              </w:rPr>
            </w:pPr>
            <w:r>
              <w:rPr>
                <w:b/>
                <w:bCs/>
              </w:rPr>
              <w:t>Gate Condition</w:t>
            </w:r>
          </w:p>
        </w:tc>
      </w:tr>
      <w:tr w:rsidR="004E4A31" w:rsidTr="00464AF0">
        <w:tc>
          <w:tcPr>
            <w:tcW w:w="3005" w:type="dxa"/>
            <w:vAlign w:val="center"/>
          </w:tcPr>
          <w:p w:rsidR="004E4A31" w:rsidRDefault="004E4A31" w:rsidP="00BB1284">
            <w:pPr>
              <w:jc w:val="both"/>
            </w:pPr>
            <w:r>
              <w:t>Launch</w:t>
            </w:r>
          </w:p>
        </w:tc>
        <w:tc>
          <w:tcPr>
            <w:tcW w:w="3005" w:type="dxa"/>
            <w:vAlign w:val="center"/>
          </w:tcPr>
          <w:p w:rsidR="004E4A31" w:rsidRDefault="004E4A31" w:rsidP="00BB1284">
            <w:pPr>
              <w:jc w:val="both"/>
            </w:pPr>
            <w:r>
              <w:t>Active users</w:t>
            </w:r>
          </w:p>
        </w:tc>
        <w:tc>
          <w:tcPr>
            <w:tcW w:w="3006" w:type="dxa"/>
            <w:vAlign w:val="center"/>
          </w:tcPr>
          <w:p w:rsidR="004E4A31" w:rsidRDefault="004E4A31" w:rsidP="00BB1284">
            <w:pPr>
              <w:jc w:val="both"/>
            </w:pPr>
            <w:r>
              <w:t>10,000</w:t>
            </w:r>
          </w:p>
        </w:tc>
      </w:tr>
      <w:tr w:rsidR="004E4A31" w:rsidTr="00464AF0">
        <w:tc>
          <w:tcPr>
            <w:tcW w:w="3005" w:type="dxa"/>
            <w:vAlign w:val="center"/>
          </w:tcPr>
          <w:p w:rsidR="004E4A31" w:rsidRDefault="004E4A31" w:rsidP="00BB1284">
            <w:pPr>
              <w:jc w:val="both"/>
            </w:pPr>
            <w:r>
              <w:t>Growth</w:t>
            </w:r>
          </w:p>
        </w:tc>
        <w:tc>
          <w:tcPr>
            <w:tcW w:w="3005" w:type="dxa"/>
            <w:vAlign w:val="center"/>
          </w:tcPr>
          <w:p w:rsidR="004E4A31" w:rsidRDefault="004E4A31" w:rsidP="00BB1284">
            <w:pPr>
              <w:jc w:val="both"/>
            </w:pPr>
            <w:r>
              <w:t>CAC:LTV ratio</w:t>
            </w:r>
          </w:p>
        </w:tc>
        <w:tc>
          <w:tcPr>
            <w:tcW w:w="3006" w:type="dxa"/>
            <w:vAlign w:val="center"/>
          </w:tcPr>
          <w:p w:rsidR="004E4A31" w:rsidRDefault="004E4A31" w:rsidP="00BB1284">
            <w:pPr>
              <w:jc w:val="both"/>
            </w:pPr>
            <w:r>
              <w:t>&lt;1:3</w:t>
            </w:r>
          </w:p>
        </w:tc>
      </w:tr>
      <w:tr w:rsidR="004E4A31" w:rsidTr="00464AF0">
        <w:tc>
          <w:tcPr>
            <w:tcW w:w="3005" w:type="dxa"/>
            <w:vAlign w:val="center"/>
          </w:tcPr>
          <w:p w:rsidR="004E4A31" w:rsidRDefault="004E4A31" w:rsidP="00BB1284">
            <w:pPr>
              <w:jc w:val="both"/>
            </w:pPr>
            <w:r>
              <w:t>Monetisation</w:t>
            </w:r>
          </w:p>
        </w:tc>
        <w:tc>
          <w:tcPr>
            <w:tcW w:w="3005" w:type="dxa"/>
            <w:vAlign w:val="center"/>
          </w:tcPr>
          <w:p w:rsidR="004E4A31" w:rsidRDefault="004E4A31" w:rsidP="00BB1284">
            <w:pPr>
              <w:jc w:val="both"/>
            </w:pPr>
            <w:r>
              <w:t>ARPU</w:t>
            </w:r>
          </w:p>
        </w:tc>
        <w:tc>
          <w:tcPr>
            <w:tcW w:w="3006" w:type="dxa"/>
            <w:vAlign w:val="center"/>
          </w:tcPr>
          <w:p w:rsidR="004E4A31" w:rsidRDefault="004E4A31" w:rsidP="00BB1284">
            <w:pPr>
              <w:jc w:val="both"/>
            </w:pPr>
            <w:r>
              <w:t>£6/month</w:t>
            </w:r>
          </w:p>
        </w:tc>
      </w:tr>
      <w:tr w:rsidR="004E4A31" w:rsidTr="00464AF0">
        <w:tc>
          <w:tcPr>
            <w:tcW w:w="3005" w:type="dxa"/>
            <w:vAlign w:val="center"/>
          </w:tcPr>
          <w:p w:rsidR="004E4A31" w:rsidRDefault="004E4A31" w:rsidP="00BB1284">
            <w:pPr>
              <w:jc w:val="both"/>
            </w:pPr>
            <w:r>
              <w:t>Scale</w:t>
            </w:r>
          </w:p>
        </w:tc>
        <w:tc>
          <w:tcPr>
            <w:tcW w:w="3005" w:type="dxa"/>
            <w:vAlign w:val="center"/>
          </w:tcPr>
          <w:p w:rsidR="004E4A31" w:rsidRDefault="004E4A31" w:rsidP="00BB1284">
            <w:pPr>
              <w:jc w:val="both"/>
            </w:pPr>
            <w:r>
              <w:t>Churn rate</w:t>
            </w:r>
          </w:p>
        </w:tc>
        <w:tc>
          <w:tcPr>
            <w:tcW w:w="3006" w:type="dxa"/>
            <w:vAlign w:val="center"/>
          </w:tcPr>
          <w:p w:rsidR="004E4A31" w:rsidRDefault="004E4A31" w:rsidP="00BB1284">
            <w:pPr>
              <w:jc w:val="both"/>
            </w:pPr>
            <w:r>
              <w:t>&lt;5%</w:t>
            </w:r>
          </w:p>
        </w:tc>
      </w:tr>
      <w:tr w:rsidR="004E4A31" w:rsidTr="00464AF0">
        <w:tc>
          <w:tcPr>
            <w:tcW w:w="3005" w:type="dxa"/>
            <w:vAlign w:val="center"/>
          </w:tcPr>
          <w:p w:rsidR="004E4A31" w:rsidRDefault="004E4A31" w:rsidP="00BB1284">
            <w:pPr>
              <w:jc w:val="both"/>
            </w:pPr>
            <w:r>
              <w:t>Optimise</w:t>
            </w:r>
          </w:p>
        </w:tc>
        <w:tc>
          <w:tcPr>
            <w:tcW w:w="3005" w:type="dxa"/>
            <w:vAlign w:val="center"/>
          </w:tcPr>
          <w:p w:rsidR="004E4A31" w:rsidRDefault="004E4A31" w:rsidP="00BB1284">
            <w:pPr>
              <w:jc w:val="both"/>
            </w:pPr>
            <w:r>
              <w:t>EBITDA margin</w:t>
            </w:r>
          </w:p>
        </w:tc>
        <w:tc>
          <w:tcPr>
            <w:tcW w:w="3006" w:type="dxa"/>
            <w:vAlign w:val="center"/>
          </w:tcPr>
          <w:p w:rsidR="004E4A31" w:rsidRDefault="004E4A31" w:rsidP="00BB1284">
            <w:pPr>
              <w:jc w:val="both"/>
            </w:pPr>
            <w:r>
              <w:t>Positive</w:t>
            </w:r>
          </w:p>
        </w:tc>
      </w:tr>
    </w:tbl>
    <w:p w:rsidR="004E4A31" w:rsidRPr="00716479" w:rsidRDefault="004E4A31" w:rsidP="00BB1284">
      <w:pPr>
        <w:jc w:val="both"/>
      </w:pPr>
    </w:p>
    <w:p w:rsidR="004E4A31" w:rsidRDefault="004E4A31" w:rsidP="00BB1284">
      <w:pPr>
        <w:jc w:val="both"/>
      </w:pPr>
      <w:r w:rsidRPr="00716479">
        <w:t>These KPIs are consistent with the benchmarks of digital subscription.</w:t>
      </w:r>
    </w:p>
    <w:p w:rsidR="004E4A31" w:rsidRPr="00F22713" w:rsidRDefault="004E4A31" w:rsidP="00BB1284">
      <w:pPr>
        <w:pStyle w:val="Heading1"/>
      </w:pPr>
      <w:bookmarkStart w:id="87" w:name="_Toc220991384"/>
      <w:r w:rsidRPr="00F22713">
        <w:lastRenderedPageBreak/>
        <w:t>9.6 Change Management</w:t>
      </w:r>
      <w:bookmarkEnd w:id="87"/>
    </w:p>
    <w:p w:rsidR="004E4A31" w:rsidRDefault="004E4A31" w:rsidP="00BB1284">
      <w:pPr>
        <w:jc w:val="both"/>
      </w:pPr>
      <w:r w:rsidRPr="00716479">
        <w:t xml:space="preserve">The importance of change management is because of the rapidly changing digital regulations, consumer behaviour, and AI ethics requirements. The change model used at Discsoul is the 8-step Kotter model, which is backed by monthly sprint reviews and quarterly strategic resets </w:t>
      </w:r>
      <w:r w:rsidRPr="00D75876">
        <w:t>(Kotter, 1997).</w:t>
      </w:r>
      <w:r w:rsidRPr="00716479">
        <w:t xml:space="preserve"> It allows organisational flexibility and alignment through communication dashboards, staff training, and feedback loops.</w:t>
      </w:r>
    </w:p>
    <w:p w:rsidR="004E4A31" w:rsidRPr="00F22713" w:rsidRDefault="004E4A31" w:rsidP="00BB1284">
      <w:pPr>
        <w:jc w:val="both"/>
      </w:pPr>
    </w:p>
    <w:p w:rsidR="004E4A31" w:rsidRPr="00EF1EED" w:rsidRDefault="004E4A31" w:rsidP="00BB1284">
      <w:pPr>
        <w:pStyle w:val="Title"/>
      </w:pPr>
      <w:bookmarkStart w:id="88" w:name="_Toc220991385"/>
      <w:r w:rsidRPr="00EF1EED">
        <w:t>Chapter 10</w:t>
      </w:r>
      <w:r w:rsidR="00B4204D">
        <w:t>: Business Model Canvas</w:t>
      </w:r>
      <w:bookmarkEnd w:id="88"/>
    </w:p>
    <w:p w:rsidR="004E4A31" w:rsidRPr="00EF1EED" w:rsidRDefault="004E4A31" w:rsidP="00BB1284">
      <w:pPr>
        <w:pStyle w:val="Heading1"/>
      </w:pPr>
      <w:bookmarkStart w:id="89" w:name="_Toc220991386"/>
      <w:r w:rsidRPr="00EF1EED">
        <w:t>10.1 Customer Segments</w:t>
      </w:r>
      <w:bookmarkEnd w:id="89"/>
    </w:p>
    <w:p w:rsidR="004E4A31" w:rsidRPr="00EF1EED" w:rsidRDefault="004E4A31" w:rsidP="00BB1284">
      <w:pPr>
        <w:jc w:val="both"/>
      </w:pPr>
      <w:r w:rsidRPr="00EF1EED">
        <w:t>Discsoul is aimed at three major segments:</w:t>
      </w:r>
    </w:p>
    <w:p w:rsidR="004E4A31" w:rsidRPr="00EF1EED" w:rsidRDefault="004E4A31" w:rsidP="00BB1284">
      <w:pPr>
        <w:pStyle w:val="ListParagraph"/>
        <w:numPr>
          <w:ilvl w:val="0"/>
          <w:numId w:val="19"/>
        </w:numPr>
        <w:jc w:val="both"/>
      </w:pPr>
      <w:r w:rsidRPr="00EF1EED">
        <w:t>Ages 18-35 consumers who are in search of hybrid music-video-live experiences.</w:t>
      </w:r>
    </w:p>
    <w:p w:rsidR="004E4A31" w:rsidRPr="00EF1EED" w:rsidRDefault="004E4A31" w:rsidP="00BB1284">
      <w:pPr>
        <w:pStyle w:val="ListParagraph"/>
        <w:numPr>
          <w:ilvl w:val="0"/>
          <w:numId w:val="19"/>
        </w:numPr>
        <w:jc w:val="both"/>
      </w:pPr>
      <w:r w:rsidRPr="00EF1EED">
        <w:t>Different artists and DJs who require monetisation and analytics.</w:t>
      </w:r>
    </w:p>
    <w:p w:rsidR="004E4A31" w:rsidRPr="00EF1EED" w:rsidRDefault="004E4A31" w:rsidP="00BB1284">
      <w:pPr>
        <w:pStyle w:val="ListParagraph"/>
        <w:numPr>
          <w:ilvl w:val="0"/>
          <w:numId w:val="19"/>
        </w:numPr>
        <w:jc w:val="both"/>
      </w:pPr>
      <w:r w:rsidRPr="00EF1EED">
        <w:t>Advertisers and brands wanting to engage audio-video-targeted audio-video engagement.</w:t>
      </w:r>
    </w:p>
    <w:p w:rsidR="004E4A31" w:rsidRPr="00EF1EED" w:rsidRDefault="004E4A31" w:rsidP="00BB1284">
      <w:pPr>
        <w:pStyle w:val="ListParagraph"/>
        <w:numPr>
          <w:ilvl w:val="0"/>
          <w:numId w:val="19"/>
        </w:numPr>
        <w:jc w:val="both"/>
      </w:pPr>
      <w:r w:rsidRPr="00EF1EED">
        <w:t xml:space="preserve">This platform model is multi-sided, which improves network effects </w:t>
      </w:r>
      <w:r w:rsidRPr="003A75A8">
        <w:t>(Parker et al., 2016).</w:t>
      </w:r>
    </w:p>
    <w:p w:rsidR="004E4A31" w:rsidRDefault="004E4A31" w:rsidP="00BB1284">
      <w:pPr>
        <w:pStyle w:val="Heading1"/>
      </w:pPr>
      <w:bookmarkStart w:id="90" w:name="_Toc220991387"/>
      <w:r>
        <w:t>10.2 Value Propositions</w:t>
      </w:r>
      <w:bookmarkEnd w:id="90"/>
    </w:p>
    <w:p w:rsidR="004E4A31" w:rsidRDefault="004E4A31" w:rsidP="00BB1284">
      <w:pPr>
        <w:jc w:val="both"/>
      </w:pPr>
      <w:r>
        <w:t>Discsoul distinguishes himself by:</w:t>
      </w:r>
    </w:p>
    <w:p w:rsidR="004E4A31" w:rsidRDefault="004E4A31" w:rsidP="00BB1284">
      <w:pPr>
        <w:pStyle w:val="ListParagraph"/>
        <w:numPr>
          <w:ilvl w:val="0"/>
          <w:numId w:val="20"/>
        </w:numPr>
        <w:jc w:val="both"/>
      </w:pPr>
      <w:r>
        <w:t>Live concerts, music and video, all in a single platform.</w:t>
      </w:r>
    </w:p>
    <w:p w:rsidR="004E4A31" w:rsidRDefault="004E4A31" w:rsidP="00BB1284">
      <w:pPr>
        <w:pStyle w:val="ListParagraph"/>
        <w:numPr>
          <w:ilvl w:val="0"/>
          <w:numId w:val="20"/>
        </w:numPr>
        <w:jc w:val="both"/>
      </w:pPr>
      <w:r>
        <w:t>Equal distribution of revenue to artists.</w:t>
      </w:r>
    </w:p>
    <w:p w:rsidR="004E4A31" w:rsidRDefault="004E4A31" w:rsidP="00BB1284">
      <w:pPr>
        <w:pStyle w:val="ListParagraph"/>
        <w:numPr>
          <w:ilvl w:val="0"/>
          <w:numId w:val="20"/>
        </w:numPr>
        <w:jc w:val="both"/>
      </w:pPr>
      <w:r>
        <w:t>Intelligent personalised discovery.</w:t>
      </w:r>
    </w:p>
    <w:p w:rsidR="004E4A31" w:rsidRDefault="004E4A31" w:rsidP="00BB1284">
      <w:pPr>
        <w:pStyle w:val="ListParagraph"/>
        <w:numPr>
          <w:ilvl w:val="0"/>
          <w:numId w:val="20"/>
        </w:numPr>
        <w:jc w:val="both"/>
      </w:pPr>
      <w:r>
        <w:t>Hybrid pricing (free, premium and live tickets)</w:t>
      </w:r>
    </w:p>
    <w:p w:rsidR="004E4A31" w:rsidRDefault="004E4A31" w:rsidP="00BB1284">
      <w:pPr>
        <w:ind w:left="360"/>
        <w:jc w:val="both"/>
      </w:pPr>
      <w:r>
        <w:t xml:space="preserve">The content fragmentation and dissatisfaction of the creators are also dealt with through such differentiation </w:t>
      </w:r>
      <w:r w:rsidRPr="0072559C">
        <w:t>(IFPI, 2024).</w:t>
      </w:r>
    </w:p>
    <w:p w:rsidR="004E4A31" w:rsidRDefault="004E4A31" w:rsidP="00BB1284">
      <w:pPr>
        <w:pStyle w:val="Heading1"/>
      </w:pPr>
      <w:bookmarkStart w:id="91" w:name="_Toc220991388"/>
      <w:r>
        <w:t>10.3 Channels</w:t>
      </w:r>
      <w:bookmarkEnd w:id="91"/>
    </w:p>
    <w:p w:rsidR="004E4A31" w:rsidRDefault="004E4A31" w:rsidP="00BB1284">
      <w:pPr>
        <w:jc w:val="both"/>
      </w:pPr>
      <w:r>
        <w:t>Primary channels include:</w:t>
      </w:r>
    </w:p>
    <w:p w:rsidR="004E4A31" w:rsidRDefault="004E4A31" w:rsidP="00BB1284">
      <w:pPr>
        <w:pStyle w:val="ListParagraph"/>
        <w:numPr>
          <w:ilvl w:val="0"/>
          <w:numId w:val="21"/>
        </w:numPr>
        <w:jc w:val="both"/>
      </w:pPr>
      <w:r>
        <w:t>Mobile app (iOS/Android)</w:t>
      </w:r>
    </w:p>
    <w:p w:rsidR="004E4A31" w:rsidRDefault="004E4A31" w:rsidP="00BB1284">
      <w:pPr>
        <w:pStyle w:val="ListParagraph"/>
        <w:numPr>
          <w:ilvl w:val="0"/>
          <w:numId w:val="21"/>
        </w:numPr>
        <w:jc w:val="both"/>
      </w:pPr>
      <w:r>
        <w:t>Web platform</w:t>
      </w:r>
    </w:p>
    <w:p w:rsidR="004E4A31" w:rsidRDefault="004E4A31" w:rsidP="00BB1284">
      <w:pPr>
        <w:pStyle w:val="ListParagraph"/>
        <w:numPr>
          <w:ilvl w:val="0"/>
          <w:numId w:val="21"/>
        </w:numPr>
        <w:jc w:val="both"/>
      </w:pPr>
      <w:r>
        <w:t>Discovery in social media (Social media discovery: Tik Tok, Instagram).</w:t>
      </w:r>
    </w:p>
    <w:p w:rsidR="004E4A31" w:rsidRDefault="004E4A31" w:rsidP="00BB1284">
      <w:pPr>
        <w:pStyle w:val="ListParagraph"/>
        <w:numPr>
          <w:ilvl w:val="0"/>
          <w:numId w:val="21"/>
        </w:numPr>
        <w:jc w:val="both"/>
      </w:pPr>
      <w:r>
        <w:t>Artist-driven promotion</w:t>
      </w:r>
    </w:p>
    <w:p w:rsidR="004E4A31" w:rsidRDefault="004E4A31" w:rsidP="00BB1284">
      <w:pPr>
        <w:pStyle w:val="Heading1"/>
      </w:pPr>
      <w:bookmarkStart w:id="92" w:name="_Toc220991389"/>
      <w:r>
        <w:t>10.4 Customer Relationships</w:t>
      </w:r>
      <w:bookmarkEnd w:id="92"/>
    </w:p>
    <w:p w:rsidR="004E4A31" w:rsidRDefault="004E4A31" w:rsidP="00BB1284">
      <w:pPr>
        <w:jc w:val="both"/>
      </w:pPr>
      <w:r>
        <w:t>Discsoul develops community-based relationships using:</w:t>
      </w:r>
    </w:p>
    <w:p w:rsidR="004E4A31" w:rsidRDefault="004E4A31" w:rsidP="00BB1284">
      <w:pPr>
        <w:pStyle w:val="ListParagraph"/>
        <w:numPr>
          <w:ilvl w:val="0"/>
          <w:numId w:val="22"/>
        </w:numPr>
        <w:jc w:val="both"/>
      </w:pPr>
      <w:r>
        <w:lastRenderedPageBreak/>
        <w:t>Follow notification and systems.</w:t>
      </w:r>
    </w:p>
    <w:p w:rsidR="004E4A31" w:rsidRDefault="004E4A31" w:rsidP="00BB1284">
      <w:pPr>
        <w:pStyle w:val="ListParagraph"/>
        <w:numPr>
          <w:ilvl w:val="0"/>
          <w:numId w:val="22"/>
        </w:numPr>
        <w:jc w:val="both"/>
      </w:pPr>
      <w:r>
        <w:t>Live Presenter to artist interactions.</w:t>
      </w:r>
    </w:p>
    <w:p w:rsidR="004E4A31" w:rsidRDefault="004E4A31" w:rsidP="00BB1284">
      <w:pPr>
        <w:pStyle w:val="ListParagraph"/>
        <w:numPr>
          <w:ilvl w:val="0"/>
          <w:numId w:val="22"/>
        </w:numPr>
        <w:jc w:val="both"/>
      </w:pPr>
      <w:r>
        <w:t>Gamified loyalty rewards</w:t>
      </w:r>
    </w:p>
    <w:p w:rsidR="004E4A31" w:rsidRPr="00432AA0" w:rsidRDefault="004E4A31" w:rsidP="00BB1284">
      <w:pPr>
        <w:jc w:val="both"/>
        <w:rPr>
          <w:highlight w:val="yellow"/>
          <w:lang w:val="en-IN"/>
        </w:rPr>
      </w:pPr>
      <w:r>
        <w:t xml:space="preserve">These raises switching costs, as well as lifetime </w:t>
      </w:r>
      <w:r w:rsidRPr="00432AA0">
        <w:t xml:space="preserve">value </w:t>
      </w:r>
      <w:r w:rsidRPr="00432AA0">
        <w:rPr>
          <w:lang w:val="en-IN"/>
        </w:rPr>
        <w:t>(</w:t>
      </w:r>
      <w:proofErr w:type="spellStart"/>
      <w:r w:rsidRPr="00432AA0">
        <w:rPr>
          <w:lang w:val="en-IN"/>
        </w:rPr>
        <w:t>forrester</w:t>
      </w:r>
      <w:proofErr w:type="spellEnd"/>
      <w:r w:rsidRPr="00432AA0">
        <w:rPr>
          <w:lang w:val="en-IN"/>
        </w:rPr>
        <w:t>, 2026)</w:t>
      </w:r>
      <w:r>
        <w:t>.</w:t>
      </w:r>
    </w:p>
    <w:p w:rsidR="004E4A31" w:rsidRDefault="004E4A31" w:rsidP="00BB1284">
      <w:pPr>
        <w:pStyle w:val="Heading1"/>
      </w:pPr>
      <w:bookmarkStart w:id="93" w:name="_Toc220991390"/>
      <w:r>
        <w:t>10.5 Key Resources</w:t>
      </w:r>
      <w:bookmarkEnd w:id="93"/>
    </w:p>
    <w:p w:rsidR="004E4A31" w:rsidRDefault="004E4A31" w:rsidP="00BB1284">
      <w:pPr>
        <w:pStyle w:val="ListParagraph"/>
        <w:numPr>
          <w:ilvl w:val="0"/>
          <w:numId w:val="23"/>
        </w:numPr>
        <w:jc w:val="both"/>
      </w:pPr>
      <w:r>
        <w:t>Key resources include:</w:t>
      </w:r>
    </w:p>
    <w:p w:rsidR="004E4A31" w:rsidRDefault="004E4A31" w:rsidP="00BB1284">
      <w:pPr>
        <w:pStyle w:val="ListParagraph"/>
        <w:numPr>
          <w:ilvl w:val="0"/>
          <w:numId w:val="23"/>
        </w:numPr>
        <w:jc w:val="both"/>
      </w:pPr>
      <w:r>
        <w:t>AWS/GCP Cloud infrastructure.</w:t>
      </w:r>
    </w:p>
    <w:p w:rsidR="004E4A31" w:rsidRDefault="004E4A31" w:rsidP="00BB1284">
      <w:pPr>
        <w:pStyle w:val="ListParagraph"/>
        <w:numPr>
          <w:ilvl w:val="0"/>
          <w:numId w:val="23"/>
        </w:numPr>
        <w:jc w:val="both"/>
      </w:pPr>
      <w:r>
        <w:t>Licensing agreements</w:t>
      </w:r>
    </w:p>
    <w:p w:rsidR="004E4A31" w:rsidRDefault="004E4A31" w:rsidP="00BB1284">
      <w:pPr>
        <w:pStyle w:val="ListParagraph"/>
        <w:numPr>
          <w:ilvl w:val="0"/>
          <w:numId w:val="23"/>
        </w:numPr>
        <w:jc w:val="both"/>
      </w:pPr>
      <w:r>
        <w:t>AI recommendation models</w:t>
      </w:r>
    </w:p>
    <w:p w:rsidR="004E4A31" w:rsidRDefault="004E4A31" w:rsidP="00BB1284">
      <w:pPr>
        <w:pStyle w:val="ListParagraph"/>
        <w:numPr>
          <w:ilvl w:val="0"/>
          <w:numId w:val="23"/>
        </w:numPr>
        <w:jc w:val="both"/>
      </w:pPr>
      <w:r>
        <w:t>Brand and user data</w:t>
      </w:r>
    </w:p>
    <w:p w:rsidR="004E4A31" w:rsidRDefault="004E4A31" w:rsidP="00BB1284">
      <w:pPr>
        <w:pStyle w:val="Heading1"/>
      </w:pPr>
      <w:bookmarkStart w:id="94" w:name="_Toc220991391"/>
      <w:r>
        <w:t>10.6 Key Partners</w:t>
      </w:r>
      <w:bookmarkEnd w:id="94"/>
    </w:p>
    <w:p w:rsidR="004E4A31" w:rsidRDefault="004E4A31" w:rsidP="00BB1284">
      <w:pPr>
        <w:jc w:val="both"/>
      </w:pPr>
      <w:r>
        <w:t>Strategic partners include:</w:t>
      </w:r>
    </w:p>
    <w:p w:rsidR="004E4A31" w:rsidRDefault="004E4A31" w:rsidP="00BB1284">
      <w:pPr>
        <w:pStyle w:val="ListParagraph"/>
        <w:numPr>
          <w:ilvl w:val="0"/>
          <w:numId w:val="24"/>
        </w:numPr>
        <w:jc w:val="both"/>
      </w:pPr>
      <w:r>
        <w:t>Independent distributors and music labels.</w:t>
      </w:r>
    </w:p>
    <w:p w:rsidR="004E4A31" w:rsidRDefault="004E4A31" w:rsidP="00BB1284">
      <w:pPr>
        <w:pStyle w:val="ListParagraph"/>
        <w:numPr>
          <w:ilvl w:val="0"/>
          <w:numId w:val="24"/>
        </w:numPr>
        <w:jc w:val="both"/>
      </w:pPr>
      <w:r>
        <w:t>Cloud service providers</w:t>
      </w:r>
    </w:p>
    <w:p w:rsidR="004E4A31" w:rsidRDefault="004E4A31" w:rsidP="00BB1284">
      <w:pPr>
        <w:pStyle w:val="ListParagraph"/>
        <w:numPr>
          <w:ilvl w:val="0"/>
          <w:numId w:val="24"/>
        </w:numPr>
        <w:jc w:val="both"/>
      </w:pPr>
      <w:r>
        <w:t>Payment processors (PayPal, Stripe)</w:t>
      </w:r>
    </w:p>
    <w:p w:rsidR="004E4A31" w:rsidRDefault="004E4A31" w:rsidP="00BB1284">
      <w:pPr>
        <w:pStyle w:val="ListParagraph"/>
        <w:numPr>
          <w:ilvl w:val="0"/>
          <w:numId w:val="24"/>
        </w:numPr>
        <w:jc w:val="both"/>
      </w:pPr>
      <w:r>
        <w:t>Advertising networks</w:t>
      </w:r>
    </w:p>
    <w:p w:rsidR="004E4A31" w:rsidRDefault="004E4A31" w:rsidP="00BB1284">
      <w:pPr>
        <w:pStyle w:val="Heading1"/>
      </w:pPr>
      <w:bookmarkStart w:id="95" w:name="_Toc220991392"/>
      <w:r>
        <w:t>10.7 Cost Structure</w:t>
      </w:r>
      <w:bookmarkEnd w:id="95"/>
    </w:p>
    <w:p w:rsidR="004E4A31" w:rsidRDefault="004E4A31" w:rsidP="00BB1284">
      <w:pPr>
        <w:jc w:val="both"/>
      </w:pPr>
      <w:r>
        <w:t>Major cost drivers:</w:t>
      </w:r>
    </w:p>
    <w:p w:rsidR="004E4A31" w:rsidRDefault="004E4A31" w:rsidP="00BB1284">
      <w:pPr>
        <w:pStyle w:val="ListParagraph"/>
        <w:numPr>
          <w:ilvl w:val="0"/>
          <w:numId w:val="26"/>
        </w:numPr>
        <w:jc w:val="both"/>
      </w:pPr>
      <w:r>
        <w:t>Cloud streaming and storage</w:t>
      </w:r>
    </w:p>
    <w:p w:rsidR="004E4A31" w:rsidRDefault="004E4A31" w:rsidP="00BB1284">
      <w:pPr>
        <w:pStyle w:val="ListParagraph"/>
        <w:numPr>
          <w:ilvl w:val="0"/>
          <w:numId w:val="26"/>
        </w:numPr>
        <w:jc w:val="both"/>
      </w:pPr>
      <w:r>
        <w:t>Licensing fees</w:t>
      </w:r>
    </w:p>
    <w:p w:rsidR="004E4A31" w:rsidRDefault="004E4A31" w:rsidP="00BB1284">
      <w:pPr>
        <w:pStyle w:val="ListParagraph"/>
        <w:numPr>
          <w:ilvl w:val="0"/>
          <w:numId w:val="26"/>
        </w:numPr>
        <w:jc w:val="both"/>
      </w:pPr>
      <w:r>
        <w:t>Marketing spends</w:t>
      </w:r>
    </w:p>
    <w:p w:rsidR="004E4A31" w:rsidRDefault="004E4A31" w:rsidP="00BB1284">
      <w:pPr>
        <w:pStyle w:val="ListParagraph"/>
        <w:numPr>
          <w:ilvl w:val="0"/>
          <w:numId w:val="26"/>
        </w:numPr>
        <w:jc w:val="both"/>
      </w:pPr>
      <w:r>
        <w:t>Platform maintenance</w:t>
      </w:r>
    </w:p>
    <w:p w:rsidR="004E4A31" w:rsidRDefault="004E4A31" w:rsidP="00BB1284">
      <w:pPr>
        <w:pStyle w:val="ListParagraph"/>
        <w:numPr>
          <w:ilvl w:val="0"/>
          <w:numId w:val="26"/>
        </w:numPr>
        <w:jc w:val="both"/>
      </w:pPr>
      <w:r>
        <w:t>Strategic compliance and cybersecurity.</w:t>
      </w:r>
    </w:p>
    <w:p w:rsidR="004E4A31" w:rsidRDefault="004E4A31" w:rsidP="00BB1284">
      <w:pPr>
        <w:jc w:val="both"/>
      </w:pPr>
      <w:r>
        <w:t>This semi-fixed cost design is able to scale with the breakeven level.</w:t>
      </w:r>
    </w:p>
    <w:p w:rsidR="004E4A31" w:rsidRDefault="004E4A31" w:rsidP="00BB1284">
      <w:pPr>
        <w:pStyle w:val="Heading1"/>
      </w:pPr>
      <w:bookmarkStart w:id="96" w:name="_Toc220991393"/>
      <w:r>
        <w:t>10.8 Revenue Streams</w:t>
      </w:r>
      <w:bookmarkEnd w:id="96"/>
    </w:p>
    <w:p w:rsidR="004E4A31" w:rsidRDefault="004E4A31" w:rsidP="00BB1284">
      <w:pPr>
        <w:jc w:val="both"/>
      </w:pPr>
      <w:r>
        <w:t>Diversification of revenues is done in:</w:t>
      </w:r>
    </w:p>
    <w:p w:rsidR="004E4A31" w:rsidRDefault="004E4A31" w:rsidP="00BB1284">
      <w:pPr>
        <w:pStyle w:val="ListParagraph"/>
        <w:numPr>
          <w:ilvl w:val="0"/>
          <w:numId w:val="25"/>
        </w:numPr>
        <w:jc w:val="both"/>
      </w:pPr>
      <w:r>
        <w:t>Subscriptions (£5.99–£9.99/month)</w:t>
      </w:r>
    </w:p>
    <w:p w:rsidR="004E4A31" w:rsidRDefault="004E4A31" w:rsidP="00BB1284">
      <w:pPr>
        <w:pStyle w:val="ListParagraph"/>
        <w:numPr>
          <w:ilvl w:val="0"/>
          <w:numId w:val="25"/>
        </w:numPr>
        <w:jc w:val="both"/>
      </w:pPr>
      <w:r>
        <w:t>Advertising (CPM-based)</w:t>
      </w:r>
    </w:p>
    <w:p w:rsidR="004E4A31" w:rsidRDefault="004E4A31" w:rsidP="00BB1284">
      <w:pPr>
        <w:pStyle w:val="ListParagraph"/>
        <w:numPr>
          <w:ilvl w:val="0"/>
          <w:numId w:val="25"/>
        </w:numPr>
        <w:jc w:val="both"/>
      </w:pPr>
      <w:r>
        <w:t xml:space="preserve">Live concert </w:t>
      </w:r>
      <w:proofErr w:type="spellStart"/>
      <w:r>
        <w:t>ticketsArtist</w:t>
      </w:r>
      <w:proofErr w:type="spellEnd"/>
      <w:r>
        <w:t xml:space="preserve"> promotion tools</w:t>
      </w:r>
    </w:p>
    <w:p w:rsidR="004E4A31" w:rsidRDefault="004E4A31" w:rsidP="00BB1284">
      <w:pPr>
        <w:jc w:val="both"/>
      </w:pPr>
      <w:r>
        <w:t>Such a hybrid model will lessen the reliance on one source of revenue.</w:t>
      </w:r>
    </w:p>
    <w:p w:rsidR="004E4A31" w:rsidRDefault="004E4A31" w:rsidP="00BB1284">
      <w:pPr>
        <w:jc w:val="both"/>
      </w:pPr>
      <w:r>
        <w:t>10.9 Integration of the Canvas</w:t>
      </w:r>
    </w:p>
    <w:p w:rsidR="004E4A31" w:rsidRDefault="004E4A31" w:rsidP="00BB1284">
      <w:pPr>
        <w:jc w:val="both"/>
      </w:pPr>
      <w:r>
        <w:lastRenderedPageBreak/>
        <w:t xml:space="preserve">Business Model Canvas reveals the strategic consistency between customer value, operations and financial sustainability. The hybrid model provided by </w:t>
      </w:r>
      <w:proofErr w:type="spellStart"/>
      <w:r>
        <w:t>Discours</w:t>
      </w:r>
      <w:proofErr w:type="spellEnd"/>
      <w:r>
        <w:t xml:space="preserve"> offers a balance between platform economics and empowerment of the creators, allowing them to become competitive in the changing digital entertainment market.</w:t>
      </w:r>
    </w:p>
    <w:p w:rsidR="00BB1284" w:rsidRDefault="00BB1284" w:rsidP="00BB1284">
      <w:pPr>
        <w:jc w:val="both"/>
        <w:rPr>
          <w:b/>
          <w:bCs/>
          <w:sz w:val="28"/>
          <w:szCs w:val="28"/>
          <w:lang w:val="en-IN"/>
        </w:rPr>
      </w:pPr>
    </w:p>
    <w:p w:rsidR="004E4A31" w:rsidRPr="0082069E" w:rsidRDefault="004E4A31" w:rsidP="00BB1284">
      <w:pPr>
        <w:pStyle w:val="Title"/>
        <w:rPr>
          <w:lang w:val="en-IN"/>
        </w:rPr>
      </w:pPr>
      <w:bookmarkStart w:id="97" w:name="_Toc220991394"/>
      <w:r w:rsidRPr="0082069E">
        <w:rPr>
          <w:lang w:val="en-IN"/>
        </w:rPr>
        <w:t>Chapter 11</w:t>
      </w:r>
      <w:r w:rsidR="00B4204D">
        <w:rPr>
          <w:lang w:val="en-IN"/>
        </w:rPr>
        <w:t>: C</w:t>
      </w:r>
      <w:r w:rsidR="00B4204D" w:rsidRPr="00B4204D">
        <w:rPr>
          <w:lang w:val="en-IN"/>
        </w:rPr>
        <w:t>onclusion</w:t>
      </w:r>
      <w:bookmarkEnd w:id="97"/>
    </w:p>
    <w:p w:rsidR="004E4A31" w:rsidRPr="0082069E" w:rsidRDefault="004E4A31" w:rsidP="00BB1284">
      <w:pPr>
        <w:jc w:val="both"/>
        <w:rPr>
          <w:lang w:val="en-IN"/>
        </w:rPr>
      </w:pPr>
      <w:r w:rsidRPr="0082069E">
        <w:rPr>
          <w:lang w:val="en-IN"/>
        </w:rPr>
        <w:t xml:space="preserve">This Business Development Proposal has critically looked into the viability, strategic justification, and the possibility of implementation of Discsoul, an all-in-one music and video streaming platform with subscription services, advertisement, and live concert streamlining into one digital ecosystem. The discussion indicates that Discsoul is in a good place to fill structural gaps in the global digital entertainment sector, specifically platform fragmentation, unequal monetisation of artists, and lack of engagement among audiences in the conventional streaming systems </w:t>
      </w:r>
      <w:r w:rsidRPr="00A20404">
        <w:rPr>
          <w:lang w:val="en-IN"/>
        </w:rPr>
        <w:t>(Deloitte, 2025; Goldman Sachs, 2025)</w:t>
      </w:r>
      <w:r w:rsidRPr="0082069E">
        <w:rPr>
          <w:lang w:val="en-IN"/>
        </w:rPr>
        <w:t>.</w:t>
      </w:r>
    </w:p>
    <w:p w:rsidR="004E4A31" w:rsidRPr="0082069E" w:rsidRDefault="004E4A31" w:rsidP="00BB1284">
      <w:pPr>
        <w:jc w:val="both"/>
        <w:rPr>
          <w:lang w:val="en-IN"/>
        </w:rPr>
      </w:pPr>
    </w:p>
    <w:p w:rsidR="004E4A31" w:rsidRPr="0082069E" w:rsidRDefault="004E4A31" w:rsidP="00BB1284">
      <w:pPr>
        <w:jc w:val="both"/>
        <w:rPr>
          <w:lang w:val="en-IN"/>
        </w:rPr>
      </w:pPr>
      <w:r w:rsidRPr="0082069E">
        <w:rPr>
          <w:lang w:val="en-IN"/>
        </w:rPr>
        <w:t>This proposal showed that the consumer demand in the immersive, personalised, and community-based digital entertainment experiences is increasing rapidly, with the development of cloud computing, artificial intelligence, and mobility consumption trends (Statista, 2024). The hybrid business model suggested by Discsoul is quite adaptable to these trends since it will provide the option of tiered subscriptions, targeted advertising, and live virtual concerts, respectively, thus diversifying their revenue streams and eliminating reliance on a single source of income. Such strategy ensures financial stability and scalability, and this is essential in an industry that is extremely competitive and capital-intensive (</w:t>
      </w:r>
      <w:r w:rsidRPr="00A20404">
        <w:rPr>
          <w:lang w:val="en-IN"/>
        </w:rPr>
        <w:t>Deloitte, 2025</w:t>
      </w:r>
      <w:r w:rsidRPr="0082069E">
        <w:rPr>
          <w:lang w:val="en-IN"/>
        </w:rPr>
        <w:t>).</w:t>
      </w:r>
    </w:p>
    <w:p w:rsidR="004E4A31" w:rsidRPr="0082069E" w:rsidRDefault="004E4A31" w:rsidP="00BB1284">
      <w:pPr>
        <w:jc w:val="both"/>
        <w:rPr>
          <w:lang w:val="en-IN"/>
        </w:rPr>
      </w:pPr>
    </w:p>
    <w:p w:rsidR="004E4A31" w:rsidRPr="0082069E" w:rsidRDefault="004E4A31" w:rsidP="00BB1284">
      <w:pPr>
        <w:jc w:val="both"/>
        <w:rPr>
          <w:lang w:val="en-IN"/>
        </w:rPr>
      </w:pPr>
      <w:r w:rsidRPr="0082069E">
        <w:rPr>
          <w:lang w:val="en-IN"/>
        </w:rPr>
        <w:t>In terms of operation and technology, the proposal concluded that the cloud-based platform and AI-driven recommendation engine offered by Discsoul is both scalable and efficient, thus capable of reaching the global market at a manageable cost. The progressive implementation roadmap and organised governance framework minimises the risk of execution and enables to learn gradually, which is also in line with the best practise of developing digital platforms. Also, the addition of a special artist and industry portal enhances the value co-creation and facilitates the distribution of revenue more equally, which is a central reproach to the mainstream streaming platforms</w:t>
      </w:r>
      <w:r>
        <w:rPr>
          <w:lang w:val="en-IN"/>
        </w:rPr>
        <w:t>.</w:t>
      </w:r>
    </w:p>
    <w:p w:rsidR="004E4A31" w:rsidRPr="0082069E" w:rsidRDefault="004E4A31" w:rsidP="00BB1284">
      <w:pPr>
        <w:jc w:val="both"/>
        <w:rPr>
          <w:lang w:val="en-IN"/>
        </w:rPr>
      </w:pPr>
    </w:p>
    <w:p w:rsidR="004E4A31" w:rsidRDefault="004E4A31" w:rsidP="00BB1284">
      <w:pPr>
        <w:jc w:val="both"/>
        <w:rPr>
          <w:lang w:val="en-IN"/>
        </w:rPr>
      </w:pPr>
      <w:r w:rsidRPr="0082069E">
        <w:rPr>
          <w:lang w:val="en-IN"/>
        </w:rPr>
        <w:t xml:space="preserve">Financial analysis throughout the proposal revealed that Discsoul can reach breakeven within a feasible time frame in a conservative assumption, with the help of a sound cost architecture and data-driven customer acquisition techniques. Risk analysis also revealed that the regulatory, technological and market risks can be </w:t>
      </w:r>
      <w:r w:rsidRPr="0082069E">
        <w:rPr>
          <w:lang w:val="en-IN"/>
        </w:rPr>
        <w:lastRenderedPageBreak/>
        <w:t>mitigated by active compliance, diversification and strategic alliances</w:t>
      </w:r>
      <w:r w:rsidRPr="00F74D1B">
        <w:rPr>
          <w:rFonts w:ascii="Times New Roman" w:eastAsia="Times New Roman" w:hAnsi="Times New Roman" w:cs="Times New Roman"/>
          <w:kern w:val="0"/>
          <w:lang w:val="en-IN" w:eastAsia="en-IN"/>
          <w14:ligatures w14:val="none"/>
        </w:rPr>
        <w:t xml:space="preserve"> </w:t>
      </w:r>
      <w:r w:rsidRPr="00F74D1B">
        <w:rPr>
          <w:lang w:val="en-IN"/>
        </w:rPr>
        <w:t>(Government of UK, 2022)</w:t>
      </w:r>
      <w:r>
        <w:rPr>
          <w:lang w:val="en-IN"/>
        </w:rPr>
        <w:t>.</w:t>
      </w:r>
    </w:p>
    <w:p w:rsidR="004E4A31" w:rsidRDefault="004E4A31" w:rsidP="00BB1284">
      <w:pPr>
        <w:jc w:val="both"/>
        <w:rPr>
          <w:lang w:val="en-IN"/>
        </w:rPr>
      </w:pPr>
    </w:p>
    <w:p w:rsidR="004E4A31" w:rsidRDefault="004E4A31" w:rsidP="00BB1284">
      <w:pPr>
        <w:jc w:val="both"/>
        <w:rPr>
          <w:lang w:val="en-IN"/>
        </w:rPr>
      </w:pPr>
    </w:p>
    <w:p w:rsidR="00BB1284" w:rsidRDefault="00BB1284" w:rsidP="00BB1284">
      <w:pPr>
        <w:jc w:val="both"/>
        <w:rPr>
          <w:lang w:val="en-IN"/>
        </w:rPr>
      </w:pPr>
    </w:p>
    <w:tbl>
      <w:tblPr>
        <w:tblStyle w:val="TableGrid"/>
        <w:tblW w:w="0" w:type="auto"/>
        <w:tblLook w:val="04A0" w:firstRow="1" w:lastRow="0" w:firstColumn="1" w:lastColumn="0" w:noHBand="0" w:noVBand="1"/>
      </w:tblPr>
      <w:tblGrid>
        <w:gridCol w:w="4508"/>
        <w:gridCol w:w="4508"/>
      </w:tblGrid>
      <w:tr w:rsidR="004E4A31" w:rsidTr="00464AF0">
        <w:tc>
          <w:tcPr>
            <w:tcW w:w="4508" w:type="dxa"/>
            <w:vAlign w:val="center"/>
          </w:tcPr>
          <w:p w:rsidR="004E4A31" w:rsidRDefault="004E4A31" w:rsidP="00BB1284">
            <w:pPr>
              <w:jc w:val="both"/>
              <w:rPr>
                <w:b/>
                <w:bCs/>
                <w:lang w:val="en-IN"/>
              </w:rPr>
            </w:pPr>
            <w:r>
              <w:rPr>
                <w:b/>
                <w:bCs/>
              </w:rPr>
              <w:t>Dimension</w:t>
            </w:r>
          </w:p>
        </w:tc>
        <w:tc>
          <w:tcPr>
            <w:tcW w:w="4508" w:type="dxa"/>
            <w:vAlign w:val="center"/>
          </w:tcPr>
          <w:p w:rsidR="004E4A31" w:rsidRDefault="004E4A31" w:rsidP="00BB1284">
            <w:pPr>
              <w:jc w:val="both"/>
              <w:rPr>
                <w:b/>
                <w:bCs/>
              </w:rPr>
            </w:pPr>
            <w:r>
              <w:rPr>
                <w:b/>
                <w:bCs/>
              </w:rPr>
              <w:t>Outcome</w:t>
            </w:r>
          </w:p>
        </w:tc>
      </w:tr>
      <w:tr w:rsidR="004E4A31" w:rsidTr="00464AF0">
        <w:tc>
          <w:tcPr>
            <w:tcW w:w="4508" w:type="dxa"/>
            <w:vAlign w:val="center"/>
          </w:tcPr>
          <w:p w:rsidR="004E4A31" w:rsidRDefault="004E4A31" w:rsidP="00BB1284">
            <w:pPr>
              <w:jc w:val="both"/>
            </w:pPr>
            <w:r>
              <w:t>Market Opportunity</w:t>
            </w:r>
          </w:p>
        </w:tc>
        <w:tc>
          <w:tcPr>
            <w:tcW w:w="4508" w:type="dxa"/>
            <w:vAlign w:val="center"/>
          </w:tcPr>
          <w:p w:rsidR="004E4A31" w:rsidRDefault="004E4A31" w:rsidP="00BB1284">
            <w:pPr>
              <w:jc w:val="both"/>
            </w:pPr>
            <w:r w:rsidRPr="0082069E">
              <w:t>High growth world streaming market High market opportunity.</w:t>
            </w:r>
          </w:p>
        </w:tc>
      </w:tr>
      <w:tr w:rsidR="004E4A31" w:rsidTr="00464AF0">
        <w:tc>
          <w:tcPr>
            <w:tcW w:w="4508" w:type="dxa"/>
            <w:vAlign w:val="center"/>
          </w:tcPr>
          <w:p w:rsidR="004E4A31" w:rsidRDefault="004E4A31" w:rsidP="00BB1284">
            <w:pPr>
              <w:jc w:val="both"/>
            </w:pPr>
            <w:r>
              <w:t>Business Model</w:t>
            </w:r>
          </w:p>
        </w:tc>
        <w:tc>
          <w:tcPr>
            <w:tcW w:w="4508" w:type="dxa"/>
            <w:vAlign w:val="center"/>
          </w:tcPr>
          <w:p w:rsidR="004E4A31" w:rsidRDefault="004E4A31" w:rsidP="00BB1284">
            <w:pPr>
              <w:jc w:val="both"/>
            </w:pPr>
            <w:r>
              <w:t>Diversified hybrid revenue</w:t>
            </w:r>
          </w:p>
        </w:tc>
      </w:tr>
      <w:tr w:rsidR="004E4A31" w:rsidTr="00464AF0">
        <w:tc>
          <w:tcPr>
            <w:tcW w:w="4508" w:type="dxa"/>
            <w:vAlign w:val="center"/>
          </w:tcPr>
          <w:p w:rsidR="004E4A31" w:rsidRDefault="004E4A31" w:rsidP="00BB1284">
            <w:pPr>
              <w:jc w:val="both"/>
            </w:pPr>
            <w:r>
              <w:t>Technology</w:t>
            </w:r>
          </w:p>
        </w:tc>
        <w:tc>
          <w:tcPr>
            <w:tcW w:w="4508" w:type="dxa"/>
            <w:vAlign w:val="center"/>
          </w:tcPr>
          <w:p w:rsidR="004E4A31" w:rsidRDefault="004E4A31" w:rsidP="00BB1284">
            <w:pPr>
              <w:jc w:val="both"/>
            </w:pPr>
            <w:r>
              <w:t>Scalable, AI-enabled</w:t>
            </w:r>
          </w:p>
        </w:tc>
      </w:tr>
      <w:tr w:rsidR="004E4A31" w:rsidTr="00464AF0">
        <w:tc>
          <w:tcPr>
            <w:tcW w:w="4508" w:type="dxa"/>
            <w:vAlign w:val="center"/>
          </w:tcPr>
          <w:p w:rsidR="004E4A31" w:rsidRDefault="004E4A31" w:rsidP="00BB1284">
            <w:pPr>
              <w:jc w:val="both"/>
            </w:pPr>
            <w:r>
              <w:t>Financial Viability</w:t>
            </w:r>
          </w:p>
        </w:tc>
        <w:tc>
          <w:tcPr>
            <w:tcW w:w="4508" w:type="dxa"/>
            <w:vAlign w:val="center"/>
          </w:tcPr>
          <w:p w:rsidR="004E4A31" w:rsidRDefault="004E4A31" w:rsidP="00BB1284">
            <w:pPr>
              <w:jc w:val="both"/>
            </w:pPr>
            <w:r w:rsidRPr="0082069E">
              <w:t>Sustainable through controlled risk Sustainable Capital.</w:t>
            </w:r>
          </w:p>
        </w:tc>
      </w:tr>
      <w:tr w:rsidR="004E4A31" w:rsidTr="00464AF0">
        <w:tc>
          <w:tcPr>
            <w:tcW w:w="4508" w:type="dxa"/>
            <w:vAlign w:val="center"/>
          </w:tcPr>
          <w:p w:rsidR="004E4A31" w:rsidRDefault="004E4A31" w:rsidP="00BB1284">
            <w:pPr>
              <w:jc w:val="both"/>
            </w:pPr>
            <w:r>
              <w:t>Strategic Fit</w:t>
            </w:r>
          </w:p>
        </w:tc>
        <w:tc>
          <w:tcPr>
            <w:tcW w:w="4508" w:type="dxa"/>
            <w:vAlign w:val="center"/>
          </w:tcPr>
          <w:p w:rsidR="004E4A31" w:rsidRDefault="004E4A31" w:rsidP="00BB1284">
            <w:pPr>
              <w:jc w:val="both"/>
            </w:pPr>
            <w:r>
              <w:t>Strong alignment with UK digital policy</w:t>
            </w:r>
          </w:p>
        </w:tc>
      </w:tr>
    </w:tbl>
    <w:p w:rsidR="004E4A31" w:rsidRDefault="004E4A31" w:rsidP="00BB1284">
      <w:pPr>
        <w:jc w:val="both"/>
        <w:rPr>
          <w:lang w:val="en-IN"/>
        </w:rPr>
      </w:pPr>
    </w:p>
    <w:p w:rsidR="004E4A31" w:rsidRDefault="004E4A31" w:rsidP="00BB1284">
      <w:pPr>
        <w:jc w:val="both"/>
        <w:rPr>
          <w:lang w:val="en-IN"/>
        </w:rPr>
      </w:pPr>
    </w:p>
    <w:p w:rsidR="004E4A31" w:rsidRDefault="004E4A31" w:rsidP="00BB1284">
      <w:pPr>
        <w:jc w:val="both"/>
      </w:pPr>
      <w:r w:rsidRPr="0082069E">
        <w:t xml:space="preserve">An overview of radar chart of Discsoul performance in terms of five dimensions, which are market potential, innovation, scalability, financial sustainability, and risk control. </w:t>
      </w:r>
    </w:p>
    <w:p w:rsidR="004E4A31" w:rsidRDefault="004E4A31" w:rsidP="00BB1284">
      <w:pPr>
        <w:jc w:val="both"/>
      </w:pPr>
      <w:r w:rsidRPr="0082069E">
        <w:t>To summarise, this proposal indicates that Discsoul is a future-focused and strategically differentiated commercially viable digital platform. Through disciplined implementation and adaptive governance, Discsoul can attain sustainable development and, at the same time, make a positive contribution to the changing digital music and media environment.</w:t>
      </w:r>
    </w:p>
    <w:p w:rsidR="007A0380" w:rsidRDefault="007A0380"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684797">
      <w:pPr>
        <w:jc w:val="both"/>
        <w:rPr>
          <w:rFonts w:cs="Arial"/>
        </w:rPr>
      </w:pPr>
    </w:p>
    <w:p w:rsidR="00F70BF1" w:rsidRDefault="00F70BF1" w:rsidP="00104134">
      <w:pPr>
        <w:pStyle w:val="Title"/>
      </w:pPr>
      <w:bookmarkStart w:id="98" w:name="_Toc220991395"/>
      <w:r w:rsidRPr="00F70BF1">
        <w:lastRenderedPageBreak/>
        <w:t>References</w:t>
      </w:r>
      <w:bookmarkEnd w:id="98"/>
    </w:p>
    <w:p w:rsidR="00F70BF1" w:rsidRPr="008D2A2B" w:rsidRDefault="00F70BF1" w:rsidP="00F70BF1">
      <w:pPr>
        <w:rPr>
          <w:rFonts w:cs="Arial"/>
          <w:lang w:val="en-IN"/>
        </w:rPr>
      </w:pPr>
      <w:r w:rsidRPr="008D2A2B">
        <w:rPr>
          <w:rFonts w:cs="Arial"/>
          <w:lang w:val="en-IN"/>
        </w:rPr>
        <w:t xml:space="preserve">PwC (2024). </w:t>
      </w:r>
      <w:r w:rsidRPr="008D2A2B">
        <w:rPr>
          <w:rFonts w:cs="Arial"/>
          <w:i/>
          <w:iCs/>
          <w:lang w:val="en-IN"/>
        </w:rPr>
        <w:t>PwC Global Entertainment &amp; Media Outlook 2024-28 | PwC</w:t>
      </w:r>
      <w:r w:rsidRPr="008D2A2B">
        <w:rPr>
          <w:rFonts w:cs="Arial"/>
          <w:lang w:val="en-IN"/>
        </w:rPr>
        <w:t xml:space="preserve">. [online] PwC. Available at: </w:t>
      </w:r>
      <w:hyperlink r:id="rId21" w:history="1">
        <w:r w:rsidRPr="008D2A2B">
          <w:rPr>
            <w:rStyle w:val="Hyperlink"/>
            <w:rFonts w:cs="Arial"/>
            <w:lang w:val="en-IN"/>
          </w:rPr>
          <w:t>https://www.pwc.com/gx/en/news-room/press-releases/2024/pwc-global-entertainment-and-media-outlook-2024-28.html</w:t>
        </w:r>
      </w:hyperlink>
      <w:r w:rsidRPr="008D2A2B">
        <w:rPr>
          <w:rFonts w:cs="Arial"/>
          <w:lang w:val="en-IN"/>
        </w:rPr>
        <w:t>.</w:t>
      </w:r>
      <w:r>
        <w:rPr>
          <w:rFonts w:cs="Arial"/>
          <w:lang w:val="en-IN"/>
        </w:rPr>
        <w:t xml:space="preserve"> </w:t>
      </w:r>
    </w:p>
    <w:p w:rsidR="00F70BF1" w:rsidRPr="008D2A2B" w:rsidRDefault="00F70BF1" w:rsidP="00F70BF1">
      <w:pPr>
        <w:rPr>
          <w:rFonts w:cs="Arial"/>
          <w:lang w:val="en-IN"/>
        </w:rPr>
      </w:pPr>
      <w:r w:rsidRPr="008D2A2B">
        <w:rPr>
          <w:rFonts w:cs="Arial"/>
          <w:lang w:val="en-IN"/>
        </w:rPr>
        <w:t xml:space="preserve">IFPI (2025). </w:t>
      </w:r>
      <w:r w:rsidRPr="008D2A2B">
        <w:rPr>
          <w:rFonts w:cs="Arial"/>
          <w:i/>
          <w:iCs/>
          <w:lang w:val="en-IN"/>
        </w:rPr>
        <w:t>Global Music Report 2025</w:t>
      </w:r>
      <w:r w:rsidRPr="008D2A2B">
        <w:rPr>
          <w:rFonts w:cs="Arial"/>
          <w:lang w:val="en-IN"/>
        </w:rPr>
        <w:t xml:space="preserve">. [online] Available at: </w:t>
      </w:r>
      <w:hyperlink r:id="rId22" w:history="1">
        <w:r w:rsidRPr="008D2A2B">
          <w:rPr>
            <w:rStyle w:val="Hyperlink"/>
            <w:rFonts w:cs="Arial"/>
            <w:lang w:val="en-IN"/>
          </w:rPr>
          <w:t>https://www.ifpi.org/wp-content/uploads/2024/03/GMR2025_SOTI.pdf</w:t>
        </w:r>
      </w:hyperlink>
      <w:r w:rsidRPr="008D2A2B">
        <w:rPr>
          <w:rFonts w:cs="Arial"/>
          <w:lang w:val="en-IN"/>
        </w:rPr>
        <w:t>.</w:t>
      </w:r>
      <w:r>
        <w:rPr>
          <w:rFonts w:cs="Arial"/>
          <w:lang w:val="en-IN"/>
        </w:rPr>
        <w:t xml:space="preserve"> </w:t>
      </w:r>
    </w:p>
    <w:p w:rsidR="00F70BF1" w:rsidRDefault="00F70BF1" w:rsidP="00F70BF1">
      <w:pPr>
        <w:rPr>
          <w:rFonts w:cs="Arial"/>
          <w:lang w:val="en-IN"/>
        </w:rPr>
      </w:pPr>
      <w:proofErr w:type="spellStart"/>
      <w:r w:rsidRPr="00843390">
        <w:rPr>
          <w:rFonts w:cs="Arial"/>
          <w:lang w:val="en-IN"/>
        </w:rPr>
        <w:t>TechSci</w:t>
      </w:r>
      <w:proofErr w:type="spellEnd"/>
      <w:r w:rsidRPr="00843390">
        <w:rPr>
          <w:rFonts w:cs="Arial"/>
          <w:lang w:val="en-IN"/>
        </w:rPr>
        <w:t xml:space="preserve"> Research</w:t>
      </w:r>
      <w:r>
        <w:rPr>
          <w:rFonts w:cs="Arial"/>
          <w:lang w:val="en-IN"/>
        </w:rPr>
        <w:t xml:space="preserve"> (2025)</w:t>
      </w:r>
      <w:r w:rsidRPr="00843390">
        <w:rPr>
          <w:rFonts w:cs="Arial"/>
          <w:lang w:val="en-IN"/>
        </w:rPr>
        <w:t>,</w:t>
      </w:r>
      <w:r>
        <w:rPr>
          <w:rFonts w:cs="Arial"/>
          <w:lang w:val="en-IN"/>
        </w:rPr>
        <w:t xml:space="preserve"> </w:t>
      </w:r>
      <w:r w:rsidRPr="00843390">
        <w:rPr>
          <w:rFonts w:cs="Arial"/>
          <w:i/>
          <w:iCs/>
          <w:lang w:val="en-IN"/>
        </w:rPr>
        <w:t xml:space="preserve">Live Streaming Market </w:t>
      </w:r>
      <w:proofErr w:type="gramStart"/>
      <w:r w:rsidRPr="00843390">
        <w:rPr>
          <w:rFonts w:cs="Arial"/>
          <w:i/>
          <w:iCs/>
          <w:lang w:val="en-IN"/>
        </w:rPr>
        <w:t>By</w:t>
      </w:r>
      <w:proofErr w:type="gramEnd"/>
      <w:r w:rsidRPr="00843390">
        <w:rPr>
          <w:rFonts w:cs="Arial"/>
          <w:i/>
          <w:iCs/>
          <w:lang w:val="en-IN"/>
        </w:rPr>
        <w:t xml:space="preserve"> Size, Share and Forecast 2030F |</w:t>
      </w:r>
      <w:proofErr w:type="spellStart"/>
      <w:r w:rsidRPr="00843390">
        <w:rPr>
          <w:rFonts w:cs="Arial"/>
          <w:i/>
          <w:iCs/>
          <w:lang w:val="en-IN"/>
        </w:rPr>
        <w:t>TechSci</w:t>
      </w:r>
      <w:proofErr w:type="spellEnd"/>
      <w:r w:rsidRPr="00843390">
        <w:rPr>
          <w:rFonts w:cs="Arial"/>
          <w:i/>
          <w:iCs/>
          <w:lang w:val="en-IN"/>
        </w:rPr>
        <w:t xml:space="preserve"> Research</w:t>
      </w:r>
      <w:r w:rsidRPr="00843390">
        <w:rPr>
          <w:rFonts w:cs="Arial"/>
          <w:lang w:val="en-IN"/>
        </w:rPr>
        <w:t xml:space="preserve">. [online]. Available at: </w:t>
      </w:r>
      <w:hyperlink r:id="rId23" w:history="1">
        <w:r w:rsidRPr="00843390">
          <w:rPr>
            <w:rStyle w:val="Hyperlink"/>
            <w:rFonts w:cs="Arial"/>
            <w:lang w:val="en-IN"/>
          </w:rPr>
          <w:t>https://www.techsciresearch.com/report/live-streaming-market/14597.html</w:t>
        </w:r>
      </w:hyperlink>
      <w:r>
        <w:rPr>
          <w:rFonts w:cs="Arial"/>
          <w:lang w:val="en-IN"/>
        </w:rPr>
        <w:t xml:space="preserve"> </w:t>
      </w:r>
      <w:r w:rsidRPr="00843390">
        <w:rPr>
          <w:rFonts w:cs="Arial"/>
          <w:lang w:val="en-IN"/>
        </w:rPr>
        <w:t>[Accessed 30 Dec. 2025].</w:t>
      </w:r>
    </w:p>
    <w:p w:rsidR="00F70BF1" w:rsidRPr="006C0A6B" w:rsidRDefault="00F70BF1" w:rsidP="00F70BF1">
      <w:pPr>
        <w:rPr>
          <w:rFonts w:cs="Arial"/>
          <w:lang w:val="en-IN"/>
        </w:rPr>
      </w:pPr>
      <w:r w:rsidRPr="006C0A6B">
        <w:rPr>
          <w:rFonts w:cs="Arial"/>
          <w:lang w:val="en-IN"/>
        </w:rPr>
        <w:t>Deloitte</w:t>
      </w:r>
      <w:r>
        <w:rPr>
          <w:rFonts w:cs="Arial"/>
          <w:lang w:val="en-IN"/>
        </w:rPr>
        <w:t xml:space="preserve"> </w:t>
      </w:r>
      <w:r w:rsidRPr="006C0A6B">
        <w:rPr>
          <w:rFonts w:cs="Arial"/>
          <w:lang w:val="en-IN"/>
        </w:rPr>
        <w:t xml:space="preserve">(2023). </w:t>
      </w:r>
      <w:r w:rsidRPr="006C0A6B">
        <w:rPr>
          <w:rFonts w:cs="Arial"/>
          <w:i/>
          <w:iCs/>
          <w:lang w:val="en-IN"/>
        </w:rPr>
        <w:t>2023 Digital media trends survey | Deloitte Insights</w:t>
      </w:r>
      <w:r w:rsidRPr="006C0A6B">
        <w:rPr>
          <w:rFonts w:cs="Arial"/>
          <w:lang w:val="en-IN"/>
        </w:rPr>
        <w:t xml:space="preserve">. [online] Available at: </w:t>
      </w:r>
      <w:hyperlink r:id="rId24" w:anchor="gen-zs-and-millennials-find-meaning-and-connection-online" w:history="1">
        <w:r w:rsidRPr="006C0A6B">
          <w:rPr>
            <w:rStyle w:val="Hyperlink"/>
            <w:rFonts w:cs="Arial"/>
            <w:lang w:val="en-IN"/>
          </w:rPr>
          <w:t>https://www.deloitte.com/us/en/insights/industry/technology/digital-media-trends-consumption-habits-survey/2023.html#gen-zs-and-millennials-find-meaning-and-connection-online</w:t>
        </w:r>
      </w:hyperlink>
      <w:r w:rsidRPr="006C0A6B">
        <w:rPr>
          <w:rFonts w:cs="Arial"/>
          <w:lang w:val="en-IN"/>
        </w:rPr>
        <w:t>.</w:t>
      </w:r>
      <w:r>
        <w:rPr>
          <w:rFonts w:cs="Arial"/>
          <w:lang w:val="en-IN"/>
        </w:rPr>
        <w:t xml:space="preserve"> </w:t>
      </w:r>
    </w:p>
    <w:p w:rsidR="00F70BF1" w:rsidRPr="00025A46" w:rsidRDefault="00F70BF1" w:rsidP="00F70BF1">
      <w:pPr>
        <w:rPr>
          <w:rFonts w:cs="Arial"/>
          <w:lang w:val="en-IN"/>
        </w:rPr>
      </w:pPr>
      <w:r w:rsidRPr="00025A46">
        <w:rPr>
          <w:rFonts w:cs="Arial"/>
          <w:lang w:val="en-IN"/>
        </w:rPr>
        <w:t xml:space="preserve">Grand View Research (2023). </w:t>
      </w:r>
      <w:r w:rsidRPr="00025A46">
        <w:rPr>
          <w:rFonts w:cs="Arial"/>
          <w:i/>
          <w:iCs/>
          <w:lang w:val="en-IN"/>
        </w:rPr>
        <w:t>Music Streaming Market Size &amp; Share Report, 2020-2027</w:t>
      </w:r>
      <w:r w:rsidRPr="00025A46">
        <w:rPr>
          <w:rFonts w:cs="Arial"/>
          <w:lang w:val="en-IN"/>
        </w:rPr>
        <w:t xml:space="preserve">. [online] www.grandviewresearch.com. Available at: </w:t>
      </w:r>
      <w:hyperlink r:id="rId25" w:history="1">
        <w:r w:rsidRPr="00025A46">
          <w:rPr>
            <w:rStyle w:val="Hyperlink"/>
            <w:rFonts w:cs="Arial"/>
            <w:lang w:val="en-IN"/>
          </w:rPr>
          <w:t>https://www.grandviewresearch.com/industry-analysis/music-streaming-market</w:t>
        </w:r>
      </w:hyperlink>
      <w:r w:rsidRPr="00025A46">
        <w:rPr>
          <w:rFonts w:cs="Arial"/>
          <w:lang w:val="en-IN"/>
        </w:rPr>
        <w:t>.</w:t>
      </w:r>
      <w:r>
        <w:rPr>
          <w:rFonts w:cs="Arial"/>
          <w:lang w:val="en-IN"/>
        </w:rPr>
        <w:t xml:space="preserve"> </w:t>
      </w:r>
    </w:p>
    <w:p w:rsidR="00F70BF1" w:rsidRDefault="00F70BF1" w:rsidP="00F70BF1">
      <w:pPr>
        <w:rPr>
          <w:rFonts w:cs="Arial"/>
          <w:lang w:val="en-IN"/>
        </w:rPr>
      </w:pPr>
      <w:r>
        <w:rPr>
          <w:rFonts w:cs="Arial"/>
          <w:lang w:val="en-IN"/>
        </w:rPr>
        <w:t>G</w:t>
      </w:r>
      <w:r w:rsidRPr="004816F7">
        <w:rPr>
          <w:rFonts w:cs="Arial"/>
          <w:lang w:val="en-IN"/>
        </w:rPr>
        <w:t>oldman</w:t>
      </w:r>
      <w:r>
        <w:rPr>
          <w:rFonts w:cs="Arial"/>
          <w:lang w:val="en-IN"/>
        </w:rPr>
        <w:t xml:space="preserve"> S</w:t>
      </w:r>
      <w:r w:rsidRPr="004816F7">
        <w:rPr>
          <w:rFonts w:cs="Arial"/>
          <w:lang w:val="en-IN"/>
        </w:rPr>
        <w:t xml:space="preserve">achs (2023). </w:t>
      </w:r>
      <w:r w:rsidRPr="004816F7">
        <w:rPr>
          <w:rFonts w:cs="Arial"/>
          <w:i/>
          <w:iCs/>
          <w:lang w:val="en-IN"/>
        </w:rPr>
        <w:t>The creator economy could approach half-a-trillion dollars by 2027</w:t>
      </w:r>
      <w:r w:rsidRPr="004816F7">
        <w:rPr>
          <w:rFonts w:cs="Arial"/>
          <w:lang w:val="en-IN"/>
        </w:rPr>
        <w:t xml:space="preserve">. [online] Available at: </w:t>
      </w:r>
      <w:hyperlink r:id="rId26" w:history="1">
        <w:r w:rsidRPr="004816F7">
          <w:rPr>
            <w:rStyle w:val="Hyperlink"/>
            <w:rFonts w:cs="Arial"/>
            <w:lang w:val="en-IN"/>
          </w:rPr>
          <w:t>https://www.goldmansachs.com/insights/articles/the-creator-economy-could-approach-half-a-trillion-dollars-by-2027.html</w:t>
        </w:r>
      </w:hyperlink>
      <w:r w:rsidRPr="004816F7">
        <w:rPr>
          <w:rFonts w:cs="Arial"/>
          <w:lang w:val="en-IN"/>
        </w:rPr>
        <w:t>.</w:t>
      </w:r>
      <w:r>
        <w:rPr>
          <w:rFonts w:cs="Arial"/>
          <w:lang w:val="en-IN"/>
        </w:rPr>
        <w:t xml:space="preserve"> </w:t>
      </w:r>
    </w:p>
    <w:p w:rsidR="00F70BF1" w:rsidRPr="004816F7" w:rsidRDefault="00F70BF1" w:rsidP="00F70BF1">
      <w:pPr>
        <w:rPr>
          <w:rFonts w:cs="Arial"/>
          <w:lang w:val="en-IN"/>
        </w:rPr>
      </w:pPr>
      <w:r>
        <w:rPr>
          <w:rFonts w:cs="Arial"/>
          <w:lang w:val="en-IN"/>
        </w:rPr>
        <w:t>DCMS</w:t>
      </w:r>
      <w:r w:rsidRPr="00562C2A">
        <w:rPr>
          <w:rFonts w:cs="Arial"/>
          <w:lang w:val="en-IN"/>
        </w:rPr>
        <w:t xml:space="preserve"> (2022). </w:t>
      </w:r>
      <w:r w:rsidRPr="00562C2A">
        <w:rPr>
          <w:rFonts w:cs="Arial"/>
          <w:i/>
          <w:iCs/>
          <w:lang w:val="en-IN"/>
        </w:rPr>
        <w:t>DCMS Sector Economic Estimates: Workforce, 2021</w:t>
      </w:r>
      <w:r w:rsidRPr="00562C2A">
        <w:rPr>
          <w:rFonts w:cs="Arial"/>
          <w:lang w:val="en-IN"/>
        </w:rPr>
        <w:t>. [online] GOV.UK. Available at:</w:t>
      </w:r>
      <w:r w:rsidR="00AE592A">
        <w:rPr>
          <w:rFonts w:cs="Arial"/>
          <w:lang w:val="en-IN"/>
        </w:rPr>
        <w:t xml:space="preserve"> </w:t>
      </w:r>
      <w:r w:rsidRPr="00562C2A">
        <w:rPr>
          <w:rFonts w:cs="Arial"/>
          <w:lang w:val="en-IN"/>
        </w:rPr>
        <w:t>https://www.gov.uk/government/statistics/dcms-sector-economic-estimates-workforce-202</w:t>
      </w:r>
      <w:r w:rsidR="00AE592A">
        <w:rPr>
          <w:rFonts w:cs="Arial"/>
          <w:lang w:val="en-IN"/>
        </w:rPr>
        <w:t>1.</w:t>
      </w:r>
    </w:p>
    <w:p w:rsidR="00F70BF1" w:rsidRPr="001741C9" w:rsidRDefault="00F70BF1" w:rsidP="00F70BF1">
      <w:pPr>
        <w:rPr>
          <w:rFonts w:cs="Arial"/>
          <w:lang w:val="en-IN"/>
        </w:rPr>
      </w:pPr>
      <w:r w:rsidRPr="001741C9">
        <w:rPr>
          <w:rFonts w:cs="Arial"/>
          <w:lang w:val="en-IN"/>
        </w:rPr>
        <w:t xml:space="preserve">Government of UK (2022). </w:t>
      </w:r>
      <w:r w:rsidRPr="001741C9">
        <w:rPr>
          <w:rFonts w:cs="Arial"/>
          <w:i/>
          <w:iCs/>
          <w:lang w:val="en-IN"/>
        </w:rPr>
        <w:t>UK Digital Strategy</w:t>
      </w:r>
      <w:r w:rsidRPr="001741C9">
        <w:rPr>
          <w:rFonts w:cs="Arial"/>
          <w:lang w:val="en-IN"/>
        </w:rPr>
        <w:t xml:space="preserve">. [online] GOV.UK. Available at: </w:t>
      </w:r>
      <w:hyperlink r:id="rId27" w:history="1">
        <w:r w:rsidRPr="009E1EE8">
          <w:rPr>
            <w:rStyle w:val="Hyperlink"/>
            <w:rFonts w:cs="Arial"/>
            <w:lang w:val="en-IN"/>
          </w:rPr>
          <w:t>https://www.gov.uk/government/publications/uks-digital-strategy/uk-digital-strategy</w:t>
        </w:r>
      </w:hyperlink>
      <w:r w:rsidRPr="001741C9">
        <w:rPr>
          <w:rFonts w:cs="Arial"/>
          <w:lang w:val="en-IN"/>
        </w:rPr>
        <w:t>.</w:t>
      </w:r>
      <w:r>
        <w:rPr>
          <w:rFonts w:cs="Arial"/>
          <w:lang w:val="en-IN"/>
        </w:rPr>
        <w:t xml:space="preserve"> </w:t>
      </w:r>
    </w:p>
    <w:p w:rsidR="00F70BF1" w:rsidRPr="005633DE" w:rsidRDefault="00F70BF1" w:rsidP="00F70BF1">
      <w:pPr>
        <w:rPr>
          <w:rFonts w:cs="Arial"/>
          <w:lang w:val="en-IN"/>
        </w:rPr>
      </w:pPr>
      <w:bookmarkStart w:id="99" w:name="_Hlk218615518"/>
      <w:r w:rsidRPr="005633DE">
        <w:rPr>
          <w:rFonts w:cs="Arial"/>
          <w:lang w:val="en-IN"/>
        </w:rPr>
        <w:t xml:space="preserve">GOV.UK (2023). </w:t>
      </w:r>
      <w:r w:rsidRPr="005633DE">
        <w:rPr>
          <w:rFonts w:cs="Arial"/>
          <w:i/>
          <w:iCs/>
          <w:lang w:val="en-IN"/>
        </w:rPr>
        <w:t>Creative Industries Sector Vision</w:t>
      </w:r>
      <w:r w:rsidRPr="005633DE">
        <w:rPr>
          <w:rFonts w:cs="Arial"/>
          <w:lang w:val="en-IN"/>
        </w:rPr>
        <w:t xml:space="preserve">. [online] Available at: </w:t>
      </w:r>
      <w:hyperlink r:id="rId28" w:history="1">
        <w:r w:rsidRPr="005633DE">
          <w:rPr>
            <w:rStyle w:val="Hyperlink"/>
            <w:rFonts w:cs="Arial"/>
            <w:lang w:val="en-IN"/>
          </w:rPr>
          <w:t>https://assets.publishing.service.gov.uk/media/64898de2b32b9e000ca96712/Creative_Industries_Sector_Vision__accessible_version_.pdf</w:t>
        </w:r>
      </w:hyperlink>
      <w:r w:rsidRPr="005633DE">
        <w:rPr>
          <w:rFonts w:cs="Arial"/>
          <w:lang w:val="en-IN"/>
        </w:rPr>
        <w:t>.</w:t>
      </w:r>
      <w:r>
        <w:rPr>
          <w:rFonts w:cs="Arial"/>
          <w:lang w:val="en-IN"/>
        </w:rPr>
        <w:t xml:space="preserve"> </w:t>
      </w:r>
    </w:p>
    <w:bookmarkEnd w:id="99"/>
    <w:p w:rsidR="00F70BF1" w:rsidRDefault="00F70BF1" w:rsidP="00F70BF1">
      <w:pPr>
        <w:rPr>
          <w:lang w:val="en-IN"/>
        </w:rPr>
      </w:pPr>
      <w:r w:rsidRPr="003F3EC7">
        <w:rPr>
          <w:lang w:val="en-IN"/>
        </w:rPr>
        <w:t xml:space="preserve">Gov.uk (2019). </w:t>
      </w:r>
      <w:r w:rsidRPr="003F3EC7">
        <w:rPr>
          <w:i/>
          <w:iCs/>
          <w:lang w:val="en-IN"/>
        </w:rPr>
        <w:t>Set up a limited company: step by step</w:t>
      </w:r>
      <w:r w:rsidRPr="003F3EC7">
        <w:rPr>
          <w:lang w:val="en-IN"/>
        </w:rPr>
        <w:t xml:space="preserve">. [online] Www.gov.uk. Available at: </w:t>
      </w:r>
      <w:hyperlink r:id="rId29" w:history="1">
        <w:r w:rsidRPr="003F3EC7">
          <w:rPr>
            <w:rStyle w:val="Hyperlink"/>
            <w:lang w:val="en-IN"/>
          </w:rPr>
          <w:t>https://www.gov.uk/set-up-limited-company</w:t>
        </w:r>
      </w:hyperlink>
      <w:r w:rsidRPr="003F3EC7">
        <w:rPr>
          <w:lang w:val="en-IN"/>
        </w:rPr>
        <w:t>.</w:t>
      </w:r>
    </w:p>
    <w:p w:rsidR="00F70BF1" w:rsidRPr="008D2A2B" w:rsidRDefault="00F70BF1" w:rsidP="00F70BF1">
      <w:pPr>
        <w:rPr>
          <w:rFonts w:cs="Arial"/>
          <w:lang w:val="en-IN"/>
        </w:rPr>
      </w:pPr>
      <w:r w:rsidRPr="008D2A2B">
        <w:rPr>
          <w:rFonts w:cs="Arial"/>
          <w:lang w:val="en-IN"/>
        </w:rPr>
        <w:t xml:space="preserve">IFPI (2025). </w:t>
      </w:r>
      <w:r w:rsidRPr="008D2A2B">
        <w:rPr>
          <w:rFonts w:cs="Arial"/>
          <w:i/>
          <w:iCs/>
          <w:lang w:val="en-IN"/>
        </w:rPr>
        <w:t>Global Music Report 2025</w:t>
      </w:r>
      <w:r w:rsidRPr="008D2A2B">
        <w:rPr>
          <w:rFonts w:cs="Arial"/>
          <w:lang w:val="en-IN"/>
        </w:rPr>
        <w:t xml:space="preserve">. [online] Available at: </w:t>
      </w:r>
      <w:hyperlink r:id="rId30" w:history="1">
        <w:r w:rsidRPr="008D2A2B">
          <w:rPr>
            <w:rStyle w:val="Hyperlink"/>
            <w:rFonts w:cs="Arial"/>
            <w:lang w:val="en-IN"/>
          </w:rPr>
          <w:t>https://www.ifpi.org/wp-content/uploads/2024/03/GMR2025_SOTI.pdf</w:t>
        </w:r>
      </w:hyperlink>
      <w:r w:rsidRPr="008D2A2B">
        <w:rPr>
          <w:rFonts w:cs="Arial"/>
          <w:lang w:val="en-IN"/>
        </w:rPr>
        <w:t>.</w:t>
      </w:r>
      <w:r>
        <w:rPr>
          <w:rFonts w:cs="Arial"/>
          <w:lang w:val="en-IN"/>
        </w:rPr>
        <w:t xml:space="preserve"> </w:t>
      </w:r>
    </w:p>
    <w:p w:rsidR="00F70BF1" w:rsidRPr="009C3D9B" w:rsidRDefault="00F70BF1" w:rsidP="00F70BF1">
      <w:pPr>
        <w:rPr>
          <w:lang w:val="en-IN"/>
        </w:rPr>
      </w:pPr>
      <w:proofErr w:type="spellStart"/>
      <w:r w:rsidRPr="009C3D9B">
        <w:rPr>
          <w:lang w:val="en-IN"/>
        </w:rPr>
        <w:t>Linktree</w:t>
      </w:r>
      <w:proofErr w:type="spellEnd"/>
      <w:r w:rsidRPr="009C3D9B">
        <w:rPr>
          <w:lang w:val="en-IN"/>
        </w:rPr>
        <w:t xml:space="preserve"> (2022). </w:t>
      </w:r>
      <w:r w:rsidRPr="009C3D9B">
        <w:rPr>
          <w:i/>
          <w:iCs/>
          <w:lang w:val="en-IN"/>
        </w:rPr>
        <w:t xml:space="preserve">2022 Creator Report by </w:t>
      </w:r>
      <w:proofErr w:type="spellStart"/>
      <w:r w:rsidRPr="009C3D9B">
        <w:rPr>
          <w:i/>
          <w:iCs/>
          <w:lang w:val="en-IN"/>
        </w:rPr>
        <w:t>Linktree</w:t>
      </w:r>
      <w:proofErr w:type="spellEnd"/>
      <w:r w:rsidRPr="009C3D9B">
        <w:rPr>
          <w:lang w:val="en-IN"/>
        </w:rPr>
        <w:t xml:space="preserve">. [online] linktr.ee. Available at: </w:t>
      </w:r>
      <w:hyperlink r:id="rId31" w:history="1">
        <w:r w:rsidRPr="009C3D9B">
          <w:rPr>
            <w:rStyle w:val="Hyperlink"/>
            <w:lang w:val="en-IN"/>
          </w:rPr>
          <w:t>https://linktr.ee/creator-report/</w:t>
        </w:r>
      </w:hyperlink>
      <w:r>
        <w:rPr>
          <w:lang w:val="en-IN"/>
        </w:rPr>
        <w:t xml:space="preserve"> </w:t>
      </w:r>
    </w:p>
    <w:p w:rsidR="00F70BF1" w:rsidRPr="00B9511C" w:rsidRDefault="00F70BF1" w:rsidP="00F70BF1">
      <w:pPr>
        <w:rPr>
          <w:lang w:val="en-IN"/>
        </w:rPr>
      </w:pPr>
      <w:r w:rsidRPr="00B9511C">
        <w:rPr>
          <w:lang w:val="en-IN"/>
        </w:rPr>
        <w:t xml:space="preserve">Ahmadi, N., </w:t>
      </w:r>
      <w:proofErr w:type="spellStart"/>
      <w:r w:rsidRPr="00B9511C">
        <w:rPr>
          <w:lang w:val="en-IN"/>
        </w:rPr>
        <w:t>Ascarza</w:t>
      </w:r>
      <w:proofErr w:type="spellEnd"/>
      <w:r w:rsidRPr="00B9511C">
        <w:rPr>
          <w:lang w:val="en-IN"/>
        </w:rPr>
        <w:t xml:space="preserve">, E. and Israeli, A. (2025). </w:t>
      </w:r>
      <w:r w:rsidRPr="00B9511C">
        <w:rPr>
          <w:i/>
          <w:iCs/>
          <w:lang w:val="en-IN"/>
        </w:rPr>
        <w:t>Protected Heterogeneity: A Variance-Based Framework for Fair Algorithmic Personalization</w:t>
      </w:r>
      <w:r w:rsidRPr="00B9511C">
        <w:rPr>
          <w:lang w:val="en-IN"/>
        </w:rPr>
        <w:t xml:space="preserve">. [online] Available at: </w:t>
      </w:r>
      <w:r w:rsidRPr="00B9511C">
        <w:rPr>
          <w:lang w:val="en-IN"/>
        </w:rPr>
        <w:lastRenderedPageBreak/>
        <w:t>https://www.hbs.edu/ris/Publication%20Files/26-031_ef7360eb-b4bd-42a5-950e-c901d2fae4a1.pdf [Accessed 1 Jan. 2026].</w:t>
      </w:r>
    </w:p>
    <w:p w:rsidR="00F70BF1" w:rsidRDefault="00F70BF1" w:rsidP="00F70BF1">
      <w:pPr>
        <w:rPr>
          <w:lang w:val="en-IN"/>
        </w:rPr>
      </w:pPr>
      <w:r w:rsidRPr="00B9511C">
        <w:rPr>
          <w:lang w:val="en-IN"/>
        </w:rPr>
        <w:t xml:space="preserve">Ma, L., Huang, T.-W., </w:t>
      </w:r>
      <w:proofErr w:type="spellStart"/>
      <w:r w:rsidRPr="00B9511C">
        <w:rPr>
          <w:lang w:val="en-IN"/>
        </w:rPr>
        <w:t>Ascarza</w:t>
      </w:r>
      <w:proofErr w:type="spellEnd"/>
      <w:r w:rsidRPr="00B9511C">
        <w:rPr>
          <w:lang w:val="en-IN"/>
        </w:rPr>
        <w:t xml:space="preserve">, E. and Israeli, A. (2025). </w:t>
      </w:r>
      <w:r w:rsidRPr="00B9511C">
        <w:rPr>
          <w:i/>
          <w:iCs/>
          <w:lang w:val="en-IN"/>
        </w:rPr>
        <w:t>Dynamic Personalization with Multiple Customer Signals: Multi-Response State Representation in Reinforcement Learning</w:t>
      </w:r>
      <w:r w:rsidRPr="00B9511C">
        <w:rPr>
          <w:lang w:val="en-IN"/>
        </w:rPr>
        <w:t xml:space="preserve">. [online] Available at: </w:t>
      </w:r>
      <w:hyperlink r:id="rId32" w:history="1">
        <w:r w:rsidRPr="00B9511C">
          <w:rPr>
            <w:rStyle w:val="Hyperlink"/>
            <w:lang w:val="en-IN"/>
          </w:rPr>
          <w:t>https://www.hbs.edu/ris/Publication%20Files/25-037_f4860e53-5563-4f46-a998-f88b9ae4eeb0.pdf</w:t>
        </w:r>
      </w:hyperlink>
      <w:r>
        <w:rPr>
          <w:lang w:val="en-IN"/>
        </w:rPr>
        <w:t xml:space="preserve"> </w:t>
      </w:r>
    </w:p>
    <w:p w:rsidR="00F70BF1" w:rsidRPr="00B9511C" w:rsidRDefault="00F70BF1" w:rsidP="00F70BF1">
      <w:pPr>
        <w:rPr>
          <w:lang w:val="en-IN"/>
        </w:rPr>
      </w:pPr>
      <w:r w:rsidRPr="00496944">
        <w:rPr>
          <w:lang w:val="en-IN"/>
        </w:rPr>
        <w:t xml:space="preserve">Grand View Research (2025). </w:t>
      </w:r>
      <w:r w:rsidRPr="00496944">
        <w:rPr>
          <w:i/>
          <w:iCs/>
          <w:lang w:val="en-IN"/>
        </w:rPr>
        <w:t>Music Streaming Market Size &amp; Share | Industry Report, 2030</w:t>
      </w:r>
      <w:r w:rsidRPr="00496944">
        <w:rPr>
          <w:lang w:val="en-IN"/>
        </w:rPr>
        <w:t xml:space="preserve">. [online] Grandviewresearch.com. Available at: </w:t>
      </w:r>
      <w:hyperlink r:id="rId33" w:history="1">
        <w:r w:rsidRPr="00496944">
          <w:rPr>
            <w:rStyle w:val="Hyperlink"/>
            <w:lang w:val="en-IN"/>
          </w:rPr>
          <w:t>https://www.grandviewresearch.com/industry-analysis/music-streaming-market/dashboard</w:t>
        </w:r>
      </w:hyperlink>
      <w:r>
        <w:rPr>
          <w:lang w:val="en-IN"/>
        </w:rPr>
        <w:t xml:space="preserve"> </w:t>
      </w:r>
      <w:r w:rsidRPr="00496944">
        <w:rPr>
          <w:lang w:val="en-IN"/>
        </w:rPr>
        <w:t>[Accessed 6 Jan. 2026].</w:t>
      </w:r>
      <w:r>
        <w:rPr>
          <w:lang w:val="en-IN"/>
        </w:rPr>
        <w:t xml:space="preserve"> </w:t>
      </w:r>
    </w:p>
    <w:p w:rsidR="00F70BF1" w:rsidRPr="005633DE" w:rsidRDefault="00F70BF1" w:rsidP="00F70BF1">
      <w:pPr>
        <w:rPr>
          <w:rFonts w:cs="Arial"/>
          <w:lang w:val="en-IN"/>
        </w:rPr>
      </w:pPr>
      <w:r w:rsidRPr="005633DE">
        <w:rPr>
          <w:rFonts w:cs="Arial"/>
          <w:lang w:val="en-IN"/>
        </w:rPr>
        <w:t xml:space="preserve">GOV.UK (2023). </w:t>
      </w:r>
      <w:r w:rsidRPr="005633DE">
        <w:rPr>
          <w:rFonts w:cs="Arial"/>
          <w:i/>
          <w:iCs/>
          <w:lang w:val="en-IN"/>
        </w:rPr>
        <w:t>Creative Industries Sector Vision</w:t>
      </w:r>
      <w:r w:rsidRPr="005633DE">
        <w:rPr>
          <w:rFonts w:cs="Arial"/>
          <w:lang w:val="en-IN"/>
        </w:rPr>
        <w:t xml:space="preserve">. [online] Available at: </w:t>
      </w:r>
      <w:hyperlink r:id="rId34" w:history="1">
        <w:r w:rsidRPr="005633DE">
          <w:rPr>
            <w:rStyle w:val="Hyperlink"/>
            <w:rFonts w:cs="Arial"/>
            <w:lang w:val="en-IN"/>
          </w:rPr>
          <w:t>https://assets.publishing.service.gov.uk/media/64898de2b32b9e000ca96712/Creative_Industries_Sector_Vision__accessible_version_.pdf</w:t>
        </w:r>
      </w:hyperlink>
      <w:r w:rsidRPr="005633DE">
        <w:rPr>
          <w:rFonts w:cs="Arial"/>
          <w:lang w:val="en-IN"/>
        </w:rPr>
        <w:t>.</w:t>
      </w:r>
      <w:r>
        <w:rPr>
          <w:rFonts w:cs="Arial"/>
          <w:lang w:val="en-IN"/>
        </w:rPr>
        <w:t xml:space="preserve"> </w:t>
      </w:r>
    </w:p>
    <w:p w:rsidR="00F70BF1" w:rsidRDefault="00F70BF1" w:rsidP="00F70BF1">
      <w:r w:rsidRPr="003C6768">
        <w:rPr>
          <w:lang w:val="en-IN"/>
        </w:rPr>
        <w:t xml:space="preserve">ICO (2023). </w:t>
      </w:r>
      <w:r w:rsidRPr="003C6768">
        <w:rPr>
          <w:i/>
          <w:iCs/>
          <w:lang w:val="en-IN"/>
        </w:rPr>
        <w:t>A guide to the data protection exemptions</w:t>
      </w:r>
      <w:r w:rsidRPr="003C6768">
        <w:rPr>
          <w:lang w:val="en-IN"/>
        </w:rPr>
        <w:t xml:space="preserve">. [online] ico.org.uk. Available at: </w:t>
      </w:r>
      <w:hyperlink r:id="rId35" w:history="1">
        <w:r w:rsidRPr="003C6768">
          <w:rPr>
            <w:rStyle w:val="Hyperlink"/>
            <w:lang w:val="en-IN"/>
          </w:rPr>
          <w:t>https://ico.org.uk/for-organisations/uk-gdpr-guidance-and-resources/exemptions/a-guide-to-the-data-protection-exemptions/</w:t>
        </w:r>
      </w:hyperlink>
    </w:p>
    <w:p w:rsidR="00F70BF1" w:rsidRDefault="00F70BF1" w:rsidP="00F70BF1">
      <w:pPr>
        <w:rPr>
          <w:lang w:val="en-IN"/>
        </w:rPr>
      </w:pPr>
      <w:r w:rsidRPr="006E6294">
        <w:rPr>
          <w:lang w:val="en-IN"/>
        </w:rPr>
        <w:t xml:space="preserve">Reid, R. (2025). </w:t>
      </w:r>
      <w:r w:rsidRPr="006E6294">
        <w:rPr>
          <w:i/>
          <w:iCs/>
          <w:lang w:val="en-IN"/>
        </w:rPr>
        <w:t>IFPI’s Global Music Report 2025 reveals tenth consecutive year of growth - Music Canada</w:t>
      </w:r>
      <w:r w:rsidRPr="006E6294">
        <w:rPr>
          <w:lang w:val="en-IN"/>
        </w:rPr>
        <w:t xml:space="preserve">. [online] Music Canada. Available at: </w:t>
      </w:r>
      <w:hyperlink r:id="rId36" w:history="1">
        <w:r w:rsidRPr="006E6294">
          <w:rPr>
            <w:rStyle w:val="Hyperlink"/>
            <w:lang w:val="en-IN"/>
          </w:rPr>
          <w:t>https://musiccanada.com/news/ifpis-global-music-report-2025-reveals-tenth-consecutive-year-of-growth/</w:t>
        </w:r>
      </w:hyperlink>
      <w:r w:rsidRPr="006E6294">
        <w:rPr>
          <w:lang w:val="en-IN"/>
        </w:rPr>
        <w:t>.</w:t>
      </w:r>
      <w:r>
        <w:rPr>
          <w:lang w:val="en-IN"/>
        </w:rPr>
        <w:t xml:space="preserve"> </w:t>
      </w:r>
    </w:p>
    <w:p w:rsidR="00F70BF1" w:rsidRDefault="00F70BF1" w:rsidP="00F70BF1">
      <w:pPr>
        <w:rPr>
          <w:lang w:val="en-IN"/>
        </w:rPr>
      </w:pPr>
      <w:r w:rsidRPr="002B3F7B">
        <w:rPr>
          <w:lang w:val="en-IN"/>
        </w:rPr>
        <w:t xml:space="preserve">Borges, J. and Harrison, J. (2025). </w:t>
      </w:r>
      <w:r w:rsidRPr="002B3F7B">
        <w:rPr>
          <w:i/>
          <w:iCs/>
          <w:lang w:val="en-IN"/>
        </w:rPr>
        <w:t>2026 M&amp;E trends: simplicity, authenticity, and the rise of experiences</w:t>
      </w:r>
      <w:r w:rsidRPr="002B3F7B">
        <w:rPr>
          <w:lang w:val="en-IN"/>
        </w:rPr>
        <w:t xml:space="preserve">. [online] Ey.com. Available at: </w:t>
      </w:r>
      <w:hyperlink r:id="rId37" w:history="1">
        <w:r w:rsidRPr="002B3F7B">
          <w:rPr>
            <w:rStyle w:val="Hyperlink"/>
            <w:lang w:val="en-IN"/>
          </w:rPr>
          <w:t>https://www.ey.com/en_us/insights/media-entertainment/2026-media-and-entertainment-trends-simplicity-authenticity-and-the-rise-of-experiences</w:t>
        </w:r>
      </w:hyperlink>
      <w:r>
        <w:rPr>
          <w:lang w:val="en-IN"/>
        </w:rPr>
        <w:t xml:space="preserve"> </w:t>
      </w:r>
      <w:r w:rsidRPr="002B3F7B">
        <w:rPr>
          <w:lang w:val="en-IN"/>
        </w:rPr>
        <w:t>[Accessed 7 Jan. 2026].</w:t>
      </w:r>
      <w:r>
        <w:rPr>
          <w:lang w:val="en-IN"/>
        </w:rPr>
        <w:t xml:space="preserve"> </w:t>
      </w:r>
    </w:p>
    <w:p w:rsidR="00F70BF1" w:rsidRDefault="00F70BF1" w:rsidP="00F70BF1">
      <w:pPr>
        <w:rPr>
          <w:lang w:val="en-IN"/>
        </w:rPr>
      </w:pPr>
      <w:r w:rsidRPr="00087329">
        <w:rPr>
          <w:lang w:val="en-IN"/>
        </w:rPr>
        <w:t xml:space="preserve">PwC (2025). </w:t>
      </w:r>
      <w:r w:rsidRPr="00087329">
        <w:rPr>
          <w:i/>
          <w:iCs/>
          <w:lang w:val="en-IN"/>
        </w:rPr>
        <w:t>Global Entertainment and Media Outlook: 2018 - 2022: PwC</w:t>
      </w:r>
      <w:r w:rsidRPr="00087329">
        <w:rPr>
          <w:lang w:val="en-IN"/>
        </w:rPr>
        <w:t xml:space="preserve">. [online] PwC. Available at: </w:t>
      </w:r>
      <w:hyperlink r:id="rId38" w:history="1">
        <w:r w:rsidRPr="00087329">
          <w:rPr>
            <w:rStyle w:val="Hyperlink"/>
            <w:lang w:val="en-IN"/>
          </w:rPr>
          <w:t>https://www.pwc.com/us/en/industries/tmt/library/global-entertainment-media-outlook.html</w:t>
        </w:r>
      </w:hyperlink>
      <w:r w:rsidRPr="00087329">
        <w:rPr>
          <w:lang w:val="en-IN"/>
        </w:rPr>
        <w:t>.</w:t>
      </w:r>
    </w:p>
    <w:p w:rsidR="00F70BF1" w:rsidRPr="00FC47A2" w:rsidRDefault="00F70BF1" w:rsidP="00F70BF1">
      <w:pPr>
        <w:rPr>
          <w:lang w:val="en-IN"/>
        </w:rPr>
      </w:pPr>
      <w:r w:rsidRPr="00FC47A2">
        <w:rPr>
          <w:lang w:val="en-IN"/>
        </w:rPr>
        <w:t>Research</w:t>
      </w:r>
      <w:r>
        <w:rPr>
          <w:lang w:val="en-IN"/>
        </w:rPr>
        <w:t xml:space="preserve"> a</w:t>
      </w:r>
      <w:r w:rsidRPr="00FC47A2">
        <w:rPr>
          <w:lang w:val="en-IN"/>
        </w:rPr>
        <w:t>nd</w:t>
      </w:r>
      <w:r>
        <w:rPr>
          <w:lang w:val="en-IN"/>
        </w:rPr>
        <w:t xml:space="preserve"> M</w:t>
      </w:r>
      <w:r w:rsidRPr="00FC47A2">
        <w:rPr>
          <w:lang w:val="en-IN"/>
        </w:rPr>
        <w:t xml:space="preserve">arkets (2025). </w:t>
      </w:r>
      <w:r w:rsidRPr="00FC47A2">
        <w:rPr>
          <w:i/>
          <w:iCs/>
          <w:lang w:val="en-IN"/>
        </w:rPr>
        <w:t>Music Streaming Market Report 2025 - Research and Markets</w:t>
      </w:r>
      <w:r w:rsidRPr="00FC47A2">
        <w:rPr>
          <w:lang w:val="en-IN"/>
        </w:rPr>
        <w:t xml:space="preserve">. [online] Researchandmarkets.com. Available at: </w:t>
      </w:r>
      <w:hyperlink r:id="rId39" w:history="1">
        <w:r w:rsidRPr="00FC47A2">
          <w:rPr>
            <w:rStyle w:val="Hyperlink"/>
            <w:lang w:val="en-IN"/>
          </w:rPr>
          <w:t>https://www.researchandmarkets.com/reports/5766963/music-streaming-market-report</w:t>
        </w:r>
      </w:hyperlink>
      <w:r w:rsidRPr="00FC47A2">
        <w:rPr>
          <w:lang w:val="en-IN"/>
        </w:rPr>
        <w:t>.</w:t>
      </w:r>
      <w:r>
        <w:rPr>
          <w:lang w:val="en-IN"/>
        </w:rPr>
        <w:t xml:space="preserve"> </w:t>
      </w:r>
    </w:p>
    <w:p w:rsidR="00F70BF1" w:rsidRDefault="00F70BF1" w:rsidP="00F70BF1">
      <w:pPr>
        <w:rPr>
          <w:lang w:val="en-IN"/>
        </w:rPr>
      </w:pPr>
      <w:r w:rsidRPr="00245A5B">
        <w:rPr>
          <w:lang w:val="en-IN"/>
        </w:rPr>
        <w:t xml:space="preserve">Ofcom (2023). </w:t>
      </w:r>
      <w:r w:rsidRPr="00245A5B">
        <w:rPr>
          <w:i/>
          <w:iCs/>
          <w:lang w:val="en-IN"/>
        </w:rPr>
        <w:t>Online Nation</w:t>
      </w:r>
      <w:r w:rsidRPr="00245A5B">
        <w:rPr>
          <w:lang w:val="en-IN"/>
        </w:rPr>
        <w:t xml:space="preserve">. [online] www.ofcom.org.uk. Available at: </w:t>
      </w:r>
      <w:hyperlink r:id="rId40" w:history="1">
        <w:r w:rsidRPr="00245A5B">
          <w:rPr>
            <w:rStyle w:val="Hyperlink"/>
            <w:lang w:val="en-IN"/>
          </w:rPr>
          <w:t>https://www.ofcom.org.uk/media-use-and-attitudes/online-habits/online-nation</w:t>
        </w:r>
      </w:hyperlink>
      <w:r w:rsidRPr="00245A5B">
        <w:rPr>
          <w:lang w:val="en-IN"/>
        </w:rPr>
        <w:t>.</w:t>
      </w:r>
      <w:r>
        <w:rPr>
          <w:lang w:val="en-IN"/>
        </w:rPr>
        <w:t xml:space="preserve">  </w:t>
      </w:r>
    </w:p>
    <w:p w:rsidR="00F70BF1" w:rsidRDefault="00F70BF1" w:rsidP="00F70BF1">
      <w:pPr>
        <w:rPr>
          <w:lang w:val="en-IN"/>
        </w:rPr>
      </w:pPr>
      <w:r w:rsidRPr="00E73C19">
        <w:rPr>
          <w:lang w:val="en-IN"/>
        </w:rPr>
        <w:t xml:space="preserve">Harlow, S. (2025). Connecting the Dots: 2025 Consumer Trends. [online] </w:t>
      </w:r>
      <w:r>
        <w:rPr>
          <w:lang w:val="en-IN"/>
        </w:rPr>
        <w:t>GWI.</w:t>
      </w:r>
      <w:r w:rsidRPr="00E73C19">
        <w:rPr>
          <w:lang w:val="en-IN"/>
        </w:rPr>
        <w:t xml:space="preserve"> </w:t>
      </w:r>
      <w:r w:rsidRPr="00087329">
        <w:rPr>
          <w:lang w:val="en-IN"/>
        </w:rPr>
        <w:t>Available at:</w:t>
      </w:r>
      <w:r>
        <w:rPr>
          <w:lang w:val="en-IN"/>
        </w:rPr>
        <w:t xml:space="preserve"> </w:t>
      </w:r>
      <w:hyperlink r:id="rId41" w:history="1">
        <w:r w:rsidRPr="000C0165">
          <w:rPr>
            <w:rStyle w:val="Hyperlink"/>
            <w:lang w:val="en-IN"/>
          </w:rPr>
          <w:t>https://www.gwi.com/blog/streaming-trends-and-stats</w:t>
        </w:r>
      </w:hyperlink>
      <w:r>
        <w:rPr>
          <w:lang w:val="en-IN"/>
        </w:rPr>
        <w:t xml:space="preserve"> </w:t>
      </w:r>
    </w:p>
    <w:p w:rsidR="00F70BF1" w:rsidRDefault="00F70BF1" w:rsidP="00F70BF1">
      <w:pPr>
        <w:rPr>
          <w:lang w:val="en-IN"/>
        </w:rPr>
      </w:pPr>
      <w:r w:rsidRPr="0012558B">
        <w:rPr>
          <w:lang w:val="en-IN"/>
        </w:rPr>
        <w:lastRenderedPageBreak/>
        <w:t xml:space="preserve">Kotler, P. </w:t>
      </w:r>
      <w:r w:rsidRPr="0012558B">
        <w:rPr>
          <w:i/>
          <w:iCs/>
          <w:lang w:val="en-IN"/>
        </w:rPr>
        <w:t>et al.</w:t>
      </w:r>
      <w:r w:rsidRPr="0012558B">
        <w:rPr>
          <w:lang w:val="en-IN"/>
        </w:rPr>
        <w:t xml:space="preserve"> (2024) </w:t>
      </w:r>
      <w:r w:rsidRPr="0012558B">
        <w:rPr>
          <w:i/>
          <w:iCs/>
          <w:lang w:val="en-IN"/>
        </w:rPr>
        <w:t>Marketing management</w:t>
      </w:r>
      <w:r w:rsidRPr="0012558B">
        <w:rPr>
          <w:lang w:val="en-IN"/>
        </w:rPr>
        <w:t xml:space="preserve">. 5th European edition. Harlow: Pearson. Available at: </w:t>
      </w:r>
      <w:hyperlink r:id="rId42" w:history="1">
        <w:r w:rsidRPr="0012558B">
          <w:rPr>
            <w:rStyle w:val="Hyperlink"/>
            <w:lang w:val="en-IN"/>
          </w:rPr>
          <w:t>https://ezproxy.uwtsd.ac.uk/login?url=https://www.vlebooks.com/product/openreader?id=TrinityStD&amp;accId=8886856&amp;isbn=9781292458786&amp;uid=^u</w:t>
        </w:r>
      </w:hyperlink>
      <w:r w:rsidRPr="0012558B">
        <w:rPr>
          <w:lang w:val="en-IN"/>
        </w:rPr>
        <w:t>.</w:t>
      </w:r>
      <w:r>
        <w:rPr>
          <w:lang w:val="en-IN"/>
        </w:rPr>
        <w:t xml:space="preserve"> </w:t>
      </w:r>
    </w:p>
    <w:p w:rsidR="00F70BF1" w:rsidRDefault="00F70BF1" w:rsidP="00F70BF1">
      <w:pPr>
        <w:rPr>
          <w:lang w:val="en-IN"/>
        </w:rPr>
      </w:pPr>
      <w:r w:rsidRPr="00BF152D">
        <w:rPr>
          <w:lang w:val="en-IN"/>
        </w:rPr>
        <w:t xml:space="preserve">Fiedler, L. and </w:t>
      </w:r>
      <w:proofErr w:type="spellStart"/>
      <w:r w:rsidRPr="00BF152D">
        <w:rPr>
          <w:lang w:val="en-IN"/>
        </w:rPr>
        <w:t>Maechler</w:t>
      </w:r>
      <w:proofErr w:type="spellEnd"/>
      <w:r w:rsidRPr="00BF152D">
        <w:rPr>
          <w:lang w:val="en-IN"/>
        </w:rPr>
        <w:t xml:space="preserve">, N. (2025). </w:t>
      </w:r>
      <w:r w:rsidRPr="00BF152D">
        <w:rPr>
          <w:i/>
          <w:iCs/>
          <w:lang w:val="en-IN"/>
        </w:rPr>
        <w:t>Next best experience: How AI can power every customer interaction</w:t>
      </w:r>
      <w:r w:rsidRPr="00BF152D">
        <w:rPr>
          <w:lang w:val="en-IN"/>
        </w:rPr>
        <w:t xml:space="preserve">. [online] McKinsey &amp; Company. Available at: </w:t>
      </w:r>
      <w:hyperlink r:id="rId43" w:history="1">
        <w:r w:rsidRPr="00BF152D">
          <w:rPr>
            <w:rStyle w:val="Hyperlink"/>
            <w:lang w:val="en-IN"/>
          </w:rPr>
          <w:t>https://www.mckinsey.com/capabilities/growth-marketing-and-sales/our-insights/next-best-experience-how-ai-can-power-every-customer-interaction</w:t>
        </w:r>
      </w:hyperlink>
      <w:r w:rsidRPr="00BF152D">
        <w:rPr>
          <w:lang w:val="en-IN"/>
        </w:rPr>
        <w:t>.</w:t>
      </w:r>
      <w:r>
        <w:rPr>
          <w:lang w:val="en-IN"/>
        </w:rPr>
        <w:t xml:space="preserve"> </w:t>
      </w:r>
    </w:p>
    <w:p w:rsidR="00F70BF1" w:rsidRDefault="00F70BF1" w:rsidP="00F70BF1">
      <w:pPr>
        <w:rPr>
          <w:lang w:val="en-IN"/>
        </w:rPr>
      </w:pPr>
      <w:r w:rsidRPr="004428D3">
        <w:rPr>
          <w:lang w:val="en-IN"/>
        </w:rPr>
        <w:t xml:space="preserve">Steiner, R. (2025). </w:t>
      </w:r>
      <w:r w:rsidRPr="004428D3">
        <w:rPr>
          <w:i/>
          <w:iCs/>
          <w:lang w:val="en-IN"/>
        </w:rPr>
        <w:t>New Luminate Music Forecast Spots Budding Fan Trends | Luminate</w:t>
      </w:r>
      <w:r w:rsidRPr="004428D3">
        <w:rPr>
          <w:lang w:val="en-IN"/>
        </w:rPr>
        <w:t xml:space="preserve">. [online] Luminate. Available at: </w:t>
      </w:r>
      <w:hyperlink r:id="rId44" w:history="1">
        <w:r w:rsidRPr="004428D3">
          <w:rPr>
            <w:rStyle w:val="Hyperlink"/>
            <w:lang w:val="en-IN"/>
          </w:rPr>
          <w:t>https://luminatedata.com/blog/new-luminate-music-forecast-spots-budding-fan-trends/</w:t>
        </w:r>
      </w:hyperlink>
      <w:r>
        <w:rPr>
          <w:lang w:val="en-IN"/>
        </w:rPr>
        <w:t xml:space="preserve"> </w:t>
      </w:r>
      <w:r w:rsidRPr="004428D3">
        <w:rPr>
          <w:lang w:val="en-IN"/>
        </w:rPr>
        <w:t>[Accessed 7 Jan. 2026].</w:t>
      </w:r>
      <w:r>
        <w:rPr>
          <w:lang w:val="en-IN"/>
        </w:rPr>
        <w:t xml:space="preserve"> </w:t>
      </w:r>
    </w:p>
    <w:p w:rsidR="00F70BF1" w:rsidRDefault="00F70BF1" w:rsidP="00F70BF1">
      <w:pPr>
        <w:rPr>
          <w:lang w:val="en-IN"/>
        </w:rPr>
      </w:pPr>
      <w:r w:rsidRPr="007E56A7">
        <w:rPr>
          <w:lang w:val="en-IN"/>
        </w:rPr>
        <w:t xml:space="preserve">Ahmad, Y. and Burke, B. (2025). </w:t>
      </w:r>
      <w:r w:rsidRPr="007E56A7">
        <w:rPr>
          <w:i/>
          <w:iCs/>
          <w:lang w:val="en-IN"/>
        </w:rPr>
        <w:t>Investigating AI Personalization in Music Streaming</w:t>
      </w:r>
      <w:r w:rsidRPr="007E56A7">
        <w:rPr>
          <w:lang w:val="en-IN"/>
        </w:rPr>
        <w:t xml:space="preserve">. [online] DIVA. Available at: </w:t>
      </w:r>
      <w:hyperlink r:id="rId45" w:history="1">
        <w:r w:rsidRPr="00E34BE3">
          <w:rPr>
            <w:rStyle w:val="Hyperlink"/>
            <w:lang w:val="en-IN"/>
          </w:rPr>
          <w:t>https://www.diva-portal.org/smash/record.jsf?pid=diva2%3A1962199&amp;dswid=7998</w:t>
        </w:r>
      </w:hyperlink>
      <w:r>
        <w:rPr>
          <w:lang w:val="en-IN"/>
        </w:rPr>
        <w:t xml:space="preserve"> </w:t>
      </w:r>
      <w:r w:rsidRPr="007E56A7">
        <w:rPr>
          <w:lang w:val="en-IN"/>
        </w:rPr>
        <w:t>[Accessed 7 Jan. 2026].</w:t>
      </w:r>
    </w:p>
    <w:p w:rsidR="00F70BF1" w:rsidRDefault="00F70BF1" w:rsidP="00F70BF1">
      <w:pPr>
        <w:rPr>
          <w:lang w:val="en-IN"/>
        </w:rPr>
      </w:pPr>
      <w:r w:rsidRPr="007368BD">
        <w:rPr>
          <w:lang w:val="en-IN"/>
        </w:rPr>
        <w:t xml:space="preserve">AlixPartners (2026). </w:t>
      </w:r>
      <w:r w:rsidRPr="007368BD">
        <w:rPr>
          <w:i/>
          <w:iCs/>
          <w:lang w:val="en-IN"/>
        </w:rPr>
        <w:t>Media &amp; Entertainment Industry Predictions Report 2026</w:t>
      </w:r>
      <w:r w:rsidRPr="007368BD">
        <w:rPr>
          <w:lang w:val="en-IN"/>
        </w:rPr>
        <w:t xml:space="preserve">. [online] Alixpartners.com. Available at: </w:t>
      </w:r>
      <w:hyperlink r:id="rId46" w:history="1">
        <w:r w:rsidRPr="007368BD">
          <w:rPr>
            <w:rStyle w:val="Hyperlink"/>
            <w:lang w:val="en-IN"/>
          </w:rPr>
          <w:t>https://www.alixpartners.com/insights/media-entertainment-industry-predictions-report-2026</w:t>
        </w:r>
      </w:hyperlink>
      <w:r>
        <w:rPr>
          <w:lang w:val="en-IN"/>
        </w:rPr>
        <w:t xml:space="preserve"> </w:t>
      </w:r>
      <w:r w:rsidRPr="007368BD">
        <w:rPr>
          <w:lang w:val="en-IN"/>
        </w:rPr>
        <w:t>[Accessed 7 Jan. 2026].</w:t>
      </w:r>
    </w:p>
    <w:p w:rsidR="00F70BF1" w:rsidRDefault="00F70BF1" w:rsidP="00F70BF1">
      <w:pPr>
        <w:rPr>
          <w:lang w:val="en-IN"/>
        </w:rPr>
      </w:pPr>
      <w:r w:rsidRPr="00451483">
        <w:rPr>
          <w:lang w:val="en-IN"/>
        </w:rPr>
        <w:t xml:space="preserve">Onur Karahan, </w:t>
      </w:r>
      <w:proofErr w:type="spellStart"/>
      <w:r w:rsidRPr="00451483">
        <w:rPr>
          <w:lang w:val="en-IN"/>
        </w:rPr>
        <w:t>Heritiana</w:t>
      </w:r>
      <w:proofErr w:type="spellEnd"/>
      <w:r w:rsidRPr="00451483">
        <w:rPr>
          <w:lang w:val="en-IN"/>
        </w:rPr>
        <w:t xml:space="preserve"> Ranaivoson and Canedo, D. (2025). Adapting Porter’s five forces model to digital streaming platforms: A framework for the audiovisual ecosystem. </w:t>
      </w:r>
      <w:proofErr w:type="spellStart"/>
      <w:r w:rsidRPr="00451483">
        <w:rPr>
          <w:i/>
          <w:iCs/>
          <w:lang w:val="en-IN"/>
        </w:rPr>
        <w:t>Connectist</w:t>
      </w:r>
      <w:proofErr w:type="spellEnd"/>
      <w:r w:rsidRPr="00451483">
        <w:rPr>
          <w:i/>
          <w:iCs/>
          <w:lang w:val="en-IN"/>
        </w:rPr>
        <w:t xml:space="preserve"> Istanbul University Journal of Communication Sciences</w:t>
      </w:r>
      <w:r w:rsidRPr="00451483">
        <w:rPr>
          <w:lang w:val="en-IN"/>
        </w:rPr>
        <w:t>, [online]</w:t>
      </w:r>
      <w:r>
        <w:rPr>
          <w:lang w:val="en-IN"/>
        </w:rPr>
        <w:t xml:space="preserve"> </w:t>
      </w:r>
      <w:r w:rsidRPr="00451483">
        <w:rPr>
          <w:lang w:val="en-IN"/>
        </w:rPr>
        <w:t>pp.143–158. Available at:</w:t>
      </w:r>
      <w:r>
        <w:rPr>
          <w:lang w:val="en-IN"/>
        </w:rPr>
        <w:t xml:space="preserve"> </w:t>
      </w:r>
      <w:hyperlink r:id="rId47" w:history="1">
        <w:r w:rsidRPr="00451483">
          <w:rPr>
            <w:rStyle w:val="Hyperlink"/>
            <w:lang w:val="en-IN"/>
          </w:rPr>
          <w:t>https://iupress.istanbul.edu.tr/en/journal/connectist/article/adapting-porters-five-forces-model-to-digital-streaming-platforms-a-framework-for-the-audiovisual-ecosystem</w:t>
        </w:r>
      </w:hyperlink>
      <w:r>
        <w:rPr>
          <w:lang w:val="en-IN"/>
        </w:rPr>
        <w:t xml:space="preserve"> </w:t>
      </w:r>
      <w:r w:rsidRPr="00451483">
        <w:rPr>
          <w:lang w:val="en-IN"/>
        </w:rPr>
        <w:t>[Accessed 28 Jun. 2025].</w:t>
      </w:r>
    </w:p>
    <w:p w:rsidR="00F70BF1" w:rsidRDefault="00F70BF1" w:rsidP="00F70BF1">
      <w:pPr>
        <w:rPr>
          <w:lang w:val="en-IN"/>
        </w:rPr>
      </w:pPr>
      <w:r w:rsidRPr="00985335">
        <w:rPr>
          <w:lang w:val="en-IN"/>
        </w:rPr>
        <w:t xml:space="preserve">Office, I.P. (2025). </w:t>
      </w:r>
      <w:r w:rsidRPr="00985335">
        <w:rPr>
          <w:i/>
          <w:iCs/>
          <w:lang w:val="en-IN"/>
        </w:rPr>
        <w:t>Intellectual Property Office Corporate Plan 2025 to 2026</w:t>
      </w:r>
      <w:r w:rsidRPr="00985335">
        <w:rPr>
          <w:lang w:val="en-IN"/>
        </w:rPr>
        <w:t xml:space="preserve">. [online] GOV.UK. Available at: </w:t>
      </w:r>
      <w:hyperlink r:id="rId48" w:history="1">
        <w:r w:rsidRPr="00985335">
          <w:rPr>
            <w:rStyle w:val="Hyperlink"/>
            <w:lang w:val="en-IN"/>
          </w:rPr>
          <w:t>https://www.gov.uk/government/publications/intellectual-property-office-corporate-plan-2025-to-2026/intellectual-property-office-corporate-plan-2025-to-2026</w:t>
        </w:r>
      </w:hyperlink>
      <w:r w:rsidRPr="00985335">
        <w:rPr>
          <w:lang w:val="en-IN"/>
        </w:rPr>
        <w:t>.</w:t>
      </w:r>
      <w:r>
        <w:rPr>
          <w:lang w:val="en-IN"/>
        </w:rPr>
        <w:t xml:space="preserve"> </w:t>
      </w:r>
    </w:p>
    <w:p w:rsidR="00DF120E" w:rsidRPr="00C764B5" w:rsidRDefault="00DF120E" w:rsidP="00DF120E">
      <w:pPr>
        <w:pStyle w:val="BodyText"/>
        <w:rPr>
          <w:lang w:val="en-IN"/>
        </w:rPr>
      </w:pPr>
      <w:r w:rsidRPr="00C764B5">
        <w:rPr>
          <w:lang w:val="en-IN"/>
        </w:rPr>
        <w:t xml:space="preserve">Chaffey, D. and Ellis-Chadwick, F. (2019) </w:t>
      </w:r>
      <w:r w:rsidRPr="00C764B5">
        <w:rPr>
          <w:i/>
          <w:iCs/>
          <w:lang w:val="en-IN"/>
        </w:rPr>
        <w:t>Digital Marketing</w:t>
      </w:r>
      <w:r w:rsidRPr="00C764B5">
        <w:rPr>
          <w:lang w:val="en-IN"/>
        </w:rPr>
        <w:t xml:space="preserve">. 7th </w:t>
      </w:r>
      <w:proofErr w:type="spellStart"/>
      <w:r w:rsidRPr="00C764B5">
        <w:rPr>
          <w:lang w:val="en-IN"/>
        </w:rPr>
        <w:t>edn</w:t>
      </w:r>
      <w:proofErr w:type="spellEnd"/>
      <w:r w:rsidRPr="00C764B5">
        <w:rPr>
          <w:lang w:val="en-IN"/>
        </w:rPr>
        <w:t>. Harlow: Pearson.</w:t>
      </w:r>
    </w:p>
    <w:p w:rsidR="00DF120E" w:rsidRPr="00C764B5" w:rsidRDefault="00DF120E" w:rsidP="00DF120E">
      <w:pPr>
        <w:pStyle w:val="BodyText"/>
        <w:rPr>
          <w:lang w:val="en-IN"/>
        </w:rPr>
      </w:pPr>
      <w:r w:rsidRPr="00C764B5">
        <w:rPr>
          <w:lang w:val="en-IN"/>
        </w:rPr>
        <w:t xml:space="preserve">Deloitte (2023) </w:t>
      </w:r>
      <w:r w:rsidRPr="00C764B5">
        <w:rPr>
          <w:i/>
          <w:iCs/>
          <w:lang w:val="en-IN"/>
        </w:rPr>
        <w:t>Digital Media Trends Survey</w:t>
      </w:r>
      <w:r w:rsidRPr="00C764B5">
        <w:rPr>
          <w:lang w:val="en-IN"/>
        </w:rPr>
        <w:t xml:space="preserve">. Available at: </w:t>
      </w:r>
      <w:hyperlink r:id="rId49" w:tgtFrame="_new" w:history="1">
        <w:r w:rsidRPr="00C764B5">
          <w:rPr>
            <w:rStyle w:val="Hyperlink"/>
            <w:lang w:val="en-IN"/>
          </w:rPr>
          <w:t>https://www.deloitte.com</w:t>
        </w:r>
      </w:hyperlink>
    </w:p>
    <w:p w:rsidR="00DF120E" w:rsidRPr="00C764B5" w:rsidRDefault="00DF120E" w:rsidP="00DF120E">
      <w:pPr>
        <w:pStyle w:val="BodyText"/>
        <w:rPr>
          <w:lang w:val="en-IN"/>
        </w:rPr>
      </w:pPr>
      <w:r w:rsidRPr="00C764B5">
        <w:rPr>
          <w:lang w:val="en-IN"/>
        </w:rPr>
        <w:t xml:space="preserve">Harvard Business School Online (2023) </w:t>
      </w:r>
      <w:r w:rsidRPr="00C764B5">
        <w:rPr>
          <w:i/>
          <w:iCs/>
          <w:lang w:val="en-IN"/>
        </w:rPr>
        <w:t>Platform Business Models</w:t>
      </w:r>
      <w:r w:rsidRPr="00C764B5">
        <w:rPr>
          <w:lang w:val="en-IN"/>
        </w:rPr>
        <w:t xml:space="preserve">. Available at: </w:t>
      </w:r>
      <w:hyperlink r:id="rId50" w:tgtFrame="_new" w:history="1">
        <w:r w:rsidRPr="00C764B5">
          <w:rPr>
            <w:rStyle w:val="Hyperlink"/>
            <w:lang w:val="en-IN"/>
          </w:rPr>
          <w:t>https://online.hbs.edu</w:t>
        </w:r>
      </w:hyperlink>
    </w:p>
    <w:p w:rsidR="00DF120E" w:rsidRPr="00C764B5" w:rsidRDefault="00DF120E" w:rsidP="00DF120E">
      <w:pPr>
        <w:pStyle w:val="BodyText"/>
        <w:rPr>
          <w:lang w:val="en-IN"/>
        </w:rPr>
      </w:pPr>
      <w:r w:rsidRPr="00C764B5">
        <w:rPr>
          <w:lang w:val="en-IN"/>
        </w:rPr>
        <w:t xml:space="preserve">IFPI (2023) </w:t>
      </w:r>
      <w:r w:rsidRPr="00C764B5">
        <w:rPr>
          <w:i/>
          <w:iCs/>
          <w:lang w:val="en-IN"/>
        </w:rPr>
        <w:t>Global Music Report</w:t>
      </w:r>
      <w:r w:rsidRPr="00C764B5">
        <w:rPr>
          <w:lang w:val="en-IN"/>
        </w:rPr>
        <w:t xml:space="preserve">. Available at: </w:t>
      </w:r>
      <w:hyperlink r:id="rId51" w:tgtFrame="_new" w:history="1">
        <w:r w:rsidRPr="00C764B5">
          <w:rPr>
            <w:rStyle w:val="Hyperlink"/>
            <w:lang w:val="en-IN"/>
          </w:rPr>
          <w:t>https://www.ifpi.org</w:t>
        </w:r>
      </w:hyperlink>
    </w:p>
    <w:p w:rsidR="00DF120E" w:rsidRPr="00C764B5" w:rsidRDefault="00DF120E" w:rsidP="00DF120E">
      <w:pPr>
        <w:pStyle w:val="BodyText"/>
        <w:rPr>
          <w:lang w:val="en-IN"/>
        </w:rPr>
      </w:pPr>
      <w:r w:rsidRPr="00C764B5">
        <w:rPr>
          <w:lang w:val="en-IN"/>
        </w:rPr>
        <w:t xml:space="preserve">Kotler, P. and Keller, K.L. (2022) </w:t>
      </w:r>
      <w:r w:rsidRPr="00C764B5">
        <w:rPr>
          <w:i/>
          <w:iCs/>
          <w:lang w:val="en-IN"/>
        </w:rPr>
        <w:t>Marketing Management</w:t>
      </w:r>
      <w:r w:rsidRPr="00C764B5">
        <w:rPr>
          <w:lang w:val="en-IN"/>
        </w:rPr>
        <w:t xml:space="preserve">. 16th </w:t>
      </w:r>
      <w:proofErr w:type="spellStart"/>
      <w:r w:rsidRPr="00C764B5">
        <w:rPr>
          <w:lang w:val="en-IN"/>
        </w:rPr>
        <w:t>edn</w:t>
      </w:r>
      <w:proofErr w:type="spellEnd"/>
      <w:r w:rsidRPr="00C764B5">
        <w:rPr>
          <w:lang w:val="en-IN"/>
        </w:rPr>
        <w:t>. Harlow: Pearson.</w:t>
      </w:r>
    </w:p>
    <w:p w:rsidR="00DF120E" w:rsidRPr="00C764B5" w:rsidRDefault="00DF120E" w:rsidP="00DF120E">
      <w:pPr>
        <w:pStyle w:val="BodyText"/>
        <w:rPr>
          <w:lang w:val="en-IN"/>
        </w:rPr>
      </w:pPr>
      <w:r w:rsidRPr="00C764B5">
        <w:rPr>
          <w:lang w:val="en-IN"/>
        </w:rPr>
        <w:t xml:space="preserve">Market Growth Reports (2024) </w:t>
      </w:r>
      <w:r w:rsidRPr="00C764B5">
        <w:rPr>
          <w:i/>
          <w:iCs/>
          <w:lang w:val="en-IN"/>
        </w:rPr>
        <w:t>Global Music Streaming Market Analysis</w:t>
      </w:r>
      <w:r w:rsidRPr="00C764B5">
        <w:rPr>
          <w:lang w:val="en-IN"/>
        </w:rPr>
        <w:t xml:space="preserve">. Available at: </w:t>
      </w:r>
      <w:hyperlink r:id="rId52" w:tgtFrame="_new" w:history="1">
        <w:r w:rsidRPr="00C764B5">
          <w:rPr>
            <w:rStyle w:val="Hyperlink"/>
            <w:lang w:val="en-IN"/>
          </w:rPr>
          <w:t>https://www.marketgrowthreports.com</w:t>
        </w:r>
      </w:hyperlink>
    </w:p>
    <w:p w:rsidR="00DF120E" w:rsidRPr="00C764B5" w:rsidRDefault="00DF120E" w:rsidP="00DF120E">
      <w:pPr>
        <w:pStyle w:val="BodyText"/>
        <w:rPr>
          <w:lang w:val="en-IN"/>
        </w:rPr>
      </w:pPr>
      <w:r w:rsidRPr="00C764B5">
        <w:rPr>
          <w:lang w:val="en-IN"/>
        </w:rPr>
        <w:lastRenderedPageBreak/>
        <w:t xml:space="preserve">PwC (2024) </w:t>
      </w:r>
      <w:r w:rsidRPr="00C764B5">
        <w:rPr>
          <w:i/>
          <w:iCs/>
          <w:lang w:val="en-IN"/>
        </w:rPr>
        <w:t>Perspectives: Global Entertainment &amp; Media Outlook 2025–2029</w:t>
      </w:r>
      <w:r w:rsidRPr="00C764B5">
        <w:rPr>
          <w:lang w:val="en-IN"/>
        </w:rPr>
        <w:t xml:space="preserve">. Available at: </w:t>
      </w:r>
      <w:hyperlink r:id="rId53" w:tgtFrame="_new" w:history="1">
        <w:r w:rsidRPr="00C764B5">
          <w:rPr>
            <w:rStyle w:val="Hyperlink"/>
            <w:lang w:val="en-IN"/>
          </w:rPr>
          <w:t>https://www.pwc.com</w:t>
        </w:r>
      </w:hyperlink>
    </w:p>
    <w:p w:rsidR="00DF120E" w:rsidRPr="00C764B5" w:rsidRDefault="00DF120E" w:rsidP="00DF120E">
      <w:pPr>
        <w:pStyle w:val="BodyText"/>
        <w:rPr>
          <w:lang w:val="en-IN"/>
        </w:rPr>
      </w:pPr>
      <w:r w:rsidRPr="00C764B5">
        <w:rPr>
          <w:lang w:val="en-IN"/>
        </w:rPr>
        <w:t xml:space="preserve">Statista (2024) </w:t>
      </w:r>
      <w:r w:rsidRPr="00C764B5">
        <w:rPr>
          <w:i/>
          <w:iCs/>
          <w:lang w:val="en-IN"/>
        </w:rPr>
        <w:t>Music Streaming User Behaviour</w:t>
      </w:r>
      <w:r w:rsidRPr="00C764B5">
        <w:rPr>
          <w:lang w:val="en-IN"/>
        </w:rPr>
        <w:t xml:space="preserve">. Available at: </w:t>
      </w:r>
      <w:hyperlink r:id="rId54" w:tgtFrame="_new" w:history="1">
        <w:r w:rsidRPr="00C764B5">
          <w:rPr>
            <w:rStyle w:val="Hyperlink"/>
            <w:lang w:val="en-IN"/>
          </w:rPr>
          <w:t>https://www.statista.com</w:t>
        </w:r>
      </w:hyperlink>
    </w:p>
    <w:p w:rsidR="00DF120E" w:rsidRPr="00C764B5" w:rsidRDefault="00DF120E" w:rsidP="00DF120E">
      <w:pPr>
        <w:pStyle w:val="BodyText"/>
        <w:rPr>
          <w:lang w:val="en-IN"/>
        </w:rPr>
      </w:pPr>
      <w:r w:rsidRPr="00C764B5">
        <w:rPr>
          <w:lang w:val="en-IN"/>
        </w:rPr>
        <w:t xml:space="preserve">Tuten, T.L. and Solomon, M.R. (2020) </w:t>
      </w:r>
      <w:r w:rsidRPr="00C764B5">
        <w:rPr>
          <w:i/>
          <w:iCs/>
          <w:lang w:val="en-IN"/>
        </w:rPr>
        <w:t>Social Media Marketing</w:t>
      </w:r>
      <w:r w:rsidRPr="00C764B5">
        <w:rPr>
          <w:lang w:val="en-IN"/>
        </w:rPr>
        <w:t xml:space="preserve">. 4th </w:t>
      </w:r>
      <w:proofErr w:type="spellStart"/>
      <w:r w:rsidRPr="00C764B5">
        <w:rPr>
          <w:lang w:val="en-IN"/>
        </w:rPr>
        <w:t>edn</w:t>
      </w:r>
      <w:proofErr w:type="spellEnd"/>
      <w:r w:rsidRPr="00C764B5">
        <w:rPr>
          <w:lang w:val="en-IN"/>
        </w:rPr>
        <w:t>. London: Sage.</w:t>
      </w:r>
    </w:p>
    <w:p w:rsidR="00DF120E" w:rsidRPr="00C764B5" w:rsidRDefault="00DF120E" w:rsidP="00DF120E">
      <w:pPr>
        <w:pStyle w:val="BodyText"/>
        <w:rPr>
          <w:lang w:val="en-IN"/>
        </w:rPr>
      </w:pPr>
      <w:r w:rsidRPr="00C764B5">
        <w:rPr>
          <w:lang w:val="en-IN"/>
        </w:rPr>
        <w:t xml:space="preserve">UK Government (2023) </w:t>
      </w:r>
      <w:r w:rsidRPr="00C764B5">
        <w:rPr>
          <w:i/>
          <w:iCs/>
          <w:lang w:val="en-IN"/>
        </w:rPr>
        <w:t>Creative Industries Sector Vision</w:t>
      </w:r>
      <w:r w:rsidRPr="00C764B5">
        <w:rPr>
          <w:lang w:val="en-IN"/>
        </w:rPr>
        <w:t xml:space="preserve">. Available at: </w:t>
      </w:r>
      <w:hyperlink r:id="rId55" w:tgtFrame="_new" w:history="1">
        <w:r w:rsidRPr="00C764B5">
          <w:rPr>
            <w:rStyle w:val="Hyperlink"/>
            <w:lang w:val="en-IN"/>
          </w:rPr>
          <w:t>https://www.gov.uk</w:t>
        </w:r>
      </w:hyperlink>
    </w:p>
    <w:p w:rsidR="00DF120E" w:rsidRPr="00C764B5" w:rsidRDefault="00DF120E" w:rsidP="00DF120E">
      <w:pPr>
        <w:pStyle w:val="BodyText"/>
        <w:rPr>
          <w:lang w:val="en-IN"/>
        </w:rPr>
      </w:pPr>
      <w:r w:rsidRPr="00C764B5">
        <w:rPr>
          <w:lang w:val="en-IN"/>
        </w:rPr>
        <w:t xml:space="preserve">Wirtz, J., Lovelock, C. and Chew, P. (2021) </w:t>
      </w:r>
      <w:r w:rsidRPr="00C764B5">
        <w:rPr>
          <w:i/>
          <w:iCs/>
          <w:lang w:val="en-IN"/>
        </w:rPr>
        <w:t>Services Marketing</w:t>
      </w:r>
      <w:r w:rsidRPr="00C764B5">
        <w:rPr>
          <w:lang w:val="en-IN"/>
        </w:rPr>
        <w:t xml:space="preserve">. 9th </w:t>
      </w:r>
      <w:proofErr w:type="spellStart"/>
      <w:r w:rsidRPr="00C764B5">
        <w:rPr>
          <w:lang w:val="en-IN"/>
        </w:rPr>
        <w:t>edn</w:t>
      </w:r>
      <w:proofErr w:type="spellEnd"/>
      <w:r w:rsidRPr="00C764B5">
        <w:rPr>
          <w:lang w:val="en-IN"/>
        </w:rPr>
        <w:t>. Singapore: World Scientific.</w:t>
      </w:r>
    </w:p>
    <w:p w:rsidR="00DF120E" w:rsidRDefault="00DF120E" w:rsidP="00DF120E">
      <w:pPr>
        <w:pStyle w:val="BodyText"/>
        <w:rPr>
          <w:lang w:val="en-IN"/>
        </w:rPr>
      </w:pPr>
      <w:r w:rsidRPr="007F7149">
        <w:rPr>
          <w:i/>
          <w:iCs/>
          <w:lang w:val="en-IN"/>
        </w:rPr>
        <w:t>Dropship Spy</w:t>
      </w:r>
      <w:r w:rsidRPr="007F7149">
        <w:rPr>
          <w:lang w:val="en-IN"/>
        </w:rPr>
        <w:t xml:space="preserve"> (2025). 2025 Digital Media Trends: How E-commerce Entrepreneurs Can Leverage the New Entertainment Landscape. </w:t>
      </w:r>
      <w:r w:rsidRPr="007F7149">
        <w:rPr>
          <w:i/>
          <w:iCs/>
          <w:lang w:val="en-IN"/>
        </w:rPr>
        <w:t>Dropship Spy Blog</w:t>
      </w:r>
      <w:r w:rsidRPr="007F7149">
        <w:rPr>
          <w:lang w:val="en-IN"/>
        </w:rPr>
        <w:t xml:space="preserve">. [online] Available at: </w:t>
      </w:r>
      <w:hyperlink r:id="rId56" w:history="1">
        <w:r w:rsidRPr="007F7149">
          <w:rPr>
            <w:rStyle w:val="Hyperlink"/>
            <w:lang w:val="en-IN"/>
          </w:rPr>
          <w:t>https://dropship-spy.com/blog/2025-digital-media-trends-how-e-commerce-entrepreneurs-can-leverage-the-new-entertainment-landscape</w:t>
        </w:r>
      </w:hyperlink>
      <w:r w:rsidRPr="007F7149">
        <w:rPr>
          <w:lang w:val="en-IN"/>
        </w:rPr>
        <w:t>.</w:t>
      </w:r>
      <w:r>
        <w:rPr>
          <w:lang w:val="en-IN"/>
        </w:rPr>
        <w:t xml:space="preserve"> </w:t>
      </w:r>
    </w:p>
    <w:p w:rsidR="00DF120E" w:rsidRDefault="00DF120E" w:rsidP="00DF120E">
      <w:pPr>
        <w:pStyle w:val="BodyText"/>
        <w:rPr>
          <w:lang w:val="en-IN"/>
        </w:rPr>
      </w:pPr>
      <w:r w:rsidRPr="00DB7666">
        <w:rPr>
          <w:lang w:val="en-IN"/>
        </w:rPr>
        <w:t xml:space="preserve">Seyhan </w:t>
      </w:r>
      <w:proofErr w:type="spellStart"/>
      <w:r w:rsidRPr="00DB7666">
        <w:rPr>
          <w:lang w:val="en-IN"/>
        </w:rPr>
        <w:t>Canyakan</w:t>
      </w:r>
      <w:proofErr w:type="spellEnd"/>
      <w:r w:rsidRPr="00DB7666">
        <w:rPr>
          <w:lang w:val="en-IN"/>
        </w:rPr>
        <w:t xml:space="preserve"> (2025). </w:t>
      </w:r>
      <w:r w:rsidRPr="00DB7666">
        <w:rPr>
          <w:i/>
          <w:iCs/>
          <w:lang w:val="en-IN"/>
        </w:rPr>
        <w:t>Transformation of creativity and value in music through NFT and blockchain-based copyright management in the music industry</w:t>
      </w:r>
      <w:r w:rsidRPr="00DB7666">
        <w:rPr>
          <w:lang w:val="en-IN"/>
        </w:rPr>
        <w:t xml:space="preserve">. [online] Available at: </w:t>
      </w:r>
      <w:hyperlink r:id="rId57" w:history="1">
        <w:r w:rsidRPr="00DB7666">
          <w:rPr>
            <w:rStyle w:val="Hyperlink"/>
            <w:lang w:val="en-IN"/>
          </w:rPr>
          <w:t>https://dergipark.org.tr/en/download/article-file/4634668</w:t>
        </w:r>
      </w:hyperlink>
      <w:r>
        <w:rPr>
          <w:lang w:val="en-IN"/>
        </w:rPr>
        <w:t xml:space="preserve"> </w:t>
      </w:r>
      <w:r w:rsidRPr="00DB7666">
        <w:rPr>
          <w:lang w:val="en-IN"/>
        </w:rPr>
        <w:t>[Accessed 7 Jan. 2026].</w:t>
      </w:r>
      <w:r>
        <w:rPr>
          <w:lang w:val="en-IN"/>
        </w:rPr>
        <w:t xml:space="preserve"> </w:t>
      </w:r>
    </w:p>
    <w:p w:rsidR="00DF120E" w:rsidRDefault="00DF120E" w:rsidP="00DF120E">
      <w:pPr>
        <w:pStyle w:val="BodyText"/>
        <w:rPr>
          <w:lang w:val="en-IN"/>
        </w:rPr>
      </w:pPr>
      <w:r w:rsidRPr="0030620E">
        <w:rPr>
          <w:lang w:val="en-IN"/>
        </w:rPr>
        <w:t xml:space="preserve">Deloitte (2025). </w:t>
      </w:r>
      <w:r w:rsidRPr="0030620E">
        <w:rPr>
          <w:i/>
          <w:iCs/>
          <w:lang w:val="en-IN"/>
        </w:rPr>
        <w:t>2025 State of Social Research</w:t>
      </w:r>
      <w:r w:rsidRPr="0030620E">
        <w:rPr>
          <w:lang w:val="en-IN"/>
        </w:rPr>
        <w:t xml:space="preserve">. [online] Deloitte Insights. Available at: </w:t>
      </w:r>
      <w:hyperlink r:id="rId58" w:history="1">
        <w:r w:rsidRPr="0030620E">
          <w:rPr>
            <w:rStyle w:val="Hyperlink"/>
            <w:lang w:val="en-IN"/>
          </w:rPr>
          <w:t>https://www.deloittedigital.com/us/en/insights/research/state-of-social-research-2025.html</w:t>
        </w:r>
      </w:hyperlink>
      <w:r w:rsidRPr="0030620E">
        <w:rPr>
          <w:lang w:val="en-IN"/>
        </w:rPr>
        <w:t>.</w:t>
      </w:r>
      <w:r>
        <w:rPr>
          <w:lang w:val="en-IN"/>
        </w:rPr>
        <w:t xml:space="preserve"> </w:t>
      </w:r>
    </w:p>
    <w:p w:rsidR="00DF120E" w:rsidRDefault="00DF120E" w:rsidP="00DF120E">
      <w:pPr>
        <w:pStyle w:val="BodyText"/>
        <w:rPr>
          <w:lang w:val="en-IN"/>
        </w:rPr>
      </w:pPr>
      <w:r w:rsidRPr="009B3807">
        <w:rPr>
          <w:lang w:val="en-IN"/>
        </w:rPr>
        <w:t xml:space="preserve">Okonkwo, I., Mujinga, J., </w:t>
      </w:r>
      <w:proofErr w:type="spellStart"/>
      <w:r w:rsidRPr="009B3807">
        <w:rPr>
          <w:lang w:val="en-IN"/>
        </w:rPr>
        <w:t>Namkoisse</w:t>
      </w:r>
      <w:proofErr w:type="spellEnd"/>
      <w:r w:rsidRPr="009B3807">
        <w:rPr>
          <w:lang w:val="en-IN"/>
        </w:rPr>
        <w:t xml:space="preserve">, E. and Francisco, A. (2023). Localization and global marketing: Adapting digital strategies for diverse audiences. </w:t>
      </w:r>
      <w:r w:rsidRPr="009B3807">
        <w:rPr>
          <w:i/>
          <w:iCs/>
          <w:lang w:val="en-IN"/>
        </w:rPr>
        <w:t>Journal of Digital Marketing and Communication</w:t>
      </w:r>
      <w:r w:rsidRPr="009B3807">
        <w:rPr>
          <w:lang w:val="en-IN"/>
        </w:rPr>
        <w:t>, [online] 3(2), pp.66–80.</w:t>
      </w:r>
      <w:r>
        <w:rPr>
          <w:lang w:val="en-IN"/>
        </w:rPr>
        <w:t xml:space="preserve">  </w:t>
      </w:r>
      <w:r w:rsidRPr="00DB7666">
        <w:rPr>
          <w:lang w:val="en-IN"/>
        </w:rPr>
        <w:t>Available at:</w:t>
      </w:r>
      <w:r>
        <w:rPr>
          <w:lang w:val="en-IN"/>
        </w:rPr>
        <w:t xml:space="preserve"> </w:t>
      </w:r>
      <w:hyperlink r:id="rId59" w:history="1">
        <w:r w:rsidRPr="00E34BE3">
          <w:rPr>
            <w:rStyle w:val="Hyperlink"/>
            <w:lang w:val="en-IN"/>
          </w:rPr>
          <w:t>https://tecnoscientifica.com/journal/jdmc/article/view/311</w:t>
        </w:r>
      </w:hyperlink>
      <w:r>
        <w:rPr>
          <w:lang w:val="en-IN"/>
        </w:rPr>
        <w:t xml:space="preserve"> </w:t>
      </w:r>
    </w:p>
    <w:p w:rsidR="00DF120E" w:rsidRPr="007F7149" w:rsidRDefault="00DF120E" w:rsidP="00DF120E">
      <w:pPr>
        <w:pStyle w:val="BodyText"/>
        <w:rPr>
          <w:lang w:val="en-IN"/>
        </w:rPr>
      </w:pPr>
      <w:r w:rsidRPr="004A4F26">
        <w:t>Steele, T.N., Galarza-Paez, L., Aguilo-Seara, G. and David, L.R., 2021. Social media impact in the match: a survey of current trends in the United States. </w:t>
      </w:r>
      <w:r w:rsidRPr="004A4F26">
        <w:rPr>
          <w:i/>
          <w:iCs/>
        </w:rPr>
        <w:t>Archives of Plastic Surgery</w:t>
      </w:r>
      <w:r w:rsidRPr="004A4F26">
        <w:t>, </w:t>
      </w:r>
      <w:r w:rsidRPr="004A4F26">
        <w:rPr>
          <w:i/>
          <w:iCs/>
        </w:rPr>
        <w:t>48</w:t>
      </w:r>
      <w:r w:rsidRPr="004A4F26">
        <w:t>(01), pp.107-113.</w:t>
      </w:r>
    </w:p>
    <w:p w:rsidR="00DF120E" w:rsidRDefault="00DF120E" w:rsidP="00DF120E">
      <w:pPr>
        <w:pStyle w:val="BodyText"/>
      </w:pPr>
      <w:r w:rsidRPr="00712BAE">
        <w:t>Chaffey, D. and Ellis-Chadwick, F., 2019. </w:t>
      </w:r>
      <w:r w:rsidRPr="00712BAE">
        <w:rPr>
          <w:i/>
          <w:iCs/>
        </w:rPr>
        <w:t>Digital marketing</w:t>
      </w:r>
      <w:r w:rsidRPr="00712BAE">
        <w:t xml:space="preserve">. Pearson </w:t>
      </w:r>
      <w:proofErr w:type="spellStart"/>
      <w:r w:rsidRPr="00712BAE">
        <w:t>uk</w:t>
      </w:r>
      <w:proofErr w:type="spellEnd"/>
      <w:r w:rsidRPr="00712BAE">
        <w:t>.</w:t>
      </w:r>
    </w:p>
    <w:p w:rsidR="00DF120E" w:rsidRDefault="00DF120E" w:rsidP="00DF120E">
      <w:pPr>
        <w:pStyle w:val="BodyText"/>
      </w:pPr>
      <w:r w:rsidRPr="00712BAE">
        <w:t xml:space="preserve">Morgan, N.A., Clark, B.H. and </w:t>
      </w:r>
      <w:proofErr w:type="spellStart"/>
      <w:r w:rsidRPr="00712BAE">
        <w:t>Gooner</w:t>
      </w:r>
      <w:proofErr w:type="spellEnd"/>
      <w:r w:rsidRPr="00712BAE">
        <w:t>, R., 2002. Marketing productivity, marketing audits, and systems for marketing performance assessment: integrating multiple perspectives. </w:t>
      </w:r>
      <w:r w:rsidRPr="00712BAE">
        <w:rPr>
          <w:i/>
          <w:iCs/>
        </w:rPr>
        <w:t>Journal of business research</w:t>
      </w:r>
      <w:r w:rsidRPr="00712BAE">
        <w:t>, </w:t>
      </w:r>
      <w:r w:rsidRPr="00712BAE">
        <w:rPr>
          <w:i/>
          <w:iCs/>
        </w:rPr>
        <w:t>55</w:t>
      </w:r>
      <w:r w:rsidRPr="00712BAE">
        <w:t>(5), pp.363-375.</w:t>
      </w:r>
    </w:p>
    <w:p w:rsidR="00DF120E" w:rsidRDefault="00DF120E" w:rsidP="00DF120E">
      <w:pPr>
        <w:pStyle w:val="BodyText"/>
      </w:pPr>
      <w:r w:rsidRPr="00712BAE">
        <w:t>Solomon, M.R. and Tuten, T.L., 2017. Social media marketing. </w:t>
      </w:r>
      <w:r w:rsidRPr="00712BAE">
        <w:rPr>
          <w:i/>
          <w:iCs/>
        </w:rPr>
        <w:t>Social Media Marketing</w:t>
      </w:r>
      <w:r w:rsidRPr="00712BAE">
        <w:t>, pp.1-448.</w:t>
      </w:r>
    </w:p>
    <w:p w:rsidR="00DF120E" w:rsidRDefault="00DF120E" w:rsidP="00DF120E">
      <w:pPr>
        <w:pStyle w:val="BodyText"/>
        <w:rPr>
          <w:lang w:val="en-IN"/>
        </w:rPr>
      </w:pPr>
      <w:r w:rsidRPr="00AA45CB">
        <w:rPr>
          <w:lang w:val="en-IN"/>
        </w:rPr>
        <w:t xml:space="preserve">PwC (2025). </w:t>
      </w:r>
      <w:r w:rsidRPr="00AA45CB">
        <w:rPr>
          <w:i/>
          <w:iCs/>
          <w:lang w:val="en-IN"/>
        </w:rPr>
        <w:t>Perspectives: Global Entertainment &amp; Media Outlook 2024–2028</w:t>
      </w:r>
      <w:r w:rsidRPr="00AA45CB">
        <w:rPr>
          <w:lang w:val="en-IN"/>
        </w:rPr>
        <w:t xml:space="preserve">. [online] PwC. Available at: </w:t>
      </w:r>
      <w:hyperlink r:id="rId60" w:history="1">
        <w:r w:rsidRPr="00AA45CB">
          <w:rPr>
            <w:rStyle w:val="Hyperlink"/>
            <w:lang w:val="en-IN"/>
          </w:rPr>
          <w:t>https://www.pwc.com/gx/en/issues/business-model-reinvention/outlook/insights-and-perspectives.html</w:t>
        </w:r>
      </w:hyperlink>
      <w:r w:rsidRPr="00AA45CB">
        <w:rPr>
          <w:lang w:val="en-IN"/>
        </w:rPr>
        <w:t>.</w:t>
      </w:r>
      <w:r>
        <w:rPr>
          <w:lang w:val="en-IN"/>
        </w:rPr>
        <w:t xml:space="preserve"> </w:t>
      </w:r>
    </w:p>
    <w:p w:rsidR="00EF744D" w:rsidRPr="00435FD8" w:rsidRDefault="00EF744D" w:rsidP="00EF744D">
      <w:pPr>
        <w:rPr>
          <w:rFonts w:cs="Arial"/>
          <w:lang w:val="en-IN"/>
        </w:rPr>
      </w:pPr>
      <w:r w:rsidRPr="00435FD8">
        <w:rPr>
          <w:rFonts w:cs="Arial"/>
          <w:lang w:val="en-IN"/>
        </w:rPr>
        <w:t xml:space="preserve">VWV (2025). </w:t>
      </w:r>
      <w:r w:rsidRPr="00435FD8">
        <w:rPr>
          <w:rFonts w:cs="Arial"/>
          <w:i/>
          <w:iCs/>
          <w:lang w:val="en-IN"/>
        </w:rPr>
        <w:t>AI and Copyright: Updates from the Data (Use and Access) Act 2025 progress statement</w:t>
      </w:r>
      <w:r w:rsidRPr="00435FD8">
        <w:rPr>
          <w:rFonts w:cs="Arial"/>
          <w:lang w:val="en-IN"/>
        </w:rPr>
        <w:t xml:space="preserve">. [online] VWV. Available at: </w:t>
      </w:r>
      <w:hyperlink r:id="rId61" w:history="1">
        <w:r w:rsidRPr="00435FD8">
          <w:rPr>
            <w:rStyle w:val="Hyperlink"/>
            <w:rFonts w:cs="Arial"/>
            <w:lang w:val="en-IN"/>
          </w:rPr>
          <w:t>https://www.vwv.co.uk/insights/articles/ai-and-copyright-updates-from-the-data-use-and-access-act-2025-progress-statement/</w:t>
        </w:r>
      </w:hyperlink>
      <w:r>
        <w:rPr>
          <w:rFonts w:cs="Arial"/>
          <w:lang w:val="en-IN"/>
        </w:rPr>
        <w:t xml:space="preserve"> </w:t>
      </w:r>
      <w:r w:rsidRPr="00435FD8">
        <w:rPr>
          <w:rFonts w:cs="Arial"/>
          <w:lang w:val="en-IN"/>
        </w:rPr>
        <w:t>[Accessed 8 Jan. 2026].</w:t>
      </w:r>
    </w:p>
    <w:p w:rsidR="00EF744D" w:rsidRDefault="00EF744D" w:rsidP="00EF744D">
      <w:pPr>
        <w:rPr>
          <w:rFonts w:cs="Arial"/>
          <w:lang w:val="en-IN"/>
        </w:rPr>
      </w:pPr>
      <w:r w:rsidRPr="008B280E">
        <w:rPr>
          <w:rFonts w:cs="Arial"/>
          <w:lang w:val="en-IN"/>
        </w:rPr>
        <w:lastRenderedPageBreak/>
        <w:t xml:space="preserve">Deloitte (2025). </w:t>
      </w:r>
      <w:r w:rsidRPr="008B280E">
        <w:rPr>
          <w:rFonts w:cs="Arial"/>
          <w:i/>
          <w:iCs/>
          <w:lang w:val="en-IN"/>
        </w:rPr>
        <w:t>2025 Global Human Capital Trends</w:t>
      </w:r>
      <w:r w:rsidRPr="008B280E">
        <w:rPr>
          <w:rFonts w:cs="Arial"/>
          <w:lang w:val="en-IN"/>
        </w:rPr>
        <w:t xml:space="preserve">. [online] Deloitte Insights. Available at: </w:t>
      </w:r>
      <w:hyperlink r:id="rId62" w:history="1">
        <w:r w:rsidRPr="008B280E">
          <w:rPr>
            <w:rStyle w:val="Hyperlink"/>
            <w:rFonts w:cs="Arial"/>
            <w:lang w:val="en-IN"/>
          </w:rPr>
          <w:t>https://www.deloitte.com/us/en/insights/topics/talent/human-capital-trends.html</w:t>
        </w:r>
      </w:hyperlink>
      <w:r w:rsidRPr="008B280E">
        <w:rPr>
          <w:rFonts w:cs="Arial"/>
          <w:lang w:val="en-IN"/>
        </w:rPr>
        <w:t>.</w:t>
      </w:r>
      <w:r>
        <w:rPr>
          <w:rFonts w:cs="Arial"/>
          <w:lang w:val="en-IN"/>
        </w:rPr>
        <w:t xml:space="preserve"> </w:t>
      </w:r>
    </w:p>
    <w:p w:rsidR="00EF744D" w:rsidRDefault="00EF744D" w:rsidP="00EF744D">
      <w:pPr>
        <w:rPr>
          <w:rFonts w:cs="Arial"/>
          <w:lang w:val="en-IN"/>
        </w:rPr>
      </w:pPr>
      <w:r w:rsidRPr="008B280E">
        <w:rPr>
          <w:rFonts w:cs="Arial"/>
          <w:lang w:val="en-IN"/>
        </w:rPr>
        <w:t xml:space="preserve">GOV.UK (2025). </w:t>
      </w:r>
      <w:r w:rsidRPr="008B280E">
        <w:rPr>
          <w:rFonts w:cs="Arial"/>
          <w:i/>
          <w:iCs/>
          <w:lang w:val="en-IN"/>
        </w:rPr>
        <w:t>Data (Use and Access) Act factsheet: UK GDPR and DPA</w:t>
      </w:r>
      <w:r w:rsidRPr="008B280E">
        <w:rPr>
          <w:rFonts w:cs="Arial"/>
          <w:lang w:val="en-IN"/>
        </w:rPr>
        <w:t xml:space="preserve">. [online] GOV.UK. Available at: </w:t>
      </w:r>
      <w:hyperlink r:id="rId63" w:history="1">
        <w:r w:rsidRPr="008B280E">
          <w:rPr>
            <w:rStyle w:val="Hyperlink"/>
            <w:rFonts w:cs="Arial"/>
            <w:lang w:val="en-IN"/>
          </w:rPr>
          <w:t>https://www.gov.uk/government/publications/data-use-and-access-act-2025-factsheets/data-use-and-access-act-factsheet-uk-gdpr-and-dpa</w:t>
        </w:r>
      </w:hyperlink>
      <w:r w:rsidRPr="008B280E">
        <w:rPr>
          <w:rFonts w:cs="Arial"/>
          <w:lang w:val="en-IN"/>
        </w:rPr>
        <w:t>.</w:t>
      </w:r>
      <w:r>
        <w:rPr>
          <w:rFonts w:cs="Arial"/>
          <w:lang w:val="en-IN"/>
        </w:rPr>
        <w:t xml:space="preserve"> </w:t>
      </w:r>
    </w:p>
    <w:p w:rsidR="00EF744D" w:rsidRDefault="00EF744D" w:rsidP="00EF744D">
      <w:pPr>
        <w:rPr>
          <w:rFonts w:cs="Arial"/>
          <w:lang w:val="en-IN"/>
        </w:rPr>
      </w:pPr>
      <w:r w:rsidRPr="002C59F6">
        <w:rPr>
          <w:rFonts w:cs="Arial"/>
          <w:lang w:val="en-IN"/>
        </w:rPr>
        <w:t xml:space="preserve">PRS for Music (2025). </w:t>
      </w:r>
      <w:r w:rsidRPr="002C59F6">
        <w:rPr>
          <w:rFonts w:cs="Arial"/>
          <w:i/>
          <w:iCs/>
          <w:lang w:val="en-IN"/>
        </w:rPr>
        <w:t>DIGITAL MUSIC LICENCES STANDARD TERMS AND CONDITIONS</w:t>
      </w:r>
      <w:r w:rsidRPr="002C59F6">
        <w:rPr>
          <w:rFonts w:cs="Arial"/>
          <w:lang w:val="en-IN"/>
        </w:rPr>
        <w:t xml:space="preserve">. [online] Available at: </w:t>
      </w:r>
      <w:hyperlink r:id="rId64" w:history="1">
        <w:r w:rsidRPr="002C59F6">
          <w:rPr>
            <w:rStyle w:val="Hyperlink"/>
            <w:rFonts w:cs="Arial"/>
            <w:lang w:val="en-IN"/>
          </w:rPr>
          <w:t>https://www.prsformusic.com/-/media/files/prs-for-music/licensing/online-licensing/digital-music-licences--standard-terms--conditions.pdf</w:t>
        </w:r>
      </w:hyperlink>
      <w:r>
        <w:rPr>
          <w:rFonts w:cs="Arial"/>
          <w:lang w:val="en-IN"/>
        </w:rPr>
        <w:t xml:space="preserve"> </w:t>
      </w:r>
      <w:r w:rsidRPr="002C59F6">
        <w:rPr>
          <w:rFonts w:cs="Arial"/>
          <w:lang w:val="en-IN"/>
        </w:rPr>
        <w:t>[Accessed 8 Jan. 2026].</w:t>
      </w:r>
    </w:p>
    <w:p w:rsidR="00EF744D" w:rsidRDefault="00EF744D" w:rsidP="00EF744D">
      <w:pPr>
        <w:rPr>
          <w:rFonts w:cs="Arial"/>
          <w:lang w:val="en-IN"/>
        </w:rPr>
      </w:pPr>
      <w:r w:rsidRPr="0041344E">
        <w:rPr>
          <w:rFonts w:cs="Arial"/>
          <w:lang w:val="en-IN"/>
        </w:rPr>
        <w:t xml:space="preserve">CIPD (2024). </w:t>
      </w:r>
      <w:r w:rsidRPr="0041344E">
        <w:rPr>
          <w:rFonts w:cs="Arial"/>
          <w:i/>
          <w:iCs/>
          <w:lang w:val="en-IN"/>
        </w:rPr>
        <w:t>Hybrid working: Guidance for people professionals</w:t>
      </w:r>
      <w:r w:rsidRPr="0041344E">
        <w:rPr>
          <w:rFonts w:cs="Arial"/>
          <w:lang w:val="en-IN"/>
        </w:rPr>
        <w:t xml:space="preserve">. [online] CIPD. Available at: </w:t>
      </w:r>
      <w:hyperlink r:id="rId65" w:history="1">
        <w:r w:rsidRPr="0041344E">
          <w:rPr>
            <w:rStyle w:val="Hyperlink"/>
            <w:rFonts w:cs="Arial"/>
            <w:lang w:val="en-IN"/>
          </w:rPr>
          <w:t>https://www.cipd.org/uk/knowledge/guides/planning-hybrid-working/</w:t>
        </w:r>
      </w:hyperlink>
      <w:r w:rsidRPr="0041344E">
        <w:rPr>
          <w:rFonts w:cs="Arial"/>
          <w:lang w:val="en-IN"/>
        </w:rPr>
        <w:t>.</w:t>
      </w:r>
      <w:r>
        <w:rPr>
          <w:rFonts w:cs="Arial"/>
          <w:lang w:val="en-IN"/>
        </w:rPr>
        <w:t xml:space="preserve"> </w:t>
      </w:r>
    </w:p>
    <w:p w:rsidR="00EF744D" w:rsidRDefault="00EF744D" w:rsidP="00EF744D">
      <w:pPr>
        <w:rPr>
          <w:rFonts w:cs="Arial"/>
          <w:lang w:val="en-IN"/>
        </w:rPr>
      </w:pPr>
      <w:r w:rsidRPr="00634A60">
        <w:rPr>
          <w:rFonts w:cs="Arial"/>
          <w:lang w:val="en-IN"/>
        </w:rPr>
        <w:t xml:space="preserve">KPMG (2025). </w:t>
      </w:r>
      <w:r w:rsidRPr="00634A60">
        <w:rPr>
          <w:rFonts w:cs="Arial"/>
          <w:i/>
          <w:iCs/>
          <w:lang w:val="en-IN"/>
        </w:rPr>
        <w:t>KPMG releases 2025 ESG Assurance Maturity Index: Companies see tangible business value from ESG Assurance</w:t>
      </w:r>
      <w:r w:rsidRPr="00634A60">
        <w:rPr>
          <w:rFonts w:cs="Arial"/>
          <w:lang w:val="en-IN"/>
        </w:rPr>
        <w:t xml:space="preserve">. [online] KPMG. Available at: </w:t>
      </w:r>
      <w:hyperlink r:id="rId66" w:history="1">
        <w:r w:rsidRPr="00634A60">
          <w:rPr>
            <w:rStyle w:val="Hyperlink"/>
            <w:rFonts w:cs="Arial"/>
            <w:lang w:val="en-IN"/>
          </w:rPr>
          <w:t>https://kpmg.com/xx/en/media/press-releases/2025/09/companies-sees-tangible-business-value-from-esg-assurance.html</w:t>
        </w:r>
      </w:hyperlink>
      <w:r w:rsidRPr="00634A60">
        <w:rPr>
          <w:rFonts w:cs="Arial"/>
          <w:lang w:val="en-IN"/>
        </w:rPr>
        <w:t>.</w:t>
      </w:r>
      <w:r>
        <w:rPr>
          <w:rFonts w:cs="Arial"/>
          <w:lang w:val="en-IN"/>
        </w:rPr>
        <w:t xml:space="preserve"> </w:t>
      </w:r>
    </w:p>
    <w:p w:rsidR="00C7563B" w:rsidRDefault="00C7563B" w:rsidP="00C7563B">
      <w:pPr>
        <w:rPr>
          <w:rFonts w:cs="Arial"/>
          <w:lang w:val="en-IN"/>
        </w:rPr>
      </w:pPr>
      <w:r w:rsidRPr="007A7D23">
        <w:rPr>
          <w:rFonts w:cs="Arial"/>
          <w:lang w:val="en-IN"/>
        </w:rPr>
        <w:t>Mackintosh, C.O., McDermott, A.M., Williams, H.M. and Hann, D.J. (2025). The implications of (</w:t>
      </w:r>
      <w:proofErr w:type="spellStart"/>
      <w:r w:rsidRPr="007A7D23">
        <w:rPr>
          <w:rFonts w:cs="Arial"/>
          <w:lang w:val="en-IN"/>
        </w:rPr>
        <w:t>dys</w:t>
      </w:r>
      <w:proofErr w:type="spellEnd"/>
      <w:r w:rsidRPr="007A7D23">
        <w:rPr>
          <w:rFonts w:cs="Arial"/>
          <w:lang w:val="en-IN"/>
        </w:rPr>
        <w:t xml:space="preserve">)functional and (un)fair line manager flexibility </w:t>
      </w:r>
      <w:proofErr w:type="spellStart"/>
      <w:r w:rsidRPr="007A7D23">
        <w:rPr>
          <w:rFonts w:cs="Arial"/>
          <w:lang w:val="en-IN"/>
        </w:rPr>
        <w:t>i</w:t>
      </w:r>
      <w:proofErr w:type="spellEnd"/>
      <w:r w:rsidRPr="007A7D23">
        <w:rPr>
          <w:rFonts w:cs="Arial"/>
          <w:lang w:val="en-IN"/>
        </w:rPr>
        <w:t xml:space="preserve">-deals for subordinates: balancing flexibility with perceived support and fairness. </w:t>
      </w:r>
      <w:r w:rsidRPr="007A7D23">
        <w:rPr>
          <w:rFonts w:cs="Arial"/>
          <w:i/>
          <w:iCs/>
          <w:lang w:val="en-IN"/>
        </w:rPr>
        <w:t>The International Journal of Human Resource Management</w:t>
      </w:r>
      <w:r w:rsidRPr="007A7D23">
        <w:rPr>
          <w:rFonts w:cs="Arial"/>
          <w:lang w:val="en-IN"/>
        </w:rPr>
        <w:t>, 36(11), pp.1834–1868.</w:t>
      </w:r>
    </w:p>
    <w:p w:rsidR="00C7563B" w:rsidRPr="007A7D23" w:rsidRDefault="00C7563B" w:rsidP="00C7563B">
      <w:pPr>
        <w:rPr>
          <w:rFonts w:cs="Arial"/>
          <w:lang w:val="en-IN"/>
        </w:rPr>
      </w:pPr>
      <w:r w:rsidRPr="007A7D23">
        <w:rPr>
          <w:rFonts w:cs="Arial"/>
          <w:lang w:val="en-IN"/>
        </w:rPr>
        <w:t xml:space="preserve">Deloitte (2025). </w:t>
      </w:r>
      <w:r w:rsidRPr="007A7D23">
        <w:rPr>
          <w:rFonts w:cs="Arial"/>
          <w:i/>
          <w:iCs/>
          <w:lang w:val="en-IN"/>
        </w:rPr>
        <w:t>2025 Global Human Capital Trends</w:t>
      </w:r>
      <w:r w:rsidRPr="007A7D23">
        <w:rPr>
          <w:rFonts w:cs="Arial"/>
          <w:lang w:val="en-IN"/>
        </w:rPr>
        <w:t xml:space="preserve">. [online] Deloitte Insights. Available at: </w:t>
      </w:r>
      <w:hyperlink r:id="rId67" w:history="1">
        <w:r w:rsidRPr="00F71EAE">
          <w:rPr>
            <w:rStyle w:val="Hyperlink"/>
            <w:rFonts w:cs="Arial"/>
            <w:lang w:val="en-IN"/>
          </w:rPr>
          <w:t>https://www.deloitte.com/us/en/insights/topics/talent/human-capital-trends.html</w:t>
        </w:r>
      </w:hyperlink>
      <w:r w:rsidRPr="007A7D23">
        <w:rPr>
          <w:rFonts w:cs="Arial"/>
          <w:lang w:val="en-IN"/>
        </w:rPr>
        <w:t>.</w:t>
      </w:r>
      <w:r>
        <w:rPr>
          <w:rFonts w:cs="Arial"/>
          <w:lang w:val="en-IN"/>
        </w:rPr>
        <w:t xml:space="preserve"> </w:t>
      </w:r>
    </w:p>
    <w:p w:rsidR="00C7563B" w:rsidRDefault="00C7563B" w:rsidP="00C7563B">
      <w:pPr>
        <w:rPr>
          <w:rFonts w:cs="Arial"/>
          <w:lang w:val="en-IN"/>
        </w:rPr>
      </w:pPr>
      <w:r w:rsidRPr="007A7D23">
        <w:rPr>
          <w:rFonts w:cs="Arial"/>
          <w:lang w:val="en-IN"/>
        </w:rPr>
        <w:t xml:space="preserve">Gardiner, D. (2024). </w:t>
      </w:r>
      <w:r w:rsidRPr="007A7D23">
        <w:rPr>
          <w:rFonts w:cs="Arial"/>
          <w:i/>
          <w:iCs/>
          <w:lang w:val="en-IN"/>
        </w:rPr>
        <w:t>Balancing Act</w:t>
      </w:r>
      <w:r w:rsidRPr="007A7D23">
        <w:rPr>
          <w:rFonts w:cs="Arial"/>
          <w:lang w:val="en-IN"/>
        </w:rPr>
        <w:t>. Geneva: ILO.</w:t>
      </w:r>
      <w:r>
        <w:rPr>
          <w:rFonts w:cs="Arial"/>
          <w:lang w:val="en-IN"/>
        </w:rPr>
        <w:t xml:space="preserve"> </w:t>
      </w:r>
      <w:r w:rsidRPr="007A7D23">
        <w:rPr>
          <w:rFonts w:cs="Arial"/>
          <w:lang w:val="en-IN"/>
        </w:rPr>
        <w:t>Available</w:t>
      </w:r>
      <w:r>
        <w:rPr>
          <w:rFonts w:cs="Arial"/>
          <w:lang w:val="en-IN"/>
        </w:rPr>
        <w:t xml:space="preserve"> </w:t>
      </w:r>
      <w:r w:rsidRPr="007A7D23">
        <w:rPr>
          <w:rFonts w:cs="Arial"/>
          <w:lang w:val="en-IN"/>
        </w:rPr>
        <w:t>at:</w:t>
      </w:r>
      <w:hyperlink r:id="rId68" w:history="1">
        <w:r w:rsidRPr="00F71EAE">
          <w:rPr>
            <w:rStyle w:val="Hyperlink"/>
            <w:rFonts w:cs="Arial"/>
            <w:lang w:val="en-IN"/>
          </w:rPr>
          <w:t>https://www.ilo.org/sites/default/files/2025-01/WP_123_web.pdf</w:t>
        </w:r>
      </w:hyperlink>
      <w:r>
        <w:rPr>
          <w:rFonts w:cs="Arial"/>
          <w:lang w:val="en-IN"/>
        </w:rPr>
        <w:t xml:space="preserve"> </w:t>
      </w:r>
    </w:p>
    <w:p w:rsidR="00C7563B" w:rsidRDefault="00C7563B" w:rsidP="00C7563B">
      <w:pPr>
        <w:rPr>
          <w:rFonts w:cs="Arial"/>
          <w:lang w:val="en-IN"/>
        </w:rPr>
      </w:pPr>
      <w:r w:rsidRPr="00BF37F5">
        <w:rPr>
          <w:rFonts w:cs="Arial"/>
          <w:lang w:val="en-IN"/>
        </w:rPr>
        <w:t xml:space="preserve">Marone, M. (2025). </w:t>
      </w:r>
      <w:r w:rsidRPr="00BF37F5">
        <w:rPr>
          <w:rFonts w:cs="Arial"/>
          <w:i/>
          <w:iCs/>
          <w:lang w:val="en-IN"/>
        </w:rPr>
        <w:t>Rethinking Roles in the Age of Intelligent Machines - Harvard Business Impact</w:t>
      </w:r>
      <w:r w:rsidRPr="00BF37F5">
        <w:rPr>
          <w:rFonts w:cs="Arial"/>
          <w:lang w:val="en-IN"/>
        </w:rPr>
        <w:t xml:space="preserve">. [online] Harvard Business Impact. Available at: </w:t>
      </w:r>
      <w:hyperlink r:id="rId69" w:history="1">
        <w:r w:rsidRPr="00F71EAE">
          <w:rPr>
            <w:rStyle w:val="Hyperlink"/>
            <w:rFonts w:cs="Arial"/>
            <w:lang w:val="en-IN"/>
          </w:rPr>
          <w:t>https://www.harvardbusiness.org/insight/the-fluid-future-of-work-rethinking-roles-in-the-age-of-intelligent-machines/</w:t>
        </w:r>
      </w:hyperlink>
      <w:r w:rsidRPr="00BF37F5">
        <w:rPr>
          <w:rFonts w:cs="Arial"/>
          <w:lang w:val="en-IN"/>
        </w:rPr>
        <w:t>.</w:t>
      </w:r>
      <w:r>
        <w:rPr>
          <w:rFonts w:cs="Arial"/>
          <w:lang w:val="en-IN"/>
        </w:rPr>
        <w:t xml:space="preserve"> </w:t>
      </w:r>
    </w:p>
    <w:p w:rsidR="00C7563B" w:rsidRDefault="00C7563B" w:rsidP="00C7563B">
      <w:pPr>
        <w:rPr>
          <w:rFonts w:cs="Arial"/>
          <w:lang w:val="en-IN"/>
        </w:rPr>
      </w:pPr>
      <w:r w:rsidRPr="00BF37F5">
        <w:rPr>
          <w:rFonts w:cs="Arial"/>
          <w:lang w:val="en-IN"/>
        </w:rPr>
        <w:t xml:space="preserve">Abraham, M., Geng, T., Kogler, F. and Taylor, L. (2024). </w:t>
      </w:r>
      <w:r w:rsidRPr="00BF37F5">
        <w:rPr>
          <w:rFonts w:cs="Arial"/>
          <w:i/>
          <w:iCs/>
          <w:lang w:val="en-IN"/>
        </w:rPr>
        <w:t>What Consumers Want from Personalization</w:t>
      </w:r>
      <w:r w:rsidRPr="00BF37F5">
        <w:rPr>
          <w:rFonts w:cs="Arial"/>
          <w:lang w:val="en-IN"/>
        </w:rPr>
        <w:t xml:space="preserve">. [online] BCG Global. Available at: </w:t>
      </w:r>
      <w:hyperlink r:id="rId70" w:history="1">
        <w:r w:rsidRPr="00F71EAE">
          <w:rPr>
            <w:rStyle w:val="Hyperlink"/>
            <w:rFonts w:cs="Arial"/>
            <w:lang w:val="en-IN"/>
          </w:rPr>
          <w:t>https://www.bcg.com/publications/2024/what-consumers-want-from-personalization</w:t>
        </w:r>
      </w:hyperlink>
      <w:r w:rsidRPr="00BF37F5">
        <w:rPr>
          <w:rFonts w:cs="Arial"/>
          <w:lang w:val="en-IN"/>
        </w:rPr>
        <w:t>.</w:t>
      </w:r>
      <w:r>
        <w:rPr>
          <w:rFonts w:cs="Arial"/>
          <w:lang w:val="en-IN"/>
        </w:rPr>
        <w:t xml:space="preserve"> </w:t>
      </w:r>
    </w:p>
    <w:p w:rsidR="00C7563B" w:rsidRDefault="00C7563B" w:rsidP="00C7563B">
      <w:pPr>
        <w:rPr>
          <w:rFonts w:cs="Arial"/>
          <w:lang w:val="en-IN"/>
        </w:rPr>
      </w:pPr>
      <w:r w:rsidRPr="004D3432">
        <w:rPr>
          <w:rFonts w:cs="Arial"/>
          <w:lang w:val="en-IN"/>
        </w:rPr>
        <w:t xml:space="preserve">Rosenblatt, B. (2024). </w:t>
      </w:r>
      <w:r w:rsidRPr="004D3432">
        <w:rPr>
          <w:rFonts w:cs="Arial"/>
          <w:i/>
          <w:iCs/>
          <w:lang w:val="en-IN"/>
        </w:rPr>
        <w:t>WIPO Committee on Intellectual Property and Development THE GLOBAL DIGITAL MUSIC LANDSCAPE An Overview of Distribution, Copyright, and Rights Administration for Music in the Digital Age</w:t>
      </w:r>
      <w:r w:rsidRPr="004D3432">
        <w:rPr>
          <w:rFonts w:cs="Arial"/>
          <w:lang w:val="en-IN"/>
        </w:rPr>
        <w:t xml:space="preserve">. [online] Available at: </w:t>
      </w:r>
      <w:hyperlink r:id="rId71" w:history="1">
        <w:r w:rsidRPr="00F71EAE">
          <w:rPr>
            <w:rStyle w:val="Hyperlink"/>
            <w:rFonts w:cs="Arial"/>
            <w:lang w:val="en-IN"/>
          </w:rPr>
          <w:t>https://www.wipo.int/export/sites/www/cooperation/en/docs/digital-music-landscape.pdf</w:t>
        </w:r>
      </w:hyperlink>
      <w:r w:rsidRPr="004D3432">
        <w:rPr>
          <w:rFonts w:cs="Arial"/>
          <w:lang w:val="en-IN"/>
        </w:rPr>
        <w:t>.</w:t>
      </w:r>
      <w:r>
        <w:rPr>
          <w:rFonts w:cs="Arial"/>
          <w:lang w:val="en-IN"/>
        </w:rPr>
        <w:t xml:space="preserve"> </w:t>
      </w:r>
    </w:p>
    <w:p w:rsidR="00C7563B" w:rsidRDefault="00C7563B" w:rsidP="00C7563B">
      <w:pPr>
        <w:rPr>
          <w:rFonts w:cs="Arial"/>
          <w:lang w:val="en-IN"/>
        </w:rPr>
      </w:pPr>
      <w:r w:rsidRPr="004D3432">
        <w:rPr>
          <w:rFonts w:cs="Arial"/>
          <w:lang w:val="en-IN"/>
        </w:rPr>
        <w:lastRenderedPageBreak/>
        <w:t xml:space="preserve">CIPD (2025). </w:t>
      </w:r>
      <w:r w:rsidRPr="004D3432">
        <w:rPr>
          <w:rFonts w:cs="Arial"/>
          <w:i/>
          <w:iCs/>
          <w:lang w:val="en-IN"/>
        </w:rPr>
        <w:t>CIPD | FOW 2025: Digital transformation and the future of the people profession</w:t>
      </w:r>
      <w:r w:rsidRPr="004D3432">
        <w:rPr>
          <w:rFonts w:cs="Arial"/>
          <w:lang w:val="en-IN"/>
        </w:rPr>
        <w:t xml:space="preserve">. [online] CIPD. Available at: </w:t>
      </w:r>
      <w:hyperlink r:id="rId72" w:history="1">
        <w:r w:rsidRPr="00F71EAE">
          <w:rPr>
            <w:rStyle w:val="Hyperlink"/>
            <w:rFonts w:cs="Arial"/>
            <w:lang w:val="en-IN"/>
          </w:rPr>
          <w:t>https://www.cipd.org/en/get-involved/event-resources/fow-2025-digital-transformation-future-people-profession/</w:t>
        </w:r>
      </w:hyperlink>
      <w:r w:rsidRPr="004D3432">
        <w:rPr>
          <w:rFonts w:cs="Arial"/>
          <w:lang w:val="en-IN"/>
        </w:rPr>
        <w:t>.</w:t>
      </w:r>
      <w:r>
        <w:rPr>
          <w:rFonts w:cs="Arial"/>
          <w:lang w:val="en-IN"/>
        </w:rPr>
        <w:t xml:space="preserve"> </w:t>
      </w:r>
    </w:p>
    <w:p w:rsidR="00C7563B" w:rsidRPr="001E66A5" w:rsidRDefault="00C7563B" w:rsidP="00C7563B">
      <w:pPr>
        <w:rPr>
          <w:rFonts w:cs="Arial"/>
          <w:lang w:val="en-IN"/>
        </w:rPr>
      </w:pPr>
      <w:r w:rsidRPr="001E66A5">
        <w:rPr>
          <w:rFonts w:cs="Arial"/>
          <w:lang w:val="en-IN"/>
        </w:rPr>
        <w:t xml:space="preserve">NACE (2024). </w:t>
      </w:r>
      <w:r w:rsidRPr="001E66A5">
        <w:rPr>
          <w:rFonts w:cs="Arial"/>
          <w:i/>
          <w:iCs/>
          <w:lang w:val="en-IN"/>
        </w:rPr>
        <w:t>Intern Hiring Is Stable for 2024</w:t>
      </w:r>
      <w:r w:rsidRPr="001E66A5">
        <w:rPr>
          <w:rFonts w:cs="Arial"/>
          <w:lang w:val="en-IN"/>
        </w:rPr>
        <w:t xml:space="preserve">. [online] Default. Available at: </w:t>
      </w:r>
      <w:hyperlink r:id="rId73" w:history="1">
        <w:r w:rsidRPr="00F71EAE">
          <w:rPr>
            <w:rStyle w:val="Hyperlink"/>
            <w:rFonts w:cs="Arial"/>
            <w:lang w:val="en-IN"/>
          </w:rPr>
          <w:t>https://www.naceweb.org/job-market/trends-and-predictions/intern-hiring-is-stable-for-2024</w:t>
        </w:r>
      </w:hyperlink>
      <w:r w:rsidRPr="001E66A5">
        <w:rPr>
          <w:rFonts w:cs="Arial"/>
          <w:lang w:val="en-IN"/>
        </w:rPr>
        <w:t>.</w:t>
      </w:r>
      <w:r>
        <w:rPr>
          <w:rFonts w:cs="Arial"/>
          <w:lang w:val="en-IN"/>
        </w:rPr>
        <w:t xml:space="preserve"> </w:t>
      </w:r>
    </w:p>
    <w:p w:rsidR="00C7563B" w:rsidRPr="001E66A5" w:rsidRDefault="00C7563B" w:rsidP="00C7563B">
      <w:pPr>
        <w:rPr>
          <w:rFonts w:cs="Arial"/>
          <w:lang w:val="en-IN"/>
        </w:rPr>
      </w:pPr>
      <w:r w:rsidRPr="001E66A5">
        <w:rPr>
          <w:rFonts w:cs="Arial"/>
          <w:lang w:val="en-IN"/>
        </w:rPr>
        <w:t xml:space="preserve">NACE (2025). </w:t>
      </w:r>
      <w:r w:rsidRPr="001E66A5">
        <w:rPr>
          <w:rFonts w:cs="Arial"/>
          <w:i/>
          <w:iCs/>
          <w:lang w:val="en-IN"/>
        </w:rPr>
        <w:t>Impacts of Experiential Learning on the Gen Z Early Career Experience</w:t>
      </w:r>
      <w:r w:rsidRPr="001E66A5">
        <w:rPr>
          <w:rFonts w:cs="Arial"/>
          <w:lang w:val="en-IN"/>
        </w:rPr>
        <w:t xml:space="preserve">. [online] Default. Available at: </w:t>
      </w:r>
      <w:hyperlink r:id="rId74" w:history="1">
        <w:r w:rsidRPr="00F71EAE">
          <w:rPr>
            <w:rStyle w:val="Hyperlink"/>
            <w:rFonts w:cs="Arial"/>
            <w:lang w:val="en-IN"/>
          </w:rPr>
          <w:t>https://www.naceweb.org/talent-acquisition/trends-and-predictions/impacts-of-experiential-learning-on-the-gen-z-early-career-experience</w:t>
        </w:r>
      </w:hyperlink>
      <w:r w:rsidRPr="001E66A5">
        <w:rPr>
          <w:rFonts w:cs="Arial"/>
          <w:lang w:val="en-IN"/>
        </w:rPr>
        <w:t>.</w:t>
      </w:r>
      <w:r>
        <w:rPr>
          <w:rFonts w:cs="Arial"/>
          <w:lang w:val="en-IN"/>
        </w:rPr>
        <w:t xml:space="preserve"> </w:t>
      </w:r>
    </w:p>
    <w:p w:rsidR="00C7563B" w:rsidRDefault="00C7563B" w:rsidP="00C7563B">
      <w:pPr>
        <w:rPr>
          <w:rFonts w:cs="Arial"/>
          <w:lang w:val="en-IN"/>
        </w:rPr>
      </w:pPr>
      <w:r w:rsidRPr="001E66A5">
        <w:rPr>
          <w:rFonts w:cs="Arial"/>
          <w:lang w:val="en-IN"/>
        </w:rPr>
        <w:t xml:space="preserve">PricewaterhouseCoopers (2025). </w:t>
      </w:r>
      <w:r w:rsidRPr="001E66A5">
        <w:rPr>
          <w:rFonts w:cs="Arial"/>
          <w:i/>
          <w:iCs/>
          <w:lang w:val="en-IN"/>
        </w:rPr>
        <w:t>Reinventing Work, Roles, and Leadership | PwC</w:t>
      </w:r>
      <w:r w:rsidRPr="001E66A5">
        <w:rPr>
          <w:rFonts w:cs="Arial"/>
          <w:lang w:val="en-IN"/>
        </w:rPr>
        <w:t xml:space="preserve">. [online] PwC. Available at: </w:t>
      </w:r>
      <w:hyperlink r:id="rId75" w:history="1">
        <w:r w:rsidRPr="00F71EAE">
          <w:rPr>
            <w:rStyle w:val="Hyperlink"/>
            <w:rFonts w:cs="Arial"/>
            <w:lang w:val="en-IN"/>
          </w:rPr>
          <w:t>https://www.pwc.com/gx/en/issues/technology/beyond-automation.html</w:t>
        </w:r>
      </w:hyperlink>
      <w:r w:rsidRPr="001E66A5">
        <w:rPr>
          <w:rFonts w:cs="Arial"/>
          <w:lang w:val="en-IN"/>
        </w:rPr>
        <w:t>.</w:t>
      </w:r>
      <w:r>
        <w:rPr>
          <w:rFonts w:cs="Arial"/>
          <w:lang w:val="en-IN"/>
        </w:rPr>
        <w:t xml:space="preserve"> </w:t>
      </w:r>
    </w:p>
    <w:p w:rsidR="00C7563B" w:rsidRDefault="00C7563B" w:rsidP="00C7563B">
      <w:pPr>
        <w:rPr>
          <w:rFonts w:cs="Arial"/>
          <w:lang w:val="en-IN"/>
        </w:rPr>
      </w:pPr>
      <w:proofErr w:type="spellStart"/>
      <w:r w:rsidRPr="00D31F80">
        <w:rPr>
          <w:rFonts w:cs="Arial"/>
          <w:lang w:val="en-IN"/>
        </w:rPr>
        <w:t>WorldatWork</w:t>
      </w:r>
      <w:proofErr w:type="spellEnd"/>
      <w:r w:rsidRPr="00D31F80">
        <w:rPr>
          <w:rFonts w:cs="Arial"/>
          <w:lang w:val="en-IN"/>
        </w:rPr>
        <w:t xml:space="preserve"> (2024). </w:t>
      </w:r>
      <w:r w:rsidRPr="00D31F80">
        <w:rPr>
          <w:rFonts w:cs="Arial"/>
          <w:i/>
          <w:iCs/>
          <w:lang w:val="en-IN"/>
        </w:rPr>
        <w:t xml:space="preserve">Total Rewards | </w:t>
      </w:r>
      <w:proofErr w:type="spellStart"/>
      <w:r w:rsidRPr="00D31F80">
        <w:rPr>
          <w:rFonts w:cs="Arial"/>
          <w:i/>
          <w:iCs/>
          <w:lang w:val="en-IN"/>
        </w:rPr>
        <w:t>WorldatWork</w:t>
      </w:r>
      <w:proofErr w:type="spellEnd"/>
      <w:r w:rsidRPr="00D31F80">
        <w:rPr>
          <w:rFonts w:cs="Arial"/>
          <w:lang w:val="en-IN"/>
        </w:rPr>
        <w:t xml:space="preserve">. [online] Worldatwork.org. Available at: </w:t>
      </w:r>
      <w:hyperlink r:id="rId76" w:history="1">
        <w:r w:rsidRPr="00F71EAE">
          <w:rPr>
            <w:rStyle w:val="Hyperlink"/>
            <w:rFonts w:cs="Arial"/>
            <w:lang w:val="en-IN"/>
          </w:rPr>
          <w:t>https://worldatwork.org/tools/category/total-rewards</w:t>
        </w:r>
      </w:hyperlink>
      <w:r w:rsidRPr="00D31F80">
        <w:rPr>
          <w:rFonts w:cs="Arial"/>
          <w:lang w:val="en-IN"/>
        </w:rPr>
        <w:t>.</w:t>
      </w:r>
      <w:r>
        <w:rPr>
          <w:rFonts w:cs="Arial"/>
          <w:lang w:val="en-IN"/>
        </w:rPr>
        <w:t xml:space="preserve"> </w:t>
      </w:r>
    </w:p>
    <w:p w:rsidR="00C7563B" w:rsidRPr="004273AA" w:rsidRDefault="00C7563B" w:rsidP="00C7563B">
      <w:pPr>
        <w:rPr>
          <w:rFonts w:cs="Arial"/>
          <w:lang w:val="en-IN"/>
        </w:rPr>
      </w:pPr>
      <w:r w:rsidRPr="004273AA">
        <w:rPr>
          <w:rFonts w:cs="Arial"/>
          <w:lang w:val="en-IN"/>
        </w:rPr>
        <w:t xml:space="preserve">Deloitte (2025a). </w:t>
      </w:r>
      <w:r w:rsidRPr="004273AA">
        <w:rPr>
          <w:rFonts w:cs="Arial"/>
          <w:i/>
          <w:iCs/>
          <w:lang w:val="en-IN"/>
        </w:rPr>
        <w:t>2025 Gen Z and Millennial Survey</w:t>
      </w:r>
      <w:r w:rsidRPr="004273AA">
        <w:rPr>
          <w:rFonts w:cs="Arial"/>
          <w:lang w:val="en-IN"/>
        </w:rPr>
        <w:t xml:space="preserve">. [online] Deloitte. Available at: </w:t>
      </w:r>
      <w:hyperlink r:id="rId77" w:history="1">
        <w:r w:rsidRPr="00F71EAE">
          <w:rPr>
            <w:rStyle w:val="Hyperlink"/>
            <w:rFonts w:cs="Arial"/>
            <w:lang w:val="en-IN"/>
          </w:rPr>
          <w:t>https://www.deloitte.com/global/en/issues/work/genz-millennial-survey.html</w:t>
        </w:r>
      </w:hyperlink>
      <w:r w:rsidRPr="004273AA">
        <w:rPr>
          <w:rFonts w:cs="Arial"/>
          <w:lang w:val="en-IN"/>
        </w:rPr>
        <w:t>.</w:t>
      </w:r>
      <w:r>
        <w:rPr>
          <w:rFonts w:cs="Arial"/>
          <w:lang w:val="en-IN"/>
        </w:rPr>
        <w:t xml:space="preserve"> </w:t>
      </w:r>
    </w:p>
    <w:p w:rsidR="00C7563B" w:rsidRDefault="00C7563B" w:rsidP="00C7563B">
      <w:pPr>
        <w:rPr>
          <w:rFonts w:cs="Arial"/>
          <w:lang w:val="en-IN"/>
        </w:rPr>
      </w:pPr>
      <w:r w:rsidRPr="00DF414A">
        <w:rPr>
          <w:rFonts w:cs="Arial"/>
          <w:lang w:val="en-IN"/>
        </w:rPr>
        <w:t xml:space="preserve">Gartner (2025). </w:t>
      </w:r>
      <w:r w:rsidRPr="00DF414A">
        <w:rPr>
          <w:rFonts w:cs="Arial"/>
          <w:i/>
          <w:iCs/>
          <w:lang w:val="en-IN"/>
        </w:rPr>
        <w:t>Top 5 HR Trends and Priorities for HR Leaders in 2022</w:t>
      </w:r>
      <w:r w:rsidRPr="00DF414A">
        <w:rPr>
          <w:rFonts w:cs="Arial"/>
          <w:lang w:val="en-IN"/>
        </w:rPr>
        <w:t xml:space="preserve">. [online] Gartner. Available at: </w:t>
      </w:r>
      <w:hyperlink r:id="rId78" w:history="1">
        <w:r w:rsidRPr="00F71EAE">
          <w:rPr>
            <w:rStyle w:val="Hyperlink"/>
            <w:rFonts w:cs="Arial"/>
            <w:lang w:val="en-IN"/>
          </w:rPr>
          <w:t>https://www.gartner.com/en/human-resources/trends/top-priorities-for-hr-leaders</w:t>
        </w:r>
      </w:hyperlink>
      <w:r w:rsidRPr="00DF414A">
        <w:rPr>
          <w:rFonts w:cs="Arial"/>
          <w:lang w:val="en-IN"/>
        </w:rPr>
        <w:t>.</w:t>
      </w:r>
      <w:r>
        <w:rPr>
          <w:rFonts w:cs="Arial"/>
          <w:lang w:val="en-IN"/>
        </w:rPr>
        <w:t xml:space="preserve"> </w:t>
      </w:r>
    </w:p>
    <w:p w:rsidR="00C7563B" w:rsidRDefault="00C7563B" w:rsidP="00C7563B">
      <w:pPr>
        <w:rPr>
          <w:rFonts w:cs="Arial"/>
          <w:lang w:val="en-IN"/>
        </w:rPr>
      </w:pPr>
      <w:proofErr w:type="spellStart"/>
      <w:r w:rsidRPr="0044316E">
        <w:rPr>
          <w:rFonts w:cs="Arial"/>
          <w:lang w:val="en-IN"/>
        </w:rPr>
        <w:t>Hubspot</w:t>
      </w:r>
      <w:proofErr w:type="spellEnd"/>
      <w:r w:rsidRPr="0044316E">
        <w:rPr>
          <w:rFonts w:cs="Arial"/>
          <w:lang w:val="en-IN"/>
        </w:rPr>
        <w:t xml:space="preserve"> (2025). </w:t>
      </w:r>
      <w:r w:rsidRPr="0044316E">
        <w:rPr>
          <w:rFonts w:cs="Arial"/>
          <w:i/>
          <w:iCs/>
          <w:lang w:val="en-IN"/>
        </w:rPr>
        <w:t>Not Another State of Marketing Report | 2025 Marketing Trends</w:t>
      </w:r>
      <w:r w:rsidRPr="0044316E">
        <w:rPr>
          <w:rFonts w:cs="Arial"/>
          <w:lang w:val="en-IN"/>
        </w:rPr>
        <w:t xml:space="preserve">. [online] www.hubspot.com. Available at: </w:t>
      </w:r>
      <w:hyperlink r:id="rId79" w:history="1">
        <w:r w:rsidRPr="00F71EAE">
          <w:rPr>
            <w:rStyle w:val="Hyperlink"/>
            <w:rFonts w:cs="Arial"/>
            <w:lang w:val="en-IN"/>
          </w:rPr>
          <w:t>https://www.hubspot.com/state-of-marketing</w:t>
        </w:r>
      </w:hyperlink>
      <w:r w:rsidRPr="0044316E">
        <w:rPr>
          <w:rFonts w:cs="Arial"/>
          <w:lang w:val="en-IN"/>
        </w:rPr>
        <w:t>.</w:t>
      </w:r>
      <w:r>
        <w:rPr>
          <w:rFonts w:cs="Arial"/>
          <w:lang w:val="en-IN"/>
        </w:rPr>
        <w:t xml:space="preserve"> </w:t>
      </w:r>
    </w:p>
    <w:p w:rsidR="00D53DCF" w:rsidRDefault="00D53DCF" w:rsidP="00D53DCF">
      <w:pPr>
        <w:rPr>
          <w:lang w:val="en-IN"/>
        </w:rPr>
      </w:pPr>
      <w:r w:rsidRPr="00CD6E8A">
        <w:rPr>
          <w:lang w:val="en-IN"/>
        </w:rPr>
        <w:t xml:space="preserve">PwC (2025). </w:t>
      </w:r>
      <w:r w:rsidRPr="00CD6E8A">
        <w:rPr>
          <w:i/>
          <w:iCs/>
          <w:lang w:val="en-IN"/>
        </w:rPr>
        <w:t>Perspectives: Global Entertainment &amp; Media Outlook 2025–2029</w:t>
      </w:r>
      <w:r w:rsidRPr="00CD6E8A">
        <w:rPr>
          <w:lang w:val="en-IN"/>
        </w:rPr>
        <w:t xml:space="preserve">. [online] PwC. Available at: </w:t>
      </w:r>
      <w:hyperlink r:id="rId80" w:history="1">
        <w:r w:rsidRPr="00F71EAE">
          <w:rPr>
            <w:rStyle w:val="Hyperlink"/>
            <w:lang w:val="en-IN"/>
          </w:rPr>
          <w:t>https://www.pwc.com/gx/en/issues/business-model-reinvention/outlook/insights-and-perspectives.html</w:t>
        </w:r>
      </w:hyperlink>
      <w:r w:rsidRPr="00CD6E8A">
        <w:rPr>
          <w:lang w:val="en-IN"/>
        </w:rPr>
        <w:t>.</w:t>
      </w:r>
      <w:r>
        <w:rPr>
          <w:lang w:val="en-IN"/>
        </w:rPr>
        <w:t xml:space="preserve"> </w:t>
      </w:r>
    </w:p>
    <w:p w:rsidR="00D53DCF" w:rsidRDefault="00D53DCF" w:rsidP="00D53DCF">
      <w:r w:rsidRPr="005F04EA">
        <w:rPr>
          <w:lang w:val="en-IN"/>
        </w:rPr>
        <w:t xml:space="preserve">IFPI (2024). </w:t>
      </w:r>
      <w:r w:rsidRPr="005F04EA">
        <w:rPr>
          <w:i/>
          <w:iCs/>
          <w:lang w:val="en-IN"/>
        </w:rPr>
        <w:t>Global Music Report</w:t>
      </w:r>
      <w:r w:rsidRPr="005F04EA">
        <w:rPr>
          <w:lang w:val="en-IN"/>
        </w:rPr>
        <w:t xml:space="preserve">. </w:t>
      </w:r>
      <w:r w:rsidRPr="00CD6E8A">
        <w:rPr>
          <w:lang w:val="en-IN"/>
        </w:rPr>
        <w:t xml:space="preserve">Available at: </w:t>
      </w:r>
      <w:hyperlink r:id="rId81" w:tgtFrame="_new" w:history="1">
        <w:r w:rsidRPr="005F04EA">
          <w:rPr>
            <w:rStyle w:val="Hyperlink"/>
            <w:lang w:val="en-IN"/>
          </w:rPr>
          <w:t>https://www.ifpi.org</w:t>
        </w:r>
      </w:hyperlink>
    </w:p>
    <w:p w:rsidR="00D53DCF" w:rsidRDefault="00D53DCF" w:rsidP="00D53DCF">
      <w:pPr>
        <w:rPr>
          <w:lang w:val="en-IN"/>
        </w:rPr>
      </w:pPr>
      <w:r w:rsidRPr="00DD710B">
        <w:rPr>
          <w:lang w:val="en-IN"/>
        </w:rPr>
        <w:t xml:space="preserve">Grand View Research (2024). </w:t>
      </w:r>
      <w:r w:rsidRPr="00DD710B">
        <w:rPr>
          <w:i/>
          <w:iCs/>
          <w:lang w:val="en-IN"/>
        </w:rPr>
        <w:t>Live Streaming Market Size, Share &amp; Growth Report, 2030</w:t>
      </w:r>
      <w:r w:rsidRPr="00DD710B">
        <w:rPr>
          <w:lang w:val="en-IN"/>
        </w:rPr>
        <w:t xml:space="preserve">. [online] www.grandviewresearch.com. Available at: </w:t>
      </w:r>
      <w:hyperlink r:id="rId82" w:history="1">
        <w:r w:rsidRPr="007A4EC5">
          <w:rPr>
            <w:rStyle w:val="Hyperlink"/>
            <w:lang w:val="en-IN"/>
          </w:rPr>
          <w:t>https://www.grandviewresearch.com/industry-analysis/live-streaming-market-report</w:t>
        </w:r>
      </w:hyperlink>
      <w:r w:rsidRPr="00DD710B">
        <w:rPr>
          <w:lang w:val="en-IN"/>
        </w:rPr>
        <w:t>.</w:t>
      </w:r>
      <w:r>
        <w:rPr>
          <w:lang w:val="en-IN"/>
        </w:rPr>
        <w:t xml:space="preserve"> </w:t>
      </w:r>
    </w:p>
    <w:p w:rsidR="00D53DCF" w:rsidRDefault="00D53DCF" w:rsidP="00D53DCF">
      <w:pPr>
        <w:rPr>
          <w:lang w:val="en-IN"/>
        </w:rPr>
      </w:pPr>
      <w:r w:rsidRPr="001A464E">
        <w:rPr>
          <w:lang w:val="en-IN"/>
        </w:rPr>
        <w:t xml:space="preserve">HMRC (2025). </w:t>
      </w:r>
      <w:r w:rsidRPr="001A464E">
        <w:rPr>
          <w:i/>
          <w:iCs/>
          <w:lang w:val="en-IN"/>
        </w:rPr>
        <w:t>Creative Industry tax reliefs for Corporation Tax</w:t>
      </w:r>
      <w:r w:rsidRPr="001A464E">
        <w:rPr>
          <w:lang w:val="en-IN"/>
        </w:rPr>
        <w:t>. [online] GOV.UK. Available at: https://www.gov.uk/guidance/corporation-tax-creative-industry-tax-reliefs.</w:t>
      </w:r>
    </w:p>
    <w:p w:rsidR="00D53DCF" w:rsidRDefault="00D53DCF" w:rsidP="00D53DCF">
      <w:pPr>
        <w:rPr>
          <w:lang w:val="en-IN"/>
        </w:rPr>
      </w:pPr>
      <w:r w:rsidRPr="00CD6E8A">
        <w:rPr>
          <w:lang w:val="en-IN"/>
        </w:rPr>
        <w:t>COSO (20</w:t>
      </w:r>
      <w:r>
        <w:rPr>
          <w:lang w:val="en-IN"/>
        </w:rPr>
        <w:t>23</w:t>
      </w:r>
      <w:r w:rsidRPr="00CD6E8A">
        <w:rPr>
          <w:lang w:val="en-IN"/>
        </w:rPr>
        <w:t xml:space="preserve">). </w:t>
      </w:r>
      <w:r w:rsidRPr="00CD6E8A">
        <w:rPr>
          <w:i/>
          <w:iCs/>
          <w:lang w:val="en-IN"/>
        </w:rPr>
        <w:t>Welcome to COSO</w:t>
      </w:r>
      <w:r w:rsidRPr="00CD6E8A">
        <w:rPr>
          <w:lang w:val="en-IN"/>
        </w:rPr>
        <w:t xml:space="preserve">. [online] Coso.org. Available at: </w:t>
      </w:r>
      <w:hyperlink r:id="rId83" w:history="1">
        <w:r w:rsidRPr="00F71EAE">
          <w:rPr>
            <w:rStyle w:val="Hyperlink"/>
            <w:lang w:val="en-IN"/>
          </w:rPr>
          <w:t>https://www.coso.org/</w:t>
        </w:r>
      </w:hyperlink>
      <w:r w:rsidRPr="00CD6E8A">
        <w:rPr>
          <w:lang w:val="en-IN"/>
        </w:rPr>
        <w:t>.</w:t>
      </w:r>
      <w:r>
        <w:rPr>
          <w:lang w:val="en-IN"/>
        </w:rPr>
        <w:t xml:space="preserve"> </w:t>
      </w:r>
    </w:p>
    <w:p w:rsidR="00D53DCF" w:rsidRDefault="00D53DCF" w:rsidP="00D53DCF">
      <w:pPr>
        <w:rPr>
          <w:lang w:val="en-IN"/>
        </w:rPr>
      </w:pPr>
      <w:r w:rsidRPr="00E7050C">
        <w:rPr>
          <w:lang w:val="en-IN"/>
        </w:rPr>
        <w:t xml:space="preserve">AWS (2024). </w:t>
      </w:r>
      <w:r w:rsidRPr="00E7050C">
        <w:rPr>
          <w:i/>
          <w:iCs/>
          <w:lang w:val="en-IN"/>
        </w:rPr>
        <w:t>Architecture overview - Live Streaming on AWS</w:t>
      </w:r>
      <w:r w:rsidRPr="00E7050C">
        <w:rPr>
          <w:lang w:val="en-IN"/>
        </w:rPr>
        <w:t xml:space="preserve">. [online] Amazon.com. Available at: </w:t>
      </w:r>
      <w:hyperlink r:id="rId84" w:history="1">
        <w:r w:rsidRPr="007A4EC5">
          <w:rPr>
            <w:rStyle w:val="Hyperlink"/>
            <w:lang w:val="en-IN"/>
          </w:rPr>
          <w:t>https://docs.aws.amazon.com/solutions/latest/live-streaming-on-aws/architecture-overview.html</w:t>
        </w:r>
      </w:hyperlink>
      <w:r w:rsidRPr="00E7050C">
        <w:rPr>
          <w:lang w:val="en-IN"/>
        </w:rPr>
        <w:t>.</w:t>
      </w:r>
      <w:r>
        <w:rPr>
          <w:lang w:val="en-IN"/>
        </w:rPr>
        <w:t xml:space="preserve"> </w:t>
      </w:r>
    </w:p>
    <w:p w:rsidR="00D53DCF" w:rsidRDefault="00D53DCF" w:rsidP="00D53DCF">
      <w:pPr>
        <w:rPr>
          <w:lang w:val="en-IN"/>
        </w:rPr>
      </w:pPr>
      <w:r w:rsidRPr="00E7050C">
        <w:rPr>
          <w:lang w:val="en-IN"/>
        </w:rPr>
        <w:lastRenderedPageBreak/>
        <w:t xml:space="preserve">CB Insights (2024). </w:t>
      </w:r>
      <w:r w:rsidRPr="00E7050C">
        <w:rPr>
          <w:i/>
          <w:iCs/>
          <w:lang w:val="en-IN"/>
        </w:rPr>
        <w:t>Machine Intelligence Platform</w:t>
      </w:r>
      <w:r w:rsidRPr="00E7050C">
        <w:rPr>
          <w:lang w:val="en-IN"/>
        </w:rPr>
        <w:t xml:space="preserve">. [online] CB Insights. Available at: </w:t>
      </w:r>
      <w:hyperlink r:id="rId85" w:history="1">
        <w:r w:rsidRPr="007A4EC5">
          <w:rPr>
            <w:rStyle w:val="Hyperlink"/>
            <w:lang w:val="en-IN"/>
          </w:rPr>
          <w:t>https://www.cbinsights.com/</w:t>
        </w:r>
      </w:hyperlink>
      <w:r w:rsidRPr="00E7050C">
        <w:rPr>
          <w:lang w:val="en-IN"/>
        </w:rPr>
        <w:t>.</w:t>
      </w:r>
      <w:r>
        <w:rPr>
          <w:lang w:val="en-IN"/>
        </w:rPr>
        <w:t xml:space="preserve"> </w:t>
      </w:r>
    </w:p>
    <w:p w:rsidR="00D53DCF" w:rsidRDefault="00D53DCF" w:rsidP="00D53DCF">
      <w:pPr>
        <w:rPr>
          <w:lang w:val="en-IN"/>
        </w:rPr>
      </w:pPr>
      <w:r w:rsidRPr="00E7050C">
        <w:rPr>
          <w:lang w:val="en-IN"/>
        </w:rPr>
        <w:t xml:space="preserve">GOV.UK (2025). </w:t>
      </w:r>
      <w:r w:rsidRPr="00E7050C">
        <w:rPr>
          <w:i/>
          <w:iCs/>
          <w:lang w:val="en-IN"/>
        </w:rPr>
        <w:t>Small business access to finance</w:t>
      </w:r>
      <w:r w:rsidRPr="00E7050C">
        <w:rPr>
          <w:lang w:val="en-IN"/>
        </w:rPr>
        <w:t xml:space="preserve">. [online] GOV.UK. Available at: </w:t>
      </w:r>
      <w:hyperlink r:id="rId86" w:history="1">
        <w:r w:rsidRPr="007A4EC5">
          <w:rPr>
            <w:rStyle w:val="Hyperlink"/>
            <w:lang w:val="en-IN"/>
          </w:rPr>
          <w:t>https://www.gov.uk/government/calls-for-evidence/small-business-access-to-finance/small-business-access-to-finance</w:t>
        </w:r>
      </w:hyperlink>
      <w:r w:rsidRPr="00E7050C">
        <w:rPr>
          <w:lang w:val="en-IN"/>
        </w:rPr>
        <w:t>.</w:t>
      </w:r>
      <w:r>
        <w:rPr>
          <w:lang w:val="en-IN"/>
        </w:rPr>
        <w:t xml:space="preserve"> </w:t>
      </w:r>
    </w:p>
    <w:p w:rsidR="00D53DCF" w:rsidRDefault="00D53DCF" w:rsidP="00D53DCF">
      <w:pPr>
        <w:rPr>
          <w:lang w:val="en-IN"/>
        </w:rPr>
      </w:pPr>
      <w:r w:rsidRPr="005F04EA">
        <w:rPr>
          <w:lang w:val="en-IN"/>
        </w:rPr>
        <w:t xml:space="preserve">OECD (2023). </w:t>
      </w:r>
      <w:r w:rsidRPr="005F04EA">
        <w:rPr>
          <w:i/>
          <w:iCs/>
          <w:lang w:val="en-IN"/>
        </w:rPr>
        <w:t>Digital Economy Outlook</w:t>
      </w:r>
      <w:r w:rsidRPr="005F04EA">
        <w:rPr>
          <w:lang w:val="en-IN"/>
        </w:rPr>
        <w:t xml:space="preserve">. </w:t>
      </w:r>
      <w:hyperlink r:id="rId87" w:tgtFrame="_new" w:history="1">
        <w:r w:rsidRPr="005F04EA">
          <w:rPr>
            <w:rStyle w:val="Hyperlink"/>
            <w:lang w:val="en-IN"/>
          </w:rPr>
          <w:t>https://www.oecd.org</w:t>
        </w:r>
      </w:hyperlink>
    </w:p>
    <w:p w:rsidR="00D53DCF" w:rsidRDefault="00D53DCF" w:rsidP="00D53DCF">
      <w:pPr>
        <w:rPr>
          <w:lang w:val="en-IN"/>
        </w:rPr>
      </w:pPr>
      <w:r w:rsidRPr="00363D01">
        <w:rPr>
          <w:lang w:val="en-IN"/>
        </w:rPr>
        <w:t xml:space="preserve">Statista (2024). </w:t>
      </w:r>
      <w:r w:rsidRPr="00363D01">
        <w:rPr>
          <w:i/>
          <w:iCs/>
          <w:lang w:val="en-IN"/>
        </w:rPr>
        <w:t>Global music streaming revenue 2019</w:t>
      </w:r>
      <w:r w:rsidRPr="00363D01">
        <w:rPr>
          <w:lang w:val="en-IN"/>
        </w:rPr>
        <w:t xml:space="preserve">. [online] Statista. Available at: </w:t>
      </w:r>
      <w:hyperlink r:id="rId88" w:history="1">
        <w:r w:rsidRPr="00F71EAE">
          <w:rPr>
            <w:rStyle w:val="Hyperlink"/>
            <w:lang w:val="en-IN"/>
          </w:rPr>
          <w:t>https://www.statista.com/statistics/587216/music-streaming-revenue/</w:t>
        </w:r>
      </w:hyperlink>
      <w:r w:rsidRPr="00363D01">
        <w:rPr>
          <w:lang w:val="en-IN"/>
        </w:rPr>
        <w:t>.</w:t>
      </w:r>
      <w:r>
        <w:rPr>
          <w:lang w:val="en-IN"/>
        </w:rPr>
        <w:t xml:space="preserve"> </w:t>
      </w:r>
    </w:p>
    <w:p w:rsidR="00D53DCF" w:rsidRDefault="00D53DCF" w:rsidP="00D53DCF">
      <w:pPr>
        <w:rPr>
          <w:lang w:val="en-IN"/>
        </w:rPr>
      </w:pPr>
      <w:r w:rsidRPr="008A37A5">
        <w:rPr>
          <w:lang w:val="en-IN"/>
        </w:rPr>
        <w:t xml:space="preserve">KPMG (2024). </w:t>
      </w:r>
      <w:r w:rsidRPr="008A37A5">
        <w:rPr>
          <w:i/>
          <w:iCs/>
          <w:lang w:val="en-IN"/>
        </w:rPr>
        <w:t>Risk and regulation</w:t>
      </w:r>
      <w:r w:rsidRPr="008A37A5">
        <w:rPr>
          <w:lang w:val="en-IN"/>
        </w:rPr>
        <w:t xml:space="preserve">. [online] KPMG. Available at: </w:t>
      </w:r>
      <w:hyperlink r:id="rId89" w:history="1">
        <w:r w:rsidRPr="00F71EAE">
          <w:rPr>
            <w:rStyle w:val="Hyperlink"/>
            <w:lang w:val="en-IN"/>
          </w:rPr>
          <w:t>https://kpmg.com/xx/en/our-insights/risk-and-regulation.html</w:t>
        </w:r>
      </w:hyperlink>
      <w:r w:rsidRPr="008A37A5">
        <w:rPr>
          <w:lang w:val="en-IN"/>
        </w:rPr>
        <w:t>.</w:t>
      </w:r>
      <w:r>
        <w:rPr>
          <w:lang w:val="en-IN"/>
        </w:rPr>
        <w:t xml:space="preserve"> </w:t>
      </w:r>
    </w:p>
    <w:p w:rsidR="00D53DCF" w:rsidRDefault="00D53DCF" w:rsidP="00D53DCF">
      <w:pPr>
        <w:rPr>
          <w:lang w:val="en-IN"/>
        </w:rPr>
      </w:pPr>
      <w:r w:rsidRPr="008A37A5">
        <w:rPr>
          <w:lang w:val="en-IN"/>
        </w:rPr>
        <w:t xml:space="preserve">McKinsey (2024). </w:t>
      </w:r>
      <w:r w:rsidRPr="008A37A5">
        <w:rPr>
          <w:i/>
          <w:iCs/>
          <w:lang w:val="en-IN"/>
        </w:rPr>
        <w:t>Upgrading software business models to thrive in the AI era</w:t>
      </w:r>
      <w:r w:rsidRPr="008A37A5">
        <w:rPr>
          <w:lang w:val="en-IN"/>
        </w:rPr>
        <w:t xml:space="preserve">. [online] McKinsey &amp; Company. Available at: </w:t>
      </w:r>
      <w:hyperlink r:id="rId90" w:history="1">
        <w:r w:rsidRPr="00F71EAE">
          <w:rPr>
            <w:rStyle w:val="Hyperlink"/>
            <w:lang w:val="en-IN"/>
          </w:rPr>
          <w:t>https://www.mckinsey.com/industries/technology-media-and-telecommunications/our-insights/upgrading-software-business-models-to-thrive-in-the-ai-era</w:t>
        </w:r>
      </w:hyperlink>
      <w:r w:rsidRPr="008A37A5">
        <w:rPr>
          <w:lang w:val="en-IN"/>
        </w:rPr>
        <w:t>.</w:t>
      </w:r>
      <w:r>
        <w:rPr>
          <w:lang w:val="en-IN"/>
        </w:rPr>
        <w:t xml:space="preserve"> </w:t>
      </w:r>
    </w:p>
    <w:p w:rsidR="00A95724" w:rsidRPr="000660DC" w:rsidRDefault="00A95724" w:rsidP="00A95724">
      <w:pPr>
        <w:rPr>
          <w:lang w:val="en-IN"/>
        </w:rPr>
      </w:pPr>
      <w:r w:rsidRPr="000660DC">
        <w:rPr>
          <w:lang w:val="en-IN"/>
        </w:rPr>
        <w:t xml:space="preserve">Sachs, G. (2025). </w:t>
      </w:r>
      <w:r w:rsidRPr="000660DC">
        <w:rPr>
          <w:i/>
          <w:iCs/>
          <w:lang w:val="en-IN"/>
        </w:rPr>
        <w:t>Global Music Revenues Are Forecast to Double to $200 Billion in 2035</w:t>
      </w:r>
      <w:r w:rsidRPr="000660DC">
        <w:rPr>
          <w:lang w:val="en-IN"/>
        </w:rPr>
        <w:t xml:space="preserve">. [online] Goldmansachs.com. Available at: </w:t>
      </w:r>
      <w:hyperlink r:id="rId91" w:history="1">
        <w:r w:rsidRPr="00DF11ED">
          <w:rPr>
            <w:rStyle w:val="Hyperlink"/>
            <w:lang w:val="en-IN"/>
          </w:rPr>
          <w:t>https://www.goldmansachs.com/insights/articles/global-music-revenues-are-forecast-to-double-to-200-million-in-2035</w:t>
        </w:r>
      </w:hyperlink>
      <w:r w:rsidRPr="000660DC">
        <w:rPr>
          <w:lang w:val="en-IN"/>
        </w:rPr>
        <w:t>.</w:t>
      </w:r>
      <w:r>
        <w:rPr>
          <w:lang w:val="en-IN"/>
        </w:rPr>
        <w:t xml:space="preserve"> </w:t>
      </w:r>
    </w:p>
    <w:p w:rsidR="00A95724" w:rsidRDefault="00A95724" w:rsidP="00A95724">
      <w:pPr>
        <w:rPr>
          <w:lang w:val="en-IN"/>
        </w:rPr>
      </w:pPr>
      <w:r w:rsidRPr="000660DC">
        <w:rPr>
          <w:lang w:val="en-IN"/>
        </w:rPr>
        <w:t xml:space="preserve">World Economic Forum (2026). </w:t>
      </w:r>
      <w:r w:rsidRPr="000660DC">
        <w:rPr>
          <w:i/>
          <w:iCs/>
          <w:lang w:val="en-IN"/>
        </w:rPr>
        <w:t>Global Cybersecurity Outlook 2026</w:t>
      </w:r>
      <w:r w:rsidRPr="000660DC">
        <w:rPr>
          <w:lang w:val="en-IN"/>
        </w:rPr>
        <w:t xml:space="preserve">. [online] World Economic Forum. Available at: </w:t>
      </w:r>
      <w:hyperlink r:id="rId92" w:history="1">
        <w:r w:rsidRPr="00DF11ED">
          <w:rPr>
            <w:rStyle w:val="Hyperlink"/>
            <w:lang w:val="en-IN"/>
          </w:rPr>
          <w:t>https://www.weforum.org/publications/global-cybersecurity-outlook-2026/</w:t>
        </w:r>
      </w:hyperlink>
      <w:r w:rsidRPr="000660DC">
        <w:rPr>
          <w:lang w:val="en-IN"/>
        </w:rPr>
        <w:t>.</w:t>
      </w:r>
    </w:p>
    <w:p w:rsidR="00A95724" w:rsidRDefault="00A95724" w:rsidP="00A95724">
      <w:pPr>
        <w:rPr>
          <w:lang w:val="en-IN"/>
        </w:rPr>
      </w:pPr>
      <w:r w:rsidRPr="009E6007">
        <w:rPr>
          <w:lang w:val="en-IN"/>
        </w:rPr>
        <w:t xml:space="preserve">ISO (2018). </w:t>
      </w:r>
      <w:r w:rsidRPr="009E6007">
        <w:rPr>
          <w:i/>
          <w:iCs/>
          <w:lang w:val="en-IN"/>
        </w:rPr>
        <w:t>ISO 31000:2018 - Risk management — A practical guide</w:t>
      </w:r>
      <w:r w:rsidRPr="009E6007">
        <w:rPr>
          <w:lang w:val="en-IN"/>
        </w:rPr>
        <w:t xml:space="preserve">. [online] ISO. Available at: </w:t>
      </w:r>
      <w:hyperlink r:id="rId93" w:history="1">
        <w:r w:rsidRPr="00DF11ED">
          <w:rPr>
            <w:rStyle w:val="Hyperlink"/>
            <w:lang w:val="en-IN"/>
          </w:rPr>
          <w:t>https://www.iso.org/publication/PUB100464.html</w:t>
        </w:r>
      </w:hyperlink>
      <w:r w:rsidRPr="009E6007">
        <w:rPr>
          <w:lang w:val="en-IN"/>
        </w:rPr>
        <w:t>.</w:t>
      </w:r>
      <w:r>
        <w:rPr>
          <w:lang w:val="en-IN"/>
        </w:rPr>
        <w:t xml:space="preserve"> </w:t>
      </w:r>
    </w:p>
    <w:p w:rsidR="00A95724" w:rsidRDefault="00A95724" w:rsidP="00A95724">
      <w:pPr>
        <w:rPr>
          <w:lang w:val="en-IN"/>
        </w:rPr>
      </w:pPr>
      <w:r w:rsidRPr="00DD2A69">
        <w:rPr>
          <w:lang w:val="en-IN"/>
        </w:rPr>
        <w:t xml:space="preserve">FRC (2024). </w:t>
      </w:r>
      <w:r w:rsidRPr="00DD2A69">
        <w:rPr>
          <w:i/>
          <w:iCs/>
          <w:lang w:val="en-IN"/>
        </w:rPr>
        <w:t>UK Corporate Governance Code</w:t>
      </w:r>
      <w:r w:rsidRPr="00DD2A69">
        <w:rPr>
          <w:lang w:val="en-IN"/>
        </w:rPr>
        <w:t xml:space="preserve">. [online] FRC (Financial Reporting Council). Available at: </w:t>
      </w:r>
      <w:hyperlink r:id="rId94" w:history="1">
        <w:r w:rsidRPr="00DF11ED">
          <w:rPr>
            <w:rStyle w:val="Hyperlink"/>
            <w:lang w:val="en-IN"/>
          </w:rPr>
          <w:t>https://www.frc.org.uk/library/standards-codes-policy/corporate-governance/uk-corporate-governance-code/</w:t>
        </w:r>
      </w:hyperlink>
      <w:r w:rsidRPr="00DD2A69">
        <w:rPr>
          <w:lang w:val="en-IN"/>
        </w:rPr>
        <w:t>.</w:t>
      </w:r>
      <w:r>
        <w:rPr>
          <w:lang w:val="en-IN"/>
        </w:rPr>
        <w:t xml:space="preserve"> </w:t>
      </w:r>
    </w:p>
    <w:p w:rsidR="00A95724" w:rsidRDefault="00A95724" w:rsidP="00A95724">
      <w:pPr>
        <w:rPr>
          <w:lang w:val="en-IN"/>
        </w:rPr>
      </w:pPr>
      <w:r w:rsidRPr="002917D8">
        <w:rPr>
          <w:lang w:val="en-IN"/>
        </w:rPr>
        <w:t xml:space="preserve">KPMG (2025). </w:t>
      </w:r>
      <w:r w:rsidRPr="002917D8">
        <w:rPr>
          <w:i/>
          <w:iCs/>
          <w:lang w:val="en-IN"/>
        </w:rPr>
        <w:t>The Intelligent Age requires a rethink of the three lines of defence model</w:t>
      </w:r>
      <w:r w:rsidRPr="002917D8">
        <w:rPr>
          <w:lang w:val="en-IN"/>
        </w:rPr>
        <w:t xml:space="preserve">. [online] KPMG. Available at: </w:t>
      </w:r>
      <w:hyperlink r:id="rId95" w:history="1">
        <w:r w:rsidRPr="00DF11ED">
          <w:rPr>
            <w:rStyle w:val="Hyperlink"/>
            <w:lang w:val="en-IN"/>
          </w:rPr>
          <w:t>https://kpmg.com/sg/en/insights/cyber/the-intelligent-age-requires-a-rethink-of-the-three-lines-of-defence-model.html</w:t>
        </w:r>
      </w:hyperlink>
      <w:r w:rsidRPr="002917D8">
        <w:rPr>
          <w:lang w:val="en-IN"/>
        </w:rPr>
        <w:t>.</w:t>
      </w:r>
      <w:r>
        <w:rPr>
          <w:lang w:val="en-IN"/>
        </w:rPr>
        <w:t xml:space="preserve"> </w:t>
      </w:r>
    </w:p>
    <w:p w:rsidR="00A95724" w:rsidRDefault="00A95724" w:rsidP="00A95724">
      <w:pPr>
        <w:rPr>
          <w:lang w:val="en-IN"/>
        </w:rPr>
      </w:pPr>
      <w:r w:rsidRPr="00A50CD6">
        <w:rPr>
          <w:lang w:val="en-IN"/>
        </w:rPr>
        <w:t xml:space="preserve">EY (2024). </w:t>
      </w:r>
      <w:r w:rsidRPr="00A50CD6">
        <w:rPr>
          <w:i/>
          <w:iCs/>
          <w:lang w:val="en-IN"/>
        </w:rPr>
        <w:t>EY annual report 2022 | Value Realized</w:t>
      </w:r>
      <w:r w:rsidRPr="00A50CD6">
        <w:rPr>
          <w:lang w:val="en-IN"/>
        </w:rPr>
        <w:t xml:space="preserve">. [online] www.ey.com. Available at: </w:t>
      </w:r>
      <w:hyperlink r:id="rId96" w:history="1">
        <w:r w:rsidRPr="00DF11ED">
          <w:rPr>
            <w:rStyle w:val="Hyperlink"/>
            <w:lang w:val="en-IN"/>
          </w:rPr>
          <w:t>https://www.ey.com/en_gl/value-realized-annual-report</w:t>
        </w:r>
      </w:hyperlink>
      <w:r w:rsidRPr="00A50CD6">
        <w:rPr>
          <w:lang w:val="en-IN"/>
        </w:rPr>
        <w:t>.</w:t>
      </w:r>
      <w:r>
        <w:rPr>
          <w:lang w:val="en-IN"/>
        </w:rPr>
        <w:t xml:space="preserve"> </w:t>
      </w:r>
    </w:p>
    <w:p w:rsidR="00A95724" w:rsidRDefault="00A95724" w:rsidP="00A95724">
      <w:pPr>
        <w:rPr>
          <w:lang w:val="en-IN"/>
        </w:rPr>
      </w:pPr>
      <w:r w:rsidRPr="00831BA4">
        <w:rPr>
          <w:lang w:val="en-IN"/>
        </w:rPr>
        <w:t xml:space="preserve">GOV.UK (2025). </w:t>
      </w:r>
      <w:r w:rsidRPr="00831BA4">
        <w:rPr>
          <w:i/>
          <w:iCs/>
          <w:lang w:val="en-IN"/>
        </w:rPr>
        <w:t>Online Safety Act</w:t>
      </w:r>
      <w:r w:rsidRPr="00831BA4">
        <w:rPr>
          <w:lang w:val="en-IN"/>
        </w:rPr>
        <w:t xml:space="preserve">. [online] GOV.UK. Available at: </w:t>
      </w:r>
      <w:hyperlink r:id="rId97" w:history="1">
        <w:r w:rsidRPr="00DF11ED">
          <w:rPr>
            <w:rStyle w:val="Hyperlink"/>
            <w:lang w:val="en-IN"/>
          </w:rPr>
          <w:t>https://www.gov.uk/government/collections/online-safety-act</w:t>
        </w:r>
      </w:hyperlink>
      <w:r w:rsidRPr="00831BA4">
        <w:rPr>
          <w:lang w:val="en-IN"/>
        </w:rPr>
        <w:t>.</w:t>
      </w:r>
      <w:r>
        <w:rPr>
          <w:lang w:val="en-IN"/>
        </w:rPr>
        <w:t xml:space="preserve"> </w:t>
      </w:r>
    </w:p>
    <w:p w:rsidR="001C41C1" w:rsidRDefault="001C41C1" w:rsidP="001C41C1">
      <w:pPr>
        <w:rPr>
          <w:lang w:val="en-IN"/>
        </w:rPr>
      </w:pPr>
      <w:r w:rsidRPr="00A20FA3">
        <w:rPr>
          <w:lang w:val="en-IN"/>
        </w:rPr>
        <w:t>PWC (202</w:t>
      </w:r>
      <w:r>
        <w:rPr>
          <w:lang w:val="en-IN"/>
        </w:rPr>
        <w:t>6</w:t>
      </w:r>
      <w:r w:rsidRPr="00A20FA3">
        <w:rPr>
          <w:lang w:val="en-IN"/>
        </w:rPr>
        <w:t xml:space="preserve">). </w:t>
      </w:r>
      <w:r w:rsidRPr="00A20FA3">
        <w:rPr>
          <w:i/>
          <w:iCs/>
          <w:lang w:val="en-IN"/>
        </w:rPr>
        <w:t>Global M&amp;A Industry Trends in Technology, Media &amp; Telecommunications</w:t>
      </w:r>
      <w:r w:rsidRPr="00A20FA3">
        <w:rPr>
          <w:lang w:val="en-IN"/>
        </w:rPr>
        <w:t xml:space="preserve">. [online] PwC. Available at: </w:t>
      </w:r>
      <w:hyperlink r:id="rId98" w:history="1">
        <w:r w:rsidRPr="0035786B">
          <w:rPr>
            <w:rStyle w:val="Hyperlink"/>
            <w:lang w:val="en-IN"/>
          </w:rPr>
          <w:t>https://www.pwc.com/gx/en/services/deals/trends/telecommunications-media-technology.html</w:t>
        </w:r>
      </w:hyperlink>
      <w:r w:rsidRPr="00A20FA3">
        <w:rPr>
          <w:lang w:val="en-IN"/>
        </w:rPr>
        <w:t>.</w:t>
      </w:r>
      <w:r>
        <w:rPr>
          <w:lang w:val="en-IN"/>
        </w:rPr>
        <w:t xml:space="preserve"> </w:t>
      </w:r>
    </w:p>
    <w:p w:rsidR="001C41C1" w:rsidRDefault="001C41C1" w:rsidP="001C41C1">
      <w:pPr>
        <w:rPr>
          <w:lang w:val="en-IN"/>
        </w:rPr>
      </w:pPr>
      <w:r w:rsidRPr="008943D1">
        <w:rPr>
          <w:lang w:val="en-IN"/>
        </w:rPr>
        <w:lastRenderedPageBreak/>
        <w:t xml:space="preserve">Gartner (2023). </w:t>
      </w:r>
      <w:r w:rsidRPr="008943D1">
        <w:rPr>
          <w:i/>
          <w:iCs/>
          <w:lang w:val="en-IN"/>
        </w:rPr>
        <w:t>Definition of Portfolio Management - Gartner Information Technology Glossary</w:t>
      </w:r>
      <w:r w:rsidRPr="008943D1">
        <w:rPr>
          <w:lang w:val="en-IN"/>
        </w:rPr>
        <w:t xml:space="preserve">. [online] Gartner. Available at: </w:t>
      </w:r>
      <w:hyperlink r:id="rId99" w:history="1">
        <w:r w:rsidRPr="0035786B">
          <w:rPr>
            <w:rStyle w:val="Hyperlink"/>
            <w:lang w:val="en-IN"/>
          </w:rPr>
          <w:t>https://www.gartner.com/en/information-technology/glossary/portfolio-management</w:t>
        </w:r>
      </w:hyperlink>
      <w:r>
        <w:rPr>
          <w:lang w:val="en-IN"/>
        </w:rPr>
        <w:t xml:space="preserve">. </w:t>
      </w:r>
    </w:p>
    <w:p w:rsidR="001C41C1" w:rsidRDefault="001C41C1" w:rsidP="001C41C1">
      <w:pPr>
        <w:rPr>
          <w:lang w:val="en-IN"/>
        </w:rPr>
      </w:pPr>
      <w:r w:rsidRPr="009F21FC">
        <w:rPr>
          <w:lang w:val="en-IN"/>
        </w:rPr>
        <w:t xml:space="preserve">PwC (2025). </w:t>
      </w:r>
      <w:r w:rsidRPr="009F21FC">
        <w:rPr>
          <w:i/>
          <w:iCs/>
          <w:lang w:val="en-IN"/>
        </w:rPr>
        <w:t>Perspectives: Global Entertainment &amp; Media Outlook 202</w:t>
      </w:r>
      <w:r>
        <w:rPr>
          <w:i/>
          <w:iCs/>
          <w:lang w:val="en-IN"/>
        </w:rPr>
        <w:t>5</w:t>
      </w:r>
      <w:r w:rsidRPr="009F21FC">
        <w:rPr>
          <w:i/>
          <w:iCs/>
          <w:lang w:val="en-IN"/>
        </w:rPr>
        <w:t>–202</w:t>
      </w:r>
      <w:r>
        <w:rPr>
          <w:i/>
          <w:iCs/>
          <w:lang w:val="en-IN"/>
        </w:rPr>
        <w:t>9</w:t>
      </w:r>
      <w:r w:rsidRPr="009F21FC">
        <w:rPr>
          <w:lang w:val="en-IN"/>
        </w:rPr>
        <w:t xml:space="preserve">. [online] PwC. Available at: </w:t>
      </w:r>
      <w:hyperlink r:id="rId100" w:history="1">
        <w:r w:rsidRPr="0035786B">
          <w:rPr>
            <w:rStyle w:val="Hyperlink"/>
            <w:lang w:val="en-IN"/>
          </w:rPr>
          <w:t>https://www.pwc.com/gx/en/issues/business-model-reinvention/outlook/insights-and-perspectives.html</w:t>
        </w:r>
      </w:hyperlink>
      <w:r w:rsidRPr="009F21FC">
        <w:rPr>
          <w:lang w:val="en-IN"/>
        </w:rPr>
        <w:t>.</w:t>
      </w:r>
      <w:r>
        <w:rPr>
          <w:lang w:val="en-IN"/>
        </w:rPr>
        <w:t xml:space="preserve"> </w:t>
      </w:r>
    </w:p>
    <w:p w:rsidR="001C41C1" w:rsidRDefault="001C41C1" w:rsidP="001C41C1">
      <w:r w:rsidRPr="00D75876">
        <w:t>Kotter, J.P., 1997. Leading change: A conversation with John P. Kotter. </w:t>
      </w:r>
      <w:r w:rsidRPr="00D75876">
        <w:rPr>
          <w:i/>
          <w:iCs/>
        </w:rPr>
        <w:t>Strategy &amp; Leadership</w:t>
      </w:r>
      <w:r>
        <w:t>.</w:t>
      </w:r>
    </w:p>
    <w:p w:rsidR="001C41C1" w:rsidRDefault="001C41C1" w:rsidP="001C41C1">
      <w:r w:rsidRPr="003A75A8">
        <w:t>Parker, G.G., Van Alstyne, M.W. and Choudary, S.P., 2016. </w:t>
      </w:r>
      <w:r w:rsidRPr="003A75A8">
        <w:rPr>
          <w:i/>
          <w:iCs/>
        </w:rPr>
        <w:t>Platform revolution: How networked markets are transforming the economy and how to make them work for you</w:t>
      </w:r>
      <w:r w:rsidRPr="003A75A8">
        <w:t>. WW Norton &amp; Company.</w:t>
      </w:r>
    </w:p>
    <w:p w:rsidR="001C41C1" w:rsidRDefault="001C41C1" w:rsidP="001C41C1">
      <w:r w:rsidRPr="00742A12">
        <w:rPr>
          <w:lang w:val="en-IN"/>
        </w:rPr>
        <w:t xml:space="preserve">IFPI (2024) </w:t>
      </w:r>
      <w:r w:rsidRPr="00742A12">
        <w:rPr>
          <w:i/>
          <w:iCs/>
          <w:lang w:val="en-IN"/>
        </w:rPr>
        <w:t>Global Music Report 2024</w:t>
      </w:r>
      <w:r w:rsidRPr="00742A12">
        <w:rPr>
          <w:lang w:val="en-IN"/>
        </w:rPr>
        <w:t xml:space="preserve">. Available at: </w:t>
      </w:r>
      <w:hyperlink r:id="rId101" w:tgtFrame="_new" w:history="1">
        <w:r w:rsidRPr="00742A12">
          <w:rPr>
            <w:rStyle w:val="Hyperlink"/>
            <w:lang w:val="en-IN"/>
          </w:rPr>
          <w:t>https://www.ifpi.org</w:t>
        </w:r>
      </w:hyperlink>
    </w:p>
    <w:p w:rsidR="001C41C1" w:rsidRPr="00432AA0" w:rsidRDefault="001C41C1" w:rsidP="001C41C1">
      <w:pPr>
        <w:rPr>
          <w:lang w:val="en-IN"/>
        </w:rPr>
      </w:pPr>
      <w:proofErr w:type="spellStart"/>
      <w:r w:rsidRPr="00432AA0">
        <w:rPr>
          <w:lang w:val="en-IN"/>
        </w:rPr>
        <w:t>forrester</w:t>
      </w:r>
      <w:proofErr w:type="spellEnd"/>
      <w:r w:rsidRPr="00432AA0">
        <w:rPr>
          <w:lang w:val="en-IN"/>
        </w:rPr>
        <w:t xml:space="preserve"> (2026). </w:t>
      </w:r>
      <w:r w:rsidRPr="00432AA0">
        <w:rPr>
          <w:i/>
          <w:iCs/>
          <w:lang w:val="en-IN"/>
        </w:rPr>
        <w:t>Predictions</w:t>
      </w:r>
      <w:r w:rsidRPr="00432AA0">
        <w:rPr>
          <w:lang w:val="en-IN"/>
        </w:rPr>
        <w:t>. [online] Forrester. Available at: https://www.forrester.com/predictions/.</w:t>
      </w:r>
    </w:p>
    <w:p w:rsidR="005332E4" w:rsidRPr="00AD2C8D" w:rsidRDefault="005332E4" w:rsidP="005332E4">
      <w:pPr>
        <w:rPr>
          <w:lang w:val="en-IN"/>
        </w:rPr>
      </w:pPr>
      <w:r w:rsidRPr="00AD2C8D">
        <w:rPr>
          <w:lang w:val="en-IN"/>
        </w:rPr>
        <w:t xml:space="preserve">Deloitte (2025). </w:t>
      </w:r>
      <w:r w:rsidRPr="00AD2C8D">
        <w:rPr>
          <w:i/>
          <w:iCs/>
          <w:lang w:val="en-IN"/>
        </w:rPr>
        <w:t>Deloitte 2026 Technology, Media &amp; Telecommunications Predictions: Narrowing the gap between the promise of AI and its reality</w:t>
      </w:r>
      <w:r w:rsidRPr="00AD2C8D">
        <w:rPr>
          <w:lang w:val="en-IN"/>
        </w:rPr>
        <w:t xml:space="preserve">. [online] Deloitte. Available at: </w:t>
      </w:r>
      <w:hyperlink r:id="rId102" w:history="1">
        <w:r w:rsidRPr="002213AC">
          <w:rPr>
            <w:rStyle w:val="Hyperlink"/>
            <w:lang w:val="en-IN"/>
          </w:rPr>
          <w:t>https://www.deloitte.com/global/en/about/press-room/2026-tmt-predictions.html</w:t>
        </w:r>
      </w:hyperlink>
      <w:r w:rsidRPr="00AD2C8D">
        <w:rPr>
          <w:lang w:val="en-IN"/>
        </w:rPr>
        <w:t>.</w:t>
      </w:r>
      <w:r>
        <w:rPr>
          <w:lang w:val="en-IN"/>
        </w:rPr>
        <w:t xml:space="preserve"> </w:t>
      </w:r>
    </w:p>
    <w:p w:rsidR="005332E4" w:rsidRDefault="005332E4" w:rsidP="005332E4">
      <w:pPr>
        <w:rPr>
          <w:lang w:val="en-IN"/>
        </w:rPr>
      </w:pPr>
      <w:r w:rsidRPr="00AD2C8D">
        <w:rPr>
          <w:lang w:val="en-IN"/>
        </w:rPr>
        <w:t xml:space="preserve">Goldman Sachs (2025). </w:t>
      </w:r>
      <w:r w:rsidRPr="00AD2C8D">
        <w:rPr>
          <w:i/>
          <w:iCs/>
          <w:lang w:val="en-IN"/>
        </w:rPr>
        <w:t>Global Music Revenues Are Forecast to Double to $200 Billion in 2035</w:t>
      </w:r>
      <w:r w:rsidRPr="00AD2C8D">
        <w:rPr>
          <w:lang w:val="en-IN"/>
        </w:rPr>
        <w:t xml:space="preserve">. [online] Goldmansachs.com. Available at: </w:t>
      </w:r>
      <w:hyperlink r:id="rId103" w:history="1">
        <w:r w:rsidRPr="002213AC">
          <w:rPr>
            <w:rStyle w:val="Hyperlink"/>
            <w:lang w:val="en-IN"/>
          </w:rPr>
          <w:t>https://www.goldmansachs.com/insights/articles/global-music-revenues-are-forecast-to-double-to-200-million-in-2035</w:t>
        </w:r>
      </w:hyperlink>
      <w:r w:rsidRPr="00AD2C8D">
        <w:rPr>
          <w:lang w:val="en-IN"/>
        </w:rPr>
        <w:t>.</w:t>
      </w:r>
    </w:p>
    <w:p w:rsidR="005332E4" w:rsidRDefault="005332E4" w:rsidP="005332E4">
      <w:pPr>
        <w:rPr>
          <w:lang w:val="en-IN"/>
        </w:rPr>
      </w:pPr>
      <w:r w:rsidRPr="006A56BC">
        <w:rPr>
          <w:lang w:val="en-IN"/>
        </w:rPr>
        <w:t xml:space="preserve">Government of UK (2022). </w:t>
      </w:r>
      <w:r w:rsidRPr="006A56BC">
        <w:rPr>
          <w:i/>
          <w:iCs/>
          <w:lang w:val="en-IN"/>
        </w:rPr>
        <w:t>UK Digital Strategy</w:t>
      </w:r>
      <w:r w:rsidRPr="006A56BC">
        <w:rPr>
          <w:lang w:val="en-IN"/>
        </w:rPr>
        <w:t xml:space="preserve">. [online] GOV.UK. Available at: </w:t>
      </w:r>
      <w:hyperlink r:id="rId104" w:history="1">
        <w:r w:rsidRPr="002213AC">
          <w:rPr>
            <w:rStyle w:val="Hyperlink"/>
            <w:lang w:val="en-IN"/>
          </w:rPr>
          <w:t>https://www.gov.uk/government/publications/uks-digital-strategy/uk-digital-strategy</w:t>
        </w:r>
      </w:hyperlink>
      <w:r w:rsidRPr="006A56BC">
        <w:rPr>
          <w:lang w:val="en-IN"/>
        </w:rPr>
        <w:t>.</w:t>
      </w:r>
      <w:r>
        <w:rPr>
          <w:lang w:val="en-IN"/>
        </w:rPr>
        <w:t xml:space="preserve"> </w:t>
      </w:r>
    </w:p>
    <w:p w:rsidR="0020229E" w:rsidRPr="0020229E" w:rsidRDefault="0020229E" w:rsidP="0020229E">
      <w:pPr>
        <w:pStyle w:val="Title"/>
        <w:rPr>
          <w:rStyle w:val="Hyperlink"/>
          <w:color w:val="auto"/>
          <w:u w:val="none"/>
        </w:rPr>
      </w:pPr>
      <w:r w:rsidRPr="0020229E">
        <w:fldChar w:fldCharType="begin"/>
      </w:r>
      <w:r w:rsidRPr="0020229E">
        <w:instrText>HYPERLINK "https://www.brookes.ac.uk/students/academic-development/online-resources/appendices"</w:instrText>
      </w:r>
      <w:r w:rsidRPr="0020229E">
        <w:fldChar w:fldCharType="separate"/>
      </w:r>
    </w:p>
    <w:p w:rsidR="0020229E" w:rsidRPr="0020229E" w:rsidRDefault="0020229E" w:rsidP="0020229E">
      <w:pPr>
        <w:pStyle w:val="Title"/>
        <w:rPr>
          <w:rStyle w:val="Hyperlink"/>
          <w:color w:val="auto"/>
          <w:u w:val="none"/>
        </w:rPr>
      </w:pPr>
      <w:bookmarkStart w:id="100" w:name="_Toc220991396"/>
      <w:r w:rsidRPr="0020229E">
        <w:rPr>
          <w:rStyle w:val="Hyperlink"/>
          <w:color w:val="auto"/>
          <w:u w:val="none"/>
        </w:rPr>
        <w:t>Appendices</w:t>
      </w:r>
      <w:bookmarkEnd w:id="100"/>
    </w:p>
    <w:p w:rsidR="00104134" w:rsidRDefault="0020229E" w:rsidP="0020229E">
      <w:pPr>
        <w:pStyle w:val="Title"/>
        <w:rPr>
          <w:lang w:val="en-IN"/>
        </w:rPr>
      </w:pPr>
      <w:r w:rsidRPr="0020229E">
        <w:fldChar w:fldCharType="end"/>
      </w:r>
    </w:p>
    <w:p w:rsidR="00DF120E" w:rsidRPr="00AA45CB" w:rsidRDefault="0020229E" w:rsidP="00DF120E">
      <w:pPr>
        <w:pStyle w:val="BodyText"/>
        <w:rPr>
          <w:lang w:val="en-IN"/>
        </w:rPr>
      </w:pPr>
      <w:r w:rsidRPr="00562C2A">
        <w:rPr>
          <w:rFonts w:cs="Arial"/>
          <w:noProof/>
        </w:rPr>
        <w:drawing>
          <wp:inline distT="0" distB="0" distL="0" distR="0" wp14:anchorId="728D92A3" wp14:editId="3C3F6210">
            <wp:extent cx="3242733" cy="1734176"/>
            <wp:effectExtent l="0" t="0" r="0" b="0"/>
            <wp:docPr id="1987833886" name="Picture 1" descr="A diagram of steps of a creative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1393" name="Picture 1" descr="A diagram of steps of a creative business&#10;&#10;AI-generated content may be incorrect."/>
                    <pic:cNvPicPr/>
                  </pic:nvPicPr>
                  <pic:blipFill>
                    <a:blip r:embed="rId11"/>
                    <a:stretch>
                      <a:fillRect/>
                    </a:stretch>
                  </pic:blipFill>
                  <pic:spPr>
                    <a:xfrm>
                      <a:off x="0" y="0"/>
                      <a:ext cx="3253255" cy="1739803"/>
                    </a:xfrm>
                    <a:prstGeom prst="rect">
                      <a:avLst/>
                    </a:prstGeom>
                  </pic:spPr>
                </pic:pic>
              </a:graphicData>
            </a:graphic>
          </wp:inline>
        </w:drawing>
      </w:r>
    </w:p>
    <w:p w:rsidR="0020229E" w:rsidRDefault="0020229E" w:rsidP="0020229E">
      <w:pPr>
        <w:jc w:val="both"/>
        <w:rPr>
          <w:rFonts w:cs="Arial"/>
          <w:b/>
          <w:bCs/>
        </w:rPr>
      </w:pPr>
      <w:r w:rsidRPr="00562C2A">
        <w:rPr>
          <w:rFonts w:cs="Arial"/>
          <w:b/>
          <w:bCs/>
        </w:rPr>
        <w:t>Fig 1</w:t>
      </w:r>
      <w:r>
        <w:rPr>
          <w:rFonts w:cs="Arial"/>
          <w:b/>
          <w:bCs/>
        </w:rPr>
        <w:t xml:space="preserve">.1 </w:t>
      </w:r>
      <w:r w:rsidRPr="00562C2A">
        <w:rPr>
          <w:rFonts w:cs="Arial"/>
          <w:b/>
          <w:bCs/>
        </w:rPr>
        <w:t>(DCMS sector economic estimate</w:t>
      </w:r>
      <w:r>
        <w:rPr>
          <w:rFonts w:cs="Arial"/>
          <w:b/>
          <w:bCs/>
        </w:rPr>
        <w:t>, 2022</w:t>
      </w:r>
      <w:r w:rsidRPr="00562C2A">
        <w:rPr>
          <w:rFonts w:cs="Arial"/>
          <w:b/>
          <w:bCs/>
        </w:rPr>
        <w:t>)</w:t>
      </w:r>
    </w:p>
    <w:p w:rsidR="00DF120E" w:rsidRDefault="0020229E" w:rsidP="00DF120E">
      <w:pPr>
        <w:pStyle w:val="BodyText"/>
      </w:pPr>
      <w:r w:rsidRPr="00692344">
        <w:rPr>
          <w:rFonts w:cs="Arial"/>
          <w:noProof/>
          <w:lang w:val="en-IN"/>
        </w:rPr>
        <w:lastRenderedPageBreak/>
        <w:drawing>
          <wp:inline distT="0" distB="0" distL="0" distR="0" wp14:anchorId="65A79051" wp14:editId="68586A69">
            <wp:extent cx="3924035" cy="1854200"/>
            <wp:effectExtent l="0" t="0" r="635" b="0"/>
            <wp:docPr id="420608344"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26713" name="Picture 1" descr="A graph with purple bars&#10;&#10;AI-generated content may be incorrect."/>
                    <pic:cNvPicPr/>
                  </pic:nvPicPr>
                  <pic:blipFill>
                    <a:blip r:embed="rId12"/>
                    <a:stretch>
                      <a:fillRect/>
                    </a:stretch>
                  </pic:blipFill>
                  <pic:spPr>
                    <a:xfrm>
                      <a:off x="0" y="0"/>
                      <a:ext cx="3930556" cy="1857281"/>
                    </a:xfrm>
                    <a:prstGeom prst="rect">
                      <a:avLst/>
                    </a:prstGeom>
                  </pic:spPr>
                </pic:pic>
              </a:graphicData>
            </a:graphic>
          </wp:inline>
        </w:drawing>
      </w:r>
    </w:p>
    <w:p w:rsidR="0020229E" w:rsidRDefault="0020229E" w:rsidP="00DF120E">
      <w:pPr>
        <w:pStyle w:val="BodyText"/>
      </w:pPr>
      <w:r w:rsidRPr="00133742">
        <w:rPr>
          <w:b/>
          <w:bCs/>
          <w:lang w:val="en-IN"/>
        </w:rPr>
        <w:t xml:space="preserve">Fig </w:t>
      </w:r>
      <w:r>
        <w:rPr>
          <w:b/>
          <w:bCs/>
          <w:lang w:val="en-IN"/>
        </w:rPr>
        <w:t>2.</w:t>
      </w:r>
      <w:r w:rsidRPr="00133742">
        <w:rPr>
          <w:b/>
          <w:bCs/>
          <w:lang w:val="en-IN"/>
        </w:rPr>
        <w:t>1 (</w:t>
      </w:r>
      <w:r w:rsidRPr="00133742">
        <w:rPr>
          <w:b/>
          <w:bCs/>
        </w:rPr>
        <w:t>Global music streaming market, 2018-2030 (US$M)</w:t>
      </w:r>
      <w:r w:rsidRPr="00133742">
        <w:rPr>
          <w:b/>
          <w:bCs/>
          <w:lang w:val="en-IN"/>
        </w:rPr>
        <w:t>)</w:t>
      </w:r>
    </w:p>
    <w:p w:rsidR="00F70BF1" w:rsidRDefault="00AE592A" w:rsidP="00F70BF1">
      <w:pPr>
        <w:rPr>
          <w:rFonts w:cs="Arial"/>
          <w:b/>
          <w:bCs/>
        </w:rPr>
      </w:pPr>
      <w:r w:rsidRPr="00B10A2C">
        <w:rPr>
          <w:noProof/>
        </w:rPr>
        <w:drawing>
          <wp:inline distT="0" distB="0" distL="0" distR="0" wp14:anchorId="1FF69BBF" wp14:editId="52C1BCFD">
            <wp:extent cx="2650067" cy="1633024"/>
            <wp:effectExtent l="0" t="0" r="0" b="5715"/>
            <wp:docPr id="153816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57468" name=""/>
                    <pic:cNvPicPr/>
                  </pic:nvPicPr>
                  <pic:blipFill>
                    <a:blip r:embed="rId13"/>
                    <a:stretch>
                      <a:fillRect/>
                    </a:stretch>
                  </pic:blipFill>
                  <pic:spPr>
                    <a:xfrm>
                      <a:off x="0" y="0"/>
                      <a:ext cx="2673532" cy="1647484"/>
                    </a:xfrm>
                    <a:prstGeom prst="rect">
                      <a:avLst/>
                    </a:prstGeom>
                  </pic:spPr>
                </pic:pic>
              </a:graphicData>
            </a:graphic>
          </wp:inline>
        </w:drawing>
      </w:r>
    </w:p>
    <w:p w:rsidR="0020229E" w:rsidRDefault="0020229E" w:rsidP="0020229E">
      <w:pPr>
        <w:rPr>
          <w:b/>
          <w:bCs/>
        </w:rPr>
      </w:pPr>
      <w:r w:rsidRPr="008E09B0">
        <w:rPr>
          <w:b/>
          <w:bCs/>
        </w:rPr>
        <w:t>Figure 4.1: Discsoul Customer Acquisition and Retention Funnel</w:t>
      </w:r>
    </w:p>
    <w:p w:rsidR="0020229E" w:rsidRDefault="0020229E" w:rsidP="0020229E">
      <w:pPr>
        <w:rPr>
          <w:b/>
          <w:bCs/>
        </w:rPr>
      </w:pPr>
      <w:r>
        <w:rPr>
          <w:b/>
          <w:bCs/>
        </w:rPr>
        <w:t>(Source: made by me by using Canva)</w:t>
      </w:r>
    </w:p>
    <w:p w:rsidR="00AE592A" w:rsidRPr="00AE592A" w:rsidRDefault="00AE592A" w:rsidP="0020229E">
      <w:hyperlink r:id="rId105" w:history="1">
        <w:r w:rsidRPr="00AE592A">
          <w:rPr>
            <w:rStyle w:val="Hyperlink"/>
          </w:rPr>
          <w:t>https://www.canva.com/design/DAHAL7REk-0/QeeM-ISQBfQwGeiLzDHQqQ/view?utm_content=DAHAL7REk-0&amp;utm_campaign=designshare&amp;utm_medium=link2&amp;utm_source=uniquelinks&amp;utlId=hf1b26e1814</w:t>
        </w:r>
      </w:hyperlink>
      <w:r w:rsidRPr="00AE592A">
        <w:t xml:space="preserve"> </w:t>
      </w:r>
    </w:p>
    <w:p w:rsidR="0020229E" w:rsidRDefault="0020229E" w:rsidP="00F70BF1">
      <w:pPr>
        <w:rPr>
          <w:rFonts w:cs="Arial"/>
          <w:b/>
          <w:bCs/>
        </w:rPr>
      </w:pPr>
      <w:r w:rsidRPr="00684797">
        <w:rPr>
          <w:noProof/>
        </w:rPr>
        <w:drawing>
          <wp:inline distT="0" distB="0" distL="0" distR="0" wp14:anchorId="2CB278D3" wp14:editId="55D20C98">
            <wp:extent cx="3395133" cy="1882907"/>
            <wp:effectExtent l="0" t="0" r="0" b="3175"/>
            <wp:docPr id="1060547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03386" name=""/>
                    <pic:cNvPicPr/>
                  </pic:nvPicPr>
                  <pic:blipFill rotWithShape="1">
                    <a:blip r:embed="rId14"/>
                    <a:srcRect r="554"/>
                    <a:stretch>
                      <a:fillRect/>
                    </a:stretch>
                  </pic:blipFill>
                  <pic:spPr bwMode="auto">
                    <a:xfrm>
                      <a:off x="0" y="0"/>
                      <a:ext cx="3417390" cy="1895250"/>
                    </a:xfrm>
                    <a:prstGeom prst="rect">
                      <a:avLst/>
                    </a:prstGeom>
                    <a:ln>
                      <a:noFill/>
                    </a:ln>
                    <a:extLst>
                      <a:ext uri="{53640926-AAD7-44D8-BBD7-CCE9431645EC}">
                        <a14:shadowObscured xmlns:a14="http://schemas.microsoft.com/office/drawing/2010/main"/>
                      </a:ext>
                    </a:extLst>
                  </pic:spPr>
                </pic:pic>
              </a:graphicData>
            </a:graphic>
          </wp:inline>
        </w:drawing>
      </w:r>
    </w:p>
    <w:p w:rsidR="0020229E" w:rsidRDefault="0020229E" w:rsidP="0020229E">
      <w:pPr>
        <w:rPr>
          <w:b/>
          <w:bCs/>
        </w:rPr>
      </w:pPr>
      <w:r w:rsidRPr="00286E57">
        <w:rPr>
          <w:b/>
          <w:bCs/>
        </w:rPr>
        <w:t xml:space="preserve">Figure 5.1: Discsoul End-to-End Service Delivery Workflow </w:t>
      </w:r>
    </w:p>
    <w:p w:rsidR="0020229E" w:rsidRDefault="0020229E" w:rsidP="0020229E">
      <w:pPr>
        <w:rPr>
          <w:b/>
          <w:bCs/>
        </w:rPr>
      </w:pPr>
      <w:r>
        <w:rPr>
          <w:b/>
          <w:bCs/>
        </w:rPr>
        <w:t>(Source: made by me by using Canva)</w:t>
      </w:r>
    </w:p>
    <w:p w:rsidR="00AE592A" w:rsidRPr="00AE592A" w:rsidRDefault="00AE592A" w:rsidP="0020229E">
      <w:hyperlink r:id="rId106" w:history="1">
        <w:r w:rsidRPr="00FD6233">
          <w:rPr>
            <w:rStyle w:val="Hyperlink"/>
          </w:rPr>
          <w:t>https://www.canva.com/design/DAHAMofc0JM/1mZPZsQ8QTjZzoN6MN6GJQ/view?utm_content=DAHAMofc0JM&amp;utm_campaign=designshare&amp;utm_medium=link2&amp;utm_source=uniquelinks&amp;utlId=h719b2c84b7</w:t>
        </w:r>
      </w:hyperlink>
      <w:r>
        <w:t xml:space="preserve"> </w:t>
      </w:r>
    </w:p>
    <w:p w:rsidR="0020229E" w:rsidRDefault="0020229E" w:rsidP="00F70BF1">
      <w:pPr>
        <w:rPr>
          <w:rFonts w:cs="Arial"/>
          <w:b/>
          <w:bCs/>
        </w:rPr>
      </w:pPr>
    </w:p>
    <w:p w:rsidR="00C45CDA" w:rsidRDefault="00C45CDA" w:rsidP="00F70BF1">
      <w:pPr>
        <w:rPr>
          <w:rFonts w:cs="Arial"/>
          <w:b/>
          <w:bCs/>
        </w:rPr>
      </w:pPr>
    </w:p>
    <w:p w:rsidR="00C45CDA" w:rsidRDefault="00C45CDA" w:rsidP="00F70BF1">
      <w:pPr>
        <w:rPr>
          <w:rFonts w:cs="Arial"/>
          <w:b/>
          <w:bCs/>
        </w:rPr>
      </w:pPr>
      <w:r>
        <w:rPr>
          <w:rFonts w:cs="Arial"/>
          <w:noProof/>
        </w:rPr>
        <w:drawing>
          <wp:inline distT="0" distB="0" distL="0" distR="0" wp14:anchorId="6CC5CCE5" wp14:editId="7B524CDF">
            <wp:extent cx="4859867" cy="2633133"/>
            <wp:effectExtent l="0" t="0" r="0" b="15240"/>
            <wp:docPr id="19004851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7" r:lo="rId108" r:qs="rId109" r:cs="rId110"/>
              </a:graphicData>
            </a:graphic>
          </wp:inline>
        </w:drawing>
      </w:r>
    </w:p>
    <w:p w:rsidR="00C45CDA" w:rsidRDefault="00C45CDA" w:rsidP="00F70BF1">
      <w:pPr>
        <w:rPr>
          <w:rFonts w:cs="Arial"/>
          <w:b/>
          <w:bCs/>
        </w:rPr>
      </w:pPr>
    </w:p>
    <w:p w:rsidR="00C45CDA" w:rsidRDefault="00C45CDA" w:rsidP="00C45CDA">
      <w:pPr>
        <w:rPr>
          <w:rFonts w:cs="Arial"/>
          <w:b/>
          <w:bCs/>
        </w:rPr>
      </w:pPr>
      <w:r w:rsidRPr="00C32DDB">
        <w:rPr>
          <w:rFonts w:cs="Arial"/>
          <w:b/>
          <w:bCs/>
        </w:rPr>
        <w:t>Figure 5.2: Quality Assurance Feedback Loop (Description)</w:t>
      </w:r>
    </w:p>
    <w:p w:rsidR="00C45CDA" w:rsidRDefault="00C45CDA" w:rsidP="00C45CDA">
      <w:pPr>
        <w:rPr>
          <w:rFonts w:cs="Arial"/>
          <w:b/>
          <w:bCs/>
        </w:rPr>
      </w:pPr>
      <w:r>
        <w:rPr>
          <w:rFonts w:cs="Arial"/>
          <w:b/>
          <w:bCs/>
        </w:rPr>
        <w:t>(Source: made by me using Microsoft Word Flowchart)</w:t>
      </w:r>
    </w:p>
    <w:p w:rsidR="00C45CDA" w:rsidRDefault="00C45CDA" w:rsidP="00F70BF1">
      <w:pPr>
        <w:rPr>
          <w:rFonts w:cs="Arial"/>
          <w:b/>
          <w:bCs/>
        </w:rPr>
      </w:pPr>
    </w:p>
    <w:p w:rsidR="00EC517F" w:rsidRDefault="00EC517F" w:rsidP="00F70BF1">
      <w:pPr>
        <w:rPr>
          <w:rFonts w:cs="Arial"/>
          <w:b/>
          <w:bCs/>
        </w:rPr>
      </w:pPr>
      <w:r w:rsidRPr="007C7285">
        <w:rPr>
          <w:rFonts w:cs="Arial"/>
          <w:noProof/>
        </w:rPr>
        <w:drawing>
          <wp:inline distT="0" distB="0" distL="0" distR="0" wp14:anchorId="6D2FB6FE" wp14:editId="5A8C2AE1">
            <wp:extent cx="5313218" cy="2723127"/>
            <wp:effectExtent l="0" t="0" r="1905" b="1270"/>
            <wp:docPr id="85239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403432" name=""/>
                    <pic:cNvPicPr/>
                  </pic:nvPicPr>
                  <pic:blipFill>
                    <a:blip r:embed="rId20"/>
                    <a:stretch>
                      <a:fillRect/>
                    </a:stretch>
                  </pic:blipFill>
                  <pic:spPr>
                    <a:xfrm>
                      <a:off x="0" y="0"/>
                      <a:ext cx="5325687" cy="2729518"/>
                    </a:xfrm>
                    <a:prstGeom prst="rect">
                      <a:avLst/>
                    </a:prstGeom>
                  </pic:spPr>
                </pic:pic>
              </a:graphicData>
            </a:graphic>
          </wp:inline>
        </w:drawing>
      </w:r>
    </w:p>
    <w:p w:rsidR="00EC517F" w:rsidRDefault="00EC517F" w:rsidP="00EC517F">
      <w:pPr>
        <w:rPr>
          <w:rFonts w:cs="Arial"/>
          <w:b/>
          <w:bCs/>
        </w:rPr>
      </w:pPr>
      <w:r w:rsidRPr="007C7285">
        <w:rPr>
          <w:rFonts w:cs="Arial"/>
          <w:b/>
          <w:bCs/>
        </w:rPr>
        <w:t>Figure 6.1: Discsoul Organisational and Human Resource Structure</w:t>
      </w:r>
    </w:p>
    <w:p w:rsidR="00EC517F" w:rsidRDefault="00EC517F" w:rsidP="00EC517F">
      <w:pPr>
        <w:rPr>
          <w:rFonts w:cs="Arial"/>
          <w:b/>
          <w:bCs/>
        </w:rPr>
      </w:pPr>
      <w:r>
        <w:rPr>
          <w:rFonts w:cs="Arial"/>
          <w:b/>
          <w:bCs/>
        </w:rPr>
        <w:t xml:space="preserve">(Source: made by me using </w:t>
      </w:r>
      <w:r w:rsidRPr="007C7285">
        <w:rPr>
          <w:rFonts w:cs="Arial"/>
          <w:b/>
          <w:bCs/>
        </w:rPr>
        <w:t>lucid</w:t>
      </w:r>
      <w:r>
        <w:rPr>
          <w:rFonts w:cs="Arial"/>
          <w:b/>
          <w:bCs/>
        </w:rPr>
        <w:t xml:space="preserve"> </w:t>
      </w:r>
      <w:r w:rsidRPr="007C7285">
        <w:rPr>
          <w:rFonts w:cs="Arial"/>
          <w:b/>
          <w:bCs/>
        </w:rPr>
        <w:t>chart</w:t>
      </w:r>
      <w:r>
        <w:rPr>
          <w:rFonts w:cs="Arial"/>
          <w:b/>
          <w:bCs/>
        </w:rPr>
        <w:t xml:space="preserve"> Application)</w:t>
      </w:r>
    </w:p>
    <w:p w:rsidR="00AE592A" w:rsidRPr="00AE592A" w:rsidRDefault="00AE592A" w:rsidP="00EC517F">
      <w:pPr>
        <w:rPr>
          <w:rFonts w:cs="Arial"/>
        </w:rPr>
      </w:pPr>
      <w:hyperlink r:id="rId112" w:history="1">
        <w:r w:rsidRPr="00FD6233">
          <w:rPr>
            <w:rStyle w:val="Hyperlink"/>
            <w:rFonts w:cs="Arial"/>
          </w:rPr>
          <w:t>https://lucid.app/lucidchart/dfadf7f9-f2c2-4a51-8c6d-82c35d86ae5f/edit?invitationId=inv_7e1e2d92-70eb-4c74-8c42-e76f140e98af</w:t>
        </w:r>
      </w:hyperlink>
    </w:p>
    <w:p w:rsidR="00AE592A" w:rsidRDefault="00AE592A" w:rsidP="00EC517F">
      <w:pPr>
        <w:rPr>
          <w:rFonts w:cs="Arial"/>
          <w:b/>
          <w:bCs/>
        </w:rPr>
      </w:pPr>
    </w:p>
    <w:tbl>
      <w:tblPr>
        <w:tblStyle w:val="TableGrid"/>
        <w:tblW w:w="10191" w:type="dxa"/>
        <w:tblLook w:val="04A0" w:firstRow="1" w:lastRow="0" w:firstColumn="1" w:lastColumn="0" w:noHBand="0" w:noVBand="1"/>
      </w:tblPr>
      <w:tblGrid>
        <w:gridCol w:w="990"/>
        <w:gridCol w:w="1564"/>
        <w:gridCol w:w="1586"/>
        <w:gridCol w:w="1586"/>
        <w:gridCol w:w="1297"/>
        <w:gridCol w:w="1484"/>
        <w:gridCol w:w="1684"/>
      </w:tblGrid>
      <w:tr w:rsidR="00AE592A" w:rsidTr="00E831AE">
        <w:tc>
          <w:tcPr>
            <w:tcW w:w="990" w:type="dxa"/>
            <w:vMerge w:val="restart"/>
          </w:tcPr>
          <w:p w:rsidR="00AE592A" w:rsidRDefault="00AE592A" w:rsidP="00E831AE">
            <w:pPr>
              <w:jc w:val="center"/>
              <w:rPr>
                <w:b/>
                <w:bCs/>
              </w:rPr>
            </w:pPr>
          </w:p>
          <w:p w:rsidR="00AE592A" w:rsidRDefault="00AE592A" w:rsidP="00E831AE">
            <w:pPr>
              <w:jc w:val="center"/>
              <w:rPr>
                <w:b/>
                <w:bCs/>
              </w:rPr>
            </w:pPr>
          </w:p>
          <w:p w:rsidR="00AE592A" w:rsidRDefault="00AE592A" w:rsidP="00E831AE">
            <w:pPr>
              <w:jc w:val="center"/>
              <w:rPr>
                <w:b/>
                <w:bCs/>
              </w:rPr>
            </w:pPr>
          </w:p>
          <w:p w:rsidR="00AE592A" w:rsidRPr="00AE380E" w:rsidRDefault="00AE592A" w:rsidP="00E831AE">
            <w:pPr>
              <w:jc w:val="center"/>
              <w:rPr>
                <w:b/>
                <w:bCs/>
              </w:rPr>
            </w:pPr>
            <w:r w:rsidRPr="00AE380E">
              <w:rPr>
                <w:b/>
                <w:bCs/>
              </w:rPr>
              <w:t>Impact</w:t>
            </w:r>
          </w:p>
        </w:tc>
        <w:tc>
          <w:tcPr>
            <w:tcW w:w="1564" w:type="dxa"/>
          </w:tcPr>
          <w:p w:rsidR="00AE592A" w:rsidRDefault="00AE592A" w:rsidP="00E831AE">
            <w:pPr>
              <w:jc w:val="both"/>
            </w:pPr>
            <w:r>
              <w:t>Catastrophic</w:t>
            </w:r>
          </w:p>
        </w:tc>
        <w:tc>
          <w:tcPr>
            <w:tcW w:w="1586" w:type="dxa"/>
          </w:tcPr>
          <w:p w:rsidR="00AE592A" w:rsidRDefault="00AE592A" w:rsidP="00E831AE">
            <w:pPr>
              <w:jc w:val="both"/>
            </w:pPr>
          </w:p>
        </w:tc>
        <w:tc>
          <w:tcPr>
            <w:tcW w:w="1586" w:type="dxa"/>
          </w:tcPr>
          <w:p w:rsidR="00AE592A" w:rsidRDefault="00AE592A" w:rsidP="00E831AE">
            <w:pPr>
              <w:jc w:val="both"/>
            </w:pPr>
          </w:p>
        </w:tc>
        <w:tc>
          <w:tcPr>
            <w:tcW w:w="1297" w:type="dxa"/>
          </w:tcPr>
          <w:p w:rsidR="00AE592A" w:rsidRDefault="00AE592A" w:rsidP="00E831AE">
            <w:pPr>
              <w:jc w:val="both"/>
            </w:pPr>
          </w:p>
        </w:tc>
        <w:tc>
          <w:tcPr>
            <w:tcW w:w="1484" w:type="dxa"/>
          </w:tcPr>
          <w:p w:rsidR="00AE592A" w:rsidRDefault="00AE592A" w:rsidP="00E831AE">
            <w:pPr>
              <w:jc w:val="both"/>
            </w:pPr>
            <w:r>
              <w:t xml:space="preserve">Regulatory </w:t>
            </w:r>
          </w:p>
          <w:p w:rsidR="00AE592A" w:rsidRDefault="00AE592A" w:rsidP="00E831AE">
            <w:pPr>
              <w:jc w:val="both"/>
            </w:pPr>
            <w:r>
              <w:t>Non-Compliance</w:t>
            </w:r>
          </w:p>
        </w:tc>
        <w:tc>
          <w:tcPr>
            <w:tcW w:w="1684" w:type="dxa"/>
          </w:tcPr>
          <w:p w:rsidR="00AE592A" w:rsidRDefault="00AE592A" w:rsidP="00E831AE">
            <w:pPr>
              <w:jc w:val="both"/>
            </w:pPr>
            <w:r>
              <w:t>Cybersecurity</w:t>
            </w:r>
          </w:p>
          <w:p w:rsidR="00AE592A" w:rsidRDefault="00AE592A" w:rsidP="00E831AE">
            <w:pPr>
              <w:jc w:val="both"/>
            </w:pPr>
            <w:r>
              <w:t>Breaches</w:t>
            </w:r>
          </w:p>
          <w:p w:rsidR="00AE592A" w:rsidRDefault="00AE592A" w:rsidP="00E831AE">
            <w:pPr>
              <w:jc w:val="both"/>
            </w:pPr>
          </w:p>
        </w:tc>
      </w:tr>
      <w:tr w:rsidR="00AE592A" w:rsidTr="00E831AE">
        <w:tc>
          <w:tcPr>
            <w:tcW w:w="990" w:type="dxa"/>
            <w:vMerge/>
          </w:tcPr>
          <w:p w:rsidR="00AE592A" w:rsidRDefault="00AE592A" w:rsidP="00E831AE">
            <w:pPr>
              <w:jc w:val="both"/>
            </w:pPr>
          </w:p>
        </w:tc>
        <w:tc>
          <w:tcPr>
            <w:tcW w:w="1564" w:type="dxa"/>
          </w:tcPr>
          <w:p w:rsidR="00AE592A" w:rsidRDefault="00AE592A" w:rsidP="00E831AE">
            <w:pPr>
              <w:jc w:val="both"/>
            </w:pPr>
            <w:r>
              <w:t>Major</w:t>
            </w:r>
          </w:p>
        </w:tc>
        <w:tc>
          <w:tcPr>
            <w:tcW w:w="1586" w:type="dxa"/>
          </w:tcPr>
          <w:p w:rsidR="00AE592A" w:rsidRDefault="00AE592A" w:rsidP="00E831AE">
            <w:pPr>
              <w:jc w:val="both"/>
            </w:pPr>
          </w:p>
        </w:tc>
        <w:tc>
          <w:tcPr>
            <w:tcW w:w="1586" w:type="dxa"/>
          </w:tcPr>
          <w:p w:rsidR="00AE592A" w:rsidRDefault="00AE592A" w:rsidP="00E831AE">
            <w:pPr>
              <w:jc w:val="both"/>
            </w:pPr>
          </w:p>
        </w:tc>
        <w:tc>
          <w:tcPr>
            <w:tcW w:w="1297" w:type="dxa"/>
          </w:tcPr>
          <w:p w:rsidR="00AE592A" w:rsidRDefault="00AE592A" w:rsidP="00E831AE">
            <w:pPr>
              <w:jc w:val="both"/>
            </w:pPr>
            <w:r>
              <w:t>Advertiser revenue volatility</w:t>
            </w:r>
          </w:p>
        </w:tc>
        <w:tc>
          <w:tcPr>
            <w:tcW w:w="1484" w:type="dxa"/>
          </w:tcPr>
          <w:p w:rsidR="00AE592A" w:rsidRDefault="00AE592A" w:rsidP="00E831AE">
            <w:pPr>
              <w:jc w:val="both"/>
            </w:pPr>
          </w:p>
        </w:tc>
        <w:tc>
          <w:tcPr>
            <w:tcW w:w="1684" w:type="dxa"/>
          </w:tcPr>
          <w:p w:rsidR="00AE592A" w:rsidRDefault="00AE592A" w:rsidP="00E831AE">
            <w:pPr>
              <w:jc w:val="both"/>
            </w:pPr>
            <w:r>
              <w:t>Live Concert Streaming</w:t>
            </w:r>
          </w:p>
          <w:p w:rsidR="00AE592A" w:rsidRDefault="00AE592A" w:rsidP="00E831AE">
            <w:pPr>
              <w:jc w:val="both"/>
            </w:pPr>
            <w:r>
              <w:t>Technical Failures</w:t>
            </w:r>
          </w:p>
        </w:tc>
      </w:tr>
      <w:tr w:rsidR="00AE592A" w:rsidTr="00E831AE">
        <w:tc>
          <w:tcPr>
            <w:tcW w:w="990" w:type="dxa"/>
            <w:vMerge/>
          </w:tcPr>
          <w:p w:rsidR="00AE592A" w:rsidRDefault="00AE592A" w:rsidP="00E831AE">
            <w:pPr>
              <w:jc w:val="both"/>
            </w:pPr>
          </w:p>
        </w:tc>
        <w:tc>
          <w:tcPr>
            <w:tcW w:w="1564" w:type="dxa"/>
          </w:tcPr>
          <w:p w:rsidR="00AE592A" w:rsidRDefault="00AE592A" w:rsidP="00E831AE">
            <w:pPr>
              <w:jc w:val="both"/>
            </w:pPr>
            <w:r>
              <w:t>Major</w:t>
            </w:r>
          </w:p>
        </w:tc>
        <w:tc>
          <w:tcPr>
            <w:tcW w:w="1586" w:type="dxa"/>
          </w:tcPr>
          <w:p w:rsidR="00AE592A" w:rsidRDefault="00AE592A" w:rsidP="00E831AE">
            <w:pPr>
              <w:jc w:val="both"/>
            </w:pPr>
          </w:p>
        </w:tc>
        <w:tc>
          <w:tcPr>
            <w:tcW w:w="1586" w:type="dxa"/>
          </w:tcPr>
          <w:p w:rsidR="00AE592A" w:rsidRDefault="00AE592A" w:rsidP="00E831AE">
            <w:pPr>
              <w:jc w:val="both"/>
            </w:pPr>
            <w:r>
              <w:t>Short-term Marketing inefficiencies</w:t>
            </w:r>
          </w:p>
        </w:tc>
        <w:tc>
          <w:tcPr>
            <w:tcW w:w="1297" w:type="dxa"/>
          </w:tcPr>
          <w:p w:rsidR="00AE592A" w:rsidRDefault="00AE592A" w:rsidP="00E831AE">
            <w:pPr>
              <w:jc w:val="both"/>
            </w:pPr>
          </w:p>
        </w:tc>
        <w:tc>
          <w:tcPr>
            <w:tcW w:w="1484" w:type="dxa"/>
          </w:tcPr>
          <w:p w:rsidR="00AE592A" w:rsidRDefault="00AE592A" w:rsidP="00E831AE">
            <w:pPr>
              <w:jc w:val="both"/>
            </w:pPr>
            <w:r>
              <w:t>Slower-than-expected user acquisition</w:t>
            </w:r>
          </w:p>
        </w:tc>
        <w:tc>
          <w:tcPr>
            <w:tcW w:w="1684" w:type="dxa"/>
          </w:tcPr>
          <w:p w:rsidR="00AE592A" w:rsidRDefault="00AE592A" w:rsidP="00E831AE">
            <w:pPr>
              <w:jc w:val="both"/>
            </w:pPr>
          </w:p>
        </w:tc>
      </w:tr>
      <w:tr w:rsidR="00AE592A" w:rsidTr="00E831AE">
        <w:tc>
          <w:tcPr>
            <w:tcW w:w="990" w:type="dxa"/>
            <w:vMerge/>
          </w:tcPr>
          <w:p w:rsidR="00AE592A" w:rsidRDefault="00AE592A" w:rsidP="00E831AE">
            <w:pPr>
              <w:jc w:val="both"/>
            </w:pPr>
          </w:p>
        </w:tc>
        <w:tc>
          <w:tcPr>
            <w:tcW w:w="1564" w:type="dxa"/>
          </w:tcPr>
          <w:p w:rsidR="00AE592A" w:rsidRDefault="00AE592A" w:rsidP="00E831AE">
            <w:pPr>
              <w:jc w:val="both"/>
            </w:pPr>
            <w:r>
              <w:t>Insignificant</w:t>
            </w:r>
          </w:p>
        </w:tc>
        <w:tc>
          <w:tcPr>
            <w:tcW w:w="1586" w:type="dxa"/>
          </w:tcPr>
          <w:p w:rsidR="00AE592A" w:rsidRDefault="00AE592A" w:rsidP="00E831AE">
            <w:pPr>
              <w:jc w:val="both"/>
            </w:pPr>
            <w:r>
              <w:t>Short-term Marketing inefficiencies</w:t>
            </w:r>
          </w:p>
        </w:tc>
        <w:tc>
          <w:tcPr>
            <w:tcW w:w="1586" w:type="dxa"/>
          </w:tcPr>
          <w:p w:rsidR="00AE592A" w:rsidRDefault="00AE592A" w:rsidP="00E831AE">
            <w:pPr>
              <w:jc w:val="both"/>
            </w:pPr>
          </w:p>
        </w:tc>
        <w:tc>
          <w:tcPr>
            <w:tcW w:w="1297" w:type="dxa"/>
          </w:tcPr>
          <w:p w:rsidR="00AE592A" w:rsidRDefault="00AE592A" w:rsidP="00E831AE">
            <w:pPr>
              <w:jc w:val="both"/>
            </w:pPr>
          </w:p>
        </w:tc>
        <w:tc>
          <w:tcPr>
            <w:tcW w:w="1484" w:type="dxa"/>
          </w:tcPr>
          <w:p w:rsidR="00AE592A" w:rsidRDefault="00AE592A" w:rsidP="00E831AE">
            <w:pPr>
              <w:jc w:val="both"/>
            </w:pPr>
          </w:p>
        </w:tc>
        <w:tc>
          <w:tcPr>
            <w:tcW w:w="1684" w:type="dxa"/>
          </w:tcPr>
          <w:p w:rsidR="00AE592A" w:rsidRDefault="00AE592A" w:rsidP="00E831AE">
            <w:pPr>
              <w:jc w:val="both"/>
            </w:pPr>
          </w:p>
        </w:tc>
      </w:tr>
      <w:tr w:rsidR="00AE592A" w:rsidTr="00E831AE">
        <w:tc>
          <w:tcPr>
            <w:tcW w:w="990" w:type="dxa"/>
            <w:vMerge/>
          </w:tcPr>
          <w:p w:rsidR="00AE592A" w:rsidRDefault="00AE592A" w:rsidP="00E831AE">
            <w:pPr>
              <w:jc w:val="both"/>
            </w:pPr>
          </w:p>
        </w:tc>
        <w:tc>
          <w:tcPr>
            <w:tcW w:w="1564" w:type="dxa"/>
          </w:tcPr>
          <w:p w:rsidR="00AE592A" w:rsidRDefault="00AE592A" w:rsidP="00E831AE">
            <w:pPr>
              <w:jc w:val="both"/>
            </w:pPr>
            <w:r>
              <w:t>Insignificant</w:t>
            </w:r>
          </w:p>
        </w:tc>
        <w:tc>
          <w:tcPr>
            <w:tcW w:w="1586" w:type="dxa"/>
          </w:tcPr>
          <w:p w:rsidR="00AE592A" w:rsidRDefault="00AE592A" w:rsidP="00E831AE">
            <w:pPr>
              <w:jc w:val="both"/>
            </w:pPr>
            <w:r>
              <w:t xml:space="preserve">Minor Operational </w:t>
            </w:r>
          </w:p>
          <w:p w:rsidR="00AE592A" w:rsidRDefault="00AE592A" w:rsidP="00E831AE">
            <w:pPr>
              <w:jc w:val="both"/>
            </w:pPr>
            <w:r>
              <w:t>disruptions</w:t>
            </w:r>
          </w:p>
        </w:tc>
        <w:tc>
          <w:tcPr>
            <w:tcW w:w="1586" w:type="dxa"/>
          </w:tcPr>
          <w:p w:rsidR="00AE592A" w:rsidRDefault="00AE592A" w:rsidP="00E831AE">
            <w:pPr>
              <w:jc w:val="both"/>
            </w:pPr>
          </w:p>
        </w:tc>
        <w:tc>
          <w:tcPr>
            <w:tcW w:w="1297" w:type="dxa"/>
          </w:tcPr>
          <w:p w:rsidR="00AE592A" w:rsidRDefault="00AE592A" w:rsidP="00E831AE">
            <w:pPr>
              <w:jc w:val="both"/>
            </w:pPr>
          </w:p>
        </w:tc>
        <w:tc>
          <w:tcPr>
            <w:tcW w:w="1484" w:type="dxa"/>
          </w:tcPr>
          <w:p w:rsidR="00AE592A" w:rsidRDefault="00AE592A" w:rsidP="00E831AE">
            <w:pPr>
              <w:jc w:val="both"/>
            </w:pPr>
          </w:p>
        </w:tc>
        <w:tc>
          <w:tcPr>
            <w:tcW w:w="1684" w:type="dxa"/>
          </w:tcPr>
          <w:p w:rsidR="00AE592A" w:rsidRDefault="00AE592A" w:rsidP="00E831AE">
            <w:pPr>
              <w:jc w:val="both"/>
            </w:pPr>
          </w:p>
        </w:tc>
      </w:tr>
      <w:tr w:rsidR="00AE592A" w:rsidTr="00E831AE">
        <w:tc>
          <w:tcPr>
            <w:tcW w:w="990" w:type="dxa"/>
            <w:vMerge/>
          </w:tcPr>
          <w:p w:rsidR="00AE592A" w:rsidRDefault="00AE592A" w:rsidP="00E831AE">
            <w:pPr>
              <w:jc w:val="both"/>
            </w:pPr>
          </w:p>
        </w:tc>
        <w:tc>
          <w:tcPr>
            <w:tcW w:w="1564" w:type="dxa"/>
          </w:tcPr>
          <w:p w:rsidR="00AE592A" w:rsidRDefault="00AE592A" w:rsidP="00E831AE">
            <w:pPr>
              <w:jc w:val="both"/>
            </w:pPr>
          </w:p>
        </w:tc>
        <w:tc>
          <w:tcPr>
            <w:tcW w:w="1586" w:type="dxa"/>
          </w:tcPr>
          <w:p w:rsidR="00AE592A" w:rsidRDefault="00AE592A" w:rsidP="00E831AE">
            <w:pPr>
              <w:jc w:val="both"/>
            </w:pPr>
            <w:r>
              <w:t>Infrequent</w:t>
            </w:r>
          </w:p>
        </w:tc>
        <w:tc>
          <w:tcPr>
            <w:tcW w:w="1586" w:type="dxa"/>
          </w:tcPr>
          <w:p w:rsidR="00AE592A" w:rsidRDefault="00AE592A" w:rsidP="00E831AE">
            <w:pPr>
              <w:jc w:val="both"/>
            </w:pPr>
            <w:r>
              <w:t xml:space="preserve">Unlikely </w:t>
            </w:r>
          </w:p>
        </w:tc>
        <w:tc>
          <w:tcPr>
            <w:tcW w:w="1297" w:type="dxa"/>
          </w:tcPr>
          <w:p w:rsidR="00AE592A" w:rsidRDefault="00AE592A" w:rsidP="00E831AE">
            <w:pPr>
              <w:jc w:val="both"/>
            </w:pPr>
            <w:r>
              <w:t>Possible</w:t>
            </w:r>
          </w:p>
        </w:tc>
        <w:tc>
          <w:tcPr>
            <w:tcW w:w="1484" w:type="dxa"/>
          </w:tcPr>
          <w:p w:rsidR="00AE592A" w:rsidRDefault="00AE592A" w:rsidP="00E831AE">
            <w:pPr>
              <w:jc w:val="both"/>
            </w:pPr>
            <w:r>
              <w:t xml:space="preserve">Likely </w:t>
            </w:r>
          </w:p>
        </w:tc>
        <w:tc>
          <w:tcPr>
            <w:tcW w:w="1684" w:type="dxa"/>
          </w:tcPr>
          <w:p w:rsidR="00AE592A" w:rsidRDefault="00AE592A" w:rsidP="00E831AE">
            <w:pPr>
              <w:jc w:val="both"/>
            </w:pPr>
            <w:r>
              <w:t>Nearly Certain</w:t>
            </w:r>
          </w:p>
        </w:tc>
      </w:tr>
      <w:tr w:rsidR="00AE592A" w:rsidTr="00E831AE">
        <w:tc>
          <w:tcPr>
            <w:tcW w:w="990" w:type="dxa"/>
          </w:tcPr>
          <w:p w:rsidR="00AE592A" w:rsidRDefault="00AE592A" w:rsidP="00E831AE">
            <w:pPr>
              <w:jc w:val="both"/>
            </w:pPr>
          </w:p>
        </w:tc>
        <w:tc>
          <w:tcPr>
            <w:tcW w:w="9201" w:type="dxa"/>
            <w:gridSpan w:val="6"/>
          </w:tcPr>
          <w:p w:rsidR="00AE592A" w:rsidRPr="00AE380E" w:rsidRDefault="00AE592A" w:rsidP="00E831AE">
            <w:pPr>
              <w:jc w:val="center"/>
              <w:rPr>
                <w:b/>
                <w:bCs/>
              </w:rPr>
            </w:pPr>
            <w:r w:rsidRPr="00AE380E">
              <w:rPr>
                <w:b/>
                <w:bCs/>
              </w:rPr>
              <w:t>Likelihood</w:t>
            </w:r>
          </w:p>
        </w:tc>
      </w:tr>
    </w:tbl>
    <w:p w:rsidR="00AE592A" w:rsidRDefault="00AE592A" w:rsidP="00AE592A">
      <w:pPr>
        <w:rPr>
          <w:b/>
          <w:bCs/>
          <w:lang w:val="en-IN"/>
        </w:rPr>
      </w:pPr>
      <w:r w:rsidRPr="005D6BF3">
        <w:rPr>
          <w:b/>
          <w:bCs/>
          <w:lang w:val="en-IN"/>
        </w:rPr>
        <w:t>Figure 8.1: Risk Heat Map for Discsoul</w:t>
      </w:r>
    </w:p>
    <w:p w:rsidR="00AE592A" w:rsidRPr="00794A75" w:rsidRDefault="00AE592A" w:rsidP="00AE592A">
      <w:pPr>
        <w:rPr>
          <w:b/>
          <w:bCs/>
          <w:lang w:val="en-IN"/>
        </w:rPr>
      </w:pPr>
      <w:r w:rsidRPr="00794A75">
        <w:rPr>
          <w:b/>
          <w:bCs/>
        </w:rPr>
        <w:t>(Source: Made by me Microsoft Word Table)</w:t>
      </w:r>
    </w:p>
    <w:p w:rsidR="00EC517F" w:rsidRPr="00F70BF1" w:rsidRDefault="00EC517F" w:rsidP="00F70BF1">
      <w:pPr>
        <w:rPr>
          <w:rFonts w:cs="Arial"/>
          <w:b/>
          <w:bCs/>
        </w:rPr>
      </w:pPr>
    </w:p>
    <w:sectPr w:rsidR="00EC517F" w:rsidRPr="00F70BF1" w:rsidSect="006369D8">
      <w:footerReference w:type="default" r:id="rId1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15861" w:rsidRDefault="00F15861" w:rsidP="005B5F99">
      <w:pPr>
        <w:spacing w:after="0" w:line="240" w:lineRule="auto"/>
      </w:pPr>
      <w:r>
        <w:separator/>
      </w:r>
    </w:p>
  </w:endnote>
  <w:endnote w:type="continuationSeparator" w:id="0">
    <w:p w:rsidR="00F15861" w:rsidRDefault="00F15861" w:rsidP="005B5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242436"/>
      <w:docPartObj>
        <w:docPartGallery w:val="Page Numbers (Bottom of Page)"/>
        <w:docPartUnique/>
      </w:docPartObj>
    </w:sdtPr>
    <w:sdtEndPr>
      <w:rPr>
        <w:color w:val="7F7F7F" w:themeColor="background1" w:themeShade="7F"/>
        <w:spacing w:val="60"/>
      </w:rPr>
    </w:sdtEndPr>
    <w:sdtContent>
      <w:p w:rsidR="005B5F99" w:rsidRDefault="005B5F9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5B5F99" w:rsidRDefault="005B5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15861" w:rsidRDefault="00F15861" w:rsidP="005B5F99">
      <w:pPr>
        <w:spacing w:after="0" w:line="240" w:lineRule="auto"/>
      </w:pPr>
      <w:r>
        <w:separator/>
      </w:r>
    </w:p>
  </w:footnote>
  <w:footnote w:type="continuationSeparator" w:id="0">
    <w:p w:rsidR="00F15861" w:rsidRDefault="00F15861" w:rsidP="005B5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A53CF"/>
    <w:multiLevelType w:val="hybridMultilevel"/>
    <w:tmpl w:val="CC289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336832"/>
    <w:multiLevelType w:val="hybridMultilevel"/>
    <w:tmpl w:val="1AE06C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4D6F88"/>
    <w:multiLevelType w:val="hybridMultilevel"/>
    <w:tmpl w:val="857EC91A"/>
    <w:lvl w:ilvl="0" w:tplc="47C4BEA6">
      <w:start w:val="4"/>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9C2765"/>
    <w:multiLevelType w:val="hybridMultilevel"/>
    <w:tmpl w:val="FB0EF8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D62C85"/>
    <w:multiLevelType w:val="hybridMultilevel"/>
    <w:tmpl w:val="5FDE386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85416DB"/>
    <w:multiLevelType w:val="multilevel"/>
    <w:tmpl w:val="EE4C8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792B26"/>
    <w:multiLevelType w:val="hybridMultilevel"/>
    <w:tmpl w:val="3364EC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B9F5E2C"/>
    <w:multiLevelType w:val="hybridMultilevel"/>
    <w:tmpl w:val="1D325E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D5F6B2C"/>
    <w:multiLevelType w:val="multilevel"/>
    <w:tmpl w:val="AAC85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41C22"/>
    <w:multiLevelType w:val="hybridMultilevel"/>
    <w:tmpl w:val="156659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38030C5"/>
    <w:multiLevelType w:val="hybridMultilevel"/>
    <w:tmpl w:val="65E6B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4562DB1"/>
    <w:multiLevelType w:val="hybridMultilevel"/>
    <w:tmpl w:val="13BA4B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2871B32"/>
    <w:multiLevelType w:val="hybridMultilevel"/>
    <w:tmpl w:val="FF6216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8251E07"/>
    <w:multiLevelType w:val="multilevel"/>
    <w:tmpl w:val="51303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3F40A2"/>
    <w:multiLevelType w:val="hybridMultilevel"/>
    <w:tmpl w:val="8D06BF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F1C2FAC"/>
    <w:multiLevelType w:val="hybridMultilevel"/>
    <w:tmpl w:val="10E81B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0504F85"/>
    <w:multiLevelType w:val="hybridMultilevel"/>
    <w:tmpl w:val="C2527F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1B46F94"/>
    <w:multiLevelType w:val="hybridMultilevel"/>
    <w:tmpl w:val="9EA242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1BF2280"/>
    <w:multiLevelType w:val="multilevel"/>
    <w:tmpl w:val="8242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440548"/>
    <w:multiLevelType w:val="hybridMultilevel"/>
    <w:tmpl w:val="B55AC7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6425107"/>
    <w:multiLevelType w:val="hybridMultilevel"/>
    <w:tmpl w:val="911C4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C803A24"/>
    <w:multiLevelType w:val="hybridMultilevel"/>
    <w:tmpl w:val="5CBC1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E1C0824"/>
    <w:multiLevelType w:val="hybridMultilevel"/>
    <w:tmpl w:val="B24C7B84"/>
    <w:lvl w:ilvl="0" w:tplc="B458331A">
      <w:start w:val="1"/>
      <w:numFmt w:val="decimal"/>
      <w:lvlText w:val="%1."/>
      <w:lvlJc w:val="left"/>
      <w:pPr>
        <w:ind w:left="432" w:hanging="360"/>
      </w:pPr>
      <w:rPr>
        <w:rFonts w:hint="default"/>
      </w:rPr>
    </w:lvl>
    <w:lvl w:ilvl="1" w:tplc="40090019" w:tentative="1">
      <w:start w:val="1"/>
      <w:numFmt w:val="lowerLetter"/>
      <w:lvlText w:val="%2."/>
      <w:lvlJc w:val="left"/>
      <w:pPr>
        <w:ind w:left="1152" w:hanging="360"/>
      </w:pPr>
    </w:lvl>
    <w:lvl w:ilvl="2" w:tplc="4009001B" w:tentative="1">
      <w:start w:val="1"/>
      <w:numFmt w:val="lowerRoman"/>
      <w:lvlText w:val="%3."/>
      <w:lvlJc w:val="right"/>
      <w:pPr>
        <w:ind w:left="1872" w:hanging="180"/>
      </w:pPr>
    </w:lvl>
    <w:lvl w:ilvl="3" w:tplc="4009000F" w:tentative="1">
      <w:start w:val="1"/>
      <w:numFmt w:val="decimal"/>
      <w:lvlText w:val="%4."/>
      <w:lvlJc w:val="left"/>
      <w:pPr>
        <w:ind w:left="2592" w:hanging="360"/>
      </w:pPr>
    </w:lvl>
    <w:lvl w:ilvl="4" w:tplc="40090019" w:tentative="1">
      <w:start w:val="1"/>
      <w:numFmt w:val="lowerLetter"/>
      <w:lvlText w:val="%5."/>
      <w:lvlJc w:val="left"/>
      <w:pPr>
        <w:ind w:left="3312" w:hanging="360"/>
      </w:pPr>
    </w:lvl>
    <w:lvl w:ilvl="5" w:tplc="4009001B" w:tentative="1">
      <w:start w:val="1"/>
      <w:numFmt w:val="lowerRoman"/>
      <w:lvlText w:val="%6."/>
      <w:lvlJc w:val="right"/>
      <w:pPr>
        <w:ind w:left="4032" w:hanging="180"/>
      </w:pPr>
    </w:lvl>
    <w:lvl w:ilvl="6" w:tplc="4009000F" w:tentative="1">
      <w:start w:val="1"/>
      <w:numFmt w:val="decimal"/>
      <w:lvlText w:val="%7."/>
      <w:lvlJc w:val="left"/>
      <w:pPr>
        <w:ind w:left="4752" w:hanging="360"/>
      </w:pPr>
    </w:lvl>
    <w:lvl w:ilvl="7" w:tplc="40090019" w:tentative="1">
      <w:start w:val="1"/>
      <w:numFmt w:val="lowerLetter"/>
      <w:lvlText w:val="%8."/>
      <w:lvlJc w:val="left"/>
      <w:pPr>
        <w:ind w:left="5472" w:hanging="360"/>
      </w:pPr>
    </w:lvl>
    <w:lvl w:ilvl="8" w:tplc="4009001B" w:tentative="1">
      <w:start w:val="1"/>
      <w:numFmt w:val="lowerRoman"/>
      <w:lvlText w:val="%9."/>
      <w:lvlJc w:val="right"/>
      <w:pPr>
        <w:ind w:left="6192" w:hanging="180"/>
      </w:pPr>
    </w:lvl>
  </w:abstractNum>
  <w:abstractNum w:abstractNumId="23" w15:restartNumberingAfterBreak="0">
    <w:nsid w:val="72B7283D"/>
    <w:multiLevelType w:val="multilevel"/>
    <w:tmpl w:val="D6B8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D23DEE"/>
    <w:multiLevelType w:val="hybridMultilevel"/>
    <w:tmpl w:val="2B2A6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4FC4198"/>
    <w:multiLevelType w:val="multilevel"/>
    <w:tmpl w:val="5EAA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8B4CD0"/>
    <w:multiLevelType w:val="hybridMultilevel"/>
    <w:tmpl w:val="3F48F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16634383">
    <w:abstractNumId w:val="14"/>
  </w:num>
  <w:num w:numId="2" w16cid:durableId="2025982705">
    <w:abstractNumId w:val="21"/>
  </w:num>
  <w:num w:numId="3" w16cid:durableId="611206115">
    <w:abstractNumId w:val="6"/>
  </w:num>
  <w:num w:numId="4" w16cid:durableId="338241680">
    <w:abstractNumId w:val="20"/>
  </w:num>
  <w:num w:numId="5" w16cid:durableId="306515391">
    <w:abstractNumId w:val="26"/>
  </w:num>
  <w:num w:numId="6" w16cid:durableId="1288973610">
    <w:abstractNumId w:val="22"/>
  </w:num>
  <w:num w:numId="7" w16cid:durableId="2014841209">
    <w:abstractNumId w:val="1"/>
  </w:num>
  <w:num w:numId="8" w16cid:durableId="96605796">
    <w:abstractNumId w:val="2"/>
  </w:num>
  <w:num w:numId="9" w16cid:durableId="206842938">
    <w:abstractNumId w:val="8"/>
  </w:num>
  <w:num w:numId="10" w16cid:durableId="965086541">
    <w:abstractNumId w:val="18"/>
  </w:num>
  <w:num w:numId="11" w16cid:durableId="177278479">
    <w:abstractNumId w:val="25"/>
  </w:num>
  <w:num w:numId="12" w16cid:durableId="990407108">
    <w:abstractNumId w:val="5"/>
  </w:num>
  <w:num w:numId="13" w16cid:durableId="1468937254">
    <w:abstractNumId w:val="15"/>
  </w:num>
  <w:num w:numId="14" w16cid:durableId="1821921892">
    <w:abstractNumId w:val="4"/>
  </w:num>
  <w:num w:numId="15" w16cid:durableId="1909221862">
    <w:abstractNumId w:val="13"/>
  </w:num>
  <w:num w:numId="16" w16cid:durableId="1302690943">
    <w:abstractNumId w:val="23"/>
  </w:num>
  <w:num w:numId="17" w16cid:durableId="389185094">
    <w:abstractNumId w:val="10"/>
  </w:num>
  <w:num w:numId="18" w16cid:durableId="1165631512">
    <w:abstractNumId w:val="0"/>
  </w:num>
  <w:num w:numId="19" w16cid:durableId="418789910">
    <w:abstractNumId w:val="7"/>
  </w:num>
  <w:num w:numId="20" w16cid:durableId="1628656834">
    <w:abstractNumId w:val="19"/>
  </w:num>
  <w:num w:numId="21" w16cid:durableId="43527914">
    <w:abstractNumId w:val="3"/>
  </w:num>
  <w:num w:numId="22" w16cid:durableId="681511962">
    <w:abstractNumId w:val="24"/>
  </w:num>
  <w:num w:numId="23" w16cid:durableId="398023169">
    <w:abstractNumId w:val="12"/>
  </w:num>
  <w:num w:numId="24" w16cid:durableId="1898008532">
    <w:abstractNumId w:val="16"/>
  </w:num>
  <w:num w:numId="25" w16cid:durableId="2127919851">
    <w:abstractNumId w:val="17"/>
  </w:num>
  <w:num w:numId="26" w16cid:durableId="497422370">
    <w:abstractNumId w:val="9"/>
  </w:num>
  <w:num w:numId="27" w16cid:durableId="13944281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455"/>
    <w:rsid w:val="000232CE"/>
    <w:rsid w:val="00080970"/>
    <w:rsid w:val="000E0A08"/>
    <w:rsid w:val="00104134"/>
    <w:rsid w:val="00133742"/>
    <w:rsid w:val="00137D46"/>
    <w:rsid w:val="001B5397"/>
    <w:rsid w:val="001C41C1"/>
    <w:rsid w:val="001E3B27"/>
    <w:rsid w:val="0020229E"/>
    <w:rsid w:val="00233778"/>
    <w:rsid w:val="00286E57"/>
    <w:rsid w:val="003B4489"/>
    <w:rsid w:val="00407620"/>
    <w:rsid w:val="00485005"/>
    <w:rsid w:val="004C5D15"/>
    <w:rsid w:val="004E4A31"/>
    <w:rsid w:val="004F69BA"/>
    <w:rsid w:val="0051269A"/>
    <w:rsid w:val="005332E4"/>
    <w:rsid w:val="00556C92"/>
    <w:rsid w:val="005B5F99"/>
    <w:rsid w:val="005D3233"/>
    <w:rsid w:val="005F6026"/>
    <w:rsid w:val="00616429"/>
    <w:rsid w:val="006369D8"/>
    <w:rsid w:val="00684797"/>
    <w:rsid w:val="00721455"/>
    <w:rsid w:val="00794A75"/>
    <w:rsid w:val="007A0380"/>
    <w:rsid w:val="007C7285"/>
    <w:rsid w:val="0089265A"/>
    <w:rsid w:val="008B1595"/>
    <w:rsid w:val="008B52DD"/>
    <w:rsid w:val="008D686B"/>
    <w:rsid w:val="008E09B0"/>
    <w:rsid w:val="008E2276"/>
    <w:rsid w:val="009357C1"/>
    <w:rsid w:val="00974704"/>
    <w:rsid w:val="009E6358"/>
    <w:rsid w:val="00A45660"/>
    <w:rsid w:val="00A47379"/>
    <w:rsid w:val="00A50ABD"/>
    <w:rsid w:val="00A95724"/>
    <w:rsid w:val="00AE380E"/>
    <w:rsid w:val="00AE592A"/>
    <w:rsid w:val="00B10A2C"/>
    <w:rsid w:val="00B4204D"/>
    <w:rsid w:val="00B62AFC"/>
    <w:rsid w:val="00BB1284"/>
    <w:rsid w:val="00C43889"/>
    <w:rsid w:val="00C45CDA"/>
    <w:rsid w:val="00C57603"/>
    <w:rsid w:val="00C7563B"/>
    <w:rsid w:val="00CC29DA"/>
    <w:rsid w:val="00D53DCF"/>
    <w:rsid w:val="00DB61C6"/>
    <w:rsid w:val="00DC2CA6"/>
    <w:rsid w:val="00DC3CBB"/>
    <w:rsid w:val="00DE1E8C"/>
    <w:rsid w:val="00DF120E"/>
    <w:rsid w:val="00EC517F"/>
    <w:rsid w:val="00EF744D"/>
    <w:rsid w:val="00F15861"/>
    <w:rsid w:val="00F52805"/>
    <w:rsid w:val="00F70BF1"/>
    <w:rsid w:val="00F73A15"/>
    <w:rsid w:val="00FF0E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91123"/>
  <w15:chartTrackingRefBased/>
  <w15:docId w15:val="{6B104A8D-56D2-4035-BA75-3F210EDC9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455"/>
    <w:rPr>
      <w:rFonts w:ascii="Arial" w:hAnsi="Arial"/>
      <w:lang w:val="en-GB"/>
    </w:rPr>
  </w:style>
  <w:style w:type="paragraph" w:styleId="Heading1">
    <w:name w:val="heading 1"/>
    <w:basedOn w:val="Normal"/>
    <w:next w:val="Normal"/>
    <w:link w:val="Heading1Char"/>
    <w:uiPriority w:val="9"/>
    <w:qFormat/>
    <w:rsid w:val="00721455"/>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721455"/>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721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2CA6"/>
    <w:pPr>
      <w:spacing w:after="8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DC2CA6"/>
    <w:rPr>
      <w:rFonts w:ascii="Arial" w:eastAsiaTheme="majorEastAsia" w:hAnsi="Arial" w:cstheme="majorBidi"/>
      <w:b/>
      <w:spacing w:val="-10"/>
      <w:kern w:val="28"/>
      <w:sz w:val="32"/>
      <w:szCs w:val="56"/>
      <w:lang w:val="en-GB"/>
    </w:rPr>
  </w:style>
  <w:style w:type="character" w:customStyle="1" w:styleId="Heading1Char">
    <w:name w:val="Heading 1 Char"/>
    <w:basedOn w:val="DefaultParagraphFont"/>
    <w:link w:val="Heading1"/>
    <w:uiPriority w:val="9"/>
    <w:rsid w:val="00721455"/>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721455"/>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72145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2145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2145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2145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2145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2145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21455"/>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721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45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21455"/>
    <w:pPr>
      <w:spacing w:before="160"/>
      <w:jc w:val="center"/>
    </w:pPr>
    <w:rPr>
      <w:i/>
      <w:iCs/>
      <w:color w:val="404040" w:themeColor="text1" w:themeTint="BF"/>
    </w:rPr>
  </w:style>
  <w:style w:type="character" w:customStyle="1" w:styleId="QuoteChar">
    <w:name w:val="Quote Char"/>
    <w:basedOn w:val="DefaultParagraphFont"/>
    <w:link w:val="Quote"/>
    <w:uiPriority w:val="29"/>
    <w:rsid w:val="00721455"/>
    <w:rPr>
      <w:i/>
      <w:iCs/>
      <w:color w:val="404040" w:themeColor="text1" w:themeTint="BF"/>
      <w:lang w:val="en-GB"/>
    </w:rPr>
  </w:style>
  <w:style w:type="paragraph" w:styleId="ListParagraph">
    <w:name w:val="List Paragraph"/>
    <w:basedOn w:val="Normal"/>
    <w:uiPriority w:val="34"/>
    <w:qFormat/>
    <w:rsid w:val="00721455"/>
    <w:pPr>
      <w:ind w:left="720"/>
      <w:contextualSpacing/>
    </w:pPr>
  </w:style>
  <w:style w:type="character" w:styleId="IntenseEmphasis">
    <w:name w:val="Intense Emphasis"/>
    <w:basedOn w:val="DefaultParagraphFont"/>
    <w:uiPriority w:val="21"/>
    <w:qFormat/>
    <w:rsid w:val="00721455"/>
    <w:rPr>
      <w:i/>
      <w:iCs/>
      <w:color w:val="0F4761" w:themeColor="accent1" w:themeShade="BF"/>
    </w:rPr>
  </w:style>
  <w:style w:type="paragraph" w:styleId="IntenseQuote">
    <w:name w:val="Intense Quote"/>
    <w:basedOn w:val="Normal"/>
    <w:next w:val="Normal"/>
    <w:link w:val="IntenseQuoteChar"/>
    <w:uiPriority w:val="30"/>
    <w:qFormat/>
    <w:rsid w:val="00721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455"/>
    <w:rPr>
      <w:i/>
      <w:iCs/>
      <w:color w:val="0F4761" w:themeColor="accent1" w:themeShade="BF"/>
      <w:lang w:val="en-GB"/>
    </w:rPr>
  </w:style>
  <w:style w:type="character" w:styleId="IntenseReference">
    <w:name w:val="Intense Reference"/>
    <w:basedOn w:val="DefaultParagraphFont"/>
    <w:uiPriority w:val="32"/>
    <w:qFormat/>
    <w:rsid w:val="00721455"/>
    <w:rPr>
      <w:b/>
      <w:bCs/>
      <w:smallCaps/>
      <w:color w:val="0F4761" w:themeColor="accent1" w:themeShade="BF"/>
      <w:spacing w:val="5"/>
    </w:rPr>
  </w:style>
  <w:style w:type="table" w:styleId="TableGrid">
    <w:name w:val="Table Grid"/>
    <w:basedOn w:val="TableNormal"/>
    <w:uiPriority w:val="39"/>
    <w:rsid w:val="00DB6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B61C6"/>
    <w:pPr>
      <w:spacing w:after="0" w:line="240" w:lineRule="auto"/>
    </w:pPr>
    <w:rPr>
      <w:rFonts w:ascii="Arial" w:hAnsi="Arial"/>
      <w:lang w:val="en-GB"/>
    </w:rPr>
  </w:style>
  <w:style w:type="paragraph" w:styleId="BodyText">
    <w:name w:val="Body Text"/>
    <w:basedOn w:val="Normal"/>
    <w:link w:val="BodyTextChar"/>
    <w:qFormat/>
    <w:rsid w:val="008E09B0"/>
    <w:pPr>
      <w:spacing w:before="180" w:after="180" w:line="240" w:lineRule="auto"/>
    </w:pPr>
    <w:rPr>
      <w:rFonts w:asciiTheme="minorHAnsi" w:hAnsiTheme="minorHAnsi"/>
      <w:kern w:val="0"/>
      <w:lang w:val="en-US"/>
      <w14:ligatures w14:val="none"/>
    </w:rPr>
  </w:style>
  <w:style w:type="character" w:customStyle="1" w:styleId="BodyTextChar">
    <w:name w:val="Body Text Char"/>
    <w:basedOn w:val="DefaultParagraphFont"/>
    <w:link w:val="BodyText"/>
    <w:rsid w:val="008E09B0"/>
    <w:rPr>
      <w:kern w:val="0"/>
      <w:lang w:val="en-US"/>
      <w14:ligatures w14:val="none"/>
    </w:rPr>
  </w:style>
  <w:style w:type="paragraph" w:customStyle="1" w:styleId="FirstParagraph">
    <w:name w:val="First Paragraph"/>
    <w:basedOn w:val="BodyText"/>
    <w:next w:val="BodyText"/>
    <w:qFormat/>
    <w:rsid w:val="008E09B0"/>
  </w:style>
  <w:style w:type="character" w:styleId="Strong">
    <w:name w:val="Strong"/>
    <w:basedOn w:val="DefaultParagraphFont"/>
    <w:uiPriority w:val="22"/>
    <w:qFormat/>
    <w:rsid w:val="005F6026"/>
    <w:rPr>
      <w:b/>
      <w:bCs/>
    </w:rPr>
  </w:style>
  <w:style w:type="character" w:styleId="Hyperlink">
    <w:name w:val="Hyperlink"/>
    <w:basedOn w:val="DefaultParagraphFont"/>
    <w:uiPriority w:val="99"/>
    <w:unhideWhenUsed/>
    <w:rsid w:val="00F70BF1"/>
    <w:rPr>
      <w:color w:val="467886" w:themeColor="hyperlink"/>
      <w:u w:val="single"/>
    </w:rPr>
  </w:style>
  <w:style w:type="character" w:styleId="UnresolvedMention">
    <w:name w:val="Unresolved Mention"/>
    <w:basedOn w:val="DefaultParagraphFont"/>
    <w:uiPriority w:val="99"/>
    <w:semiHidden/>
    <w:unhideWhenUsed/>
    <w:rsid w:val="0020229E"/>
    <w:rPr>
      <w:color w:val="605E5C"/>
      <w:shd w:val="clear" w:color="auto" w:fill="E1DFDD"/>
    </w:rPr>
  </w:style>
  <w:style w:type="paragraph" w:styleId="TOCHeading">
    <w:name w:val="TOC Heading"/>
    <w:basedOn w:val="Heading1"/>
    <w:next w:val="Normal"/>
    <w:uiPriority w:val="39"/>
    <w:unhideWhenUsed/>
    <w:qFormat/>
    <w:rsid w:val="006369D8"/>
    <w:pPr>
      <w:spacing w:before="480" w:after="0" w:line="276" w:lineRule="auto"/>
      <w:outlineLvl w:val="9"/>
    </w:pPr>
    <w:rPr>
      <w:b w:val="0"/>
      <w:bCs/>
      <w:color w:val="auto"/>
      <w:kern w:val="0"/>
      <w:szCs w:val="28"/>
      <w:lang w:val="en-US"/>
      <w14:ligatures w14:val="none"/>
    </w:rPr>
  </w:style>
  <w:style w:type="paragraph" w:styleId="Header">
    <w:name w:val="header"/>
    <w:basedOn w:val="Normal"/>
    <w:link w:val="HeaderChar"/>
    <w:uiPriority w:val="99"/>
    <w:unhideWhenUsed/>
    <w:rsid w:val="005B5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F99"/>
    <w:rPr>
      <w:rFonts w:ascii="Arial" w:hAnsi="Arial"/>
      <w:lang w:val="en-GB"/>
    </w:rPr>
  </w:style>
  <w:style w:type="paragraph" w:styleId="Footer">
    <w:name w:val="footer"/>
    <w:basedOn w:val="Normal"/>
    <w:link w:val="FooterChar"/>
    <w:uiPriority w:val="99"/>
    <w:unhideWhenUsed/>
    <w:rsid w:val="005B5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F99"/>
    <w:rPr>
      <w:rFonts w:ascii="Arial" w:hAnsi="Arial"/>
      <w:lang w:val="en-GB"/>
    </w:rPr>
  </w:style>
  <w:style w:type="paragraph" w:styleId="TOC1">
    <w:name w:val="toc 1"/>
    <w:basedOn w:val="Normal"/>
    <w:next w:val="Normal"/>
    <w:autoRedefine/>
    <w:uiPriority w:val="39"/>
    <w:unhideWhenUsed/>
    <w:rsid w:val="00B62AFC"/>
    <w:pPr>
      <w:spacing w:after="100"/>
    </w:pPr>
  </w:style>
  <w:style w:type="paragraph" w:styleId="TOC2">
    <w:name w:val="toc 2"/>
    <w:basedOn w:val="Normal"/>
    <w:next w:val="Normal"/>
    <w:autoRedefine/>
    <w:uiPriority w:val="39"/>
    <w:unhideWhenUsed/>
    <w:rsid w:val="00B62AFC"/>
    <w:pPr>
      <w:spacing w:after="100"/>
      <w:ind w:left="240"/>
    </w:pPr>
  </w:style>
  <w:style w:type="paragraph" w:styleId="TOC3">
    <w:name w:val="toc 3"/>
    <w:basedOn w:val="Normal"/>
    <w:next w:val="Normal"/>
    <w:autoRedefine/>
    <w:uiPriority w:val="39"/>
    <w:unhideWhenUsed/>
    <w:rsid w:val="00B62AFC"/>
    <w:pPr>
      <w:spacing w:after="100"/>
      <w:ind w:left="480"/>
    </w:pPr>
  </w:style>
  <w:style w:type="paragraph" w:styleId="TOC4">
    <w:name w:val="toc 4"/>
    <w:basedOn w:val="Normal"/>
    <w:next w:val="Normal"/>
    <w:autoRedefine/>
    <w:uiPriority w:val="39"/>
    <w:unhideWhenUsed/>
    <w:rsid w:val="00B62AFC"/>
    <w:pPr>
      <w:spacing w:after="100"/>
      <w:ind w:left="720"/>
    </w:pPr>
    <w:rPr>
      <w:rFonts w:asciiTheme="minorHAnsi" w:eastAsiaTheme="minorEastAsia" w:hAnsiTheme="minorHAnsi"/>
      <w:lang w:val="en-IN" w:eastAsia="en-IN"/>
    </w:rPr>
  </w:style>
  <w:style w:type="paragraph" w:styleId="TOC5">
    <w:name w:val="toc 5"/>
    <w:basedOn w:val="Normal"/>
    <w:next w:val="Normal"/>
    <w:autoRedefine/>
    <w:uiPriority w:val="39"/>
    <w:unhideWhenUsed/>
    <w:rsid w:val="00B62AFC"/>
    <w:pPr>
      <w:spacing w:after="100"/>
      <w:ind w:left="960"/>
    </w:pPr>
    <w:rPr>
      <w:rFonts w:asciiTheme="minorHAnsi" w:eastAsiaTheme="minorEastAsia" w:hAnsiTheme="minorHAnsi"/>
      <w:lang w:val="en-IN" w:eastAsia="en-IN"/>
    </w:rPr>
  </w:style>
  <w:style w:type="paragraph" w:styleId="TOC6">
    <w:name w:val="toc 6"/>
    <w:basedOn w:val="Normal"/>
    <w:next w:val="Normal"/>
    <w:autoRedefine/>
    <w:uiPriority w:val="39"/>
    <w:unhideWhenUsed/>
    <w:rsid w:val="00B62AFC"/>
    <w:pPr>
      <w:spacing w:after="100"/>
      <w:ind w:left="1200"/>
    </w:pPr>
    <w:rPr>
      <w:rFonts w:asciiTheme="minorHAnsi" w:eastAsiaTheme="minorEastAsia" w:hAnsiTheme="minorHAnsi"/>
      <w:lang w:val="en-IN" w:eastAsia="en-IN"/>
    </w:rPr>
  </w:style>
  <w:style w:type="paragraph" w:styleId="TOC7">
    <w:name w:val="toc 7"/>
    <w:basedOn w:val="Normal"/>
    <w:next w:val="Normal"/>
    <w:autoRedefine/>
    <w:uiPriority w:val="39"/>
    <w:unhideWhenUsed/>
    <w:rsid w:val="00B62AFC"/>
    <w:pPr>
      <w:spacing w:after="100"/>
      <w:ind w:left="1440"/>
    </w:pPr>
    <w:rPr>
      <w:rFonts w:asciiTheme="minorHAnsi" w:eastAsiaTheme="minorEastAsia" w:hAnsiTheme="minorHAnsi"/>
      <w:lang w:val="en-IN" w:eastAsia="en-IN"/>
    </w:rPr>
  </w:style>
  <w:style w:type="paragraph" w:styleId="TOC8">
    <w:name w:val="toc 8"/>
    <w:basedOn w:val="Normal"/>
    <w:next w:val="Normal"/>
    <w:autoRedefine/>
    <w:uiPriority w:val="39"/>
    <w:unhideWhenUsed/>
    <w:rsid w:val="00B62AFC"/>
    <w:pPr>
      <w:spacing w:after="100"/>
      <w:ind w:left="1680"/>
    </w:pPr>
    <w:rPr>
      <w:rFonts w:asciiTheme="minorHAnsi" w:eastAsiaTheme="minorEastAsia" w:hAnsiTheme="minorHAnsi"/>
      <w:lang w:val="en-IN" w:eastAsia="en-IN"/>
    </w:rPr>
  </w:style>
  <w:style w:type="paragraph" w:styleId="TOC9">
    <w:name w:val="toc 9"/>
    <w:basedOn w:val="Normal"/>
    <w:next w:val="Normal"/>
    <w:autoRedefine/>
    <w:uiPriority w:val="39"/>
    <w:unhideWhenUsed/>
    <w:rsid w:val="00B62AFC"/>
    <w:pPr>
      <w:spacing w:after="100"/>
      <w:ind w:left="1920"/>
    </w:pPr>
    <w:rPr>
      <w:rFonts w:asciiTheme="minorHAnsi" w:eastAsiaTheme="minorEastAsia" w:hAnsiTheme="minorHAnsi"/>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ldmansachs.com/insights/articles/the-creator-economy-could-approach-half-a-trillion-dollars-by-2027.html" TargetMode="External"/><Relationship Id="rId21" Type="http://schemas.openxmlformats.org/officeDocument/2006/relationships/hyperlink" Target="https://www.pwc.com/gx/en/news-room/press-releases/2024/pwc-global-entertainment-and-media-outlook-2024-28.html" TargetMode="External"/><Relationship Id="rId42" Type="http://schemas.openxmlformats.org/officeDocument/2006/relationships/hyperlink" Target="https://ezproxy.uwtsd.ac.uk/login?url=https://www.vlebooks.com/product/openreader?id=TrinityStD&amp;accId=8886856&amp;isbn=9781292458786&amp;uid=%5eu" TargetMode="External"/><Relationship Id="rId47" Type="http://schemas.openxmlformats.org/officeDocument/2006/relationships/hyperlink" Target="https://iupress.istanbul.edu.tr/en/journal/connectist/article/adapting-porters-five-forces-model-to-digital-streaming-platforms-a-framework-for-the-audiovisual-ecosystem" TargetMode="External"/><Relationship Id="rId63" Type="http://schemas.openxmlformats.org/officeDocument/2006/relationships/hyperlink" Target="https://www.gov.uk/government/publications/data-use-and-access-act-2025-factsheets/data-use-and-access-act-factsheet-uk-gdpr-and-dpa" TargetMode="External"/><Relationship Id="rId68" Type="http://schemas.openxmlformats.org/officeDocument/2006/relationships/hyperlink" Target="https://www.ilo.org/sites/default/files/2025-01/WP_123_web.pdf" TargetMode="External"/><Relationship Id="rId84" Type="http://schemas.openxmlformats.org/officeDocument/2006/relationships/hyperlink" Target="https://docs.aws.amazon.com/solutions/latest/live-streaming-on-aws/architecture-overview.html" TargetMode="External"/><Relationship Id="rId89" Type="http://schemas.openxmlformats.org/officeDocument/2006/relationships/hyperlink" Target="https://kpmg.com/xx/en/our-insights/risk-and-regulation.html" TargetMode="External"/><Relationship Id="rId112" Type="http://schemas.openxmlformats.org/officeDocument/2006/relationships/hyperlink" Target="https://lucid.app/lucidchart/dfadf7f9-f2c2-4a51-8c6d-82c35d86ae5f/edit?invitationId=inv_7e1e2d92-70eb-4c74-8c42-e76f140e98af" TargetMode="External"/><Relationship Id="rId16" Type="http://schemas.openxmlformats.org/officeDocument/2006/relationships/diagramLayout" Target="diagrams/layout1.xml"/><Relationship Id="rId107" Type="http://schemas.openxmlformats.org/officeDocument/2006/relationships/diagramData" Target="diagrams/data2.xml"/><Relationship Id="rId11" Type="http://schemas.openxmlformats.org/officeDocument/2006/relationships/image" Target="media/image4.png"/><Relationship Id="rId32" Type="http://schemas.openxmlformats.org/officeDocument/2006/relationships/hyperlink" Target="https://www.hbs.edu/ris/Publication%20Files/25-037_f4860e53-5563-4f46-a998-f88b9ae4eeb0.pdf" TargetMode="External"/><Relationship Id="rId37" Type="http://schemas.openxmlformats.org/officeDocument/2006/relationships/hyperlink" Target="https://www.ey.com/en_us/insights/media-entertainment/2026-media-and-entertainment-trends-simplicity-authenticity-and-the-rise-of-experiences" TargetMode="External"/><Relationship Id="rId53" Type="http://schemas.openxmlformats.org/officeDocument/2006/relationships/hyperlink" Target="https://www.pwc.com" TargetMode="External"/><Relationship Id="rId58" Type="http://schemas.openxmlformats.org/officeDocument/2006/relationships/hyperlink" Target="https://www.deloittedigital.com/us/en/insights/research/state-of-social-research-2025.html" TargetMode="External"/><Relationship Id="rId74" Type="http://schemas.openxmlformats.org/officeDocument/2006/relationships/hyperlink" Target="https://www.naceweb.org/talent-acquisition/trends-and-predictions/impacts-of-experiential-learning-on-the-gen-z-early-career-experience" TargetMode="External"/><Relationship Id="rId79" Type="http://schemas.openxmlformats.org/officeDocument/2006/relationships/hyperlink" Target="https://www.hubspot.com/state-of-marketing" TargetMode="External"/><Relationship Id="rId102" Type="http://schemas.openxmlformats.org/officeDocument/2006/relationships/hyperlink" Target="https://www.deloitte.com/global/en/about/press-room/2026-tmt-predictions.html" TargetMode="External"/><Relationship Id="rId5" Type="http://schemas.openxmlformats.org/officeDocument/2006/relationships/webSettings" Target="webSettings.xml"/><Relationship Id="rId90" Type="http://schemas.openxmlformats.org/officeDocument/2006/relationships/hyperlink" Target="https://www.mckinsey.com/industries/technology-media-and-telecommunications/our-insights/upgrading-software-business-models-to-thrive-in-the-ai-era" TargetMode="External"/><Relationship Id="rId95" Type="http://schemas.openxmlformats.org/officeDocument/2006/relationships/hyperlink" Target="https://kpmg.com/sg/en/insights/cyber/the-intelligent-age-requires-a-rethink-of-the-three-lines-of-defence-model.html" TargetMode="External"/><Relationship Id="rId22" Type="http://schemas.openxmlformats.org/officeDocument/2006/relationships/hyperlink" Target="https://www.ifpi.org/wp-content/uploads/2024/03/GMR2025_SOTI.pdf" TargetMode="External"/><Relationship Id="rId27" Type="http://schemas.openxmlformats.org/officeDocument/2006/relationships/hyperlink" Target="https://www.gov.uk/government/publications/uks-digital-strategy/uk-digital-strategy" TargetMode="External"/><Relationship Id="rId43" Type="http://schemas.openxmlformats.org/officeDocument/2006/relationships/hyperlink" Target="https://www.mckinsey.com/capabilities/growth-marketing-and-sales/our-insights/next-best-experience-how-ai-can-power-every-customer-interaction" TargetMode="External"/><Relationship Id="rId48" Type="http://schemas.openxmlformats.org/officeDocument/2006/relationships/hyperlink" Target="https://www.gov.uk/government/publications/intellectual-property-office-corporate-plan-2025-to-2026/intellectual-property-office-corporate-plan-2025-to-2026" TargetMode="External"/><Relationship Id="rId64" Type="http://schemas.openxmlformats.org/officeDocument/2006/relationships/hyperlink" Target="https://www.prsformusic.com/-/media/files/prs-for-music/licensing/online-licensing/digital-music-licences--standard-terms--conditions.pdf" TargetMode="External"/><Relationship Id="rId69" Type="http://schemas.openxmlformats.org/officeDocument/2006/relationships/hyperlink" Target="https://www.harvardbusiness.org/insight/the-fluid-future-of-work-rethinking-roles-in-the-age-of-intelligent-machines/" TargetMode="External"/><Relationship Id="rId113" Type="http://schemas.openxmlformats.org/officeDocument/2006/relationships/footer" Target="footer1.xml"/><Relationship Id="rId80" Type="http://schemas.openxmlformats.org/officeDocument/2006/relationships/hyperlink" Target="https://www.pwc.com/gx/en/issues/business-model-reinvention/outlook/insights-and-perspectives.html" TargetMode="External"/><Relationship Id="rId85" Type="http://schemas.openxmlformats.org/officeDocument/2006/relationships/hyperlink" Target="https://www.cbinsights.com/" TargetMode="External"/><Relationship Id="rId12" Type="http://schemas.openxmlformats.org/officeDocument/2006/relationships/image" Target="media/image5.png"/><Relationship Id="rId17" Type="http://schemas.openxmlformats.org/officeDocument/2006/relationships/diagramQuickStyle" Target="diagrams/quickStyle1.xml"/><Relationship Id="rId33" Type="http://schemas.openxmlformats.org/officeDocument/2006/relationships/hyperlink" Target="https://www.grandviewresearch.com/industry-analysis/music-streaming-market/dashboard" TargetMode="External"/><Relationship Id="rId38" Type="http://schemas.openxmlformats.org/officeDocument/2006/relationships/hyperlink" Target="https://www.pwc.com/us/en/industries/tmt/library/global-entertainment-media-outlook.html" TargetMode="External"/><Relationship Id="rId59" Type="http://schemas.openxmlformats.org/officeDocument/2006/relationships/hyperlink" Target="https://tecnoscientifica.com/journal/jdmc/article/view/311" TargetMode="External"/><Relationship Id="rId103" Type="http://schemas.openxmlformats.org/officeDocument/2006/relationships/hyperlink" Target="https://www.goldmansachs.com/insights/articles/global-music-revenues-are-forecast-to-double-to-200-million-in-2035" TargetMode="External"/><Relationship Id="rId108" Type="http://schemas.openxmlformats.org/officeDocument/2006/relationships/diagramLayout" Target="diagrams/layout2.xml"/><Relationship Id="rId54" Type="http://schemas.openxmlformats.org/officeDocument/2006/relationships/hyperlink" Target="https://www.statista.com" TargetMode="External"/><Relationship Id="rId70" Type="http://schemas.openxmlformats.org/officeDocument/2006/relationships/hyperlink" Target="https://www.bcg.com/publications/2024/what-consumers-want-from-personalization" TargetMode="External"/><Relationship Id="rId75" Type="http://schemas.openxmlformats.org/officeDocument/2006/relationships/hyperlink" Target="https://www.pwc.com/gx/en/issues/technology/beyond-automation.html" TargetMode="External"/><Relationship Id="rId91" Type="http://schemas.openxmlformats.org/officeDocument/2006/relationships/hyperlink" Target="https://www.goldmansachs.com/insights/articles/global-music-revenues-are-forecast-to-double-to-200-million-in-2035" TargetMode="External"/><Relationship Id="rId96" Type="http://schemas.openxmlformats.org/officeDocument/2006/relationships/hyperlink" Target="https://www.ey.com/en_gl/value-realized-annual-repor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www.techsciresearch.com/report/live-streaming-market/14597.html" TargetMode="External"/><Relationship Id="rId28" Type="http://schemas.openxmlformats.org/officeDocument/2006/relationships/hyperlink" Target="https://assets.publishing.service.gov.uk/media/64898de2b32b9e000ca96712/Creative_Industries_Sector_Vision__accessible_version_.pdf" TargetMode="External"/><Relationship Id="rId36" Type="http://schemas.openxmlformats.org/officeDocument/2006/relationships/hyperlink" Target="https://musiccanada.com/news/ifpis-global-music-report-2025-reveals-tenth-consecutive-year-of-growth/" TargetMode="External"/><Relationship Id="rId49" Type="http://schemas.openxmlformats.org/officeDocument/2006/relationships/hyperlink" Target="https://www.deloitte.com" TargetMode="External"/><Relationship Id="rId57" Type="http://schemas.openxmlformats.org/officeDocument/2006/relationships/hyperlink" Target="https://dergipark.org.tr/en/download/article-file/4634668" TargetMode="External"/><Relationship Id="rId106" Type="http://schemas.openxmlformats.org/officeDocument/2006/relationships/hyperlink" Target="https://www.canva.com/design/DAHAMofc0JM/1mZPZsQ8QTjZzoN6MN6GJQ/view?utm_content=DAHAMofc0JM&amp;utm_campaign=designshare&amp;utm_medium=link2&amp;utm_source=uniquelinks&amp;utlId=h719b2c84b7" TargetMode="External"/><Relationship Id="rId114"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linktr.ee/creator-report/" TargetMode="External"/><Relationship Id="rId44" Type="http://schemas.openxmlformats.org/officeDocument/2006/relationships/hyperlink" Target="https://luminatedata.com/blog/new-luminate-music-forecast-spots-budding-fan-trends/" TargetMode="External"/><Relationship Id="rId52" Type="http://schemas.openxmlformats.org/officeDocument/2006/relationships/hyperlink" Target="https://www.marketgrowthreports.com" TargetMode="External"/><Relationship Id="rId60" Type="http://schemas.openxmlformats.org/officeDocument/2006/relationships/hyperlink" Target="https://www.pwc.com/gx/en/issues/business-model-reinvention/outlook/insights-and-perspectives.html" TargetMode="External"/><Relationship Id="rId65" Type="http://schemas.openxmlformats.org/officeDocument/2006/relationships/hyperlink" Target="https://www.cipd.org/uk/knowledge/guides/planning-hybrid-working/" TargetMode="External"/><Relationship Id="rId73" Type="http://schemas.openxmlformats.org/officeDocument/2006/relationships/hyperlink" Target="https://www.naceweb.org/job-market/trends-and-predictions/intern-hiring-is-stable-for-2024" TargetMode="External"/><Relationship Id="rId78" Type="http://schemas.openxmlformats.org/officeDocument/2006/relationships/hyperlink" Target="https://www.gartner.com/en/human-resources/trends/top-priorities-for-hr-leaders" TargetMode="External"/><Relationship Id="rId81" Type="http://schemas.openxmlformats.org/officeDocument/2006/relationships/hyperlink" Target="https://www.ifpi.org" TargetMode="External"/><Relationship Id="rId86" Type="http://schemas.openxmlformats.org/officeDocument/2006/relationships/hyperlink" Target="https://www.gov.uk/government/calls-for-evidence/small-business-access-to-finance/small-business-access-to-finance" TargetMode="External"/><Relationship Id="rId94" Type="http://schemas.openxmlformats.org/officeDocument/2006/relationships/hyperlink" Target="https://www.frc.org.uk/library/standards-codes-policy/corporate-governance/uk-corporate-governance-code/" TargetMode="External"/><Relationship Id="rId99" Type="http://schemas.openxmlformats.org/officeDocument/2006/relationships/hyperlink" Target="https://www.gartner.com/en/information-technology/glossary/portfolio-management" TargetMode="External"/><Relationship Id="rId101" Type="http://schemas.openxmlformats.org/officeDocument/2006/relationships/hyperlink" Target="https://www.ifpi.org"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diagramColors" Target="diagrams/colors1.xml"/><Relationship Id="rId39" Type="http://schemas.openxmlformats.org/officeDocument/2006/relationships/hyperlink" Target="https://www.researchandmarkets.com/reports/5766963/music-streaming-market-report" TargetMode="External"/><Relationship Id="rId109" Type="http://schemas.openxmlformats.org/officeDocument/2006/relationships/diagramQuickStyle" Target="diagrams/quickStyle2.xml"/><Relationship Id="rId34" Type="http://schemas.openxmlformats.org/officeDocument/2006/relationships/hyperlink" Target="https://assets.publishing.service.gov.uk/media/64898de2b32b9e000ca96712/Creative_Industries_Sector_Vision__accessible_version_.pdf" TargetMode="External"/><Relationship Id="rId50" Type="http://schemas.openxmlformats.org/officeDocument/2006/relationships/hyperlink" Target="https://online.hbs.edu" TargetMode="External"/><Relationship Id="rId55" Type="http://schemas.openxmlformats.org/officeDocument/2006/relationships/hyperlink" Target="https://www.gov.uk" TargetMode="External"/><Relationship Id="rId76" Type="http://schemas.openxmlformats.org/officeDocument/2006/relationships/hyperlink" Target="https://worldatwork.org/tools/category/total-rewards" TargetMode="External"/><Relationship Id="rId97" Type="http://schemas.openxmlformats.org/officeDocument/2006/relationships/hyperlink" Target="https://www.gov.uk/government/collections/online-safety-act" TargetMode="External"/><Relationship Id="rId104" Type="http://schemas.openxmlformats.org/officeDocument/2006/relationships/hyperlink" Target="https://www.gov.uk/government/publications/uks-digital-strategy/uk-digital-strategy" TargetMode="External"/><Relationship Id="rId7" Type="http://schemas.openxmlformats.org/officeDocument/2006/relationships/endnotes" Target="endnotes.xml"/><Relationship Id="rId71" Type="http://schemas.openxmlformats.org/officeDocument/2006/relationships/hyperlink" Target="https://www.wipo.int/export/sites/www/cooperation/en/docs/digital-music-landscape.pdf" TargetMode="External"/><Relationship Id="rId92" Type="http://schemas.openxmlformats.org/officeDocument/2006/relationships/hyperlink" Target="https://www.weforum.org/publications/global-cybersecurity-outlook-2026/" TargetMode="External"/><Relationship Id="rId2" Type="http://schemas.openxmlformats.org/officeDocument/2006/relationships/numbering" Target="numbering.xml"/><Relationship Id="rId29" Type="http://schemas.openxmlformats.org/officeDocument/2006/relationships/hyperlink" Target="https://www.gov.uk/set-up-limited-company" TargetMode="External"/><Relationship Id="rId24" Type="http://schemas.openxmlformats.org/officeDocument/2006/relationships/hyperlink" Target="https://www.deloitte.com/us/en/insights/industry/technology/digital-media-trends-consumption-habits-survey/2023.html" TargetMode="External"/><Relationship Id="rId40" Type="http://schemas.openxmlformats.org/officeDocument/2006/relationships/hyperlink" Target="https://www.ofcom.org.uk/media-use-and-attitudes/online-habits/online-nation" TargetMode="External"/><Relationship Id="rId45" Type="http://schemas.openxmlformats.org/officeDocument/2006/relationships/hyperlink" Target="https://www.diva-portal.org/smash/record.jsf?pid=diva2%3A1962199&amp;dswid=7998" TargetMode="External"/><Relationship Id="rId66" Type="http://schemas.openxmlformats.org/officeDocument/2006/relationships/hyperlink" Target="https://kpmg.com/xx/en/media/press-releases/2025/09/companies-sees-tangible-business-value-from-esg-assurance.html" TargetMode="External"/><Relationship Id="rId87" Type="http://schemas.openxmlformats.org/officeDocument/2006/relationships/hyperlink" Target="https://www.oecd.org" TargetMode="External"/><Relationship Id="rId110" Type="http://schemas.openxmlformats.org/officeDocument/2006/relationships/diagramColors" Target="diagrams/colors2.xml"/><Relationship Id="rId115" Type="http://schemas.openxmlformats.org/officeDocument/2006/relationships/theme" Target="theme/theme1.xml"/><Relationship Id="rId61" Type="http://schemas.openxmlformats.org/officeDocument/2006/relationships/hyperlink" Target="https://www.vwv.co.uk/insights/articles/ai-and-copyright-updates-from-the-data-use-and-access-act-2025-progress-statement/" TargetMode="External"/><Relationship Id="rId82" Type="http://schemas.openxmlformats.org/officeDocument/2006/relationships/hyperlink" Target="https://www.grandviewresearch.com/industry-analysis/live-streaming-market-report" TargetMode="External"/><Relationship Id="rId19" Type="http://schemas.microsoft.com/office/2007/relationships/diagramDrawing" Target="diagrams/drawing1.xml"/><Relationship Id="rId14" Type="http://schemas.openxmlformats.org/officeDocument/2006/relationships/image" Target="media/image7.png"/><Relationship Id="rId30" Type="http://schemas.openxmlformats.org/officeDocument/2006/relationships/hyperlink" Target="https://www.ifpi.org/wp-content/uploads/2024/03/GMR2025_SOTI.pdf" TargetMode="External"/><Relationship Id="rId35" Type="http://schemas.openxmlformats.org/officeDocument/2006/relationships/hyperlink" Target="https://ico.org.uk/for-organisations/uk-gdpr-guidance-and-resources/exemptions/a-guide-to-the-data-protection-exemptions/" TargetMode="External"/><Relationship Id="rId56" Type="http://schemas.openxmlformats.org/officeDocument/2006/relationships/hyperlink" Target="https://dropship-spy.com/blog/2025-digital-media-trends-how-e-commerce-entrepreneurs-can-leverage-the-new-entertainment-landscape" TargetMode="External"/><Relationship Id="rId77" Type="http://schemas.openxmlformats.org/officeDocument/2006/relationships/hyperlink" Target="https://www.deloitte.com/global/en/issues/work/genz-millennial-survey.html" TargetMode="External"/><Relationship Id="rId100" Type="http://schemas.openxmlformats.org/officeDocument/2006/relationships/hyperlink" Target="https://www.pwc.com/gx/en/issues/business-model-reinvention/outlook/insights-and-perspectives.html" TargetMode="External"/><Relationship Id="rId105" Type="http://schemas.openxmlformats.org/officeDocument/2006/relationships/hyperlink" Target="https://www.canva.com/design/DAHAL7REk-0/QeeM-ISQBfQwGeiLzDHQqQ/view?utm_content=DAHAL7REk-0&amp;utm_campaign=designshare&amp;utm_medium=link2&amp;utm_source=uniquelinks&amp;utlId=hf1b26e1814" TargetMode="External"/><Relationship Id="rId8" Type="http://schemas.openxmlformats.org/officeDocument/2006/relationships/image" Target="media/image1.jpeg"/><Relationship Id="rId51" Type="http://schemas.openxmlformats.org/officeDocument/2006/relationships/hyperlink" Target="https://www.ifpi.org" TargetMode="External"/><Relationship Id="rId72" Type="http://schemas.openxmlformats.org/officeDocument/2006/relationships/hyperlink" Target="https://www.cipd.org/en/get-involved/event-resources/fow-2025-digital-transformation-future-people-profession/" TargetMode="External"/><Relationship Id="rId93" Type="http://schemas.openxmlformats.org/officeDocument/2006/relationships/hyperlink" Target="https://www.iso.org/publication/PUB100464.html" TargetMode="External"/><Relationship Id="rId98" Type="http://schemas.openxmlformats.org/officeDocument/2006/relationships/hyperlink" Target="https://www.pwc.com/gx/en/services/deals/trends/telecommunications-media-technology.html" TargetMode="External"/><Relationship Id="rId3" Type="http://schemas.openxmlformats.org/officeDocument/2006/relationships/styles" Target="styles.xml"/><Relationship Id="rId25" Type="http://schemas.openxmlformats.org/officeDocument/2006/relationships/hyperlink" Target="https://www.grandviewresearch.com/industry-analysis/music-streaming-market" TargetMode="External"/><Relationship Id="rId46" Type="http://schemas.openxmlformats.org/officeDocument/2006/relationships/hyperlink" Target="https://www.alixpartners.com/insights/media-entertainment-industry-predictions-report-2026" TargetMode="External"/><Relationship Id="rId67" Type="http://schemas.openxmlformats.org/officeDocument/2006/relationships/hyperlink" Target="https://www.deloitte.com/us/en/insights/topics/talent/human-capital-trends.html" TargetMode="External"/><Relationship Id="rId20" Type="http://schemas.openxmlformats.org/officeDocument/2006/relationships/image" Target="media/image8.png"/><Relationship Id="rId41" Type="http://schemas.openxmlformats.org/officeDocument/2006/relationships/hyperlink" Target="https://www.gwi.com/blog/streaming-trends-and-stats" TargetMode="External"/><Relationship Id="rId62" Type="http://schemas.openxmlformats.org/officeDocument/2006/relationships/hyperlink" Target="https://www.deloitte.com/us/en/insights/topics/talent/human-capital-trends.html" TargetMode="External"/><Relationship Id="rId83" Type="http://schemas.openxmlformats.org/officeDocument/2006/relationships/hyperlink" Target="https://www.coso.org/" TargetMode="External"/><Relationship Id="rId88" Type="http://schemas.openxmlformats.org/officeDocument/2006/relationships/hyperlink" Target="https://www.statista.com/statistics/587216/music-streaming-revenue/" TargetMode="External"/><Relationship Id="rId111"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4EB62D-B2AA-4497-A98D-B79466BC153B}"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IN"/>
        </a:p>
      </dgm:t>
    </dgm:pt>
    <dgm:pt modelId="{90447459-DE6D-4F16-BF32-6E1C79DAE057}">
      <dgm:prSet phldrT="[Text]"/>
      <dgm:spPr/>
      <dgm:t>
        <a:bodyPr/>
        <a:lstStyle/>
        <a:p>
          <a:pPr>
            <a:buNone/>
          </a:pPr>
          <a:r>
            <a:rPr lang="en-IN"/>
            <a:t>System Monitoring &amp; Performance Metrics</a:t>
          </a:r>
        </a:p>
        <a:p>
          <a:pPr>
            <a:buNone/>
          </a:pPr>
          <a:endParaRPr lang="en-IN"/>
        </a:p>
      </dgm:t>
    </dgm:pt>
    <dgm:pt modelId="{9AFFA4D5-C80E-4CEA-88B7-272ECE651D51}" type="parTrans" cxnId="{E7938DCD-D076-4E84-A703-03986E706691}">
      <dgm:prSet/>
      <dgm:spPr/>
      <dgm:t>
        <a:bodyPr/>
        <a:lstStyle/>
        <a:p>
          <a:endParaRPr lang="en-IN"/>
        </a:p>
      </dgm:t>
    </dgm:pt>
    <dgm:pt modelId="{6B381733-3D6C-4329-BC8D-BC46E1B3E894}" type="sibTrans" cxnId="{E7938DCD-D076-4E84-A703-03986E706691}">
      <dgm:prSet/>
      <dgm:spPr/>
      <dgm:t>
        <a:bodyPr/>
        <a:lstStyle/>
        <a:p>
          <a:endParaRPr lang="en-IN"/>
        </a:p>
      </dgm:t>
    </dgm:pt>
    <dgm:pt modelId="{526A5957-89D5-4149-BD67-70942B513441}">
      <dgm:prSet phldrT="[Text]"/>
      <dgm:spPr/>
      <dgm:t>
        <a:bodyPr/>
        <a:lstStyle/>
        <a:p>
          <a:pPr>
            <a:buNone/>
          </a:pPr>
          <a:r>
            <a:rPr lang="en-IN"/>
            <a:t>User Feedback Collection</a:t>
          </a:r>
        </a:p>
      </dgm:t>
    </dgm:pt>
    <dgm:pt modelId="{AE6AA18D-014B-46EE-8540-76F63AB796C3}" type="parTrans" cxnId="{2038945C-7FA5-43ED-881C-524BDA72FC91}">
      <dgm:prSet/>
      <dgm:spPr/>
      <dgm:t>
        <a:bodyPr/>
        <a:lstStyle/>
        <a:p>
          <a:endParaRPr lang="en-IN"/>
        </a:p>
      </dgm:t>
    </dgm:pt>
    <dgm:pt modelId="{9204FDF4-EBB8-4DAD-8E7E-E4CE4592E6B2}" type="sibTrans" cxnId="{2038945C-7FA5-43ED-881C-524BDA72FC91}">
      <dgm:prSet/>
      <dgm:spPr/>
      <dgm:t>
        <a:bodyPr/>
        <a:lstStyle/>
        <a:p>
          <a:endParaRPr lang="en-IN"/>
        </a:p>
      </dgm:t>
    </dgm:pt>
    <dgm:pt modelId="{D619839F-AF1B-468F-AB64-686B48755650}">
      <dgm:prSet phldrT="[Text]"/>
      <dgm:spPr/>
      <dgm:t>
        <a:bodyPr/>
        <a:lstStyle/>
        <a:p>
          <a:pPr>
            <a:buNone/>
          </a:pPr>
          <a:r>
            <a:rPr lang="en-IN"/>
            <a:t>Operational Audits</a:t>
          </a:r>
        </a:p>
      </dgm:t>
    </dgm:pt>
    <dgm:pt modelId="{EE8043B0-5CC9-4AC0-AF2A-257B1FECA5CD}" type="parTrans" cxnId="{4B814DF2-FBAF-4A46-9288-E00968E4F639}">
      <dgm:prSet/>
      <dgm:spPr/>
      <dgm:t>
        <a:bodyPr/>
        <a:lstStyle/>
        <a:p>
          <a:endParaRPr lang="en-IN"/>
        </a:p>
      </dgm:t>
    </dgm:pt>
    <dgm:pt modelId="{11E4801D-0D74-4B5F-B513-FCFE47553431}" type="sibTrans" cxnId="{4B814DF2-FBAF-4A46-9288-E00968E4F639}">
      <dgm:prSet/>
      <dgm:spPr/>
      <dgm:t>
        <a:bodyPr/>
        <a:lstStyle/>
        <a:p>
          <a:endParaRPr lang="en-IN"/>
        </a:p>
      </dgm:t>
    </dgm:pt>
    <dgm:pt modelId="{EB41EE1E-2A9A-4ECF-9787-67E66D74932B}">
      <dgm:prSet phldrT="[Text]"/>
      <dgm:spPr/>
      <dgm:t>
        <a:bodyPr/>
        <a:lstStyle/>
        <a:p>
          <a:pPr>
            <a:buNone/>
          </a:pPr>
          <a:r>
            <a:rPr lang="en-IN"/>
            <a:t>Quality Improvement Actions</a:t>
          </a:r>
        </a:p>
      </dgm:t>
    </dgm:pt>
    <dgm:pt modelId="{8EC67732-8EDD-4C24-85E8-5F819D401A90}" type="parTrans" cxnId="{0022F3FA-B280-41AA-8CF9-3C6310717EE1}">
      <dgm:prSet/>
      <dgm:spPr/>
      <dgm:t>
        <a:bodyPr/>
        <a:lstStyle/>
        <a:p>
          <a:endParaRPr lang="en-IN"/>
        </a:p>
      </dgm:t>
    </dgm:pt>
    <dgm:pt modelId="{CF179089-E5B6-4DE9-8810-7A8C82BBA5E2}" type="sibTrans" cxnId="{0022F3FA-B280-41AA-8CF9-3C6310717EE1}">
      <dgm:prSet/>
      <dgm:spPr/>
      <dgm:t>
        <a:bodyPr/>
        <a:lstStyle/>
        <a:p>
          <a:endParaRPr lang="en-IN"/>
        </a:p>
      </dgm:t>
    </dgm:pt>
    <dgm:pt modelId="{44785EB7-953E-449F-9ABC-8BE3805C1576}">
      <dgm:prSet phldrT="[Text]"/>
      <dgm:spPr/>
      <dgm:t>
        <a:bodyPr/>
        <a:lstStyle/>
        <a:p>
          <a:endParaRPr lang="en-IN"/>
        </a:p>
      </dgm:t>
    </dgm:pt>
    <dgm:pt modelId="{723668AC-4B21-4368-8E80-63999527046E}" type="parTrans" cxnId="{B2C314ED-B057-44D7-91C2-087DFEA25E26}">
      <dgm:prSet/>
      <dgm:spPr/>
      <dgm:t>
        <a:bodyPr/>
        <a:lstStyle/>
        <a:p>
          <a:endParaRPr lang="en-IN"/>
        </a:p>
      </dgm:t>
    </dgm:pt>
    <dgm:pt modelId="{D0B5194E-7D29-42D9-9CA5-CA9DF9D8EE50}" type="sibTrans" cxnId="{B2C314ED-B057-44D7-91C2-087DFEA25E26}">
      <dgm:prSet/>
      <dgm:spPr/>
      <dgm:t>
        <a:bodyPr/>
        <a:lstStyle/>
        <a:p>
          <a:endParaRPr lang="en-IN"/>
        </a:p>
      </dgm:t>
    </dgm:pt>
    <dgm:pt modelId="{B4D0723C-D1F8-4422-906D-C13EEAD0E24C}" type="pres">
      <dgm:prSet presAssocID="{464EB62D-B2AA-4497-A98D-B79466BC153B}" presName="cycle" presStyleCnt="0">
        <dgm:presLayoutVars>
          <dgm:dir/>
          <dgm:resizeHandles val="exact"/>
        </dgm:presLayoutVars>
      </dgm:prSet>
      <dgm:spPr/>
    </dgm:pt>
    <dgm:pt modelId="{11C4FEA7-0A04-4450-8F85-5400B13C2F7A}" type="pres">
      <dgm:prSet presAssocID="{90447459-DE6D-4F16-BF32-6E1C79DAE057}" presName="node" presStyleLbl="node1" presStyleIdx="0" presStyleCnt="4">
        <dgm:presLayoutVars>
          <dgm:bulletEnabled val="1"/>
        </dgm:presLayoutVars>
      </dgm:prSet>
      <dgm:spPr/>
    </dgm:pt>
    <dgm:pt modelId="{040201E7-B964-4E27-86A6-01302B898BA8}" type="pres">
      <dgm:prSet presAssocID="{6B381733-3D6C-4329-BC8D-BC46E1B3E894}" presName="sibTrans" presStyleLbl="sibTrans2D1" presStyleIdx="0" presStyleCnt="4"/>
      <dgm:spPr/>
    </dgm:pt>
    <dgm:pt modelId="{DE01C5DA-DC4B-43C1-A9ED-A7208A22AD91}" type="pres">
      <dgm:prSet presAssocID="{6B381733-3D6C-4329-BC8D-BC46E1B3E894}" presName="connectorText" presStyleLbl="sibTrans2D1" presStyleIdx="0" presStyleCnt="4"/>
      <dgm:spPr/>
    </dgm:pt>
    <dgm:pt modelId="{B1937223-0923-4872-8F67-C4DF4E1E90EC}" type="pres">
      <dgm:prSet presAssocID="{526A5957-89D5-4149-BD67-70942B513441}" presName="node" presStyleLbl="node1" presStyleIdx="1" presStyleCnt="4">
        <dgm:presLayoutVars>
          <dgm:bulletEnabled val="1"/>
        </dgm:presLayoutVars>
      </dgm:prSet>
      <dgm:spPr/>
    </dgm:pt>
    <dgm:pt modelId="{524E9F7A-9306-4275-ABBA-06074C5D828B}" type="pres">
      <dgm:prSet presAssocID="{9204FDF4-EBB8-4DAD-8E7E-E4CE4592E6B2}" presName="sibTrans" presStyleLbl="sibTrans2D1" presStyleIdx="1" presStyleCnt="4"/>
      <dgm:spPr/>
    </dgm:pt>
    <dgm:pt modelId="{F387F651-E222-4EF8-8981-720E00259EAF}" type="pres">
      <dgm:prSet presAssocID="{9204FDF4-EBB8-4DAD-8E7E-E4CE4592E6B2}" presName="connectorText" presStyleLbl="sibTrans2D1" presStyleIdx="1" presStyleCnt="4"/>
      <dgm:spPr/>
    </dgm:pt>
    <dgm:pt modelId="{F6532113-025B-427A-9E8C-3D8DC6E3EF94}" type="pres">
      <dgm:prSet presAssocID="{D619839F-AF1B-468F-AB64-686B48755650}" presName="node" presStyleLbl="node1" presStyleIdx="2" presStyleCnt="4">
        <dgm:presLayoutVars>
          <dgm:bulletEnabled val="1"/>
        </dgm:presLayoutVars>
      </dgm:prSet>
      <dgm:spPr/>
    </dgm:pt>
    <dgm:pt modelId="{2F84D7F6-57DA-47EF-A543-822093089E7E}" type="pres">
      <dgm:prSet presAssocID="{11E4801D-0D74-4B5F-B513-FCFE47553431}" presName="sibTrans" presStyleLbl="sibTrans2D1" presStyleIdx="2" presStyleCnt="4"/>
      <dgm:spPr/>
    </dgm:pt>
    <dgm:pt modelId="{D0B31E40-EA0C-466C-B80F-AC89BADFE32D}" type="pres">
      <dgm:prSet presAssocID="{11E4801D-0D74-4B5F-B513-FCFE47553431}" presName="connectorText" presStyleLbl="sibTrans2D1" presStyleIdx="2" presStyleCnt="4"/>
      <dgm:spPr/>
    </dgm:pt>
    <dgm:pt modelId="{C443788A-123D-4794-9CA3-10952AAAFE9C}" type="pres">
      <dgm:prSet presAssocID="{EB41EE1E-2A9A-4ECF-9787-67E66D74932B}" presName="node" presStyleLbl="node1" presStyleIdx="3" presStyleCnt="4">
        <dgm:presLayoutVars>
          <dgm:bulletEnabled val="1"/>
        </dgm:presLayoutVars>
      </dgm:prSet>
      <dgm:spPr/>
    </dgm:pt>
    <dgm:pt modelId="{2EB03552-A708-4DF2-A686-E4A15AC49E55}" type="pres">
      <dgm:prSet presAssocID="{CF179089-E5B6-4DE9-8810-7A8C82BBA5E2}" presName="sibTrans" presStyleLbl="sibTrans2D1" presStyleIdx="3" presStyleCnt="4"/>
      <dgm:spPr/>
    </dgm:pt>
    <dgm:pt modelId="{C2635063-F191-4A85-9D11-2E8C2EFA45A2}" type="pres">
      <dgm:prSet presAssocID="{CF179089-E5B6-4DE9-8810-7A8C82BBA5E2}" presName="connectorText" presStyleLbl="sibTrans2D1" presStyleIdx="3" presStyleCnt="4"/>
      <dgm:spPr/>
    </dgm:pt>
  </dgm:ptLst>
  <dgm:cxnLst>
    <dgm:cxn modelId="{B791C715-8D12-49E0-8C91-397BF549A282}" type="presOf" srcId="{11E4801D-0D74-4B5F-B513-FCFE47553431}" destId="{D0B31E40-EA0C-466C-B80F-AC89BADFE32D}" srcOrd="1" destOrd="0" presId="urn:microsoft.com/office/officeart/2005/8/layout/cycle2"/>
    <dgm:cxn modelId="{AEE6B121-413C-4DA8-8EB0-D1D99B6F98FA}" type="presOf" srcId="{90447459-DE6D-4F16-BF32-6E1C79DAE057}" destId="{11C4FEA7-0A04-4450-8F85-5400B13C2F7A}" srcOrd="0" destOrd="0" presId="urn:microsoft.com/office/officeart/2005/8/layout/cycle2"/>
    <dgm:cxn modelId="{F478FF28-EEEE-4433-AAE2-0CEEA0530C61}" type="presOf" srcId="{44785EB7-953E-449F-9ABC-8BE3805C1576}" destId="{C443788A-123D-4794-9CA3-10952AAAFE9C}" srcOrd="0" destOrd="1" presId="urn:microsoft.com/office/officeart/2005/8/layout/cycle2"/>
    <dgm:cxn modelId="{B0DE3F2F-FB25-4227-94EB-1EF813A55128}" type="presOf" srcId="{11E4801D-0D74-4B5F-B513-FCFE47553431}" destId="{2F84D7F6-57DA-47EF-A543-822093089E7E}" srcOrd="0" destOrd="0" presId="urn:microsoft.com/office/officeart/2005/8/layout/cycle2"/>
    <dgm:cxn modelId="{2038945C-7FA5-43ED-881C-524BDA72FC91}" srcId="{464EB62D-B2AA-4497-A98D-B79466BC153B}" destId="{526A5957-89D5-4149-BD67-70942B513441}" srcOrd="1" destOrd="0" parTransId="{AE6AA18D-014B-46EE-8540-76F63AB796C3}" sibTransId="{9204FDF4-EBB8-4DAD-8E7E-E4CE4592E6B2}"/>
    <dgm:cxn modelId="{034A275D-515C-4AD3-B45C-55953E1E81E5}" type="presOf" srcId="{6B381733-3D6C-4329-BC8D-BC46E1B3E894}" destId="{DE01C5DA-DC4B-43C1-A9ED-A7208A22AD91}" srcOrd="1" destOrd="0" presId="urn:microsoft.com/office/officeart/2005/8/layout/cycle2"/>
    <dgm:cxn modelId="{F4994945-A7AF-40C0-ADDF-BA7ED469AC65}" type="presOf" srcId="{CF179089-E5B6-4DE9-8810-7A8C82BBA5E2}" destId="{2EB03552-A708-4DF2-A686-E4A15AC49E55}" srcOrd="0" destOrd="0" presId="urn:microsoft.com/office/officeart/2005/8/layout/cycle2"/>
    <dgm:cxn modelId="{B21CB16B-2918-44CE-B75C-75AA2D6BD440}" type="presOf" srcId="{CF179089-E5B6-4DE9-8810-7A8C82BBA5E2}" destId="{C2635063-F191-4A85-9D11-2E8C2EFA45A2}" srcOrd="1" destOrd="0" presId="urn:microsoft.com/office/officeart/2005/8/layout/cycle2"/>
    <dgm:cxn modelId="{C34E254E-9D14-4A7D-B52E-505281B176BC}" type="presOf" srcId="{526A5957-89D5-4149-BD67-70942B513441}" destId="{B1937223-0923-4872-8F67-C4DF4E1E90EC}" srcOrd="0" destOrd="0" presId="urn:microsoft.com/office/officeart/2005/8/layout/cycle2"/>
    <dgm:cxn modelId="{8A645C6F-B8E8-4B87-955E-DB2564CABED4}" type="presOf" srcId="{9204FDF4-EBB8-4DAD-8E7E-E4CE4592E6B2}" destId="{524E9F7A-9306-4275-ABBA-06074C5D828B}" srcOrd="0" destOrd="0" presId="urn:microsoft.com/office/officeart/2005/8/layout/cycle2"/>
    <dgm:cxn modelId="{FD291991-47B9-4FAD-8081-AAE2FF5107A6}" type="presOf" srcId="{9204FDF4-EBB8-4DAD-8E7E-E4CE4592E6B2}" destId="{F387F651-E222-4EF8-8981-720E00259EAF}" srcOrd="1" destOrd="0" presId="urn:microsoft.com/office/officeart/2005/8/layout/cycle2"/>
    <dgm:cxn modelId="{0585DEA8-677F-4FFD-8210-B1E2E738D860}" type="presOf" srcId="{464EB62D-B2AA-4497-A98D-B79466BC153B}" destId="{B4D0723C-D1F8-4422-906D-C13EEAD0E24C}" srcOrd="0" destOrd="0" presId="urn:microsoft.com/office/officeart/2005/8/layout/cycle2"/>
    <dgm:cxn modelId="{CB8D9FAC-3582-404D-A0BF-4688DF1F8B8D}" type="presOf" srcId="{D619839F-AF1B-468F-AB64-686B48755650}" destId="{F6532113-025B-427A-9E8C-3D8DC6E3EF94}" srcOrd="0" destOrd="0" presId="urn:microsoft.com/office/officeart/2005/8/layout/cycle2"/>
    <dgm:cxn modelId="{E7938DCD-D076-4E84-A703-03986E706691}" srcId="{464EB62D-B2AA-4497-A98D-B79466BC153B}" destId="{90447459-DE6D-4F16-BF32-6E1C79DAE057}" srcOrd="0" destOrd="0" parTransId="{9AFFA4D5-C80E-4CEA-88B7-272ECE651D51}" sibTransId="{6B381733-3D6C-4329-BC8D-BC46E1B3E894}"/>
    <dgm:cxn modelId="{BCFE4FD0-8EFC-4A05-97B5-3D7AFD67CAC0}" type="presOf" srcId="{EB41EE1E-2A9A-4ECF-9787-67E66D74932B}" destId="{C443788A-123D-4794-9CA3-10952AAAFE9C}" srcOrd="0" destOrd="0" presId="urn:microsoft.com/office/officeart/2005/8/layout/cycle2"/>
    <dgm:cxn modelId="{1BB320E2-9426-4818-9190-774ACA353D1D}" type="presOf" srcId="{6B381733-3D6C-4329-BC8D-BC46E1B3E894}" destId="{040201E7-B964-4E27-86A6-01302B898BA8}" srcOrd="0" destOrd="0" presId="urn:microsoft.com/office/officeart/2005/8/layout/cycle2"/>
    <dgm:cxn modelId="{B2C314ED-B057-44D7-91C2-087DFEA25E26}" srcId="{EB41EE1E-2A9A-4ECF-9787-67E66D74932B}" destId="{44785EB7-953E-449F-9ABC-8BE3805C1576}" srcOrd="0" destOrd="0" parTransId="{723668AC-4B21-4368-8E80-63999527046E}" sibTransId="{D0B5194E-7D29-42D9-9CA5-CA9DF9D8EE50}"/>
    <dgm:cxn modelId="{4B814DF2-FBAF-4A46-9288-E00968E4F639}" srcId="{464EB62D-B2AA-4497-A98D-B79466BC153B}" destId="{D619839F-AF1B-468F-AB64-686B48755650}" srcOrd="2" destOrd="0" parTransId="{EE8043B0-5CC9-4AC0-AF2A-257B1FECA5CD}" sibTransId="{11E4801D-0D74-4B5F-B513-FCFE47553431}"/>
    <dgm:cxn modelId="{0022F3FA-B280-41AA-8CF9-3C6310717EE1}" srcId="{464EB62D-B2AA-4497-A98D-B79466BC153B}" destId="{EB41EE1E-2A9A-4ECF-9787-67E66D74932B}" srcOrd="3" destOrd="0" parTransId="{8EC67732-8EDD-4C24-85E8-5F819D401A90}" sibTransId="{CF179089-E5B6-4DE9-8810-7A8C82BBA5E2}"/>
    <dgm:cxn modelId="{EF20F686-960E-4EE7-93D7-F521B9211ED8}" type="presParOf" srcId="{B4D0723C-D1F8-4422-906D-C13EEAD0E24C}" destId="{11C4FEA7-0A04-4450-8F85-5400B13C2F7A}" srcOrd="0" destOrd="0" presId="urn:microsoft.com/office/officeart/2005/8/layout/cycle2"/>
    <dgm:cxn modelId="{BF774185-1DDB-4D1B-A1E6-AE964A2DD9AF}" type="presParOf" srcId="{B4D0723C-D1F8-4422-906D-C13EEAD0E24C}" destId="{040201E7-B964-4E27-86A6-01302B898BA8}" srcOrd="1" destOrd="0" presId="urn:microsoft.com/office/officeart/2005/8/layout/cycle2"/>
    <dgm:cxn modelId="{D6890940-C463-4A8E-874D-B5BB312A1E5A}" type="presParOf" srcId="{040201E7-B964-4E27-86A6-01302B898BA8}" destId="{DE01C5DA-DC4B-43C1-A9ED-A7208A22AD91}" srcOrd="0" destOrd="0" presId="urn:microsoft.com/office/officeart/2005/8/layout/cycle2"/>
    <dgm:cxn modelId="{CA7C91A8-EBB9-4769-B0FB-3C44C7B7CE60}" type="presParOf" srcId="{B4D0723C-D1F8-4422-906D-C13EEAD0E24C}" destId="{B1937223-0923-4872-8F67-C4DF4E1E90EC}" srcOrd="2" destOrd="0" presId="urn:microsoft.com/office/officeart/2005/8/layout/cycle2"/>
    <dgm:cxn modelId="{40BC5760-DF20-4515-A687-0EFAE136F8E0}" type="presParOf" srcId="{B4D0723C-D1F8-4422-906D-C13EEAD0E24C}" destId="{524E9F7A-9306-4275-ABBA-06074C5D828B}" srcOrd="3" destOrd="0" presId="urn:microsoft.com/office/officeart/2005/8/layout/cycle2"/>
    <dgm:cxn modelId="{6F3ACD5B-81DC-4B9D-89FD-D65149265875}" type="presParOf" srcId="{524E9F7A-9306-4275-ABBA-06074C5D828B}" destId="{F387F651-E222-4EF8-8981-720E00259EAF}" srcOrd="0" destOrd="0" presId="urn:microsoft.com/office/officeart/2005/8/layout/cycle2"/>
    <dgm:cxn modelId="{A3F68652-03B4-4174-8636-627CAA83ADC5}" type="presParOf" srcId="{B4D0723C-D1F8-4422-906D-C13EEAD0E24C}" destId="{F6532113-025B-427A-9E8C-3D8DC6E3EF94}" srcOrd="4" destOrd="0" presId="urn:microsoft.com/office/officeart/2005/8/layout/cycle2"/>
    <dgm:cxn modelId="{9EA59A7E-1C49-4399-87BD-6CB603D328FD}" type="presParOf" srcId="{B4D0723C-D1F8-4422-906D-C13EEAD0E24C}" destId="{2F84D7F6-57DA-47EF-A543-822093089E7E}" srcOrd="5" destOrd="0" presId="urn:microsoft.com/office/officeart/2005/8/layout/cycle2"/>
    <dgm:cxn modelId="{37B97889-5737-4CCB-93CA-93622A34728F}" type="presParOf" srcId="{2F84D7F6-57DA-47EF-A543-822093089E7E}" destId="{D0B31E40-EA0C-466C-B80F-AC89BADFE32D}" srcOrd="0" destOrd="0" presId="urn:microsoft.com/office/officeart/2005/8/layout/cycle2"/>
    <dgm:cxn modelId="{A025CB70-239D-487B-B857-25E4488BB6C1}" type="presParOf" srcId="{B4D0723C-D1F8-4422-906D-C13EEAD0E24C}" destId="{C443788A-123D-4794-9CA3-10952AAAFE9C}" srcOrd="6" destOrd="0" presId="urn:microsoft.com/office/officeart/2005/8/layout/cycle2"/>
    <dgm:cxn modelId="{FDB07785-4943-4110-A119-FAF5C96405A3}" type="presParOf" srcId="{B4D0723C-D1F8-4422-906D-C13EEAD0E24C}" destId="{2EB03552-A708-4DF2-A686-E4A15AC49E55}" srcOrd="7" destOrd="0" presId="urn:microsoft.com/office/officeart/2005/8/layout/cycle2"/>
    <dgm:cxn modelId="{0906403B-A846-4D37-ADAF-1A9250F62CF3}" type="presParOf" srcId="{2EB03552-A708-4DF2-A686-E4A15AC49E55}" destId="{C2635063-F191-4A85-9D11-2E8C2EFA45A2}"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4EB62D-B2AA-4497-A98D-B79466BC153B}"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IN"/>
        </a:p>
      </dgm:t>
    </dgm:pt>
    <dgm:pt modelId="{90447459-DE6D-4F16-BF32-6E1C79DAE057}">
      <dgm:prSet phldrT="[Text]"/>
      <dgm:spPr/>
      <dgm:t>
        <a:bodyPr/>
        <a:lstStyle/>
        <a:p>
          <a:pPr>
            <a:buNone/>
          </a:pPr>
          <a:r>
            <a:rPr lang="en-IN"/>
            <a:t>System Monitoring &amp; Performance Metrics</a:t>
          </a:r>
        </a:p>
        <a:p>
          <a:pPr>
            <a:buNone/>
          </a:pPr>
          <a:endParaRPr lang="en-IN"/>
        </a:p>
      </dgm:t>
    </dgm:pt>
    <dgm:pt modelId="{9AFFA4D5-C80E-4CEA-88B7-272ECE651D51}" type="parTrans" cxnId="{E7938DCD-D076-4E84-A703-03986E706691}">
      <dgm:prSet/>
      <dgm:spPr/>
      <dgm:t>
        <a:bodyPr/>
        <a:lstStyle/>
        <a:p>
          <a:endParaRPr lang="en-IN"/>
        </a:p>
      </dgm:t>
    </dgm:pt>
    <dgm:pt modelId="{6B381733-3D6C-4329-BC8D-BC46E1B3E894}" type="sibTrans" cxnId="{E7938DCD-D076-4E84-A703-03986E706691}">
      <dgm:prSet/>
      <dgm:spPr/>
      <dgm:t>
        <a:bodyPr/>
        <a:lstStyle/>
        <a:p>
          <a:endParaRPr lang="en-IN"/>
        </a:p>
      </dgm:t>
    </dgm:pt>
    <dgm:pt modelId="{526A5957-89D5-4149-BD67-70942B513441}">
      <dgm:prSet phldrT="[Text]"/>
      <dgm:spPr/>
      <dgm:t>
        <a:bodyPr/>
        <a:lstStyle/>
        <a:p>
          <a:pPr>
            <a:buNone/>
          </a:pPr>
          <a:r>
            <a:rPr lang="en-IN"/>
            <a:t>User Feedback Collection</a:t>
          </a:r>
        </a:p>
      </dgm:t>
    </dgm:pt>
    <dgm:pt modelId="{AE6AA18D-014B-46EE-8540-76F63AB796C3}" type="parTrans" cxnId="{2038945C-7FA5-43ED-881C-524BDA72FC91}">
      <dgm:prSet/>
      <dgm:spPr/>
      <dgm:t>
        <a:bodyPr/>
        <a:lstStyle/>
        <a:p>
          <a:endParaRPr lang="en-IN"/>
        </a:p>
      </dgm:t>
    </dgm:pt>
    <dgm:pt modelId="{9204FDF4-EBB8-4DAD-8E7E-E4CE4592E6B2}" type="sibTrans" cxnId="{2038945C-7FA5-43ED-881C-524BDA72FC91}">
      <dgm:prSet/>
      <dgm:spPr/>
      <dgm:t>
        <a:bodyPr/>
        <a:lstStyle/>
        <a:p>
          <a:endParaRPr lang="en-IN"/>
        </a:p>
      </dgm:t>
    </dgm:pt>
    <dgm:pt modelId="{D619839F-AF1B-468F-AB64-686B48755650}">
      <dgm:prSet phldrT="[Text]"/>
      <dgm:spPr/>
      <dgm:t>
        <a:bodyPr/>
        <a:lstStyle/>
        <a:p>
          <a:pPr>
            <a:buNone/>
          </a:pPr>
          <a:r>
            <a:rPr lang="en-IN"/>
            <a:t>Operational Audits</a:t>
          </a:r>
        </a:p>
      </dgm:t>
    </dgm:pt>
    <dgm:pt modelId="{EE8043B0-5CC9-4AC0-AF2A-257B1FECA5CD}" type="parTrans" cxnId="{4B814DF2-FBAF-4A46-9288-E00968E4F639}">
      <dgm:prSet/>
      <dgm:spPr/>
      <dgm:t>
        <a:bodyPr/>
        <a:lstStyle/>
        <a:p>
          <a:endParaRPr lang="en-IN"/>
        </a:p>
      </dgm:t>
    </dgm:pt>
    <dgm:pt modelId="{11E4801D-0D74-4B5F-B513-FCFE47553431}" type="sibTrans" cxnId="{4B814DF2-FBAF-4A46-9288-E00968E4F639}">
      <dgm:prSet/>
      <dgm:spPr/>
      <dgm:t>
        <a:bodyPr/>
        <a:lstStyle/>
        <a:p>
          <a:endParaRPr lang="en-IN"/>
        </a:p>
      </dgm:t>
    </dgm:pt>
    <dgm:pt modelId="{EB41EE1E-2A9A-4ECF-9787-67E66D74932B}">
      <dgm:prSet phldrT="[Text]"/>
      <dgm:spPr/>
      <dgm:t>
        <a:bodyPr/>
        <a:lstStyle/>
        <a:p>
          <a:pPr>
            <a:buNone/>
          </a:pPr>
          <a:r>
            <a:rPr lang="en-IN"/>
            <a:t>Quality Improvement Actions</a:t>
          </a:r>
        </a:p>
      </dgm:t>
    </dgm:pt>
    <dgm:pt modelId="{8EC67732-8EDD-4C24-85E8-5F819D401A90}" type="parTrans" cxnId="{0022F3FA-B280-41AA-8CF9-3C6310717EE1}">
      <dgm:prSet/>
      <dgm:spPr/>
      <dgm:t>
        <a:bodyPr/>
        <a:lstStyle/>
        <a:p>
          <a:endParaRPr lang="en-IN"/>
        </a:p>
      </dgm:t>
    </dgm:pt>
    <dgm:pt modelId="{CF179089-E5B6-4DE9-8810-7A8C82BBA5E2}" type="sibTrans" cxnId="{0022F3FA-B280-41AA-8CF9-3C6310717EE1}">
      <dgm:prSet/>
      <dgm:spPr/>
      <dgm:t>
        <a:bodyPr/>
        <a:lstStyle/>
        <a:p>
          <a:endParaRPr lang="en-IN"/>
        </a:p>
      </dgm:t>
    </dgm:pt>
    <dgm:pt modelId="{44785EB7-953E-449F-9ABC-8BE3805C1576}">
      <dgm:prSet phldrT="[Text]"/>
      <dgm:spPr/>
      <dgm:t>
        <a:bodyPr/>
        <a:lstStyle/>
        <a:p>
          <a:endParaRPr lang="en-IN"/>
        </a:p>
      </dgm:t>
    </dgm:pt>
    <dgm:pt modelId="{723668AC-4B21-4368-8E80-63999527046E}" type="parTrans" cxnId="{B2C314ED-B057-44D7-91C2-087DFEA25E26}">
      <dgm:prSet/>
      <dgm:spPr/>
      <dgm:t>
        <a:bodyPr/>
        <a:lstStyle/>
        <a:p>
          <a:endParaRPr lang="en-IN"/>
        </a:p>
      </dgm:t>
    </dgm:pt>
    <dgm:pt modelId="{D0B5194E-7D29-42D9-9CA5-CA9DF9D8EE50}" type="sibTrans" cxnId="{B2C314ED-B057-44D7-91C2-087DFEA25E26}">
      <dgm:prSet/>
      <dgm:spPr/>
      <dgm:t>
        <a:bodyPr/>
        <a:lstStyle/>
        <a:p>
          <a:endParaRPr lang="en-IN"/>
        </a:p>
      </dgm:t>
    </dgm:pt>
    <dgm:pt modelId="{B4D0723C-D1F8-4422-906D-C13EEAD0E24C}" type="pres">
      <dgm:prSet presAssocID="{464EB62D-B2AA-4497-A98D-B79466BC153B}" presName="cycle" presStyleCnt="0">
        <dgm:presLayoutVars>
          <dgm:dir/>
          <dgm:resizeHandles val="exact"/>
        </dgm:presLayoutVars>
      </dgm:prSet>
      <dgm:spPr/>
    </dgm:pt>
    <dgm:pt modelId="{11C4FEA7-0A04-4450-8F85-5400B13C2F7A}" type="pres">
      <dgm:prSet presAssocID="{90447459-DE6D-4F16-BF32-6E1C79DAE057}" presName="node" presStyleLbl="node1" presStyleIdx="0" presStyleCnt="4">
        <dgm:presLayoutVars>
          <dgm:bulletEnabled val="1"/>
        </dgm:presLayoutVars>
      </dgm:prSet>
      <dgm:spPr/>
    </dgm:pt>
    <dgm:pt modelId="{040201E7-B964-4E27-86A6-01302B898BA8}" type="pres">
      <dgm:prSet presAssocID="{6B381733-3D6C-4329-BC8D-BC46E1B3E894}" presName="sibTrans" presStyleLbl="sibTrans2D1" presStyleIdx="0" presStyleCnt="4"/>
      <dgm:spPr/>
    </dgm:pt>
    <dgm:pt modelId="{DE01C5DA-DC4B-43C1-A9ED-A7208A22AD91}" type="pres">
      <dgm:prSet presAssocID="{6B381733-3D6C-4329-BC8D-BC46E1B3E894}" presName="connectorText" presStyleLbl="sibTrans2D1" presStyleIdx="0" presStyleCnt="4"/>
      <dgm:spPr/>
    </dgm:pt>
    <dgm:pt modelId="{B1937223-0923-4872-8F67-C4DF4E1E90EC}" type="pres">
      <dgm:prSet presAssocID="{526A5957-89D5-4149-BD67-70942B513441}" presName="node" presStyleLbl="node1" presStyleIdx="1" presStyleCnt="4">
        <dgm:presLayoutVars>
          <dgm:bulletEnabled val="1"/>
        </dgm:presLayoutVars>
      </dgm:prSet>
      <dgm:spPr/>
    </dgm:pt>
    <dgm:pt modelId="{524E9F7A-9306-4275-ABBA-06074C5D828B}" type="pres">
      <dgm:prSet presAssocID="{9204FDF4-EBB8-4DAD-8E7E-E4CE4592E6B2}" presName="sibTrans" presStyleLbl="sibTrans2D1" presStyleIdx="1" presStyleCnt="4"/>
      <dgm:spPr/>
    </dgm:pt>
    <dgm:pt modelId="{F387F651-E222-4EF8-8981-720E00259EAF}" type="pres">
      <dgm:prSet presAssocID="{9204FDF4-EBB8-4DAD-8E7E-E4CE4592E6B2}" presName="connectorText" presStyleLbl="sibTrans2D1" presStyleIdx="1" presStyleCnt="4"/>
      <dgm:spPr/>
    </dgm:pt>
    <dgm:pt modelId="{F6532113-025B-427A-9E8C-3D8DC6E3EF94}" type="pres">
      <dgm:prSet presAssocID="{D619839F-AF1B-468F-AB64-686B48755650}" presName="node" presStyleLbl="node1" presStyleIdx="2" presStyleCnt="4">
        <dgm:presLayoutVars>
          <dgm:bulletEnabled val="1"/>
        </dgm:presLayoutVars>
      </dgm:prSet>
      <dgm:spPr/>
    </dgm:pt>
    <dgm:pt modelId="{2F84D7F6-57DA-47EF-A543-822093089E7E}" type="pres">
      <dgm:prSet presAssocID="{11E4801D-0D74-4B5F-B513-FCFE47553431}" presName="sibTrans" presStyleLbl="sibTrans2D1" presStyleIdx="2" presStyleCnt="4"/>
      <dgm:spPr/>
    </dgm:pt>
    <dgm:pt modelId="{D0B31E40-EA0C-466C-B80F-AC89BADFE32D}" type="pres">
      <dgm:prSet presAssocID="{11E4801D-0D74-4B5F-B513-FCFE47553431}" presName="connectorText" presStyleLbl="sibTrans2D1" presStyleIdx="2" presStyleCnt="4"/>
      <dgm:spPr/>
    </dgm:pt>
    <dgm:pt modelId="{C443788A-123D-4794-9CA3-10952AAAFE9C}" type="pres">
      <dgm:prSet presAssocID="{EB41EE1E-2A9A-4ECF-9787-67E66D74932B}" presName="node" presStyleLbl="node1" presStyleIdx="3" presStyleCnt="4">
        <dgm:presLayoutVars>
          <dgm:bulletEnabled val="1"/>
        </dgm:presLayoutVars>
      </dgm:prSet>
      <dgm:spPr/>
    </dgm:pt>
    <dgm:pt modelId="{2EB03552-A708-4DF2-A686-E4A15AC49E55}" type="pres">
      <dgm:prSet presAssocID="{CF179089-E5B6-4DE9-8810-7A8C82BBA5E2}" presName="sibTrans" presStyleLbl="sibTrans2D1" presStyleIdx="3" presStyleCnt="4"/>
      <dgm:spPr/>
    </dgm:pt>
    <dgm:pt modelId="{C2635063-F191-4A85-9D11-2E8C2EFA45A2}" type="pres">
      <dgm:prSet presAssocID="{CF179089-E5B6-4DE9-8810-7A8C82BBA5E2}" presName="connectorText" presStyleLbl="sibTrans2D1" presStyleIdx="3" presStyleCnt="4"/>
      <dgm:spPr/>
    </dgm:pt>
  </dgm:ptLst>
  <dgm:cxnLst>
    <dgm:cxn modelId="{B791C715-8D12-49E0-8C91-397BF549A282}" type="presOf" srcId="{11E4801D-0D74-4B5F-B513-FCFE47553431}" destId="{D0B31E40-EA0C-466C-B80F-AC89BADFE32D}" srcOrd="1" destOrd="0" presId="urn:microsoft.com/office/officeart/2005/8/layout/cycle2"/>
    <dgm:cxn modelId="{AEE6B121-413C-4DA8-8EB0-D1D99B6F98FA}" type="presOf" srcId="{90447459-DE6D-4F16-BF32-6E1C79DAE057}" destId="{11C4FEA7-0A04-4450-8F85-5400B13C2F7A}" srcOrd="0" destOrd="0" presId="urn:microsoft.com/office/officeart/2005/8/layout/cycle2"/>
    <dgm:cxn modelId="{F478FF28-EEEE-4433-AAE2-0CEEA0530C61}" type="presOf" srcId="{44785EB7-953E-449F-9ABC-8BE3805C1576}" destId="{C443788A-123D-4794-9CA3-10952AAAFE9C}" srcOrd="0" destOrd="1" presId="urn:microsoft.com/office/officeart/2005/8/layout/cycle2"/>
    <dgm:cxn modelId="{B0DE3F2F-FB25-4227-94EB-1EF813A55128}" type="presOf" srcId="{11E4801D-0D74-4B5F-B513-FCFE47553431}" destId="{2F84D7F6-57DA-47EF-A543-822093089E7E}" srcOrd="0" destOrd="0" presId="urn:microsoft.com/office/officeart/2005/8/layout/cycle2"/>
    <dgm:cxn modelId="{2038945C-7FA5-43ED-881C-524BDA72FC91}" srcId="{464EB62D-B2AA-4497-A98D-B79466BC153B}" destId="{526A5957-89D5-4149-BD67-70942B513441}" srcOrd="1" destOrd="0" parTransId="{AE6AA18D-014B-46EE-8540-76F63AB796C3}" sibTransId="{9204FDF4-EBB8-4DAD-8E7E-E4CE4592E6B2}"/>
    <dgm:cxn modelId="{034A275D-515C-4AD3-B45C-55953E1E81E5}" type="presOf" srcId="{6B381733-3D6C-4329-BC8D-BC46E1B3E894}" destId="{DE01C5DA-DC4B-43C1-A9ED-A7208A22AD91}" srcOrd="1" destOrd="0" presId="urn:microsoft.com/office/officeart/2005/8/layout/cycle2"/>
    <dgm:cxn modelId="{F4994945-A7AF-40C0-ADDF-BA7ED469AC65}" type="presOf" srcId="{CF179089-E5B6-4DE9-8810-7A8C82BBA5E2}" destId="{2EB03552-A708-4DF2-A686-E4A15AC49E55}" srcOrd="0" destOrd="0" presId="urn:microsoft.com/office/officeart/2005/8/layout/cycle2"/>
    <dgm:cxn modelId="{B21CB16B-2918-44CE-B75C-75AA2D6BD440}" type="presOf" srcId="{CF179089-E5B6-4DE9-8810-7A8C82BBA5E2}" destId="{C2635063-F191-4A85-9D11-2E8C2EFA45A2}" srcOrd="1" destOrd="0" presId="urn:microsoft.com/office/officeart/2005/8/layout/cycle2"/>
    <dgm:cxn modelId="{C34E254E-9D14-4A7D-B52E-505281B176BC}" type="presOf" srcId="{526A5957-89D5-4149-BD67-70942B513441}" destId="{B1937223-0923-4872-8F67-C4DF4E1E90EC}" srcOrd="0" destOrd="0" presId="urn:microsoft.com/office/officeart/2005/8/layout/cycle2"/>
    <dgm:cxn modelId="{8A645C6F-B8E8-4B87-955E-DB2564CABED4}" type="presOf" srcId="{9204FDF4-EBB8-4DAD-8E7E-E4CE4592E6B2}" destId="{524E9F7A-9306-4275-ABBA-06074C5D828B}" srcOrd="0" destOrd="0" presId="urn:microsoft.com/office/officeart/2005/8/layout/cycle2"/>
    <dgm:cxn modelId="{FD291991-47B9-4FAD-8081-AAE2FF5107A6}" type="presOf" srcId="{9204FDF4-EBB8-4DAD-8E7E-E4CE4592E6B2}" destId="{F387F651-E222-4EF8-8981-720E00259EAF}" srcOrd="1" destOrd="0" presId="urn:microsoft.com/office/officeart/2005/8/layout/cycle2"/>
    <dgm:cxn modelId="{0585DEA8-677F-4FFD-8210-B1E2E738D860}" type="presOf" srcId="{464EB62D-B2AA-4497-A98D-B79466BC153B}" destId="{B4D0723C-D1F8-4422-906D-C13EEAD0E24C}" srcOrd="0" destOrd="0" presId="urn:microsoft.com/office/officeart/2005/8/layout/cycle2"/>
    <dgm:cxn modelId="{CB8D9FAC-3582-404D-A0BF-4688DF1F8B8D}" type="presOf" srcId="{D619839F-AF1B-468F-AB64-686B48755650}" destId="{F6532113-025B-427A-9E8C-3D8DC6E3EF94}" srcOrd="0" destOrd="0" presId="urn:microsoft.com/office/officeart/2005/8/layout/cycle2"/>
    <dgm:cxn modelId="{E7938DCD-D076-4E84-A703-03986E706691}" srcId="{464EB62D-B2AA-4497-A98D-B79466BC153B}" destId="{90447459-DE6D-4F16-BF32-6E1C79DAE057}" srcOrd="0" destOrd="0" parTransId="{9AFFA4D5-C80E-4CEA-88B7-272ECE651D51}" sibTransId="{6B381733-3D6C-4329-BC8D-BC46E1B3E894}"/>
    <dgm:cxn modelId="{BCFE4FD0-8EFC-4A05-97B5-3D7AFD67CAC0}" type="presOf" srcId="{EB41EE1E-2A9A-4ECF-9787-67E66D74932B}" destId="{C443788A-123D-4794-9CA3-10952AAAFE9C}" srcOrd="0" destOrd="0" presId="urn:microsoft.com/office/officeart/2005/8/layout/cycle2"/>
    <dgm:cxn modelId="{1BB320E2-9426-4818-9190-774ACA353D1D}" type="presOf" srcId="{6B381733-3D6C-4329-BC8D-BC46E1B3E894}" destId="{040201E7-B964-4E27-86A6-01302B898BA8}" srcOrd="0" destOrd="0" presId="urn:microsoft.com/office/officeart/2005/8/layout/cycle2"/>
    <dgm:cxn modelId="{B2C314ED-B057-44D7-91C2-087DFEA25E26}" srcId="{EB41EE1E-2A9A-4ECF-9787-67E66D74932B}" destId="{44785EB7-953E-449F-9ABC-8BE3805C1576}" srcOrd="0" destOrd="0" parTransId="{723668AC-4B21-4368-8E80-63999527046E}" sibTransId="{D0B5194E-7D29-42D9-9CA5-CA9DF9D8EE50}"/>
    <dgm:cxn modelId="{4B814DF2-FBAF-4A46-9288-E00968E4F639}" srcId="{464EB62D-B2AA-4497-A98D-B79466BC153B}" destId="{D619839F-AF1B-468F-AB64-686B48755650}" srcOrd="2" destOrd="0" parTransId="{EE8043B0-5CC9-4AC0-AF2A-257B1FECA5CD}" sibTransId="{11E4801D-0D74-4B5F-B513-FCFE47553431}"/>
    <dgm:cxn modelId="{0022F3FA-B280-41AA-8CF9-3C6310717EE1}" srcId="{464EB62D-B2AA-4497-A98D-B79466BC153B}" destId="{EB41EE1E-2A9A-4ECF-9787-67E66D74932B}" srcOrd="3" destOrd="0" parTransId="{8EC67732-8EDD-4C24-85E8-5F819D401A90}" sibTransId="{CF179089-E5B6-4DE9-8810-7A8C82BBA5E2}"/>
    <dgm:cxn modelId="{EF20F686-960E-4EE7-93D7-F521B9211ED8}" type="presParOf" srcId="{B4D0723C-D1F8-4422-906D-C13EEAD0E24C}" destId="{11C4FEA7-0A04-4450-8F85-5400B13C2F7A}" srcOrd="0" destOrd="0" presId="urn:microsoft.com/office/officeart/2005/8/layout/cycle2"/>
    <dgm:cxn modelId="{BF774185-1DDB-4D1B-A1E6-AE964A2DD9AF}" type="presParOf" srcId="{B4D0723C-D1F8-4422-906D-C13EEAD0E24C}" destId="{040201E7-B964-4E27-86A6-01302B898BA8}" srcOrd="1" destOrd="0" presId="urn:microsoft.com/office/officeart/2005/8/layout/cycle2"/>
    <dgm:cxn modelId="{D6890940-C463-4A8E-874D-B5BB312A1E5A}" type="presParOf" srcId="{040201E7-B964-4E27-86A6-01302B898BA8}" destId="{DE01C5DA-DC4B-43C1-A9ED-A7208A22AD91}" srcOrd="0" destOrd="0" presId="urn:microsoft.com/office/officeart/2005/8/layout/cycle2"/>
    <dgm:cxn modelId="{CA7C91A8-EBB9-4769-B0FB-3C44C7B7CE60}" type="presParOf" srcId="{B4D0723C-D1F8-4422-906D-C13EEAD0E24C}" destId="{B1937223-0923-4872-8F67-C4DF4E1E90EC}" srcOrd="2" destOrd="0" presId="urn:microsoft.com/office/officeart/2005/8/layout/cycle2"/>
    <dgm:cxn modelId="{40BC5760-DF20-4515-A687-0EFAE136F8E0}" type="presParOf" srcId="{B4D0723C-D1F8-4422-906D-C13EEAD0E24C}" destId="{524E9F7A-9306-4275-ABBA-06074C5D828B}" srcOrd="3" destOrd="0" presId="urn:microsoft.com/office/officeart/2005/8/layout/cycle2"/>
    <dgm:cxn modelId="{6F3ACD5B-81DC-4B9D-89FD-D65149265875}" type="presParOf" srcId="{524E9F7A-9306-4275-ABBA-06074C5D828B}" destId="{F387F651-E222-4EF8-8981-720E00259EAF}" srcOrd="0" destOrd="0" presId="urn:microsoft.com/office/officeart/2005/8/layout/cycle2"/>
    <dgm:cxn modelId="{A3F68652-03B4-4174-8636-627CAA83ADC5}" type="presParOf" srcId="{B4D0723C-D1F8-4422-906D-C13EEAD0E24C}" destId="{F6532113-025B-427A-9E8C-3D8DC6E3EF94}" srcOrd="4" destOrd="0" presId="urn:microsoft.com/office/officeart/2005/8/layout/cycle2"/>
    <dgm:cxn modelId="{9EA59A7E-1C49-4399-87BD-6CB603D328FD}" type="presParOf" srcId="{B4D0723C-D1F8-4422-906D-C13EEAD0E24C}" destId="{2F84D7F6-57DA-47EF-A543-822093089E7E}" srcOrd="5" destOrd="0" presId="urn:microsoft.com/office/officeart/2005/8/layout/cycle2"/>
    <dgm:cxn modelId="{37B97889-5737-4CCB-93CA-93622A34728F}" type="presParOf" srcId="{2F84D7F6-57DA-47EF-A543-822093089E7E}" destId="{D0B31E40-EA0C-466C-B80F-AC89BADFE32D}" srcOrd="0" destOrd="0" presId="urn:microsoft.com/office/officeart/2005/8/layout/cycle2"/>
    <dgm:cxn modelId="{A025CB70-239D-487B-B857-25E4488BB6C1}" type="presParOf" srcId="{B4D0723C-D1F8-4422-906D-C13EEAD0E24C}" destId="{C443788A-123D-4794-9CA3-10952AAAFE9C}" srcOrd="6" destOrd="0" presId="urn:microsoft.com/office/officeart/2005/8/layout/cycle2"/>
    <dgm:cxn modelId="{FDB07785-4943-4110-A119-FAF5C96405A3}" type="presParOf" srcId="{B4D0723C-D1F8-4422-906D-C13EEAD0E24C}" destId="{2EB03552-A708-4DF2-A686-E4A15AC49E55}" srcOrd="7" destOrd="0" presId="urn:microsoft.com/office/officeart/2005/8/layout/cycle2"/>
    <dgm:cxn modelId="{0906403B-A846-4D37-ADAF-1A9250F62CF3}" type="presParOf" srcId="{2EB03552-A708-4DF2-A686-E4A15AC49E55}" destId="{C2635063-F191-4A85-9D11-2E8C2EFA45A2}" srcOrd="0" destOrd="0" presId="urn:microsoft.com/office/officeart/2005/8/layout/cycle2"/>
  </dgm:cxnLst>
  <dgm:bg/>
  <dgm:whole/>
  <dgm:extLst>
    <a:ext uri="http://schemas.microsoft.com/office/drawing/2008/diagram">
      <dsp:dataModelExt xmlns:dsp="http://schemas.microsoft.com/office/drawing/2008/diagram" relId="rId1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C4FEA7-0A04-4450-8F85-5400B13C2F7A}">
      <dsp:nvSpPr>
        <dsp:cNvPr id="0" name=""/>
        <dsp:cNvSpPr/>
      </dsp:nvSpPr>
      <dsp:spPr>
        <a:xfrm>
          <a:off x="2230859" y="1004"/>
          <a:ext cx="1024681" cy="102468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System Monitoring &amp; Performance Metrics</a:t>
          </a:r>
        </a:p>
        <a:p>
          <a:pPr marL="0" lvl="0" indent="0" algn="ctr" defTabSz="400050">
            <a:lnSpc>
              <a:spcPct val="90000"/>
            </a:lnSpc>
            <a:spcBef>
              <a:spcPct val="0"/>
            </a:spcBef>
            <a:spcAft>
              <a:spcPct val="35000"/>
            </a:spcAft>
            <a:buNone/>
          </a:pPr>
          <a:endParaRPr lang="en-IN" sz="900" kern="1200"/>
        </a:p>
      </dsp:txBody>
      <dsp:txXfrm>
        <a:off x="2380920" y="151065"/>
        <a:ext cx="724559" cy="724559"/>
      </dsp:txXfrm>
    </dsp:sp>
    <dsp:sp modelId="{040201E7-B964-4E27-86A6-01302B898BA8}">
      <dsp:nvSpPr>
        <dsp:cNvPr id="0" name=""/>
        <dsp:cNvSpPr/>
      </dsp:nvSpPr>
      <dsp:spPr>
        <a:xfrm rot="2700000">
          <a:off x="3145416" y="878423"/>
          <a:ext cx="271552" cy="3458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157346" y="918786"/>
        <a:ext cx="190086" cy="207498"/>
      </dsp:txXfrm>
    </dsp:sp>
    <dsp:sp modelId="{B1937223-0923-4872-8F67-C4DF4E1E90EC}">
      <dsp:nvSpPr>
        <dsp:cNvPr id="0" name=""/>
        <dsp:cNvSpPr/>
      </dsp:nvSpPr>
      <dsp:spPr>
        <a:xfrm>
          <a:off x="3317713" y="1087859"/>
          <a:ext cx="1024681" cy="102468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User Feedback Collection</a:t>
          </a:r>
        </a:p>
      </dsp:txBody>
      <dsp:txXfrm>
        <a:off x="3467774" y="1237920"/>
        <a:ext cx="724559" cy="724559"/>
      </dsp:txXfrm>
    </dsp:sp>
    <dsp:sp modelId="{524E9F7A-9306-4275-ABBA-06074C5D828B}">
      <dsp:nvSpPr>
        <dsp:cNvPr id="0" name=""/>
        <dsp:cNvSpPr/>
      </dsp:nvSpPr>
      <dsp:spPr>
        <a:xfrm rot="8100000">
          <a:off x="3156285" y="1965277"/>
          <a:ext cx="271552" cy="3458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3225821" y="2005640"/>
        <a:ext cx="190086" cy="207498"/>
      </dsp:txXfrm>
    </dsp:sp>
    <dsp:sp modelId="{F6532113-025B-427A-9E8C-3D8DC6E3EF94}">
      <dsp:nvSpPr>
        <dsp:cNvPr id="0" name=""/>
        <dsp:cNvSpPr/>
      </dsp:nvSpPr>
      <dsp:spPr>
        <a:xfrm>
          <a:off x="2230859" y="2174713"/>
          <a:ext cx="1024681" cy="102468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Operational Audits</a:t>
          </a:r>
        </a:p>
      </dsp:txBody>
      <dsp:txXfrm>
        <a:off x="2380920" y="2324774"/>
        <a:ext cx="724559" cy="724559"/>
      </dsp:txXfrm>
    </dsp:sp>
    <dsp:sp modelId="{2F84D7F6-57DA-47EF-A543-822093089E7E}">
      <dsp:nvSpPr>
        <dsp:cNvPr id="0" name=""/>
        <dsp:cNvSpPr/>
      </dsp:nvSpPr>
      <dsp:spPr>
        <a:xfrm rot="13500000">
          <a:off x="2069430" y="1976146"/>
          <a:ext cx="271552" cy="3458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138966" y="2074115"/>
        <a:ext cx="190086" cy="207498"/>
      </dsp:txXfrm>
    </dsp:sp>
    <dsp:sp modelId="{C443788A-123D-4794-9CA3-10952AAAFE9C}">
      <dsp:nvSpPr>
        <dsp:cNvPr id="0" name=""/>
        <dsp:cNvSpPr/>
      </dsp:nvSpPr>
      <dsp:spPr>
        <a:xfrm>
          <a:off x="1144004" y="1087859"/>
          <a:ext cx="1024681" cy="102468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l" defTabSz="400050">
            <a:lnSpc>
              <a:spcPct val="90000"/>
            </a:lnSpc>
            <a:spcBef>
              <a:spcPct val="0"/>
            </a:spcBef>
            <a:spcAft>
              <a:spcPct val="35000"/>
            </a:spcAft>
            <a:buNone/>
          </a:pPr>
          <a:r>
            <a:rPr lang="en-IN" sz="900" kern="1200"/>
            <a:t>Quality Improvement Actions</a:t>
          </a:r>
        </a:p>
        <a:p>
          <a:pPr marL="57150" lvl="1" indent="-57150" algn="l" defTabSz="311150">
            <a:lnSpc>
              <a:spcPct val="90000"/>
            </a:lnSpc>
            <a:spcBef>
              <a:spcPct val="0"/>
            </a:spcBef>
            <a:spcAft>
              <a:spcPct val="15000"/>
            </a:spcAft>
            <a:buChar char="•"/>
          </a:pPr>
          <a:endParaRPr lang="en-IN" sz="700" kern="1200"/>
        </a:p>
      </dsp:txBody>
      <dsp:txXfrm>
        <a:off x="1294065" y="1237920"/>
        <a:ext cx="724559" cy="724559"/>
      </dsp:txXfrm>
    </dsp:sp>
    <dsp:sp modelId="{2EB03552-A708-4DF2-A686-E4A15AC49E55}">
      <dsp:nvSpPr>
        <dsp:cNvPr id="0" name=""/>
        <dsp:cNvSpPr/>
      </dsp:nvSpPr>
      <dsp:spPr>
        <a:xfrm rot="18900000">
          <a:off x="2058561" y="889292"/>
          <a:ext cx="271552" cy="3458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070491" y="987261"/>
        <a:ext cx="190086" cy="2074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C4FEA7-0A04-4450-8F85-5400B13C2F7A}">
      <dsp:nvSpPr>
        <dsp:cNvPr id="0" name=""/>
        <dsp:cNvSpPr/>
      </dsp:nvSpPr>
      <dsp:spPr>
        <a:xfrm>
          <a:off x="2008729" y="535"/>
          <a:ext cx="842408" cy="84240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System Monitoring &amp; Performance Metrics</a:t>
          </a:r>
        </a:p>
        <a:p>
          <a:pPr marL="0" lvl="0" indent="0" algn="ctr" defTabSz="311150">
            <a:lnSpc>
              <a:spcPct val="90000"/>
            </a:lnSpc>
            <a:spcBef>
              <a:spcPct val="0"/>
            </a:spcBef>
            <a:spcAft>
              <a:spcPct val="35000"/>
            </a:spcAft>
            <a:buNone/>
          </a:pPr>
          <a:endParaRPr lang="en-IN" sz="700" kern="1200"/>
        </a:p>
      </dsp:txBody>
      <dsp:txXfrm>
        <a:off x="2132097" y="123903"/>
        <a:ext cx="595672" cy="595672"/>
      </dsp:txXfrm>
    </dsp:sp>
    <dsp:sp modelId="{040201E7-B964-4E27-86A6-01302B898BA8}">
      <dsp:nvSpPr>
        <dsp:cNvPr id="0" name=""/>
        <dsp:cNvSpPr/>
      </dsp:nvSpPr>
      <dsp:spPr>
        <a:xfrm rot="2700000">
          <a:off x="2760746" y="722509"/>
          <a:ext cx="224225" cy="28431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a:off x="2770597" y="755589"/>
        <a:ext cx="156958" cy="170588"/>
      </dsp:txXfrm>
    </dsp:sp>
    <dsp:sp modelId="{B1937223-0923-4872-8F67-C4DF4E1E90EC}">
      <dsp:nvSpPr>
        <dsp:cNvPr id="0" name=""/>
        <dsp:cNvSpPr/>
      </dsp:nvSpPr>
      <dsp:spPr>
        <a:xfrm>
          <a:off x="2903555" y="895362"/>
          <a:ext cx="842408" cy="84240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User Feedback Collection</a:t>
          </a:r>
        </a:p>
      </dsp:txBody>
      <dsp:txXfrm>
        <a:off x="3026923" y="1018730"/>
        <a:ext cx="595672" cy="595672"/>
      </dsp:txXfrm>
    </dsp:sp>
    <dsp:sp modelId="{524E9F7A-9306-4275-ABBA-06074C5D828B}">
      <dsp:nvSpPr>
        <dsp:cNvPr id="0" name=""/>
        <dsp:cNvSpPr/>
      </dsp:nvSpPr>
      <dsp:spPr>
        <a:xfrm rot="8100000">
          <a:off x="2769721" y="1617336"/>
          <a:ext cx="224225" cy="28431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10800000">
        <a:off x="2827137" y="1650416"/>
        <a:ext cx="156958" cy="170588"/>
      </dsp:txXfrm>
    </dsp:sp>
    <dsp:sp modelId="{F6532113-025B-427A-9E8C-3D8DC6E3EF94}">
      <dsp:nvSpPr>
        <dsp:cNvPr id="0" name=""/>
        <dsp:cNvSpPr/>
      </dsp:nvSpPr>
      <dsp:spPr>
        <a:xfrm>
          <a:off x="2008729" y="1790188"/>
          <a:ext cx="842408" cy="84240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Operational Audits</a:t>
          </a:r>
        </a:p>
      </dsp:txBody>
      <dsp:txXfrm>
        <a:off x="2132097" y="1913556"/>
        <a:ext cx="595672" cy="595672"/>
      </dsp:txXfrm>
    </dsp:sp>
    <dsp:sp modelId="{2F84D7F6-57DA-47EF-A543-822093089E7E}">
      <dsp:nvSpPr>
        <dsp:cNvPr id="0" name=""/>
        <dsp:cNvSpPr/>
      </dsp:nvSpPr>
      <dsp:spPr>
        <a:xfrm rot="13500000">
          <a:off x="1874894" y="1626310"/>
          <a:ext cx="224225" cy="28431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10800000">
        <a:off x="1932310" y="1706954"/>
        <a:ext cx="156958" cy="170588"/>
      </dsp:txXfrm>
    </dsp:sp>
    <dsp:sp modelId="{C443788A-123D-4794-9CA3-10952AAAFE9C}">
      <dsp:nvSpPr>
        <dsp:cNvPr id="0" name=""/>
        <dsp:cNvSpPr/>
      </dsp:nvSpPr>
      <dsp:spPr>
        <a:xfrm>
          <a:off x="1113902" y="895362"/>
          <a:ext cx="842408" cy="842408"/>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l" defTabSz="311150">
            <a:lnSpc>
              <a:spcPct val="90000"/>
            </a:lnSpc>
            <a:spcBef>
              <a:spcPct val="0"/>
            </a:spcBef>
            <a:spcAft>
              <a:spcPct val="35000"/>
            </a:spcAft>
            <a:buNone/>
          </a:pPr>
          <a:r>
            <a:rPr lang="en-IN" sz="700" kern="1200"/>
            <a:t>Quality Improvement Actions</a:t>
          </a:r>
        </a:p>
        <a:p>
          <a:pPr marL="57150" lvl="1" indent="-57150" algn="l" defTabSz="222250">
            <a:lnSpc>
              <a:spcPct val="90000"/>
            </a:lnSpc>
            <a:spcBef>
              <a:spcPct val="0"/>
            </a:spcBef>
            <a:spcAft>
              <a:spcPct val="15000"/>
            </a:spcAft>
            <a:buChar char="•"/>
          </a:pPr>
          <a:endParaRPr lang="en-IN" sz="500" kern="1200"/>
        </a:p>
      </dsp:txBody>
      <dsp:txXfrm>
        <a:off x="1237270" y="1018730"/>
        <a:ext cx="595672" cy="595672"/>
      </dsp:txXfrm>
    </dsp:sp>
    <dsp:sp modelId="{2EB03552-A708-4DF2-A686-E4A15AC49E55}">
      <dsp:nvSpPr>
        <dsp:cNvPr id="0" name=""/>
        <dsp:cNvSpPr/>
      </dsp:nvSpPr>
      <dsp:spPr>
        <a:xfrm rot="18900000">
          <a:off x="1865919" y="731483"/>
          <a:ext cx="224225" cy="28431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a:off x="1875770" y="812127"/>
        <a:ext cx="156958" cy="17058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519F2-4A1B-4117-BF17-21293E86A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69</Pages>
  <Words>21244</Words>
  <Characters>121096</Characters>
  <Application>Microsoft Office Word</Application>
  <DocSecurity>0</DocSecurity>
  <Lines>1009</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PATEL</dc:creator>
  <cp:keywords/>
  <dc:description/>
  <cp:lastModifiedBy>MEET PATEL</cp:lastModifiedBy>
  <cp:revision>115</cp:revision>
  <dcterms:created xsi:type="dcterms:W3CDTF">2026-02-02T13:36:00Z</dcterms:created>
  <dcterms:modified xsi:type="dcterms:W3CDTF">2026-02-03T00:40:00Z</dcterms:modified>
</cp:coreProperties>
</file>