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F5D60" w14:textId="77777777" w:rsidR="00EF3F8B" w:rsidRDefault="00EF3F8B" w:rsidP="00EF3F8B">
      <w:r w:rsidRPr="0004743B">
        <w:rPr>
          <w:noProof/>
        </w:rPr>
        <w:drawing>
          <wp:inline distT="0" distB="0" distL="0" distR="0" wp14:anchorId="52011291" wp14:editId="0E322842">
            <wp:extent cx="1538288" cy="595313"/>
            <wp:effectExtent l="0" t="0" r="5080" b="0"/>
            <wp:docPr id="4" name="Picture 3" descr="Discover University of Wales Trinity Saint David">
              <a:extLst xmlns:a="http://schemas.openxmlformats.org/drawingml/2006/main">
                <a:ext uri="{FF2B5EF4-FFF2-40B4-BE49-F238E27FC236}">
                  <a16:creationId xmlns:a16="http://schemas.microsoft.com/office/drawing/2014/main" id="{A66EF264-86CA-6994-BE67-379721DD0AEE}"/>
                </a:ext>
              </a:extLst>
            </wp:docPr>
            <wp:cNvGraphicFramePr/>
            <a:graphic xmlns:a="http://schemas.openxmlformats.org/drawingml/2006/main">
              <a:graphicData uri="http://schemas.openxmlformats.org/drawingml/2006/picture">
                <pic:pic xmlns:pic="http://schemas.openxmlformats.org/drawingml/2006/picture">
                  <pic:nvPicPr>
                    <pic:cNvPr id="4" name="Picture 3" descr="Discover University of Wales Trinity Saint David">
                      <a:extLst>
                        <a:ext uri="{FF2B5EF4-FFF2-40B4-BE49-F238E27FC236}">
                          <a16:creationId xmlns:a16="http://schemas.microsoft.com/office/drawing/2014/main" id="{A66EF264-86CA-6994-BE67-379721DD0AEE}"/>
                        </a:ext>
                      </a:extLst>
                    </pic:cNvPr>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571246" cy="608068"/>
                    </a:xfrm>
                    <a:prstGeom prst="rect">
                      <a:avLst/>
                    </a:prstGeom>
                    <a:noFill/>
                    <a:ln>
                      <a:noFill/>
                    </a:ln>
                  </pic:spPr>
                </pic:pic>
              </a:graphicData>
            </a:graphic>
          </wp:inline>
        </w:drawing>
      </w:r>
    </w:p>
    <w:p w14:paraId="144E1800" w14:textId="77777777" w:rsidR="00EF3F8B" w:rsidRDefault="00EF3F8B" w:rsidP="00EF3F8B">
      <w:pPr>
        <w:ind w:left="360"/>
      </w:pPr>
    </w:p>
    <w:p w14:paraId="12FB6FAD" w14:textId="77777777" w:rsidR="00EF3F8B" w:rsidRPr="0004743B" w:rsidRDefault="00EF3F8B" w:rsidP="00EF3F8B">
      <w:pPr>
        <w:spacing w:line="360" w:lineRule="auto"/>
        <w:ind w:left="360"/>
        <w:rPr>
          <w:rFonts w:ascii="Arial" w:hAnsi="Arial" w:cs="Arial"/>
        </w:rPr>
      </w:pPr>
      <w:r w:rsidRPr="0004743B">
        <w:rPr>
          <w:rFonts w:ascii="Arial" w:hAnsi="Arial" w:cs="Arial"/>
        </w:rPr>
        <w:t xml:space="preserve">Module code: </w:t>
      </w:r>
      <w:r w:rsidRPr="0004743B">
        <w:rPr>
          <w:rFonts w:ascii="Arial" w:hAnsi="Arial" w:cs="Arial"/>
          <w:i/>
          <w:iCs/>
        </w:rPr>
        <w:t>LCBB5012</w:t>
      </w:r>
    </w:p>
    <w:p w14:paraId="52F7F1C0" w14:textId="77777777" w:rsidR="00EF3F8B" w:rsidRPr="0004743B" w:rsidRDefault="00EF3F8B" w:rsidP="00EF3F8B">
      <w:pPr>
        <w:spacing w:line="360" w:lineRule="auto"/>
        <w:ind w:left="360"/>
        <w:rPr>
          <w:rFonts w:ascii="Arial" w:hAnsi="Arial" w:cs="Arial"/>
        </w:rPr>
      </w:pPr>
      <w:r w:rsidRPr="0004743B">
        <w:rPr>
          <w:rFonts w:ascii="Arial" w:hAnsi="Arial" w:cs="Arial"/>
        </w:rPr>
        <w:t>Module name</w:t>
      </w:r>
      <w:r w:rsidRPr="0004743B">
        <w:rPr>
          <w:rFonts w:ascii="Arial" w:hAnsi="Arial" w:cs="Arial"/>
          <w:i/>
          <w:iCs/>
        </w:rPr>
        <w:t>: Principles of Human Resource Management</w:t>
      </w:r>
    </w:p>
    <w:p w14:paraId="0D022B8B" w14:textId="77777777" w:rsidR="00EF3F8B" w:rsidRPr="0004743B" w:rsidRDefault="00EF3F8B" w:rsidP="00EF3F8B">
      <w:pPr>
        <w:spacing w:line="360" w:lineRule="auto"/>
        <w:ind w:left="360"/>
        <w:rPr>
          <w:rFonts w:ascii="Arial" w:hAnsi="Arial" w:cs="Arial"/>
          <w:bCs/>
          <w:i/>
          <w:iCs/>
        </w:rPr>
      </w:pPr>
      <w:r w:rsidRPr="0004743B">
        <w:rPr>
          <w:rFonts w:ascii="Arial" w:hAnsi="Arial" w:cs="Arial"/>
        </w:rPr>
        <w:t xml:space="preserve">Assignment number: </w:t>
      </w:r>
      <w:r w:rsidRPr="0004743B">
        <w:rPr>
          <w:rFonts w:ascii="Arial" w:hAnsi="Arial" w:cs="Arial"/>
          <w:bCs/>
          <w:i/>
          <w:iCs/>
        </w:rPr>
        <w:t>Component 2: Coursework: Individu</w:t>
      </w:r>
      <w:r>
        <w:rPr>
          <w:rFonts w:ascii="Arial" w:hAnsi="Arial" w:cs="Arial"/>
          <w:bCs/>
          <w:i/>
          <w:iCs/>
        </w:rPr>
        <w:t>al</w:t>
      </w:r>
      <w:r w:rsidRPr="0004743B">
        <w:rPr>
          <w:rFonts w:ascii="Arial" w:hAnsi="Arial" w:cs="Arial"/>
          <w:bCs/>
          <w:i/>
          <w:iCs/>
        </w:rPr>
        <w:t xml:space="preserve"> Report</w:t>
      </w:r>
    </w:p>
    <w:p w14:paraId="274D3057" w14:textId="7E41EF72" w:rsidR="00EF3F8B" w:rsidRPr="0004743B" w:rsidRDefault="00EF3F8B" w:rsidP="00EF3F8B">
      <w:pPr>
        <w:spacing w:line="360" w:lineRule="auto"/>
        <w:ind w:left="360"/>
        <w:rPr>
          <w:rFonts w:ascii="Arial" w:hAnsi="Arial" w:cs="Arial"/>
        </w:rPr>
      </w:pPr>
      <w:r w:rsidRPr="0004743B">
        <w:rPr>
          <w:rFonts w:ascii="Arial" w:hAnsi="Arial" w:cs="Arial"/>
        </w:rPr>
        <w:t xml:space="preserve">Name: </w:t>
      </w:r>
      <w:r>
        <w:rPr>
          <w:rFonts w:ascii="Arial" w:hAnsi="Arial" w:cs="Arial"/>
          <w:i/>
          <w:iCs/>
        </w:rPr>
        <w:t>Daniela Munteanu</w:t>
      </w:r>
    </w:p>
    <w:p w14:paraId="57443FF6" w14:textId="7976C904" w:rsidR="00EF3F8B" w:rsidRPr="0004743B" w:rsidRDefault="00EF3F8B" w:rsidP="00EF3F8B">
      <w:pPr>
        <w:spacing w:line="360" w:lineRule="auto"/>
        <w:ind w:left="360"/>
        <w:rPr>
          <w:rFonts w:ascii="Arial" w:hAnsi="Arial" w:cs="Arial"/>
        </w:rPr>
      </w:pPr>
      <w:r w:rsidRPr="0004743B">
        <w:rPr>
          <w:rFonts w:ascii="Arial" w:hAnsi="Arial" w:cs="Arial"/>
        </w:rPr>
        <w:t xml:space="preserve">Student Number: </w:t>
      </w:r>
      <w:r w:rsidRPr="0004743B">
        <w:rPr>
          <w:rFonts w:ascii="Arial" w:hAnsi="Arial" w:cs="Arial"/>
          <w:i/>
          <w:iCs/>
        </w:rPr>
        <w:t>22404</w:t>
      </w:r>
      <w:r>
        <w:rPr>
          <w:rFonts w:ascii="Arial" w:hAnsi="Arial" w:cs="Arial"/>
          <w:i/>
          <w:iCs/>
        </w:rPr>
        <w:t>58</w:t>
      </w:r>
    </w:p>
    <w:p w14:paraId="7056AFB5" w14:textId="77777777" w:rsidR="00EF3F8B" w:rsidRPr="0004743B" w:rsidRDefault="00EF3F8B" w:rsidP="00EF3F8B">
      <w:pPr>
        <w:spacing w:line="360" w:lineRule="auto"/>
        <w:ind w:left="360"/>
        <w:rPr>
          <w:rFonts w:ascii="Arial" w:hAnsi="Arial" w:cs="Arial"/>
        </w:rPr>
      </w:pPr>
      <w:r w:rsidRPr="0004743B">
        <w:rPr>
          <w:rFonts w:ascii="Arial" w:hAnsi="Arial" w:cs="Arial"/>
        </w:rPr>
        <w:t xml:space="preserve">Lecturer name: </w:t>
      </w:r>
      <w:proofErr w:type="spellStart"/>
      <w:r w:rsidRPr="0004743B">
        <w:rPr>
          <w:rFonts w:ascii="Arial" w:hAnsi="Arial" w:cs="Arial"/>
          <w:i/>
          <w:iCs/>
        </w:rPr>
        <w:t>Fouziya</w:t>
      </w:r>
      <w:proofErr w:type="spellEnd"/>
      <w:r w:rsidRPr="0004743B">
        <w:rPr>
          <w:rFonts w:ascii="Arial" w:hAnsi="Arial" w:cs="Arial"/>
          <w:i/>
          <w:iCs/>
        </w:rPr>
        <w:t xml:space="preserve"> Farheen</w:t>
      </w:r>
    </w:p>
    <w:p w14:paraId="489FAFCF" w14:textId="77777777" w:rsidR="00EF3F8B" w:rsidRDefault="00EF3F8B" w:rsidP="00EF3F8B">
      <w:pPr>
        <w:rPr>
          <w:rFonts w:ascii="Arial" w:hAnsi="Arial" w:cs="Arial"/>
        </w:rPr>
      </w:pPr>
      <w:r>
        <w:rPr>
          <w:rFonts w:ascii="Arial" w:hAnsi="Arial" w:cs="Arial"/>
        </w:rPr>
        <w:br w:type="page"/>
      </w:r>
    </w:p>
    <w:p w14:paraId="3128782F" w14:textId="77777777" w:rsidR="00EF3F8B" w:rsidRDefault="00EF3F8B" w:rsidP="00EF3F8B">
      <w:pPr>
        <w:jc w:val="center"/>
        <w:rPr>
          <w:rFonts w:ascii="Arial" w:hAnsi="Arial" w:cs="Arial"/>
        </w:rPr>
      </w:pPr>
      <w:r>
        <w:rPr>
          <w:rFonts w:ascii="Arial" w:hAnsi="Arial" w:cs="Arial"/>
        </w:rPr>
        <w:lastRenderedPageBreak/>
        <w:t>Table of content</w:t>
      </w:r>
    </w:p>
    <w:p w14:paraId="789770B2" w14:textId="77777777" w:rsidR="00EF3F8B" w:rsidRDefault="00EF3F8B" w:rsidP="00EF3F8B">
      <w:pPr>
        <w:rPr>
          <w:rFonts w:ascii="Arial" w:hAnsi="Arial" w:cs="Arial"/>
        </w:rPr>
      </w:pPr>
    </w:p>
    <w:p w14:paraId="64CB63C2" w14:textId="77777777" w:rsidR="00EF3F8B" w:rsidRDefault="00EF3F8B" w:rsidP="00EF3F8B">
      <w:pPr>
        <w:rPr>
          <w:rFonts w:ascii="Arial" w:hAnsi="Arial" w:cs="Arial"/>
        </w:rPr>
      </w:pPr>
    </w:p>
    <w:p w14:paraId="69BEF67F" w14:textId="77777777" w:rsidR="00EF3F8B" w:rsidRDefault="00EF3F8B" w:rsidP="00EF3F8B">
      <w:pPr>
        <w:rPr>
          <w:rFonts w:ascii="Arial" w:hAnsi="Arial" w:cs="Arial"/>
        </w:rPr>
      </w:pPr>
      <w:r>
        <w:rPr>
          <w:rFonts w:ascii="Arial" w:hAnsi="Arial" w:cs="Arial"/>
        </w:rPr>
        <w:t>Introduction ………………………………………………………………………………… 3</w:t>
      </w:r>
    </w:p>
    <w:p w14:paraId="5E034AFD" w14:textId="77777777" w:rsidR="00EF3F8B" w:rsidRPr="00E613F5" w:rsidRDefault="00EF3F8B" w:rsidP="00EF3F8B">
      <w:pPr>
        <w:spacing w:line="360" w:lineRule="auto"/>
        <w:rPr>
          <w:rFonts w:ascii="Arial" w:hAnsi="Arial" w:cs="Arial"/>
        </w:rPr>
      </w:pPr>
      <w:r w:rsidRPr="00E613F5">
        <w:rPr>
          <w:rFonts w:ascii="Arial" w:hAnsi="Arial" w:cs="Arial"/>
        </w:rPr>
        <w:t xml:space="preserve">Internal and External Environment </w:t>
      </w:r>
      <w:r>
        <w:rPr>
          <w:rFonts w:ascii="Arial" w:hAnsi="Arial" w:cs="Arial"/>
        </w:rPr>
        <w:t>…………………………………………………….    3</w:t>
      </w:r>
    </w:p>
    <w:p w14:paraId="3F60B87B" w14:textId="168CFA79" w:rsidR="00EF3F8B" w:rsidRDefault="00EF3F8B" w:rsidP="00EF3F8B">
      <w:pPr>
        <w:spacing w:line="360" w:lineRule="auto"/>
        <w:rPr>
          <w:rFonts w:ascii="Arial" w:hAnsi="Arial" w:cs="Arial"/>
        </w:rPr>
      </w:pPr>
      <w:r w:rsidRPr="00E613F5">
        <w:rPr>
          <w:rFonts w:ascii="Arial" w:hAnsi="Arial" w:cs="Arial"/>
        </w:rPr>
        <w:t xml:space="preserve">Organisation Application </w:t>
      </w:r>
      <w:r>
        <w:rPr>
          <w:rFonts w:ascii="Arial" w:hAnsi="Arial" w:cs="Arial"/>
        </w:rPr>
        <w:t xml:space="preserve">………………………………………………………………….  </w:t>
      </w:r>
      <w:r w:rsidR="0057487B">
        <w:rPr>
          <w:rFonts w:ascii="Arial" w:hAnsi="Arial" w:cs="Arial"/>
        </w:rPr>
        <w:t>5</w:t>
      </w:r>
    </w:p>
    <w:p w14:paraId="7C922816" w14:textId="5AA6A2AC" w:rsidR="00EF3F8B" w:rsidRPr="00E613F5" w:rsidRDefault="00EF3F8B" w:rsidP="00EF3F8B">
      <w:pPr>
        <w:spacing w:line="360" w:lineRule="auto"/>
        <w:rPr>
          <w:rFonts w:ascii="Arial" w:hAnsi="Arial" w:cs="Arial"/>
        </w:rPr>
      </w:pPr>
      <w:r w:rsidRPr="00E613F5">
        <w:rPr>
          <w:rFonts w:ascii="Arial" w:hAnsi="Arial" w:cs="Arial"/>
        </w:rPr>
        <w:t>Application of Model</w:t>
      </w:r>
      <w:r>
        <w:rPr>
          <w:rFonts w:ascii="Arial" w:hAnsi="Arial" w:cs="Arial"/>
        </w:rPr>
        <w:t xml:space="preserve"> ………………………………………………………………………  </w:t>
      </w:r>
      <w:r w:rsidR="0057487B">
        <w:rPr>
          <w:rFonts w:ascii="Arial" w:hAnsi="Arial" w:cs="Arial"/>
        </w:rPr>
        <w:t>6</w:t>
      </w:r>
    </w:p>
    <w:p w14:paraId="0E18D94B" w14:textId="146641BA" w:rsidR="00EF3F8B" w:rsidRPr="00E613F5" w:rsidRDefault="00EF3F8B" w:rsidP="00EF3F8B">
      <w:pPr>
        <w:spacing w:line="360" w:lineRule="auto"/>
        <w:rPr>
          <w:rFonts w:ascii="Arial" w:hAnsi="Arial" w:cs="Arial"/>
        </w:rPr>
      </w:pPr>
      <w:r w:rsidRPr="00E613F5">
        <w:rPr>
          <w:rFonts w:ascii="Arial" w:hAnsi="Arial" w:cs="Arial"/>
        </w:rPr>
        <w:t>Conclusion</w:t>
      </w:r>
      <w:r>
        <w:rPr>
          <w:rFonts w:ascii="Arial" w:hAnsi="Arial" w:cs="Arial"/>
        </w:rPr>
        <w:t xml:space="preserve"> …………………………………………………………………………………. </w:t>
      </w:r>
      <w:r w:rsidR="008C2A56">
        <w:rPr>
          <w:rFonts w:ascii="Arial" w:hAnsi="Arial" w:cs="Arial"/>
        </w:rPr>
        <w:t>8</w:t>
      </w:r>
    </w:p>
    <w:p w14:paraId="6A54CB1D" w14:textId="77777777" w:rsidR="00EF3F8B" w:rsidRPr="00E613F5" w:rsidRDefault="00EF3F8B" w:rsidP="00EF3F8B">
      <w:pPr>
        <w:spacing w:line="360" w:lineRule="auto"/>
        <w:rPr>
          <w:rFonts w:ascii="Arial" w:hAnsi="Arial" w:cs="Arial"/>
        </w:rPr>
      </w:pPr>
      <w:r w:rsidRPr="00E613F5">
        <w:rPr>
          <w:rFonts w:ascii="Arial" w:hAnsi="Arial" w:cs="Arial"/>
        </w:rPr>
        <w:t>Reference List</w:t>
      </w:r>
      <w:r>
        <w:rPr>
          <w:rFonts w:ascii="Arial" w:hAnsi="Arial" w:cs="Arial"/>
        </w:rPr>
        <w:t xml:space="preserve"> …………………………………………………………………………….   7</w:t>
      </w:r>
    </w:p>
    <w:p w14:paraId="4F8360A4" w14:textId="77777777" w:rsidR="00EF3F8B" w:rsidRDefault="00EF3F8B" w:rsidP="00BF7CBC">
      <w:pPr>
        <w:spacing w:line="360" w:lineRule="auto"/>
        <w:rPr>
          <w:rFonts w:ascii="Arial" w:hAnsi="Arial" w:cs="Arial"/>
          <w:sz w:val="24"/>
          <w:szCs w:val="24"/>
        </w:rPr>
      </w:pPr>
    </w:p>
    <w:p w14:paraId="4A777A6D" w14:textId="77777777" w:rsidR="0057487B" w:rsidRDefault="0057487B" w:rsidP="00BF7CBC">
      <w:pPr>
        <w:spacing w:line="360" w:lineRule="auto"/>
        <w:rPr>
          <w:rFonts w:ascii="Arial" w:hAnsi="Arial" w:cs="Arial"/>
          <w:sz w:val="24"/>
          <w:szCs w:val="24"/>
        </w:rPr>
      </w:pPr>
    </w:p>
    <w:p w14:paraId="7E1965C4" w14:textId="77777777" w:rsidR="0057487B" w:rsidRDefault="0057487B" w:rsidP="00BF7CBC">
      <w:pPr>
        <w:spacing w:line="360" w:lineRule="auto"/>
        <w:rPr>
          <w:rFonts w:ascii="Arial" w:hAnsi="Arial" w:cs="Arial"/>
          <w:sz w:val="24"/>
          <w:szCs w:val="24"/>
        </w:rPr>
      </w:pPr>
    </w:p>
    <w:p w14:paraId="6249DE70" w14:textId="77777777" w:rsidR="0057487B" w:rsidRDefault="0057487B" w:rsidP="00BF7CBC">
      <w:pPr>
        <w:spacing w:line="360" w:lineRule="auto"/>
        <w:rPr>
          <w:rFonts w:ascii="Arial" w:hAnsi="Arial" w:cs="Arial"/>
          <w:sz w:val="24"/>
          <w:szCs w:val="24"/>
        </w:rPr>
      </w:pPr>
    </w:p>
    <w:p w14:paraId="33BBFEDC" w14:textId="77777777" w:rsidR="0057487B" w:rsidRDefault="0057487B" w:rsidP="00BF7CBC">
      <w:pPr>
        <w:spacing w:line="360" w:lineRule="auto"/>
        <w:rPr>
          <w:rFonts w:ascii="Arial" w:hAnsi="Arial" w:cs="Arial"/>
          <w:sz w:val="24"/>
          <w:szCs w:val="24"/>
        </w:rPr>
      </w:pPr>
    </w:p>
    <w:p w14:paraId="32011081" w14:textId="77777777" w:rsidR="0057487B" w:rsidRDefault="0057487B" w:rsidP="00BF7CBC">
      <w:pPr>
        <w:spacing w:line="360" w:lineRule="auto"/>
        <w:rPr>
          <w:rFonts w:ascii="Arial" w:hAnsi="Arial" w:cs="Arial"/>
          <w:sz w:val="24"/>
          <w:szCs w:val="24"/>
        </w:rPr>
      </w:pPr>
    </w:p>
    <w:p w14:paraId="3901692D" w14:textId="77777777" w:rsidR="0057487B" w:rsidRDefault="0057487B" w:rsidP="00BF7CBC">
      <w:pPr>
        <w:spacing w:line="360" w:lineRule="auto"/>
        <w:rPr>
          <w:rFonts w:ascii="Arial" w:hAnsi="Arial" w:cs="Arial"/>
          <w:sz w:val="24"/>
          <w:szCs w:val="24"/>
        </w:rPr>
      </w:pPr>
    </w:p>
    <w:p w14:paraId="7A26D15A" w14:textId="77777777" w:rsidR="0057487B" w:rsidRDefault="0057487B" w:rsidP="00BF7CBC">
      <w:pPr>
        <w:spacing w:line="360" w:lineRule="auto"/>
        <w:rPr>
          <w:rFonts w:ascii="Arial" w:hAnsi="Arial" w:cs="Arial"/>
          <w:sz w:val="24"/>
          <w:szCs w:val="24"/>
        </w:rPr>
      </w:pPr>
    </w:p>
    <w:p w14:paraId="61903337" w14:textId="77777777" w:rsidR="0057487B" w:rsidRDefault="0057487B" w:rsidP="00BF7CBC">
      <w:pPr>
        <w:spacing w:line="360" w:lineRule="auto"/>
        <w:rPr>
          <w:rFonts w:ascii="Arial" w:hAnsi="Arial" w:cs="Arial"/>
          <w:sz w:val="24"/>
          <w:szCs w:val="24"/>
        </w:rPr>
      </w:pPr>
    </w:p>
    <w:p w14:paraId="31917F47" w14:textId="77777777" w:rsidR="0057487B" w:rsidRDefault="0057487B" w:rsidP="00BF7CBC">
      <w:pPr>
        <w:spacing w:line="360" w:lineRule="auto"/>
        <w:rPr>
          <w:rFonts w:ascii="Arial" w:hAnsi="Arial" w:cs="Arial"/>
          <w:sz w:val="24"/>
          <w:szCs w:val="24"/>
        </w:rPr>
      </w:pPr>
    </w:p>
    <w:p w14:paraId="06FEAFBC" w14:textId="77777777" w:rsidR="0057487B" w:rsidRDefault="0057487B" w:rsidP="00BF7CBC">
      <w:pPr>
        <w:spacing w:line="360" w:lineRule="auto"/>
        <w:rPr>
          <w:rFonts w:ascii="Arial" w:hAnsi="Arial" w:cs="Arial"/>
          <w:sz w:val="24"/>
          <w:szCs w:val="24"/>
        </w:rPr>
      </w:pPr>
    </w:p>
    <w:p w14:paraId="1E763C8E" w14:textId="77777777" w:rsidR="0057487B" w:rsidRDefault="0057487B" w:rsidP="00BF7CBC">
      <w:pPr>
        <w:spacing w:line="360" w:lineRule="auto"/>
        <w:rPr>
          <w:rFonts w:ascii="Arial" w:hAnsi="Arial" w:cs="Arial"/>
          <w:sz w:val="24"/>
          <w:szCs w:val="24"/>
        </w:rPr>
      </w:pPr>
    </w:p>
    <w:p w14:paraId="7D09689E" w14:textId="77777777" w:rsidR="0057487B" w:rsidRDefault="0057487B" w:rsidP="00BF7CBC">
      <w:pPr>
        <w:spacing w:line="360" w:lineRule="auto"/>
        <w:rPr>
          <w:rFonts w:ascii="Arial" w:hAnsi="Arial" w:cs="Arial"/>
          <w:sz w:val="24"/>
          <w:szCs w:val="24"/>
        </w:rPr>
      </w:pPr>
    </w:p>
    <w:p w14:paraId="1C75478B" w14:textId="77777777" w:rsidR="0057487B" w:rsidRDefault="0057487B" w:rsidP="00BF7CBC">
      <w:pPr>
        <w:spacing w:line="360" w:lineRule="auto"/>
        <w:rPr>
          <w:rFonts w:ascii="Arial" w:hAnsi="Arial" w:cs="Arial"/>
          <w:sz w:val="24"/>
          <w:szCs w:val="24"/>
        </w:rPr>
      </w:pPr>
    </w:p>
    <w:p w14:paraId="598A8DDE" w14:textId="77777777" w:rsidR="0057487B" w:rsidRDefault="0057487B" w:rsidP="00BF7CBC">
      <w:pPr>
        <w:spacing w:line="360" w:lineRule="auto"/>
        <w:rPr>
          <w:rFonts w:ascii="Arial" w:hAnsi="Arial" w:cs="Arial"/>
          <w:sz w:val="24"/>
          <w:szCs w:val="24"/>
        </w:rPr>
      </w:pPr>
    </w:p>
    <w:p w14:paraId="07149795" w14:textId="77777777" w:rsidR="0057487B" w:rsidRDefault="0057487B" w:rsidP="00BF7CBC">
      <w:pPr>
        <w:spacing w:line="360" w:lineRule="auto"/>
        <w:rPr>
          <w:rFonts w:ascii="Arial" w:hAnsi="Arial" w:cs="Arial"/>
          <w:sz w:val="24"/>
          <w:szCs w:val="24"/>
        </w:rPr>
      </w:pPr>
    </w:p>
    <w:p w14:paraId="63B0CA75" w14:textId="4EC217B7" w:rsidR="009E72E0" w:rsidRDefault="009E72E0" w:rsidP="008C11F2">
      <w:pPr>
        <w:spacing w:after="0" w:line="240" w:lineRule="auto"/>
        <w:rPr>
          <w:rFonts w:ascii="Arial" w:hAnsi="Arial" w:cs="Arial"/>
          <w:sz w:val="24"/>
          <w:szCs w:val="24"/>
        </w:rPr>
      </w:pPr>
      <w:r w:rsidRPr="009E72E0">
        <w:rPr>
          <w:rFonts w:ascii="Arial" w:hAnsi="Arial" w:cs="Arial"/>
          <w:sz w:val="24"/>
          <w:szCs w:val="24"/>
        </w:rPr>
        <w:lastRenderedPageBreak/>
        <w:t>Report: The Influence of Environmental Factors on the Effectiveness of Human Resource Managers – Case Study HSBC</w:t>
      </w:r>
    </w:p>
    <w:p w14:paraId="4BCF9FD2" w14:textId="77777777" w:rsidR="008C11F2" w:rsidRPr="009E72E0" w:rsidRDefault="008C11F2" w:rsidP="008C11F2">
      <w:pPr>
        <w:spacing w:after="0" w:line="240" w:lineRule="auto"/>
        <w:rPr>
          <w:rFonts w:ascii="Arial" w:hAnsi="Arial" w:cs="Arial"/>
          <w:sz w:val="24"/>
          <w:szCs w:val="24"/>
        </w:rPr>
      </w:pPr>
    </w:p>
    <w:p w14:paraId="6732C097" w14:textId="6DD9D844" w:rsidR="006B7EB7" w:rsidRPr="00BF7CBC" w:rsidRDefault="009E72E0" w:rsidP="0057487B">
      <w:pPr>
        <w:spacing w:after="0" w:line="360" w:lineRule="auto"/>
        <w:ind w:firstLine="720"/>
        <w:rPr>
          <w:rFonts w:ascii="Arial" w:hAnsi="Arial" w:cs="Arial"/>
          <w:b/>
          <w:bCs/>
          <w:sz w:val="24"/>
          <w:szCs w:val="24"/>
        </w:rPr>
      </w:pPr>
      <w:r w:rsidRPr="00BF7CBC">
        <w:rPr>
          <w:rFonts w:ascii="Arial" w:hAnsi="Arial" w:cs="Arial"/>
          <w:b/>
          <w:bCs/>
          <w:sz w:val="24"/>
          <w:szCs w:val="24"/>
        </w:rPr>
        <w:t>Introduction</w:t>
      </w:r>
    </w:p>
    <w:p w14:paraId="1D7F39EB"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HRMs are vital to company efficiency. The organization aligns its personnel with its strategic goals and adapts to an uncertain external environment. HRM must navigate unexpected changes, ensure operational flexibility, and preserve organisational strength in the post-pandemic context of various work styles, ESG demands, and geopolitical difficulties. HRM adapts to external changes and improves organisational stability, according to Potgieter and Ferreira (2022, p. 3). This makes HR a strategic partner for executive leadership. </w:t>
      </w:r>
    </w:p>
    <w:p w14:paraId="50AC8454"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Human resources functions like recruitment and selection help attract financial technology and sustainability experts. Training and development are crucial because they help employees adapt to new digital technology. Performance management motivates staff by giving clear evaluations and ESG-aligned rewards. Employee relations govern worker communication and interactions, making them important. They immediately affect productivity, operating expenses, compliance risks, and the ability to develop a sustained competitive edge. Armstrong and Taylor (2020, pp. 24-35) show that strategic HRM boosts organisational performance; Noe et al. (2021, pp. 5-12) emphasise HR functions' importance in achieving business goals; and Torrington et al. (2020, pp. 12-18) emphasise their importance in volatile environments like the banking sector. </w:t>
      </w:r>
    </w:p>
    <w:p w14:paraId="608DEF7E" w14:textId="39496B77" w:rsidR="0025506A" w:rsidRPr="0025506A" w:rsidRDefault="0025506A" w:rsidP="0057487B">
      <w:pPr>
        <w:spacing w:after="0" w:line="360" w:lineRule="auto"/>
        <w:ind w:firstLine="720"/>
        <w:rPr>
          <w:rFonts w:ascii="Arial" w:hAnsi="Arial" w:cs="Arial"/>
          <w:sz w:val="24"/>
          <w:szCs w:val="24"/>
        </w:rPr>
      </w:pPr>
      <w:r w:rsidRPr="0025506A">
        <w:rPr>
          <w:rFonts w:ascii="Arial" w:hAnsi="Arial" w:cs="Arial"/>
          <w:sz w:val="24"/>
          <w:szCs w:val="24"/>
        </w:rPr>
        <w:t>These responsibilities are essential for the global banking sector, which must comply with Basel IV and GDPR, compete with fintech, and move toward a green economy. Internal and external variables affect MRU efficacy at HSBC Holdings plc, a worldwide company operating in 58 countries and territories.</w:t>
      </w:r>
    </w:p>
    <w:p w14:paraId="6B2D1876" w14:textId="77777777" w:rsidR="0025506A" w:rsidRPr="0025506A" w:rsidRDefault="0025506A" w:rsidP="0057487B">
      <w:pPr>
        <w:spacing w:after="0" w:line="360" w:lineRule="auto"/>
        <w:ind w:firstLine="720"/>
        <w:rPr>
          <w:rFonts w:ascii="Arial" w:hAnsi="Arial" w:cs="Arial"/>
          <w:b/>
          <w:bCs/>
          <w:sz w:val="24"/>
          <w:szCs w:val="24"/>
        </w:rPr>
      </w:pPr>
      <w:r w:rsidRPr="0025506A">
        <w:rPr>
          <w:rFonts w:ascii="Arial" w:hAnsi="Arial" w:cs="Arial"/>
          <w:b/>
          <w:bCs/>
          <w:sz w:val="24"/>
          <w:szCs w:val="24"/>
        </w:rPr>
        <w:t>Internal and External Environment</w:t>
      </w:r>
    </w:p>
    <w:p w14:paraId="7C9F5797"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The PESTLE model (Political, Economic, Social, Technological, Legal, Environmental) serves as a comprehensive framework for analysing the macro-external factors influencing global banking operations. The primary utility is in systematically identifying external opportunities and threats, enabling HR managers to anticipate macro trends and formulate proactive strategies for talent management, organisational development, and compliance. Marchington et al. (2020, pp. 45-52) highlight that PESTLE aids in comprehending the external context of HRM. In contrast, Potgieter and Ferreira (2022, p. 5) assert that in the "new normal," this </w:t>
      </w:r>
      <w:r w:rsidRPr="0025506A">
        <w:rPr>
          <w:rFonts w:ascii="Arial" w:hAnsi="Arial" w:cs="Arial"/>
          <w:sz w:val="24"/>
          <w:szCs w:val="24"/>
        </w:rPr>
        <w:lastRenderedPageBreak/>
        <w:t xml:space="preserve">model enables the </w:t>
      </w:r>
      <w:proofErr w:type="spellStart"/>
      <w:r w:rsidRPr="0025506A">
        <w:rPr>
          <w:rFonts w:ascii="Arial" w:hAnsi="Arial" w:cs="Arial"/>
          <w:sz w:val="24"/>
          <w:szCs w:val="24"/>
        </w:rPr>
        <w:t>reconceptualisation</w:t>
      </w:r>
      <w:proofErr w:type="spellEnd"/>
      <w:r w:rsidRPr="0025506A">
        <w:rPr>
          <w:rFonts w:ascii="Arial" w:hAnsi="Arial" w:cs="Arial"/>
          <w:sz w:val="24"/>
          <w:szCs w:val="24"/>
        </w:rPr>
        <w:t xml:space="preserve"> of HRM as a strategic function that can convert external pressures into resilience and competitive advantage, particularly in highly regulated sectors like banking.</w:t>
      </w:r>
    </w:p>
    <w:p w14:paraId="437BA793"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The model's limitations are significant: the evaluation is partially subjective, the intricate interactions among factors (e.g., economic and geopolitical) are challenging to quantify accurately, and the emphasis on external factors may overlook </w:t>
      </w:r>
      <w:proofErr w:type="gramStart"/>
      <w:r w:rsidRPr="0025506A">
        <w:rPr>
          <w:rFonts w:ascii="Arial" w:hAnsi="Arial" w:cs="Arial"/>
          <w:sz w:val="24"/>
          <w:szCs w:val="24"/>
        </w:rPr>
        <w:t>particular internal</w:t>
      </w:r>
      <w:proofErr w:type="gramEnd"/>
      <w:r w:rsidRPr="0025506A">
        <w:rPr>
          <w:rFonts w:ascii="Arial" w:hAnsi="Arial" w:cs="Arial"/>
          <w:sz w:val="24"/>
          <w:szCs w:val="24"/>
        </w:rPr>
        <w:t xml:space="preserve"> dynamics, such as organisational culture or leadership style. The identified weaknesses necessitate the integration of complementary internal analyses to achieve a comprehensive and actionable perspective (</w:t>
      </w:r>
      <w:proofErr w:type="spellStart"/>
      <w:r w:rsidRPr="0025506A">
        <w:rPr>
          <w:rFonts w:ascii="Arial" w:hAnsi="Arial" w:cs="Arial"/>
          <w:sz w:val="24"/>
          <w:szCs w:val="24"/>
        </w:rPr>
        <w:t>Veldsman</w:t>
      </w:r>
      <w:proofErr w:type="spellEnd"/>
      <w:r w:rsidRPr="0025506A">
        <w:rPr>
          <w:rFonts w:ascii="Arial" w:hAnsi="Arial" w:cs="Arial"/>
          <w:sz w:val="24"/>
          <w:szCs w:val="24"/>
        </w:rPr>
        <w:t xml:space="preserve"> and Van der Merwe, 2022, pp. 55-60; Verhulst and DeCenzo, 2021, pp. 67-72).</w:t>
      </w:r>
    </w:p>
    <w:p w14:paraId="06129AF9"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The relationship with HR functions is significant and complex. Political factors, including geopolitical tensions, the effects of Brexit, and regional instability, along with legal factors such as EU/UK directives on Basel IV, GDPR, and anti-discrimination laws, significantly impact employee relations. This influence manifests through compliance obligations, collective bargaining, and the adaptation of international mobility policies (Oosthuizen, 2022, pp. 102-105; Pilbeam and Corbridge, 2010, pp. 89-95). </w:t>
      </w:r>
    </w:p>
    <w:p w14:paraId="2C3E6343"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The economic factors, including persistent inflation, volatile interest rates, and increased operational costs, require dynamic adjustments in compensation, benefits, and bonus systems to mitigate pressures on motivation and retention (</w:t>
      </w:r>
      <w:proofErr w:type="spellStart"/>
      <w:r w:rsidRPr="0025506A">
        <w:rPr>
          <w:rFonts w:ascii="Arial" w:hAnsi="Arial" w:cs="Arial"/>
          <w:sz w:val="24"/>
          <w:szCs w:val="24"/>
        </w:rPr>
        <w:t>Bussin</w:t>
      </w:r>
      <w:proofErr w:type="spellEnd"/>
      <w:r w:rsidRPr="0025506A">
        <w:rPr>
          <w:rFonts w:ascii="Arial" w:hAnsi="Arial" w:cs="Arial"/>
          <w:sz w:val="24"/>
          <w:szCs w:val="24"/>
        </w:rPr>
        <w:t xml:space="preserve">, 2022, pp. 125-128; Armstrong and Taylor, 2020, pp. 312-320). </w:t>
      </w:r>
    </w:p>
    <w:p w14:paraId="7CD1791C"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The social factor, characterised by high cultural diversity, inclusion expectations, gender equity, and work-life balance, necessitates substantial investments in training programs focused on employee experience and the advancement of DEI (Taylor, 2021, pp. 145-152; </w:t>
      </w:r>
      <w:proofErr w:type="spellStart"/>
      <w:r w:rsidRPr="0025506A">
        <w:rPr>
          <w:rFonts w:ascii="Arial" w:hAnsi="Arial" w:cs="Arial"/>
          <w:sz w:val="24"/>
          <w:szCs w:val="24"/>
        </w:rPr>
        <w:t>Veldsman</w:t>
      </w:r>
      <w:proofErr w:type="spellEnd"/>
      <w:r w:rsidRPr="0025506A">
        <w:rPr>
          <w:rFonts w:ascii="Arial" w:hAnsi="Arial" w:cs="Arial"/>
          <w:sz w:val="24"/>
          <w:szCs w:val="24"/>
        </w:rPr>
        <w:t xml:space="preserve"> and Van der Merwe, 2022, pp. 53-72). </w:t>
      </w:r>
    </w:p>
    <w:p w14:paraId="6B59E235"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The technological factor, encompassing AI acceleration, digital banking, and cybersecurity, necessitates focused recruitment in digital competencies and ongoing investments in extensive upskilling (Cross and Swart, 2022, pp. 232-246). </w:t>
      </w:r>
    </w:p>
    <w:p w14:paraId="402D50B6"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The environmental factor, including net zero targets by 2050 and sustainable finance, incorporates sustainable training and aligns bonus schemes with objectives related to the green transition (Schultz, 2022, pp. 18-22).</w:t>
      </w:r>
    </w:p>
    <w:p w14:paraId="767B2ABB"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HSBC's internal environment features a global organisational culture focused on inclusion, innovation, and social responsibility, employing approximately 211,409 </w:t>
      </w:r>
      <w:r w:rsidRPr="0025506A">
        <w:rPr>
          <w:rFonts w:ascii="Arial" w:hAnsi="Arial" w:cs="Arial"/>
          <w:sz w:val="24"/>
          <w:szCs w:val="24"/>
        </w:rPr>
        <w:lastRenderedPageBreak/>
        <w:t xml:space="preserve">individuals by the end of 2025 (HSBC Holdings plc, 2025, p. 53). It operates with decentralised regional structures, predominantly in Asia, which comprises over 50% of the workforce, and possesses highly skilled human resources in financial technology, sustainability, and compliance. The internal traits interact with external factors: the inclusive culture enhances retention and engagement, while global regulatory pressures and intense competition for digital talent increase recruitment and development challenges (Taylor and Woodhams, 2012, pp. 67-75). In the current context, MRU must manage these intricate interactions to sustain a balance between financial performance and employee engagement (Potgieter and Ferreira, 2022, pp. 6-8). </w:t>
      </w:r>
    </w:p>
    <w:p w14:paraId="4E964800" w14:textId="257E39C6" w:rsidR="0025506A" w:rsidRPr="0025506A" w:rsidRDefault="0025506A" w:rsidP="0057487B">
      <w:pPr>
        <w:spacing w:after="0" w:line="360" w:lineRule="auto"/>
        <w:ind w:firstLine="720"/>
        <w:rPr>
          <w:rFonts w:ascii="Arial" w:hAnsi="Arial" w:cs="Arial"/>
          <w:sz w:val="24"/>
          <w:szCs w:val="24"/>
        </w:rPr>
      </w:pPr>
      <w:proofErr w:type="spellStart"/>
      <w:r w:rsidRPr="0025506A">
        <w:rPr>
          <w:rFonts w:ascii="Arial" w:hAnsi="Arial" w:cs="Arial"/>
          <w:sz w:val="24"/>
          <w:szCs w:val="24"/>
        </w:rPr>
        <w:t>Olckers</w:t>
      </w:r>
      <w:proofErr w:type="spellEnd"/>
      <w:r w:rsidRPr="0025506A">
        <w:rPr>
          <w:rFonts w:ascii="Arial" w:hAnsi="Arial" w:cs="Arial"/>
          <w:sz w:val="24"/>
          <w:szCs w:val="24"/>
        </w:rPr>
        <w:t xml:space="preserve"> and Koekemoer (2022, pp. 42-48) highlight the significance of holistic HR integration in effectively managing unplanned changes, including accelerated digital transitions and the implementation of ESG regulations. Through the systematic application of the PESTLE model, HR managers can transform external threats, such as rising regulatory costs, into internal opportunities, including scalable digital recruitment and ESG training aimed at enhancing the sustainable brand. This approach enhances the strategic effectiveness of the department within dynamic and competitive global contexts.</w:t>
      </w:r>
    </w:p>
    <w:p w14:paraId="5505AAEF" w14:textId="5A179DF2" w:rsidR="0025506A" w:rsidRPr="0025506A" w:rsidRDefault="0025506A" w:rsidP="0057487B">
      <w:pPr>
        <w:spacing w:after="0" w:line="360" w:lineRule="auto"/>
        <w:ind w:firstLine="720"/>
        <w:rPr>
          <w:rFonts w:ascii="Arial" w:hAnsi="Arial" w:cs="Arial"/>
          <w:b/>
          <w:bCs/>
          <w:sz w:val="24"/>
          <w:szCs w:val="24"/>
        </w:rPr>
      </w:pPr>
      <w:r w:rsidRPr="0025506A">
        <w:rPr>
          <w:rFonts w:ascii="Arial" w:hAnsi="Arial" w:cs="Arial"/>
          <w:b/>
          <w:bCs/>
          <w:sz w:val="24"/>
          <w:szCs w:val="24"/>
        </w:rPr>
        <w:t xml:space="preserve">The </w:t>
      </w:r>
      <w:r w:rsidR="00BF7CBC" w:rsidRPr="00BF7CBC">
        <w:rPr>
          <w:rFonts w:ascii="Arial" w:hAnsi="Arial" w:cs="Arial"/>
          <w:b/>
          <w:bCs/>
          <w:sz w:val="24"/>
          <w:szCs w:val="24"/>
        </w:rPr>
        <w:t>organisation's</w:t>
      </w:r>
      <w:r w:rsidRPr="0025506A">
        <w:rPr>
          <w:rFonts w:ascii="Arial" w:hAnsi="Arial" w:cs="Arial"/>
          <w:b/>
          <w:bCs/>
          <w:sz w:val="24"/>
          <w:szCs w:val="24"/>
        </w:rPr>
        <w:t xml:space="preserve"> application</w:t>
      </w:r>
    </w:p>
    <w:p w14:paraId="6C4A854B" w14:textId="77777777" w:rsidR="00BF7CBC"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HSBC Holdings plc, founded in 1865, is one of the major global financial organisations, operating in 58 countries and territories with 3 trillion dollars in assets and 211,409 workers as of December 31, 2025. In Asia (Hong Kong, mainland China, and India), the UK, and Europe, the bank offers retail, commercial, corporate, and institutional banking, and wealth management services. HSBC split into Hong Kong, UK, Corporate &amp; Institutional Banking, and International Wealth &amp; Premier Banking in 2025. This transition accelerated digitisation, cost efficiency, and sustainability. </w:t>
      </w:r>
    </w:p>
    <w:p w14:paraId="09C3A718" w14:textId="218B0929" w:rsidR="0025506A" w:rsidRPr="0025506A" w:rsidRDefault="0025506A" w:rsidP="0057487B">
      <w:pPr>
        <w:spacing w:after="0" w:line="360" w:lineRule="auto"/>
        <w:ind w:firstLine="720"/>
        <w:rPr>
          <w:rFonts w:ascii="Arial" w:hAnsi="Arial" w:cs="Arial"/>
          <w:sz w:val="24"/>
          <w:szCs w:val="24"/>
        </w:rPr>
      </w:pPr>
      <w:r w:rsidRPr="0025506A">
        <w:rPr>
          <w:rFonts w:ascii="Arial" w:hAnsi="Arial" w:cs="Arial"/>
          <w:sz w:val="24"/>
          <w:szCs w:val="24"/>
        </w:rPr>
        <w:t xml:space="preserve">HR approaches reflect a modern global personnel management framework. Recruitment targets digital talent, women, and </w:t>
      </w:r>
      <w:r w:rsidR="00BF7CBC">
        <w:rPr>
          <w:rFonts w:ascii="Arial" w:hAnsi="Arial" w:cs="Arial"/>
          <w:sz w:val="24"/>
          <w:szCs w:val="24"/>
        </w:rPr>
        <w:t>underrepresented</w:t>
      </w:r>
      <w:r w:rsidRPr="0025506A">
        <w:rPr>
          <w:rFonts w:ascii="Arial" w:hAnsi="Arial" w:cs="Arial"/>
          <w:sz w:val="24"/>
          <w:szCs w:val="24"/>
        </w:rPr>
        <w:t xml:space="preserve"> groups through graduate programs, university partnerships, and diversity. Advanced digital platforms like AI Academy, which has trained over 26,000 colleagues and delivered over 122,000 hours, and Sustainability Academy, which aims to train 124,000 by 2025, are used for training and development. Additionally, 99% of obligatory ESG training is covered. Effective performance management includes clear KPIs, inclusive values, </w:t>
      </w:r>
      <w:r w:rsidRPr="0025506A">
        <w:rPr>
          <w:rFonts w:ascii="Arial" w:hAnsi="Arial" w:cs="Arial"/>
          <w:sz w:val="24"/>
          <w:szCs w:val="24"/>
        </w:rPr>
        <w:lastRenderedPageBreak/>
        <w:t xml:space="preserve">and ESG-aligned compensation. Employee relations support hybrid working with an 85% acceptance rate, mental and physical </w:t>
      </w:r>
      <w:r w:rsidR="00BF7CBC">
        <w:rPr>
          <w:rFonts w:ascii="Arial" w:hAnsi="Arial" w:cs="Arial"/>
          <w:sz w:val="24"/>
          <w:szCs w:val="24"/>
        </w:rPr>
        <w:t>well-being</w:t>
      </w:r>
      <w:r w:rsidRPr="0025506A">
        <w:rPr>
          <w:rFonts w:ascii="Arial" w:hAnsi="Arial" w:cs="Arial"/>
          <w:sz w:val="24"/>
          <w:szCs w:val="24"/>
        </w:rPr>
        <w:t xml:space="preserve"> programs, and DEI activities. Female representation is 51.3% overall and 33.2% in senior leadership, with a 78% Inclusion Index (HSBC Holdings plc, 2025; ESG </w:t>
      </w:r>
      <w:proofErr w:type="spellStart"/>
      <w:r w:rsidRPr="0025506A">
        <w:rPr>
          <w:rFonts w:ascii="Arial" w:hAnsi="Arial" w:cs="Arial"/>
          <w:sz w:val="24"/>
          <w:szCs w:val="24"/>
        </w:rPr>
        <w:t>Datapack</w:t>
      </w:r>
      <w:proofErr w:type="spellEnd"/>
      <w:r w:rsidRPr="0025506A">
        <w:rPr>
          <w:rFonts w:ascii="Arial" w:hAnsi="Arial" w:cs="Arial"/>
          <w:sz w:val="24"/>
          <w:szCs w:val="24"/>
        </w:rPr>
        <w:t xml:space="preserve"> 2025, pp. 16-20). Asia emphasises rapid expansion and local talent development, while the UK and Europe emphasise compliance and pay equity. These strategies improve retention and efficiency but require worldwide coordination, cultural adaptation, and gender pay gap (e.g., UK median 39.4%) reduction (HSBC, 2025 UK Pay Gap Disclosures; Noe et al., 2021, pp. 189-195).</w:t>
      </w:r>
    </w:p>
    <w:p w14:paraId="06DFB3B4" w14:textId="77777777" w:rsidR="00AD6069" w:rsidRPr="00AD6069" w:rsidRDefault="00AD6069" w:rsidP="0057487B">
      <w:pPr>
        <w:spacing w:after="0" w:line="360" w:lineRule="auto"/>
        <w:ind w:firstLine="720"/>
        <w:rPr>
          <w:rFonts w:ascii="Arial" w:hAnsi="Arial" w:cs="Arial"/>
          <w:b/>
          <w:bCs/>
          <w:sz w:val="24"/>
          <w:szCs w:val="24"/>
        </w:rPr>
      </w:pPr>
      <w:r w:rsidRPr="00AD6069">
        <w:rPr>
          <w:rFonts w:ascii="Arial" w:hAnsi="Arial" w:cs="Arial"/>
          <w:b/>
          <w:bCs/>
          <w:sz w:val="24"/>
          <w:szCs w:val="24"/>
        </w:rPr>
        <w:t>The application of the PESTLE model</w:t>
      </w:r>
    </w:p>
    <w:p w14:paraId="20E40570"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The PESTLE model shows the various influences of the business environment on HR practices at HSBC. This directly influences the capacity of human resource managers to facilitate a sustainable and competitive global model. </w:t>
      </w:r>
      <w:r w:rsidRPr="00AD6069">
        <w:rPr>
          <w:rFonts w:ascii="Arial" w:hAnsi="Arial" w:cs="Arial"/>
          <w:sz w:val="24"/>
          <w:szCs w:val="24"/>
        </w:rPr>
        <w:br/>
        <w:t>Political: Current geopolitical tensions, including the war in Ukraine and instability in the Middle East, alongside the ramifications of Brexit, complicate the movement of capital across borders and the mobility of individuals between countries. HSBC adjusted local labour laws and regional collective labour agreements to mitigate operational risks and ensure compliance with international sanctions (HSBC Holdings plc, 2025, p. 30). MRU is crucial for addressing these unforeseen changes. Clear communication programs and tactics are employed to inform individuals in affected areas (</w:t>
      </w:r>
      <w:proofErr w:type="spellStart"/>
      <w:r w:rsidRPr="00AD6069">
        <w:rPr>
          <w:rFonts w:ascii="Arial" w:hAnsi="Arial" w:cs="Arial"/>
          <w:sz w:val="24"/>
          <w:szCs w:val="24"/>
        </w:rPr>
        <w:t>Olckers</w:t>
      </w:r>
      <w:proofErr w:type="spellEnd"/>
      <w:r w:rsidRPr="00AD6069">
        <w:rPr>
          <w:rFonts w:ascii="Arial" w:hAnsi="Arial" w:cs="Arial"/>
          <w:sz w:val="24"/>
          <w:szCs w:val="24"/>
        </w:rPr>
        <w:t xml:space="preserve"> and Koekemoer, 2022, pp. 31-52; Torrington et al., 2020, pp. 156-162). </w:t>
      </w:r>
    </w:p>
    <w:p w14:paraId="3F13E977"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Due to increasing business costs, inflation, and variable interest rates, it is essential to maintain robust and efficient compensation systems, with salary increases linked to performance and bonuses tied to financial outcomes. The gender pay gap in the UK, with a median of 39.4% and a higher mean in certain organisations, remains a significant issue affecting fairness and motivation.</w:t>
      </w:r>
    </w:p>
    <w:p w14:paraId="383ACB2A"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Continuous efforts are required to address this problem (HSBC, 2025 UK Pay Gap Disclosures; </w:t>
      </w:r>
      <w:proofErr w:type="spellStart"/>
      <w:r w:rsidRPr="00AD6069">
        <w:rPr>
          <w:rFonts w:ascii="Arial" w:hAnsi="Arial" w:cs="Arial"/>
          <w:sz w:val="24"/>
          <w:szCs w:val="24"/>
        </w:rPr>
        <w:t>Bussin</w:t>
      </w:r>
      <w:proofErr w:type="spellEnd"/>
      <w:r w:rsidRPr="00AD6069">
        <w:rPr>
          <w:rFonts w:ascii="Arial" w:hAnsi="Arial" w:cs="Arial"/>
          <w:sz w:val="24"/>
          <w:szCs w:val="24"/>
        </w:rPr>
        <w:t xml:space="preserve">, 2022, pp. 115-130; Armstrong and Taylor, 2020, pp. 312-320). </w:t>
      </w:r>
    </w:p>
    <w:p w14:paraId="2E8D161A"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The workforce exhibits significant cultural diversity, comprising nearly 150 nationalities and a female representation of 51.3%. Concurrently, there is an increasing demand for inclusiveness, gender parity, and work-life balance. This indicates that substantial financial resources must be allocated to training and </w:t>
      </w:r>
      <w:r w:rsidRPr="00AD6069">
        <w:rPr>
          <w:rFonts w:ascii="Arial" w:hAnsi="Arial" w:cs="Arial"/>
          <w:sz w:val="24"/>
          <w:szCs w:val="24"/>
        </w:rPr>
        <w:lastRenderedPageBreak/>
        <w:t>welfare programs. Programs that incorporate women's networks, Pride campaigns, quarterly engagement panels, and an Inclusion Index at 78% significantly enhance long-term retention and engagement (</w:t>
      </w:r>
      <w:proofErr w:type="spellStart"/>
      <w:r w:rsidRPr="00AD6069">
        <w:rPr>
          <w:rFonts w:ascii="Arial" w:hAnsi="Arial" w:cs="Arial"/>
          <w:sz w:val="24"/>
          <w:szCs w:val="24"/>
        </w:rPr>
        <w:t>Veldsman</w:t>
      </w:r>
      <w:proofErr w:type="spellEnd"/>
      <w:r w:rsidRPr="00AD6069">
        <w:rPr>
          <w:rFonts w:ascii="Arial" w:hAnsi="Arial" w:cs="Arial"/>
          <w:sz w:val="24"/>
          <w:szCs w:val="24"/>
        </w:rPr>
        <w:t xml:space="preserve"> and Van der Merwe, 2022, pp. 53-72; Taylor, 2021, pp. 145-152; ESG </w:t>
      </w:r>
      <w:proofErr w:type="spellStart"/>
      <w:r w:rsidRPr="00AD6069">
        <w:rPr>
          <w:rFonts w:ascii="Arial" w:hAnsi="Arial" w:cs="Arial"/>
          <w:sz w:val="24"/>
          <w:szCs w:val="24"/>
        </w:rPr>
        <w:t>Datapack</w:t>
      </w:r>
      <w:proofErr w:type="spellEnd"/>
      <w:r w:rsidRPr="00AD6069">
        <w:rPr>
          <w:rFonts w:ascii="Arial" w:hAnsi="Arial" w:cs="Arial"/>
          <w:sz w:val="24"/>
          <w:szCs w:val="24"/>
        </w:rPr>
        <w:t xml:space="preserve"> 2025, p. 20). </w:t>
      </w:r>
    </w:p>
    <w:p w14:paraId="4DD5D1A9"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Significant financial investments have been made in </w:t>
      </w:r>
      <w:r w:rsidR="00472B5E">
        <w:rPr>
          <w:rFonts w:ascii="Arial" w:hAnsi="Arial" w:cs="Arial"/>
          <w:sz w:val="24"/>
          <w:szCs w:val="24"/>
        </w:rPr>
        <w:t xml:space="preserve">the </w:t>
      </w:r>
      <w:r w:rsidRPr="00AD6069">
        <w:rPr>
          <w:rFonts w:ascii="Arial" w:hAnsi="Arial" w:cs="Arial"/>
          <w:sz w:val="24"/>
          <w:szCs w:val="24"/>
        </w:rPr>
        <w:t xml:space="preserve">AI Academy, resulting in the training of 26,000 employees and the allocation of over 122,000 hours. Additionally, digital platforms facilitating hybrid work have achieved an 85% acceptance rate, alongside ongoing upskilling initiatives in fields such as cybersecurity and digital banking (Oosthuizen, 2022, pp. 99-114; Cross and Swart, 2022, pp. 232-246; HSBC Holdings plc, 2025, pp. 56-57). </w:t>
      </w:r>
    </w:p>
    <w:p w14:paraId="32ECB7CC"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Legal frameworks in the EU and UK, including Basel IV, GDPR, and anti-discrimination laws, mandate robust compliance policies in performance management and employee relations. Required wage gap reporting and anti-bias programs must be included in these policies (Pilbeam and Corbridge, 2010, pp. 89-95). </w:t>
      </w:r>
    </w:p>
    <w:p w14:paraId="146288AF"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The objective of achieving net zero by 2050, alongside the requirement for $447.7 billion in cumulative sustainable finance, necessitates that the Sustainability Academy provide sustainable training to 124,000 employees by 2025. This should align with ESG bonus schemes (Schultz, 2022, pp. 18–22; Net Zero Transition Plan 2025, p. 5). </w:t>
      </w:r>
    </w:p>
    <w:p w14:paraId="4CD4D81D"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The overall impact on MRU's operational capacity: External forces are compelling the HR department to adopt a more strategic and proactive role (Schultz, 2022, pp. 9-29; Marchington et al., 2020, pp. 45-52). This enables HSBC to maintain a leading position in the Asian market and accelerate the ESG transition, despite global challenges. An open internal culture reduces turnover costs; however, it necessitates enhanced coordination in regulated environments (Taylor and Woodhams, 2012, pp. 67–75). MRUs serve as critical components in addressing the "new normal," transforming external threats into opportunities for internal competition (Potgieter and Ferreira, 2022, pp. 1-8). </w:t>
      </w:r>
    </w:p>
    <w:p w14:paraId="55781642" w14:textId="77777777" w:rsidR="00472B5E" w:rsidRDefault="00AD6069" w:rsidP="0057487B">
      <w:pPr>
        <w:spacing w:after="0" w:line="360" w:lineRule="auto"/>
        <w:ind w:firstLine="720"/>
        <w:rPr>
          <w:rFonts w:ascii="Arial" w:hAnsi="Arial" w:cs="Arial"/>
          <w:sz w:val="24"/>
          <w:szCs w:val="24"/>
        </w:rPr>
      </w:pPr>
      <w:r w:rsidRPr="00AD6069">
        <w:rPr>
          <w:rFonts w:ascii="Arial" w:hAnsi="Arial" w:cs="Arial"/>
          <w:sz w:val="24"/>
          <w:szCs w:val="24"/>
        </w:rPr>
        <w:t xml:space="preserve">Differences between countries: Regional variations exert distinct impacts and require tailored adaptations for each locale. In the UK, stringent regulations and a collectivist culture enhance demands for pay equity and pay gap reporting, thereby intensifying pressure on DEI initiatives. In Hong Kong and mainland China, where </w:t>
      </w:r>
      <w:proofErr w:type="gramStart"/>
      <w:r w:rsidRPr="00AD6069">
        <w:rPr>
          <w:rFonts w:ascii="Arial" w:hAnsi="Arial" w:cs="Arial"/>
          <w:sz w:val="24"/>
          <w:szCs w:val="24"/>
        </w:rPr>
        <w:t>the majority of</w:t>
      </w:r>
      <w:proofErr w:type="gramEnd"/>
      <w:r w:rsidRPr="00AD6069">
        <w:rPr>
          <w:rFonts w:ascii="Arial" w:hAnsi="Arial" w:cs="Arial"/>
          <w:sz w:val="24"/>
          <w:szCs w:val="24"/>
        </w:rPr>
        <w:t xml:space="preserve"> the workforce is located, the emphasis on rapid expansion and </w:t>
      </w:r>
      <w:r w:rsidRPr="00AD6069">
        <w:rPr>
          <w:rFonts w:ascii="Arial" w:hAnsi="Arial" w:cs="Arial"/>
          <w:sz w:val="24"/>
          <w:szCs w:val="24"/>
        </w:rPr>
        <w:lastRenderedPageBreak/>
        <w:t>competitive pricing facilitates the recruitment of a substantial number of employees. Individuals anticipate a favourable work-life balance, necessitating increased flexibility in work hours. In continental Europe, particularly in France and Germany, economic volatility and EU regulations emphasise the importance of retaining employees through tailored training and benefits. In the United States and Southeast Asia, anti-discrimination legislation necessitates extensive DEI initiatives and ongoing oversight. The legal considerations surrounding minimum wage and various labour regulations result in localised HR policies, thereby diminishing global uniformity. In Europe, the implementation of environmental regulations, carbon fees, and stringent green policies necessitates a higher level of training compared to Asia.</w:t>
      </w:r>
    </w:p>
    <w:p w14:paraId="00B4FB50" w14:textId="1F3BD571" w:rsidR="00AD6069" w:rsidRDefault="00AD6069" w:rsidP="0057487B">
      <w:pPr>
        <w:spacing w:after="0" w:line="360" w:lineRule="auto"/>
        <w:ind w:firstLine="720"/>
        <w:rPr>
          <w:rFonts w:ascii="Arial" w:hAnsi="Arial" w:cs="Arial"/>
          <w:sz w:val="24"/>
          <w:szCs w:val="24"/>
        </w:rPr>
      </w:pPr>
      <w:r w:rsidRPr="00AD6069">
        <w:rPr>
          <w:rFonts w:ascii="Arial" w:hAnsi="Arial" w:cs="Arial"/>
          <w:sz w:val="24"/>
          <w:szCs w:val="24"/>
        </w:rPr>
        <w:t>To optimise MRU, these distinctions necessitate a hybrid HR strategy: strategically centralised (global compensation, ESG, DEI) and operationally decentralised (local CLAs, regionally customised training) (Oosthuizen, 2022, p. 110; Verhulst and DeCenzo, 2021, pp. 67-72).</w:t>
      </w:r>
    </w:p>
    <w:p w14:paraId="3F49DFA2" w14:textId="77777777" w:rsidR="008C2A56" w:rsidRPr="00AD6069" w:rsidRDefault="008C2A56" w:rsidP="0057487B">
      <w:pPr>
        <w:spacing w:after="0" w:line="360" w:lineRule="auto"/>
        <w:ind w:firstLine="720"/>
        <w:rPr>
          <w:rFonts w:ascii="Arial" w:hAnsi="Arial" w:cs="Arial"/>
          <w:sz w:val="24"/>
          <w:szCs w:val="24"/>
        </w:rPr>
      </w:pPr>
    </w:p>
    <w:p w14:paraId="1FE2A22B" w14:textId="16C1411D" w:rsidR="009E72E0" w:rsidRPr="00472B5E" w:rsidRDefault="00AD6069" w:rsidP="0057487B">
      <w:pPr>
        <w:spacing w:after="0" w:line="360" w:lineRule="auto"/>
        <w:ind w:firstLine="720"/>
        <w:rPr>
          <w:rFonts w:ascii="Arial" w:hAnsi="Arial" w:cs="Arial"/>
          <w:b/>
          <w:bCs/>
          <w:sz w:val="24"/>
          <w:szCs w:val="24"/>
        </w:rPr>
      </w:pPr>
      <w:r w:rsidRPr="00472B5E">
        <w:rPr>
          <w:rFonts w:ascii="Arial" w:hAnsi="Arial" w:cs="Arial"/>
          <w:b/>
          <w:bCs/>
          <w:sz w:val="24"/>
          <w:szCs w:val="24"/>
        </w:rPr>
        <w:t>Conclusion</w:t>
      </w:r>
    </w:p>
    <w:p w14:paraId="39121801" w14:textId="77777777" w:rsidR="00472B5E" w:rsidRDefault="00BF7CBC" w:rsidP="0057487B">
      <w:pPr>
        <w:spacing w:after="0" w:line="360" w:lineRule="auto"/>
        <w:ind w:firstLine="720"/>
        <w:rPr>
          <w:rFonts w:ascii="Arial" w:hAnsi="Arial" w:cs="Arial"/>
          <w:sz w:val="24"/>
          <w:szCs w:val="24"/>
        </w:rPr>
      </w:pPr>
      <w:r w:rsidRPr="00BF7CBC">
        <w:rPr>
          <w:rFonts w:ascii="Arial" w:hAnsi="Arial" w:cs="Arial"/>
          <w:sz w:val="24"/>
          <w:szCs w:val="24"/>
        </w:rPr>
        <w:t xml:space="preserve">The analysis indicates that both internal and external factors, as illustrated by the PESTLE model, significantly influence the effectiveness of HSBC's human resource managers. Significant investments in digital and sustainable training (AI/Sustainability Academy), comprehensive inclusion programs, and strategic compensation systems aligned with ESG (Potgieter and Ferreira, 2022; Armstrong and Taylor, 2020) are leading to adaptations in key HR functions such as hiring, training, performance management, and employee relations to meet the demands of the "new normal" context. The effect includes significant challenges such as stringent regulations, an ongoing gender pay gap, and geopolitical conflicts, as well as substantial opportunities like cultural diversity, advancements in AI technology, and a transition to sustainable practices. The effects vary across locations due to cultural, legal, and economic disparities. </w:t>
      </w:r>
    </w:p>
    <w:p w14:paraId="05B37C3E" w14:textId="0126658A" w:rsidR="00AD6069" w:rsidRDefault="00BF7CBC" w:rsidP="0057487B">
      <w:pPr>
        <w:spacing w:after="0" w:line="360" w:lineRule="auto"/>
        <w:ind w:firstLine="720"/>
        <w:rPr>
          <w:rFonts w:ascii="Arial" w:hAnsi="Arial" w:cs="Arial"/>
          <w:sz w:val="24"/>
          <w:szCs w:val="24"/>
        </w:rPr>
      </w:pPr>
      <w:r w:rsidRPr="00BF7CBC">
        <w:rPr>
          <w:rFonts w:ascii="Arial" w:hAnsi="Arial" w:cs="Arial"/>
          <w:sz w:val="24"/>
          <w:szCs w:val="24"/>
        </w:rPr>
        <w:t xml:space="preserve">The future of human resource management in global financial institutions is significant. Rapid changes are occurring in various sectors, including AI in banking, sustainability requirements, and geopolitical threats. Consequently, companies must enhance their flexibility and continue to recruit new personnel (Schultz, 2022, p. 25; Noe et al., 2021). To retain employees and support the company's success in Asia amid the ESG transition, HSBC must enhance its digital HR capabilities, implement </w:t>
      </w:r>
      <w:r w:rsidRPr="00BF7CBC">
        <w:rPr>
          <w:rFonts w:ascii="Arial" w:hAnsi="Arial" w:cs="Arial"/>
          <w:sz w:val="24"/>
          <w:szCs w:val="24"/>
        </w:rPr>
        <w:lastRenderedPageBreak/>
        <w:t>additional inclusion programs, and monitor PESTLE factors. Recommendations encompass the comprehensive integration of ESG standards within all HR functions, fostering relationships with unions and local stakeholders, enhancing cross-cultural training, and employing data analytics to predict retention and engagement outcomes. An in-depth understanding of and capacity to anticipate the business environment not only ensures compliance and sustainability but also provides a sustained competitive advantage in the global banking sector (</w:t>
      </w:r>
      <w:proofErr w:type="spellStart"/>
      <w:r w:rsidRPr="00BF7CBC">
        <w:rPr>
          <w:rFonts w:ascii="Arial" w:hAnsi="Arial" w:cs="Arial"/>
          <w:sz w:val="24"/>
          <w:szCs w:val="24"/>
        </w:rPr>
        <w:t>Olckers</w:t>
      </w:r>
      <w:proofErr w:type="spellEnd"/>
      <w:r w:rsidRPr="00BF7CBC">
        <w:rPr>
          <w:rFonts w:ascii="Arial" w:hAnsi="Arial" w:cs="Arial"/>
          <w:sz w:val="24"/>
          <w:szCs w:val="24"/>
        </w:rPr>
        <w:t xml:space="preserve"> and Koekemoer, 2022, p. 50; Taylor and Woodhams, 2012; Marchington et al., 2020).</w:t>
      </w:r>
    </w:p>
    <w:p w14:paraId="46F9D52D" w14:textId="77777777" w:rsidR="0057487B" w:rsidRDefault="0057487B" w:rsidP="00BF7CBC">
      <w:pPr>
        <w:spacing w:line="360" w:lineRule="auto"/>
        <w:rPr>
          <w:rFonts w:ascii="Arial" w:hAnsi="Arial" w:cs="Arial"/>
          <w:sz w:val="24"/>
          <w:szCs w:val="24"/>
        </w:rPr>
      </w:pPr>
    </w:p>
    <w:p w14:paraId="6E76B746" w14:textId="77777777" w:rsidR="0057487B" w:rsidRDefault="0057487B" w:rsidP="00BF7CBC">
      <w:pPr>
        <w:spacing w:line="360" w:lineRule="auto"/>
        <w:rPr>
          <w:rFonts w:ascii="Arial" w:hAnsi="Arial" w:cs="Arial"/>
          <w:sz w:val="24"/>
          <w:szCs w:val="24"/>
        </w:rPr>
      </w:pPr>
    </w:p>
    <w:p w14:paraId="57D9F89E" w14:textId="77777777" w:rsidR="0057487B" w:rsidRDefault="0057487B" w:rsidP="00BF7CBC">
      <w:pPr>
        <w:spacing w:line="360" w:lineRule="auto"/>
        <w:rPr>
          <w:rFonts w:ascii="Arial" w:hAnsi="Arial" w:cs="Arial"/>
          <w:sz w:val="24"/>
          <w:szCs w:val="24"/>
        </w:rPr>
      </w:pPr>
    </w:p>
    <w:p w14:paraId="50A6A415" w14:textId="77777777" w:rsidR="0057487B" w:rsidRDefault="0057487B" w:rsidP="00BF7CBC">
      <w:pPr>
        <w:spacing w:line="360" w:lineRule="auto"/>
        <w:rPr>
          <w:rFonts w:ascii="Arial" w:hAnsi="Arial" w:cs="Arial"/>
          <w:sz w:val="24"/>
          <w:szCs w:val="24"/>
        </w:rPr>
      </w:pPr>
    </w:p>
    <w:p w14:paraId="079EBE28" w14:textId="77777777" w:rsidR="0057487B" w:rsidRDefault="0057487B" w:rsidP="00BF7CBC">
      <w:pPr>
        <w:spacing w:line="360" w:lineRule="auto"/>
        <w:rPr>
          <w:rFonts w:ascii="Arial" w:hAnsi="Arial" w:cs="Arial"/>
          <w:sz w:val="24"/>
          <w:szCs w:val="24"/>
        </w:rPr>
      </w:pPr>
    </w:p>
    <w:p w14:paraId="24FC6F9E" w14:textId="77777777" w:rsidR="0057487B" w:rsidRDefault="0057487B" w:rsidP="00BF7CBC">
      <w:pPr>
        <w:spacing w:line="360" w:lineRule="auto"/>
        <w:rPr>
          <w:rFonts w:ascii="Arial" w:hAnsi="Arial" w:cs="Arial"/>
          <w:sz w:val="24"/>
          <w:szCs w:val="24"/>
        </w:rPr>
      </w:pPr>
    </w:p>
    <w:p w14:paraId="1C2F2BF9" w14:textId="77777777" w:rsidR="0057487B" w:rsidRDefault="0057487B" w:rsidP="00BF7CBC">
      <w:pPr>
        <w:spacing w:line="360" w:lineRule="auto"/>
        <w:rPr>
          <w:rFonts w:ascii="Arial" w:hAnsi="Arial" w:cs="Arial"/>
          <w:sz w:val="24"/>
          <w:szCs w:val="24"/>
        </w:rPr>
      </w:pPr>
    </w:p>
    <w:p w14:paraId="7408374E" w14:textId="77777777" w:rsidR="0057487B" w:rsidRDefault="0057487B" w:rsidP="00BF7CBC">
      <w:pPr>
        <w:spacing w:line="360" w:lineRule="auto"/>
        <w:rPr>
          <w:rFonts w:ascii="Arial" w:hAnsi="Arial" w:cs="Arial"/>
          <w:sz w:val="24"/>
          <w:szCs w:val="24"/>
        </w:rPr>
      </w:pPr>
    </w:p>
    <w:p w14:paraId="517CFB9C" w14:textId="77777777" w:rsidR="0057487B" w:rsidRDefault="0057487B" w:rsidP="00BF7CBC">
      <w:pPr>
        <w:spacing w:line="360" w:lineRule="auto"/>
        <w:rPr>
          <w:rFonts w:ascii="Arial" w:hAnsi="Arial" w:cs="Arial"/>
          <w:sz w:val="24"/>
          <w:szCs w:val="24"/>
        </w:rPr>
      </w:pPr>
    </w:p>
    <w:p w14:paraId="0322C8A9" w14:textId="77777777" w:rsidR="008C2A56" w:rsidRDefault="008C2A56" w:rsidP="00BF7CBC">
      <w:pPr>
        <w:spacing w:line="360" w:lineRule="auto"/>
        <w:rPr>
          <w:rFonts w:ascii="Arial" w:hAnsi="Arial" w:cs="Arial"/>
          <w:sz w:val="24"/>
          <w:szCs w:val="24"/>
        </w:rPr>
      </w:pPr>
    </w:p>
    <w:p w14:paraId="7886166F" w14:textId="77777777" w:rsidR="008C2A56" w:rsidRDefault="008C2A56" w:rsidP="00BF7CBC">
      <w:pPr>
        <w:spacing w:line="360" w:lineRule="auto"/>
        <w:rPr>
          <w:rFonts w:ascii="Arial" w:hAnsi="Arial" w:cs="Arial"/>
          <w:sz w:val="24"/>
          <w:szCs w:val="24"/>
        </w:rPr>
      </w:pPr>
    </w:p>
    <w:p w14:paraId="62C14072" w14:textId="77777777" w:rsidR="008C2A56" w:rsidRDefault="008C2A56" w:rsidP="00BF7CBC">
      <w:pPr>
        <w:spacing w:line="360" w:lineRule="auto"/>
        <w:rPr>
          <w:rFonts w:ascii="Arial" w:hAnsi="Arial" w:cs="Arial"/>
          <w:sz w:val="24"/>
          <w:szCs w:val="24"/>
        </w:rPr>
      </w:pPr>
    </w:p>
    <w:p w14:paraId="5F48A14E" w14:textId="77777777" w:rsidR="008C2A56" w:rsidRDefault="008C2A56" w:rsidP="00BF7CBC">
      <w:pPr>
        <w:spacing w:line="360" w:lineRule="auto"/>
        <w:rPr>
          <w:rFonts w:ascii="Arial" w:hAnsi="Arial" w:cs="Arial"/>
          <w:sz w:val="24"/>
          <w:szCs w:val="24"/>
        </w:rPr>
      </w:pPr>
    </w:p>
    <w:p w14:paraId="28C9D394" w14:textId="77777777" w:rsidR="008C2A56" w:rsidRDefault="008C2A56" w:rsidP="00BF7CBC">
      <w:pPr>
        <w:spacing w:line="360" w:lineRule="auto"/>
        <w:rPr>
          <w:rFonts w:ascii="Arial" w:hAnsi="Arial" w:cs="Arial"/>
          <w:sz w:val="24"/>
          <w:szCs w:val="24"/>
        </w:rPr>
      </w:pPr>
    </w:p>
    <w:p w14:paraId="19B023B6" w14:textId="77777777" w:rsidR="008C2A56" w:rsidRDefault="008C2A56" w:rsidP="00BF7CBC">
      <w:pPr>
        <w:spacing w:line="360" w:lineRule="auto"/>
        <w:rPr>
          <w:rFonts w:ascii="Arial" w:hAnsi="Arial" w:cs="Arial"/>
          <w:sz w:val="24"/>
          <w:szCs w:val="24"/>
        </w:rPr>
      </w:pPr>
    </w:p>
    <w:p w14:paraId="3CAFC723" w14:textId="77777777" w:rsidR="008C2A56" w:rsidRDefault="008C2A56" w:rsidP="00BF7CBC">
      <w:pPr>
        <w:spacing w:line="360" w:lineRule="auto"/>
        <w:rPr>
          <w:rFonts w:ascii="Arial" w:hAnsi="Arial" w:cs="Arial"/>
          <w:sz w:val="24"/>
          <w:szCs w:val="24"/>
        </w:rPr>
      </w:pPr>
    </w:p>
    <w:p w14:paraId="04EB337F" w14:textId="77777777" w:rsidR="008C2A56" w:rsidRDefault="008C2A56" w:rsidP="00BF7CBC">
      <w:pPr>
        <w:spacing w:line="360" w:lineRule="auto"/>
        <w:rPr>
          <w:rFonts w:ascii="Arial" w:hAnsi="Arial" w:cs="Arial"/>
          <w:sz w:val="24"/>
          <w:szCs w:val="24"/>
        </w:rPr>
      </w:pPr>
    </w:p>
    <w:p w14:paraId="37DF484E" w14:textId="77777777" w:rsidR="008C2A56" w:rsidRDefault="008C2A56" w:rsidP="00BF7CBC">
      <w:pPr>
        <w:spacing w:line="360" w:lineRule="auto"/>
        <w:rPr>
          <w:rFonts w:ascii="Arial" w:hAnsi="Arial" w:cs="Arial"/>
          <w:sz w:val="24"/>
          <w:szCs w:val="24"/>
        </w:rPr>
      </w:pPr>
    </w:p>
    <w:p w14:paraId="02657828" w14:textId="77777777" w:rsidR="008C2A56" w:rsidRDefault="008C2A56" w:rsidP="00BF7CBC">
      <w:pPr>
        <w:spacing w:line="360" w:lineRule="auto"/>
        <w:rPr>
          <w:rFonts w:ascii="Arial" w:hAnsi="Arial" w:cs="Arial"/>
          <w:sz w:val="24"/>
          <w:szCs w:val="24"/>
        </w:rPr>
      </w:pPr>
    </w:p>
    <w:p w14:paraId="40F87DAD" w14:textId="2C563614" w:rsidR="00BF7CBC" w:rsidRPr="008C2A56" w:rsidRDefault="00EF3F8B" w:rsidP="00BF7CBC">
      <w:pPr>
        <w:spacing w:line="360" w:lineRule="auto"/>
        <w:rPr>
          <w:rFonts w:ascii="Arial" w:hAnsi="Arial" w:cs="Arial"/>
          <w:b/>
          <w:bCs/>
          <w:sz w:val="24"/>
          <w:szCs w:val="24"/>
        </w:rPr>
      </w:pPr>
      <w:r w:rsidRPr="008C2A56">
        <w:rPr>
          <w:rFonts w:ascii="Arial" w:hAnsi="Arial" w:cs="Arial"/>
          <w:b/>
          <w:bCs/>
          <w:sz w:val="24"/>
          <w:szCs w:val="24"/>
        </w:rPr>
        <w:lastRenderedPageBreak/>
        <w:t>REFERENCE LIST</w:t>
      </w:r>
    </w:p>
    <w:p w14:paraId="247C4D64" w14:textId="77777777" w:rsidR="00EF3F8B" w:rsidRPr="00F5150F" w:rsidRDefault="00EF3F8B" w:rsidP="008C2A56">
      <w:pPr>
        <w:spacing w:after="0" w:line="240" w:lineRule="auto"/>
      </w:pPr>
      <w:r w:rsidRPr="00F5150F">
        <w:t xml:space="preserve">Armstrong, M. and Taylor, S. (2020) </w:t>
      </w:r>
      <w:r w:rsidRPr="00F5150F">
        <w:rPr>
          <w:i/>
          <w:iCs/>
        </w:rPr>
        <w:t>Armstrong's Handbook of Human Resource Management Practice</w:t>
      </w:r>
      <w:r w:rsidRPr="00F5150F">
        <w:t xml:space="preserve">. 15th </w:t>
      </w:r>
      <w:proofErr w:type="spellStart"/>
      <w:r w:rsidRPr="00F5150F">
        <w:t>edn</w:t>
      </w:r>
      <w:proofErr w:type="spellEnd"/>
      <w:r w:rsidRPr="00F5150F">
        <w:t>. London: Kogan Page.</w:t>
      </w:r>
    </w:p>
    <w:p w14:paraId="4FB1BF22" w14:textId="77777777" w:rsidR="00EF3F8B" w:rsidRPr="00F5150F" w:rsidRDefault="00EF3F8B" w:rsidP="008C2A56">
      <w:pPr>
        <w:spacing w:after="0" w:line="240" w:lineRule="auto"/>
      </w:pPr>
      <w:proofErr w:type="spellStart"/>
      <w:r w:rsidRPr="00F5150F">
        <w:t>Bussin</w:t>
      </w:r>
      <w:proofErr w:type="spellEnd"/>
      <w:r w:rsidRPr="00F5150F">
        <w:t xml:space="preserve">, M. (2022) 'Remuneration in the New Normal', in Potgieter, I.L. and Ferreira, N. (eds.) </w:t>
      </w:r>
      <w:r w:rsidRPr="00F5150F">
        <w:rPr>
          <w:i/>
          <w:iCs/>
        </w:rPr>
        <w:t>Managing Human Resources: The New Normal</w:t>
      </w:r>
      <w:r w:rsidRPr="00F5150F">
        <w:t>. Cham: Springer Nature, pp. 115–130.</w:t>
      </w:r>
    </w:p>
    <w:p w14:paraId="70FE51F7" w14:textId="77777777" w:rsidR="00EF3F8B" w:rsidRPr="00F5150F" w:rsidRDefault="00EF3F8B" w:rsidP="008C2A56">
      <w:pPr>
        <w:spacing w:after="0" w:line="240" w:lineRule="auto"/>
      </w:pPr>
      <w:r w:rsidRPr="00F5150F">
        <w:t>Cross, D. and Swart, J. (2022) 'The (</w:t>
      </w:r>
      <w:proofErr w:type="spellStart"/>
      <w:r w:rsidRPr="00F5150F">
        <w:t>ir</w:t>
      </w:r>
      <w:proofErr w:type="spellEnd"/>
      <w:r w:rsidRPr="00F5150F">
        <w:t xml:space="preserve">)relevance of human resource management in independent work: Challenging assumptions', </w:t>
      </w:r>
      <w:r w:rsidRPr="00F5150F">
        <w:rPr>
          <w:i/>
          <w:iCs/>
        </w:rPr>
        <w:t>Human Resource Management Journal</w:t>
      </w:r>
      <w:r w:rsidRPr="00F5150F">
        <w:t>, 32(1), pp. 232-246.</w:t>
      </w:r>
    </w:p>
    <w:p w14:paraId="679B7008" w14:textId="77777777" w:rsidR="00EF3F8B" w:rsidRPr="00F5150F" w:rsidRDefault="00EF3F8B" w:rsidP="008C2A56">
      <w:pPr>
        <w:spacing w:after="0" w:line="240" w:lineRule="auto"/>
      </w:pPr>
      <w:r w:rsidRPr="00F5150F">
        <w:t xml:space="preserve">HSBC Holdings plc (2025) </w:t>
      </w:r>
      <w:r w:rsidRPr="00F5150F">
        <w:rPr>
          <w:i/>
          <w:iCs/>
        </w:rPr>
        <w:t>Annual Report and Accounts 2025</w:t>
      </w:r>
      <w:r w:rsidRPr="00F5150F">
        <w:t xml:space="preserve">. Available at: </w:t>
      </w:r>
      <w:hyperlink r:id="rId8" w:tgtFrame="_blank" w:history="1">
        <w:r w:rsidRPr="00F5150F">
          <w:rPr>
            <w:rStyle w:val="Hyperlink"/>
          </w:rPr>
          <w:t>https://www.hsbc.com/-/files/hsbc/investors/hsbc-results/2025/annual/pdfs/hsbc-holdings-plc/260225-annual-report-and-accounts-2025.pdf</w:t>
        </w:r>
      </w:hyperlink>
      <w:r w:rsidRPr="00F5150F">
        <w:t xml:space="preserve"> (Accessed: </w:t>
      </w:r>
      <w:r>
        <w:t>15</w:t>
      </w:r>
      <w:r w:rsidRPr="00F5150F">
        <w:t xml:space="preserve"> March 2026).</w:t>
      </w:r>
    </w:p>
    <w:p w14:paraId="5125D41F" w14:textId="77777777" w:rsidR="00EF3F8B" w:rsidRPr="00F5150F" w:rsidRDefault="00EF3F8B" w:rsidP="008C2A56">
      <w:pPr>
        <w:spacing w:after="0" w:line="240" w:lineRule="auto"/>
      </w:pPr>
      <w:r w:rsidRPr="00F5150F">
        <w:t xml:space="preserve">HSBC (2025) </w:t>
      </w:r>
      <w:r w:rsidRPr="00F5150F">
        <w:rPr>
          <w:i/>
          <w:iCs/>
        </w:rPr>
        <w:t xml:space="preserve">ESG </w:t>
      </w:r>
      <w:proofErr w:type="spellStart"/>
      <w:r w:rsidRPr="00F5150F">
        <w:rPr>
          <w:i/>
          <w:iCs/>
        </w:rPr>
        <w:t>Datapack</w:t>
      </w:r>
      <w:proofErr w:type="spellEnd"/>
      <w:r w:rsidRPr="00F5150F">
        <w:rPr>
          <w:i/>
          <w:iCs/>
        </w:rPr>
        <w:t xml:space="preserve"> 2025</w:t>
      </w:r>
      <w:r w:rsidRPr="00F5150F">
        <w:t xml:space="preserve">. Available at: </w:t>
      </w:r>
      <w:hyperlink r:id="rId9" w:tgtFrame="_blank" w:history="1">
        <w:r w:rsidRPr="00F5150F">
          <w:rPr>
            <w:rStyle w:val="Hyperlink"/>
          </w:rPr>
          <w:t>https://www.hsbc.com</w:t>
        </w:r>
      </w:hyperlink>
      <w:r w:rsidRPr="00F5150F">
        <w:t xml:space="preserve"> (Accessed: </w:t>
      </w:r>
      <w:r>
        <w:t>15</w:t>
      </w:r>
      <w:r w:rsidRPr="00F5150F">
        <w:t xml:space="preserve"> March 2026).</w:t>
      </w:r>
    </w:p>
    <w:p w14:paraId="334794B6" w14:textId="77777777" w:rsidR="00EF3F8B" w:rsidRPr="00F5150F" w:rsidRDefault="00EF3F8B" w:rsidP="008C2A56">
      <w:pPr>
        <w:spacing w:after="0" w:line="240" w:lineRule="auto"/>
      </w:pPr>
      <w:r w:rsidRPr="00F5150F">
        <w:t xml:space="preserve">HSBC (2025) </w:t>
      </w:r>
      <w:r w:rsidRPr="00F5150F">
        <w:rPr>
          <w:i/>
          <w:iCs/>
        </w:rPr>
        <w:t>2025 UK Gender Pay Gap Report</w:t>
      </w:r>
      <w:r w:rsidRPr="00F5150F">
        <w:t xml:space="preserve">. Available at: </w:t>
      </w:r>
      <w:hyperlink r:id="rId10" w:tgtFrame="_blank" w:history="1">
        <w:r w:rsidRPr="00F5150F">
          <w:rPr>
            <w:rStyle w:val="Hyperlink"/>
          </w:rPr>
          <w:t>https://www.hsbc.com</w:t>
        </w:r>
      </w:hyperlink>
      <w:r w:rsidRPr="00F5150F">
        <w:t xml:space="preserve"> (Accessed: </w:t>
      </w:r>
      <w:r>
        <w:t>15</w:t>
      </w:r>
      <w:r w:rsidRPr="00F5150F">
        <w:t xml:space="preserve"> March 2026).</w:t>
      </w:r>
    </w:p>
    <w:p w14:paraId="5C20CFB9" w14:textId="77777777" w:rsidR="00EF3F8B" w:rsidRPr="00F5150F" w:rsidRDefault="00EF3F8B" w:rsidP="008C2A56">
      <w:pPr>
        <w:spacing w:after="0" w:line="240" w:lineRule="auto"/>
      </w:pPr>
      <w:r w:rsidRPr="00F5150F">
        <w:t xml:space="preserve">Marchington, M. </w:t>
      </w:r>
      <w:r w:rsidRPr="00F5150F">
        <w:rPr>
          <w:i/>
          <w:iCs/>
        </w:rPr>
        <w:t>et al</w:t>
      </w:r>
      <w:r w:rsidRPr="00F5150F">
        <w:t xml:space="preserve">. (2020) </w:t>
      </w:r>
      <w:r w:rsidRPr="00F5150F">
        <w:rPr>
          <w:i/>
          <w:iCs/>
        </w:rPr>
        <w:t>Human resource management at work</w:t>
      </w:r>
      <w:r w:rsidRPr="00F5150F">
        <w:t xml:space="preserve">. 5th </w:t>
      </w:r>
      <w:proofErr w:type="spellStart"/>
      <w:r w:rsidRPr="00F5150F">
        <w:t>edn</w:t>
      </w:r>
      <w:proofErr w:type="spellEnd"/>
      <w:r w:rsidRPr="00F5150F">
        <w:t>. London: Chartered Institute of Personnel and Development.</w:t>
      </w:r>
    </w:p>
    <w:p w14:paraId="71CDE297" w14:textId="77777777" w:rsidR="00EF3F8B" w:rsidRPr="00F5150F" w:rsidRDefault="00EF3F8B" w:rsidP="008C2A56">
      <w:pPr>
        <w:spacing w:after="0" w:line="240" w:lineRule="auto"/>
      </w:pPr>
      <w:r w:rsidRPr="00F5150F">
        <w:t xml:space="preserve">Noe, R.A. </w:t>
      </w:r>
      <w:r w:rsidRPr="00F5150F">
        <w:rPr>
          <w:i/>
          <w:iCs/>
        </w:rPr>
        <w:t>et al</w:t>
      </w:r>
      <w:r w:rsidRPr="00F5150F">
        <w:t xml:space="preserve">. (2021) </w:t>
      </w:r>
      <w:r w:rsidRPr="00F5150F">
        <w:rPr>
          <w:i/>
          <w:iCs/>
        </w:rPr>
        <w:t>Fundamentals of Human Resource Management</w:t>
      </w:r>
      <w:r w:rsidRPr="00F5150F">
        <w:t>. United States: McGraw Hill Education.</w:t>
      </w:r>
    </w:p>
    <w:p w14:paraId="027ABAC3" w14:textId="77777777" w:rsidR="00EF3F8B" w:rsidRPr="00F5150F" w:rsidRDefault="00EF3F8B" w:rsidP="008C2A56">
      <w:pPr>
        <w:spacing w:after="0" w:line="240" w:lineRule="auto"/>
      </w:pPr>
      <w:proofErr w:type="spellStart"/>
      <w:r w:rsidRPr="00F5150F">
        <w:t>Olckers</w:t>
      </w:r>
      <w:proofErr w:type="spellEnd"/>
      <w:r w:rsidRPr="00F5150F">
        <w:t xml:space="preserve">, C. and Koekemoer, E. (2022) 'The COVID-19 Pandemic: Managing Unplanned Change as the New Normal in the Workplace', in Potgieter, I.L. and Ferreira, N. (eds.) </w:t>
      </w:r>
      <w:r w:rsidRPr="00F5150F">
        <w:rPr>
          <w:i/>
          <w:iCs/>
        </w:rPr>
        <w:t>Managing Human Resources: The New Normal</w:t>
      </w:r>
      <w:r w:rsidRPr="00F5150F">
        <w:t>. Cham: Springer Nature, pp. 31–52.</w:t>
      </w:r>
    </w:p>
    <w:p w14:paraId="395B80B7" w14:textId="77777777" w:rsidR="00EF3F8B" w:rsidRPr="00F5150F" w:rsidRDefault="00EF3F8B" w:rsidP="008C2A56">
      <w:pPr>
        <w:spacing w:after="0" w:line="240" w:lineRule="auto"/>
      </w:pPr>
      <w:r w:rsidRPr="00F5150F">
        <w:t xml:space="preserve">Oosthuizen, R.M. (2022) 'The New Normal: Managing Virtual Work </w:t>
      </w:r>
      <w:proofErr w:type="gramStart"/>
      <w:r w:rsidRPr="00F5150F">
        <w:t>From</w:t>
      </w:r>
      <w:proofErr w:type="gramEnd"/>
      <w:r w:rsidRPr="00F5150F">
        <w:t xml:space="preserve"> a Human Resources Perspective', in Potgieter, I.L. and Ferreira, N. (eds.) </w:t>
      </w:r>
      <w:r w:rsidRPr="00F5150F">
        <w:rPr>
          <w:i/>
          <w:iCs/>
        </w:rPr>
        <w:t>Managing Human Resources: The New Normal</w:t>
      </w:r>
      <w:r w:rsidRPr="00F5150F">
        <w:t>. Cham: Springer Nature, pp. 99–114.</w:t>
      </w:r>
    </w:p>
    <w:p w14:paraId="0665B6F7" w14:textId="77777777" w:rsidR="00EF3F8B" w:rsidRPr="00F5150F" w:rsidRDefault="00EF3F8B" w:rsidP="008C2A56">
      <w:pPr>
        <w:spacing w:after="0" w:line="240" w:lineRule="auto"/>
      </w:pPr>
      <w:r w:rsidRPr="00F5150F">
        <w:t xml:space="preserve">Pilbeam, S. and Corbridge, M. (2010) </w:t>
      </w:r>
      <w:r w:rsidRPr="00F5150F">
        <w:rPr>
          <w:i/>
          <w:iCs/>
        </w:rPr>
        <w:t>People resourcing and talent planning: HRM in practice</w:t>
      </w:r>
      <w:r w:rsidRPr="00F5150F">
        <w:t xml:space="preserve">. 4th </w:t>
      </w:r>
      <w:proofErr w:type="spellStart"/>
      <w:r w:rsidRPr="00F5150F">
        <w:t>edn</w:t>
      </w:r>
      <w:proofErr w:type="spellEnd"/>
      <w:r w:rsidRPr="00F5150F">
        <w:t>. Harlow: Financial Times/Prentice Hall.</w:t>
      </w:r>
    </w:p>
    <w:p w14:paraId="0728DAFB" w14:textId="77777777" w:rsidR="00EF3F8B" w:rsidRPr="00F5150F" w:rsidRDefault="00EF3F8B" w:rsidP="008C2A56">
      <w:pPr>
        <w:spacing w:after="0" w:line="240" w:lineRule="auto"/>
      </w:pPr>
      <w:r w:rsidRPr="00F5150F">
        <w:t xml:space="preserve">Potgieter, I.L. and Ferreira, N. (2022) </w:t>
      </w:r>
      <w:r w:rsidRPr="00F5150F">
        <w:rPr>
          <w:i/>
          <w:iCs/>
        </w:rPr>
        <w:t>Managing Human Resources – The New Normal</w:t>
      </w:r>
      <w:r w:rsidRPr="00F5150F">
        <w:t>. London: Springer Publishers.</w:t>
      </w:r>
    </w:p>
    <w:p w14:paraId="456579F8" w14:textId="77777777" w:rsidR="00EF3F8B" w:rsidRPr="00F5150F" w:rsidRDefault="00EF3F8B" w:rsidP="008C2A56">
      <w:pPr>
        <w:spacing w:after="0" w:line="240" w:lineRule="auto"/>
      </w:pPr>
      <w:r w:rsidRPr="00F5150F">
        <w:t xml:space="preserve">Schultz, C.M. (2022) 'Reinventing Strategic Human Resource Management', in Potgieter, I.L. and Ferreira, N. (eds.) </w:t>
      </w:r>
      <w:r w:rsidRPr="00F5150F">
        <w:rPr>
          <w:i/>
          <w:iCs/>
        </w:rPr>
        <w:t>Managing Human Resources: The New Normal</w:t>
      </w:r>
      <w:r w:rsidRPr="00F5150F">
        <w:t>. Cham: Springer Nature, pp. 9–29.</w:t>
      </w:r>
    </w:p>
    <w:p w14:paraId="6104EE11" w14:textId="77777777" w:rsidR="00EF3F8B" w:rsidRPr="00F5150F" w:rsidRDefault="00EF3F8B" w:rsidP="008C2A56">
      <w:pPr>
        <w:spacing w:after="0" w:line="240" w:lineRule="auto"/>
      </w:pPr>
      <w:r w:rsidRPr="00F5150F">
        <w:t xml:space="preserve">Taylor, S. (2021) </w:t>
      </w:r>
      <w:r w:rsidRPr="00F5150F">
        <w:rPr>
          <w:i/>
          <w:iCs/>
        </w:rPr>
        <w:t>Resourcing and Talent Management: The Theory and Practice of Recruiting and Developing a Workforce</w:t>
      </w:r>
      <w:r w:rsidRPr="00F5150F">
        <w:t>. London: Kogan Page Publishers.</w:t>
      </w:r>
    </w:p>
    <w:p w14:paraId="152DED40" w14:textId="77777777" w:rsidR="00EF3F8B" w:rsidRPr="00F5150F" w:rsidRDefault="00EF3F8B" w:rsidP="008C2A56">
      <w:pPr>
        <w:spacing w:after="0" w:line="240" w:lineRule="auto"/>
      </w:pPr>
      <w:r w:rsidRPr="00F5150F">
        <w:t xml:space="preserve">Taylor, S. and Woodhams, C. (2012) </w:t>
      </w:r>
      <w:r w:rsidRPr="00F5150F">
        <w:rPr>
          <w:i/>
          <w:iCs/>
        </w:rPr>
        <w:t>Managing People and Organisations</w:t>
      </w:r>
      <w:r w:rsidRPr="00F5150F">
        <w:t>. London: Chartered Institute of Personnel and Development.</w:t>
      </w:r>
    </w:p>
    <w:p w14:paraId="1DF37962" w14:textId="77777777" w:rsidR="00EF3F8B" w:rsidRPr="00F5150F" w:rsidRDefault="00EF3F8B" w:rsidP="008C2A56">
      <w:pPr>
        <w:spacing w:after="0" w:line="240" w:lineRule="auto"/>
      </w:pPr>
      <w:r w:rsidRPr="00F5150F">
        <w:t xml:space="preserve">Torrington, D. </w:t>
      </w:r>
      <w:r w:rsidRPr="00F5150F">
        <w:rPr>
          <w:i/>
          <w:iCs/>
        </w:rPr>
        <w:t>et al</w:t>
      </w:r>
      <w:r w:rsidRPr="00F5150F">
        <w:t xml:space="preserve">. (2020) </w:t>
      </w:r>
      <w:r w:rsidRPr="00F5150F">
        <w:rPr>
          <w:i/>
          <w:iCs/>
        </w:rPr>
        <w:t>Human Resource Management</w:t>
      </w:r>
      <w:r w:rsidRPr="00F5150F">
        <w:t xml:space="preserve">. 11th </w:t>
      </w:r>
      <w:proofErr w:type="spellStart"/>
      <w:r w:rsidRPr="00F5150F">
        <w:t>edn</w:t>
      </w:r>
      <w:proofErr w:type="spellEnd"/>
      <w:r w:rsidRPr="00F5150F">
        <w:t>. UK: Pearson.</w:t>
      </w:r>
    </w:p>
    <w:p w14:paraId="208462DF" w14:textId="77777777" w:rsidR="00EF3F8B" w:rsidRPr="00EF3F8B" w:rsidRDefault="00EF3F8B" w:rsidP="008C2A56">
      <w:pPr>
        <w:spacing w:after="0" w:line="240" w:lineRule="auto"/>
        <w:rPr>
          <w:rFonts w:ascii="Arial" w:hAnsi="Arial" w:cs="Arial"/>
          <w:sz w:val="24"/>
          <w:szCs w:val="24"/>
        </w:rPr>
      </w:pPr>
      <w:proofErr w:type="spellStart"/>
      <w:r w:rsidRPr="00F5150F">
        <w:t>Veldsman</w:t>
      </w:r>
      <w:proofErr w:type="spellEnd"/>
      <w:r w:rsidRPr="00F5150F">
        <w:t>, D. and Van der Merwe, M. (2022) 'Designing for Humans: A Revised Consumer Experience-Based Approach Towards People Management Practices', in Potgieter, I.L. and</w:t>
      </w:r>
      <w:r w:rsidRPr="00C16552">
        <w:rPr>
          <w:b/>
          <w:bCs/>
        </w:rPr>
        <w:t xml:space="preserve"> </w:t>
      </w:r>
      <w:r w:rsidRPr="00EF3F8B">
        <w:rPr>
          <w:rFonts w:ascii="Arial" w:hAnsi="Arial" w:cs="Arial"/>
          <w:sz w:val="24"/>
          <w:szCs w:val="24"/>
        </w:rPr>
        <w:t xml:space="preserve">Ferreira, N. (eds.) </w:t>
      </w:r>
      <w:r w:rsidRPr="00EF3F8B">
        <w:rPr>
          <w:rFonts w:ascii="Arial" w:hAnsi="Arial" w:cs="Arial"/>
          <w:i/>
          <w:iCs/>
          <w:sz w:val="24"/>
          <w:szCs w:val="24"/>
        </w:rPr>
        <w:t>Managing Human Resources: The New Normal</w:t>
      </w:r>
      <w:r w:rsidRPr="00EF3F8B">
        <w:rPr>
          <w:rFonts w:ascii="Arial" w:hAnsi="Arial" w:cs="Arial"/>
          <w:sz w:val="24"/>
          <w:szCs w:val="24"/>
        </w:rPr>
        <w:t>. Cham: Springer Nature, pp. 53–72.</w:t>
      </w:r>
    </w:p>
    <w:p w14:paraId="11D1B651" w14:textId="77777777" w:rsidR="00EF3F8B" w:rsidRPr="00EF3F8B" w:rsidRDefault="00EF3F8B" w:rsidP="008C2A56">
      <w:pPr>
        <w:spacing w:after="0" w:line="240" w:lineRule="auto"/>
        <w:rPr>
          <w:rFonts w:ascii="Arial" w:hAnsi="Arial" w:cs="Arial"/>
          <w:sz w:val="24"/>
          <w:szCs w:val="24"/>
        </w:rPr>
      </w:pPr>
      <w:r w:rsidRPr="00EF3F8B">
        <w:rPr>
          <w:rFonts w:ascii="Arial" w:hAnsi="Arial" w:cs="Arial"/>
          <w:sz w:val="24"/>
          <w:szCs w:val="24"/>
        </w:rPr>
        <w:t xml:space="preserve">Verhulst, S.L. and DeCenzo, D.A. (2021) </w:t>
      </w:r>
      <w:r w:rsidRPr="00EF3F8B">
        <w:rPr>
          <w:rFonts w:ascii="Arial" w:hAnsi="Arial" w:cs="Arial"/>
          <w:i/>
          <w:iCs/>
          <w:sz w:val="24"/>
          <w:szCs w:val="24"/>
        </w:rPr>
        <w:t>Fundamentals of Human Resource Management</w:t>
      </w:r>
      <w:r w:rsidRPr="00EF3F8B">
        <w:rPr>
          <w:rFonts w:ascii="Arial" w:hAnsi="Arial" w:cs="Arial"/>
          <w:sz w:val="24"/>
          <w:szCs w:val="24"/>
        </w:rPr>
        <w:t xml:space="preserve">. 14th </w:t>
      </w:r>
      <w:proofErr w:type="spellStart"/>
      <w:r w:rsidRPr="00EF3F8B">
        <w:rPr>
          <w:rFonts w:ascii="Arial" w:hAnsi="Arial" w:cs="Arial"/>
          <w:sz w:val="24"/>
          <w:szCs w:val="24"/>
        </w:rPr>
        <w:t>edn</w:t>
      </w:r>
      <w:proofErr w:type="spellEnd"/>
      <w:r w:rsidRPr="00EF3F8B">
        <w:rPr>
          <w:rFonts w:ascii="Arial" w:hAnsi="Arial" w:cs="Arial"/>
          <w:sz w:val="24"/>
          <w:szCs w:val="24"/>
        </w:rPr>
        <w:t>. Oxford: Wiley.</w:t>
      </w:r>
    </w:p>
    <w:p w14:paraId="18237CED" w14:textId="77777777" w:rsidR="00EF3F8B" w:rsidRPr="000C7B97" w:rsidRDefault="00EF3F8B" w:rsidP="008C2A56">
      <w:pPr>
        <w:spacing w:after="0" w:line="240" w:lineRule="auto"/>
        <w:rPr>
          <w:rFonts w:ascii="Arial" w:hAnsi="Arial" w:cs="Arial"/>
          <w:sz w:val="24"/>
          <w:szCs w:val="24"/>
        </w:rPr>
      </w:pPr>
    </w:p>
    <w:sectPr w:rsidR="00EF3F8B" w:rsidRPr="000C7B9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7346D1" w14:textId="77777777" w:rsidR="005C1CC5" w:rsidRDefault="005C1CC5" w:rsidP="000C7B97">
      <w:pPr>
        <w:spacing w:after="0" w:line="240" w:lineRule="auto"/>
      </w:pPr>
      <w:r>
        <w:separator/>
      </w:r>
    </w:p>
  </w:endnote>
  <w:endnote w:type="continuationSeparator" w:id="0">
    <w:p w14:paraId="7C63D870" w14:textId="77777777" w:rsidR="005C1CC5" w:rsidRDefault="005C1CC5" w:rsidP="000C7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465043"/>
      <w:docPartObj>
        <w:docPartGallery w:val="Page Numbers (Bottom of Page)"/>
        <w:docPartUnique/>
      </w:docPartObj>
    </w:sdtPr>
    <w:sdtEndPr>
      <w:rPr>
        <w:noProof/>
      </w:rPr>
    </w:sdtEndPr>
    <w:sdtContent>
      <w:p w14:paraId="14CA9FD5" w14:textId="23E99066" w:rsidR="008C11F2" w:rsidRDefault="008C11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9BA98A" w14:textId="77777777" w:rsidR="008C11F2" w:rsidRDefault="008C11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36B523" w14:textId="77777777" w:rsidR="005C1CC5" w:rsidRDefault="005C1CC5" w:rsidP="000C7B97">
      <w:pPr>
        <w:spacing w:after="0" w:line="240" w:lineRule="auto"/>
      </w:pPr>
      <w:r>
        <w:separator/>
      </w:r>
    </w:p>
  </w:footnote>
  <w:footnote w:type="continuationSeparator" w:id="0">
    <w:p w14:paraId="2F23A5E9" w14:textId="77777777" w:rsidR="005C1CC5" w:rsidRDefault="005C1CC5" w:rsidP="000C7B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C13"/>
    <w:rsid w:val="00020884"/>
    <w:rsid w:val="000C7B97"/>
    <w:rsid w:val="0025506A"/>
    <w:rsid w:val="002D0B71"/>
    <w:rsid w:val="00472B5E"/>
    <w:rsid w:val="0057487B"/>
    <w:rsid w:val="00577726"/>
    <w:rsid w:val="005A5D31"/>
    <w:rsid w:val="005C1CC5"/>
    <w:rsid w:val="00633C13"/>
    <w:rsid w:val="006A72ED"/>
    <w:rsid w:val="006B6B8A"/>
    <w:rsid w:val="006B7EB7"/>
    <w:rsid w:val="008747C0"/>
    <w:rsid w:val="00875331"/>
    <w:rsid w:val="008C11F2"/>
    <w:rsid w:val="008C2A56"/>
    <w:rsid w:val="009D0CAE"/>
    <w:rsid w:val="009E34B1"/>
    <w:rsid w:val="009E72E0"/>
    <w:rsid w:val="00AD6069"/>
    <w:rsid w:val="00BF7CBC"/>
    <w:rsid w:val="00C74FF7"/>
    <w:rsid w:val="00D608C6"/>
    <w:rsid w:val="00DF2F8D"/>
    <w:rsid w:val="00EF3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6EA92"/>
  <w15:chartTrackingRefBased/>
  <w15:docId w15:val="{FB69270B-3327-4B83-9971-5369C3497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3C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3C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3C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3C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3C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3C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C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C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C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C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3C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3C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3C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3C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3C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C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C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C13"/>
    <w:rPr>
      <w:rFonts w:eastAsiaTheme="majorEastAsia" w:cstheme="majorBidi"/>
      <w:color w:val="272727" w:themeColor="text1" w:themeTint="D8"/>
    </w:rPr>
  </w:style>
  <w:style w:type="paragraph" w:styleId="Title">
    <w:name w:val="Title"/>
    <w:basedOn w:val="Normal"/>
    <w:next w:val="Normal"/>
    <w:link w:val="TitleChar"/>
    <w:uiPriority w:val="10"/>
    <w:qFormat/>
    <w:rsid w:val="00633C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C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C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C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C13"/>
    <w:pPr>
      <w:spacing w:before="160"/>
      <w:jc w:val="center"/>
    </w:pPr>
    <w:rPr>
      <w:i/>
      <w:iCs/>
      <w:color w:val="404040" w:themeColor="text1" w:themeTint="BF"/>
    </w:rPr>
  </w:style>
  <w:style w:type="character" w:customStyle="1" w:styleId="QuoteChar">
    <w:name w:val="Quote Char"/>
    <w:basedOn w:val="DefaultParagraphFont"/>
    <w:link w:val="Quote"/>
    <w:uiPriority w:val="29"/>
    <w:rsid w:val="00633C13"/>
    <w:rPr>
      <w:i/>
      <w:iCs/>
      <w:color w:val="404040" w:themeColor="text1" w:themeTint="BF"/>
    </w:rPr>
  </w:style>
  <w:style w:type="paragraph" w:styleId="ListParagraph">
    <w:name w:val="List Paragraph"/>
    <w:basedOn w:val="Normal"/>
    <w:uiPriority w:val="34"/>
    <w:qFormat/>
    <w:rsid w:val="00633C13"/>
    <w:pPr>
      <w:ind w:left="720"/>
      <w:contextualSpacing/>
    </w:pPr>
  </w:style>
  <w:style w:type="character" w:styleId="IntenseEmphasis">
    <w:name w:val="Intense Emphasis"/>
    <w:basedOn w:val="DefaultParagraphFont"/>
    <w:uiPriority w:val="21"/>
    <w:qFormat/>
    <w:rsid w:val="00633C13"/>
    <w:rPr>
      <w:i/>
      <w:iCs/>
      <w:color w:val="0F4761" w:themeColor="accent1" w:themeShade="BF"/>
    </w:rPr>
  </w:style>
  <w:style w:type="paragraph" w:styleId="IntenseQuote">
    <w:name w:val="Intense Quote"/>
    <w:basedOn w:val="Normal"/>
    <w:next w:val="Normal"/>
    <w:link w:val="IntenseQuoteChar"/>
    <w:uiPriority w:val="30"/>
    <w:qFormat/>
    <w:rsid w:val="00633C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3C13"/>
    <w:rPr>
      <w:i/>
      <w:iCs/>
      <w:color w:val="0F4761" w:themeColor="accent1" w:themeShade="BF"/>
    </w:rPr>
  </w:style>
  <w:style w:type="character" w:styleId="IntenseReference">
    <w:name w:val="Intense Reference"/>
    <w:basedOn w:val="DefaultParagraphFont"/>
    <w:uiPriority w:val="32"/>
    <w:qFormat/>
    <w:rsid w:val="00633C13"/>
    <w:rPr>
      <w:b/>
      <w:bCs/>
      <w:smallCaps/>
      <w:color w:val="0F4761" w:themeColor="accent1" w:themeShade="BF"/>
      <w:spacing w:val="5"/>
    </w:rPr>
  </w:style>
  <w:style w:type="character" w:styleId="Hyperlink">
    <w:name w:val="Hyperlink"/>
    <w:basedOn w:val="DefaultParagraphFont"/>
    <w:uiPriority w:val="99"/>
    <w:unhideWhenUsed/>
    <w:rsid w:val="006B7EB7"/>
    <w:rPr>
      <w:color w:val="467886" w:themeColor="hyperlink"/>
      <w:u w:val="single"/>
    </w:rPr>
  </w:style>
  <w:style w:type="character" w:styleId="UnresolvedMention">
    <w:name w:val="Unresolved Mention"/>
    <w:basedOn w:val="DefaultParagraphFont"/>
    <w:uiPriority w:val="99"/>
    <w:semiHidden/>
    <w:unhideWhenUsed/>
    <w:rsid w:val="009E34B1"/>
    <w:rPr>
      <w:color w:val="605E5C"/>
      <w:shd w:val="clear" w:color="auto" w:fill="E1DFDD"/>
    </w:rPr>
  </w:style>
  <w:style w:type="paragraph" w:styleId="Header">
    <w:name w:val="header"/>
    <w:basedOn w:val="Normal"/>
    <w:link w:val="HeaderChar"/>
    <w:uiPriority w:val="99"/>
    <w:unhideWhenUsed/>
    <w:rsid w:val="000C7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B97"/>
  </w:style>
  <w:style w:type="paragraph" w:styleId="Footer">
    <w:name w:val="footer"/>
    <w:basedOn w:val="Normal"/>
    <w:link w:val="FooterChar"/>
    <w:uiPriority w:val="99"/>
    <w:unhideWhenUsed/>
    <w:rsid w:val="000C7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51480">
      <w:bodyDiv w:val="1"/>
      <w:marLeft w:val="0"/>
      <w:marRight w:val="0"/>
      <w:marTop w:val="0"/>
      <w:marBottom w:val="0"/>
      <w:divBdr>
        <w:top w:val="none" w:sz="0" w:space="0" w:color="auto"/>
        <w:left w:val="none" w:sz="0" w:space="0" w:color="auto"/>
        <w:bottom w:val="none" w:sz="0" w:space="0" w:color="auto"/>
        <w:right w:val="none" w:sz="0" w:space="0" w:color="auto"/>
      </w:divBdr>
    </w:div>
    <w:div w:id="86730888">
      <w:bodyDiv w:val="1"/>
      <w:marLeft w:val="0"/>
      <w:marRight w:val="0"/>
      <w:marTop w:val="0"/>
      <w:marBottom w:val="0"/>
      <w:divBdr>
        <w:top w:val="none" w:sz="0" w:space="0" w:color="auto"/>
        <w:left w:val="none" w:sz="0" w:space="0" w:color="auto"/>
        <w:bottom w:val="none" w:sz="0" w:space="0" w:color="auto"/>
        <w:right w:val="none" w:sz="0" w:space="0" w:color="auto"/>
      </w:divBdr>
    </w:div>
    <w:div w:id="160851014">
      <w:bodyDiv w:val="1"/>
      <w:marLeft w:val="0"/>
      <w:marRight w:val="0"/>
      <w:marTop w:val="0"/>
      <w:marBottom w:val="0"/>
      <w:divBdr>
        <w:top w:val="none" w:sz="0" w:space="0" w:color="auto"/>
        <w:left w:val="none" w:sz="0" w:space="0" w:color="auto"/>
        <w:bottom w:val="none" w:sz="0" w:space="0" w:color="auto"/>
        <w:right w:val="none" w:sz="0" w:space="0" w:color="auto"/>
      </w:divBdr>
    </w:div>
    <w:div w:id="226038273">
      <w:bodyDiv w:val="1"/>
      <w:marLeft w:val="0"/>
      <w:marRight w:val="0"/>
      <w:marTop w:val="0"/>
      <w:marBottom w:val="0"/>
      <w:divBdr>
        <w:top w:val="none" w:sz="0" w:space="0" w:color="auto"/>
        <w:left w:val="none" w:sz="0" w:space="0" w:color="auto"/>
        <w:bottom w:val="none" w:sz="0" w:space="0" w:color="auto"/>
        <w:right w:val="none" w:sz="0" w:space="0" w:color="auto"/>
      </w:divBdr>
    </w:div>
    <w:div w:id="233129409">
      <w:bodyDiv w:val="1"/>
      <w:marLeft w:val="0"/>
      <w:marRight w:val="0"/>
      <w:marTop w:val="0"/>
      <w:marBottom w:val="0"/>
      <w:divBdr>
        <w:top w:val="none" w:sz="0" w:space="0" w:color="auto"/>
        <w:left w:val="none" w:sz="0" w:space="0" w:color="auto"/>
        <w:bottom w:val="none" w:sz="0" w:space="0" w:color="auto"/>
        <w:right w:val="none" w:sz="0" w:space="0" w:color="auto"/>
      </w:divBdr>
    </w:div>
    <w:div w:id="335153617">
      <w:bodyDiv w:val="1"/>
      <w:marLeft w:val="0"/>
      <w:marRight w:val="0"/>
      <w:marTop w:val="0"/>
      <w:marBottom w:val="0"/>
      <w:divBdr>
        <w:top w:val="none" w:sz="0" w:space="0" w:color="auto"/>
        <w:left w:val="none" w:sz="0" w:space="0" w:color="auto"/>
        <w:bottom w:val="none" w:sz="0" w:space="0" w:color="auto"/>
        <w:right w:val="none" w:sz="0" w:space="0" w:color="auto"/>
      </w:divBdr>
    </w:div>
    <w:div w:id="384645281">
      <w:bodyDiv w:val="1"/>
      <w:marLeft w:val="0"/>
      <w:marRight w:val="0"/>
      <w:marTop w:val="0"/>
      <w:marBottom w:val="0"/>
      <w:divBdr>
        <w:top w:val="none" w:sz="0" w:space="0" w:color="auto"/>
        <w:left w:val="none" w:sz="0" w:space="0" w:color="auto"/>
        <w:bottom w:val="none" w:sz="0" w:space="0" w:color="auto"/>
        <w:right w:val="none" w:sz="0" w:space="0" w:color="auto"/>
      </w:divBdr>
    </w:div>
    <w:div w:id="389812901">
      <w:bodyDiv w:val="1"/>
      <w:marLeft w:val="0"/>
      <w:marRight w:val="0"/>
      <w:marTop w:val="0"/>
      <w:marBottom w:val="0"/>
      <w:divBdr>
        <w:top w:val="none" w:sz="0" w:space="0" w:color="auto"/>
        <w:left w:val="none" w:sz="0" w:space="0" w:color="auto"/>
        <w:bottom w:val="none" w:sz="0" w:space="0" w:color="auto"/>
        <w:right w:val="none" w:sz="0" w:space="0" w:color="auto"/>
      </w:divBdr>
    </w:div>
    <w:div w:id="393087470">
      <w:bodyDiv w:val="1"/>
      <w:marLeft w:val="0"/>
      <w:marRight w:val="0"/>
      <w:marTop w:val="0"/>
      <w:marBottom w:val="0"/>
      <w:divBdr>
        <w:top w:val="none" w:sz="0" w:space="0" w:color="auto"/>
        <w:left w:val="none" w:sz="0" w:space="0" w:color="auto"/>
        <w:bottom w:val="none" w:sz="0" w:space="0" w:color="auto"/>
        <w:right w:val="none" w:sz="0" w:space="0" w:color="auto"/>
      </w:divBdr>
    </w:div>
    <w:div w:id="410587930">
      <w:bodyDiv w:val="1"/>
      <w:marLeft w:val="0"/>
      <w:marRight w:val="0"/>
      <w:marTop w:val="0"/>
      <w:marBottom w:val="0"/>
      <w:divBdr>
        <w:top w:val="none" w:sz="0" w:space="0" w:color="auto"/>
        <w:left w:val="none" w:sz="0" w:space="0" w:color="auto"/>
        <w:bottom w:val="none" w:sz="0" w:space="0" w:color="auto"/>
        <w:right w:val="none" w:sz="0" w:space="0" w:color="auto"/>
      </w:divBdr>
    </w:div>
    <w:div w:id="572618871">
      <w:bodyDiv w:val="1"/>
      <w:marLeft w:val="0"/>
      <w:marRight w:val="0"/>
      <w:marTop w:val="0"/>
      <w:marBottom w:val="0"/>
      <w:divBdr>
        <w:top w:val="none" w:sz="0" w:space="0" w:color="auto"/>
        <w:left w:val="none" w:sz="0" w:space="0" w:color="auto"/>
        <w:bottom w:val="none" w:sz="0" w:space="0" w:color="auto"/>
        <w:right w:val="none" w:sz="0" w:space="0" w:color="auto"/>
      </w:divBdr>
    </w:div>
    <w:div w:id="762341649">
      <w:bodyDiv w:val="1"/>
      <w:marLeft w:val="0"/>
      <w:marRight w:val="0"/>
      <w:marTop w:val="0"/>
      <w:marBottom w:val="0"/>
      <w:divBdr>
        <w:top w:val="none" w:sz="0" w:space="0" w:color="auto"/>
        <w:left w:val="none" w:sz="0" w:space="0" w:color="auto"/>
        <w:bottom w:val="none" w:sz="0" w:space="0" w:color="auto"/>
        <w:right w:val="none" w:sz="0" w:space="0" w:color="auto"/>
      </w:divBdr>
    </w:div>
    <w:div w:id="769162722">
      <w:bodyDiv w:val="1"/>
      <w:marLeft w:val="0"/>
      <w:marRight w:val="0"/>
      <w:marTop w:val="0"/>
      <w:marBottom w:val="0"/>
      <w:divBdr>
        <w:top w:val="none" w:sz="0" w:space="0" w:color="auto"/>
        <w:left w:val="none" w:sz="0" w:space="0" w:color="auto"/>
        <w:bottom w:val="none" w:sz="0" w:space="0" w:color="auto"/>
        <w:right w:val="none" w:sz="0" w:space="0" w:color="auto"/>
      </w:divBdr>
    </w:div>
    <w:div w:id="783425358">
      <w:bodyDiv w:val="1"/>
      <w:marLeft w:val="0"/>
      <w:marRight w:val="0"/>
      <w:marTop w:val="0"/>
      <w:marBottom w:val="0"/>
      <w:divBdr>
        <w:top w:val="none" w:sz="0" w:space="0" w:color="auto"/>
        <w:left w:val="none" w:sz="0" w:space="0" w:color="auto"/>
        <w:bottom w:val="none" w:sz="0" w:space="0" w:color="auto"/>
        <w:right w:val="none" w:sz="0" w:space="0" w:color="auto"/>
      </w:divBdr>
    </w:div>
    <w:div w:id="790782503">
      <w:bodyDiv w:val="1"/>
      <w:marLeft w:val="0"/>
      <w:marRight w:val="0"/>
      <w:marTop w:val="0"/>
      <w:marBottom w:val="0"/>
      <w:divBdr>
        <w:top w:val="none" w:sz="0" w:space="0" w:color="auto"/>
        <w:left w:val="none" w:sz="0" w:space="0" w:color="auto"/>
        <w:bottom w:val="none" w:sz="0" w:space="0" w:color="auto"/>
        <w:right w:val="none" w:sz="0" w:space="0" w:color="auto"/>
      </w:divBdr>
    </w:div>
    <w:div w:id="843474923">
      <w:bodyDiv w:val="1"/>
      <w:marLeft w:val="0"/>
      <w:marRight w:val="0"/>
      <w:marTop w:val="0"/>
      <w:marBottom w:val="0"/>
      <w:divBdr>
        <w:top w:val="none" w:sz="0" w:space="0" w:color="auto"/>
        <w:left w:val="none" w:sz="0" w:space="0" w:color="auto"/>
        <w:bottom w:val="none" w:sz="0" w:space="0" w:color="auto"/>
        <w:right w:val="none" w:sz="0" w:space="0" w:color="auto"/>
      </w:divBdr>
    </w:div>
    <w:div w:id="958604024">
      <w:bodyDiv w:val="1"/>
      <w:marLeft w:val="0"/>
      <w:marRight w:val="0"/>
      <w:marTop w:val="0"/>
      <w:marBottom w:val="0"/>
      <w:divBdr>
        <w:top w:val="none" w:sz="0" w:space="0" w:color="auto"/>
        <w:left w:val="none" w:sz="0" w:space="0" w:color="auto"/>
        <w:bottom w:val="none" w:sz="0" w:space="0" w:color="auto"/>
        <w:right w:val="none" w:sz="0" w:space="0" w:color="auto"/>
      </w:divBdr>
    </w:div>
    <w:div w:id="982463801">
      <w:bodyDiv w:val="1"/>
      <w:marLeft w:val="0"/>
      <w:marRight w:val="0"/>
      <w:marTop w:val="0"/>
      <w:marBottom w:val="0"/>
      <w:divBdr>
        <w:top w:val="none" w:sz="0" w:space="0" w:color="auto"/>
        <w:left w:val="none" w:sz="0" w:space="0" w:color="auto"/>
        <w:bottom w:val="none" w:sz="0" w:space="0" w:color="auto"/>
        <w:right w:val="none" w:sz="0" w:space="0" w:color="auto"/>
      </w:divBdr>
    </w:div>
    <w:div w:id="1171291059">
      <w:bodyDiv w:val="1"/>
      <w:marLeft w:val="0"/>
      <w:marRight w:val="0"/>
      <w:marTop w:val="0"/>
      <w:marBottom w:val="0"/>
      <w:divBdr>
        <w:top w:val="none" w:sz="0" w:space="0" w:color="auto"/>
        <w:left w:val="none" w:sz="0" w:space="0" w:color="auto"/>
        <w:bottom w:val="none" w:sz="0" w:space="0" w:color="auto"/>
        <w:right w:val="none" w:sz="0" w:space="0" w:color="auto"/>
      </w:divBdr>
    </w:div>
    <w:div w:id="1263300422">
      <w:bodyDiv w:val="1"/>
      <w:marLeft w:val="0"/>
      <w:marRight w:val="0"/>
      <w:marTop w:val="0"/>
      <w:marBottom w:val="0"/>
      <w:divBdr>
        <w:top w:val="none" w:sz="0" w:space="0" w:color="auto"/>
        <w:left w:val="none" w:sz="0" w:space="0" w:color="auto"/>
        <w:bottom w:val="none" w:sz="0" w:space="0" w:color="auto"/>
        <w:right w:val="none" w:sz="0" w:space="0" w:color="auto"/>
      </w:divBdr>
    </w:div>
    <w:div w:id="1288583350">
      <w:bodyDiv w:val="1"/>
      <w:marLeft w:val="0"/>
      <w:marRight w:val="0"/>
      <w:marTop w:val="0"/>
      <w:marBottom w:val="0"/>
      <w:divBdr>
        <w:top w:val="none" w:sz="0" w:space="0" w:color="auto"/>
        <w:left w:val="none" w:sz="0" w:space="0" w:color="auto"/>
        <w:bottom w:val="none" w:sz="0" w:space="0" w:color="auto"/>
        <w:right w:val="none" w:sz="0" w:space="0" w:color="auto"/>
      </w:divBdr>
    </w:div>
    <w:div w:id="1294171896">
      <w:bodyDiv w:val="1"/>
      <w:marLeft w:val="0"/>
      <w:marRight w:val="0"/>
      <w:marTop w:val="0"/>
      <w:marBottom w:val="0"/>
      <w:divBdr>
        <w:top w:val="none" w:sz="0" w:space="0" w:color="auto"/>
        <w:left w:val="none" w:sz="0" w:space="0" w:color="auto"/>
        <w:bottom w:val="none" w:sz="0" w:space="0" w:color="auto"/>
        <w:right w:val="none" w:sz="0" w:space="0" w:color="auto"/>
      </w:divBdr>
    </w:div>
    <w:div w:id="1313679579">
      <w:bodyDiv w:val="1"/>
      <w:marLeft w:val="0"/>
      <w:marRight w:val="0"/>
      <w:marTop w:val="0"/>
      <w:marBottom w:val="0"/>
      <w:divBdr>
        <w:top w:val="none" w:sz="0" w:space="0" w:color="auto"/>
        <w:left w:val="none" w:sz="0" w:space="0" w:color="auto"/>
        <w:bottom w:val="none" w:sz="0" w:space="0" w:color="auto"/>
        <w:right w:val="none" w:sz="0" w:space="0" w:color="auto"/>
      </w:divBdr>
    </w:div>
    <w:div w:id="1332179341">
      <w:bodyDiv w:val="1"/>
      <w:marLeft w:val="0"/>
      <w:marRight w:val="0"/>
      <w:marTop w:val="0"/>
      <w:marBottom w:val="0"/>
      <w:divBdr>
        <w:top w:val="none" w:sz="0" w:space="0" w:color="auto"/>
        <w:left w:val="none" w:sz="0" w:space="0" w:color="auto"/>
        <w:bottom w:val="none" w:sz="0" w:space="0" w:color="auto"/>
        <w:right w:val="none" w:sz="0" w:space="0" w:color="auto"/>
      </w:divBdr>
    </w:div>
    <w:div w:id="1366175483">
      <w:bodyDiv w:val="1"/>
      <w:marLeft w:val="0"/>
      <w:marRight w:val="0"/>
      <w:marTop w:val="0"/>
      <w:marBottom w:val="0"/>
      <w:divBdr>
        <w:top w:val="none" w:sz="0" w:space="0" w:color="auto"/>
        <w:left w:val="none" w:sz="0" w:space="0" w:color="auto"/>
        <w:bottom w:val="none" w:sz="0" w:space="0" w:color="auto"/>
        <w:right w:val="none" w:sz="0" w:space="0" w:color="auto"/>
      </w:divBdr>
    </w:div>
    <w:div w:id="1442916381">
      <w:bodyDiv w:val="1"/>
      <w:marLeft w:val="0"/>
      <w:marRight w:val="0"/>
      <w:marTop w:val="0"/>
      <w:marBottom w:val="0"/>
      <w:divBdr>
        <w:top w:val="none" w:sz="0" w:space="0" w:color="auto"/>
        <w:left w:val="none" w:sz="0" w:space="0" w:color="auto"/>
        <w:bottom w:val="none" w:sz="0" w:space="0" w:color="auto"/>
        <w:right w:val="none" w:sz="0" w:space="0" w:color="auto"/>
      </w:divBdr>
    </w:div>
    <w:div w:id="1542936199">
      <w:bodyDiv w:val="1"/>
      <w:marLeft w:val="0"/>
      <w:marRight w:val="0"/>
      <w:marTop w:val="0"/>
      <w:marBottom w:val="0"/>
      <w:divBdr>
        <w:top w:val="none" w:sz="0" w:space="0" w:color="auto"/>
        <w:left w:val="none" w:sz="0" w:space="0" w:color="auto"/>
        <w:bottom w:val="none" w:sz="0" w:space="0" w:color="auto"/>
        <w:right w:val="none" w:sz="0" w:space="0" w:color="auto"/>
      </w:divBdr>
    </w:div>
    <w:div w:id="1625425826">
      <w:bodyDiv w:val="1"/>
      <w:marLeft w:val="0"/>
      <w:marRight w:val="0"/>
      <w:marTop w:val="0"/>
      <w:marBottom w:val="0"/>
      <w:divBdr>
        <w:top w:val="none" w:sz="0" w:space="0" w:color="auto"/>
        <w:left w:val="none" w:sz="0" w:space="0" w:color="auto"/>
        <w:bottom w:val="none" w:sz="0" w:space="0" w:color="auto"/>
        <w:right w:val="none" w:sz="0" w:space="0" w:color="auto"/>
      </w:divBdr>
    </w:div>
    <w:div w:id="1707100754">
      <w:bodyDiv w:val="1"/>
      <w:marLeft w:val="0"/>
      <w:marRight w:val="0"/>
      <w:marTop w:val="0"/>
      <w:marBottom w:val="0"/>
      <w:divBdr>
        <w:top w:val="none" w:sz="0" w:space="0" w:color="auto"/>
        <w:left w:val="none" w:sz="0" w:space="0" w:color="auto"/>
        <w:bottom w:val="none" w:sz="0" w:space="0" w:color="auto"/>
        <w:right w:val="none" w:sz="0" w:space="0" w:color="auto"/>
      </w:divBdr>
    </w:div>
    <w:div w:id="1742947133">
      <w:bodyDiv w:val="1"/>
      <w:marLeft w:val="0"/>
      <w:marRight w:val="0"/>
      <w:marTop w:val="0"/>
      <w:marBottom w:val="0"/>
      <w:divBdr>
        <w:top w:val="none" w:sz="0" w:space="0" w:color="auto"/>
        <w:left w:val="none" w:sz="0" w:space="0" w:color="auto"/>
        <w:bottom w:val="none" w:sz="0" w:space="0" w:color="auto"/>
        <w:right w:val="none" w:sz="0" w:space="0" w:color="auto"/>
      </w:divBdr>
    </w:div>
    <w:div w:id="1828739003">
      <w:bodyDiv w:val="1"/>
      <w:marLeft w:val="0"/>
      <w:marRight w:val="0"/>
      <w:marTop w:val="0"/>
      <w:marBottom w:val="0"/>
      <w:divBdr>
        <w:top w:val="none" w:sz="0" w:space="0" w:color="auto"/>
        <w:left w:val="none" w:sz="0" w:space="0" w:color="auto"/>
        <w:bottom w:val="none" w:sz="0" w:space="0" w:color="auto"/>
        <w:right w:val="none" w:sz="0" w:space="0" w:color="auto"/>
      </w:divBdr>
    </w:div>
    <w:div w:id="1855530418">
      <w:bodyDiv w:val="1"/>
      <w:marLeft w:val="0"/>
      <w:marRight w:val="0"/>
      <w:marTop w:val="0"/>
      <w:marBottom w:val="0"/>
      <w:divBdr>
        <w:top w:val="none" w:sz="0" w:space="0" w:color="auto"/>
        <w:left w:val="none" w:sz="0" w:space="0" w:color="auto"/>
        <w:bottom w:val="none" w:sz="0" w:space="0" w:color="auto"/>
        <w:right w:val="none" w:sz="0" w:space="0" w:color="auto"/>
      </w:divBdr>
    </w:div>
    <w:div w:id="1918634982">
      <w:bodyDiv w:val="1"/>
      <w:marLeft w:val="0"/>
      <w:marRight w:val="0"/>
      <w:marTop w:val="0"/>
      <w:marBottom w:val="0"/>
      <w:divBdr>
        <w:top w:val="none" w:sz="0" w:space="0" w:color="auto"/>
        <w:left w:val="none" w:sz="0" w:space="0" w:color="auto"/>
        <w:bottom w:val="none" w:sz="0" w:space="0" w:color="auto"/>
        <w:right w:val="none" w:sz="0" w:space="0" w:color="auto"/>
      </w:divBdr>
    </w:div>
    <w:div w:id="1925144523">
      <w:bodyDiv w:val="1"/>
      <w:marLeft w:val="0"/>
      <w:marRight w:val="0"/>
      <w:marTop w:val="0"/>
      <w:marBottom w:val="0"/>
      <w:divBdr>
        <w:top w:val="none" w:sz="0" w:space="0" w:color="auto"/>
        <w:left w:val="none" w:sz="0" w:space="0" w:color="auto"/>
        <w:bottom w:val="none" w:sz="0" w:space="0" w:color="auto"/>
        <w:right w:val="none" w:sz="0" w:space="0" w:color="auto"/>
      </w:divBdr>
    </w:div>
    <w:div w:id="2035301624">
      <w:bodyDiv w:val="1"/>
      <w:marLeft w:val="0"/>
      <w:marRight w:val="0"/>
      <w:marTop w:val="0"/>
      <w:marBottom w:val="0"/>
      <w:divBdr>
        <w:top w:val="none" w:sz="0" w:space="0" w:color="auto"/>
        <w:left w:val="none" w:sz="0" w:space="0" w:color="auto"/>
        <w:bottom w:val="none" w:sz="0" w:space="0" w:color="auto"/>
        <w:right w:val="none" w:sz="0" w:space="0" w:color="auto"/>
      </w:divBdr>
    </w:div>
    <w:div w:id="2056848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bc.com/-/files/hsbc/investors/hsbc-results/2025/annual/pdfs/hsbc-holdings-plc/260225-annual-report-and-accounts-2025.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hsbc.com" TargetMode="External"/><Relationship Id="rId4" Type="http://schemas.openxmlformats.org/officeDocument/2006/relationships/footnotes" Target="footnotes.xml"/><Relationship Id="rId9" Type="http://schemas.openxmlformats.org/officeDocument/2006/relationships/hyperlink" Target="https://www.hsb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2871</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munteanu</dc:creator>
  <cp:keywords/>
  <dc:description/>
  <cp:lastModifiedBy>daniela munteanu</cp:lastModifiedBy>
  <cp:revision>12</cp:revision>
  <dcterms:created xsi:type="dcterms:W3CDTF">2026-03-04T07:09:00Z</dcterms:created>
  <dcterms:modified xsi:type="dcterms:W3CDTF">2026-03-24T20:11:00Z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423f8ffb-10c8-43a9-a65c-b53196a59106</vt:lpwstr>
  </property>
</Properties>
</file>