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418EEB" w14:textId="18956385" w:rsidR="00680655" w:rsidRPr="00A97F45" w:rsidRDefault="005B6DB9" w:rsidP="00872CAF">
      <w:pPr>
        <w:spacing w:line="276" w:lineRule="auto"/>
        <w:rPr>
          <w:rFonts w:asciiTheme="minorHAnsi" w:hAnsiTheme="minorHAnsi" w:cstheme="minorHAnsi"/>
          <w:u w:val="single"/>
          <w:lang w:val="cy-GB"/>
        </w:rPr>
      </w:pPr>
      <w:r w:rsidRPr="00A406E5">
        <w:rPr>
          <w:rFonts w:ascii="Arial" w:hAnsi="Arial" w:cs="Arial"/>
          <w:noProof/>
        </w:rPr>
        <w:drawing>
          <wp:anchor distT="0" distB="0" distL="114300" distR="114300" simplePos="0" relativeHeight="251659264" behindDoc="0" locked="0" layoutInCell="1" allowOverlap="1" wp14:anchorId="41058AB5" wp14:editId="34A698A4">
            <wp:simplePos x="0" y="0"/>
            <wp:positionH relativeFrom="column">
              <wp:posOffset>-405048</wp:posOffset>
            </wp:positionH>
            <wp:positionV relativeFrom="paragraph">
              <wp:posOffset>193</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3567BCE" w14:textId="250A1BB9" w:rsidR="005B6DB9" w:rsidRDefault="001457C3" w:rsidP="001457C3">
      <w:pPr>
        <w:spacing w:line="276" w:lineRule="auto"/>
        <w:rPr>
          <w:rFonts w:asciiTheme="minorHAnsi" w:eastAsiaTheme="minorHAnsi" w:hAnsiTheme="minorHAnsi" w:cstheme="minorHAnsi"/>
          <w:lang w:val="cy-GB"/>
        </w:rPr>
      </w:pPr>
      <w:r w:rsidRPr="00A97F45">
        <w:rPr>
          <w:rFonts w:asciiTheme="minorHAnsi" w:eastAsiaTheme="minorHAnsi" w:hAnsiTheme="minorHAnsi" w:cstheme="minorHAnsi"/>
          <w:lang w:val="cy-GB"/>
        </w:rPr>
        <w:tab/>
      </w:r>
    </w:p>
    <w:p w14:paraId="154D3B2B" w14:textId="3098D1D6" w:rsidR="005B6DB9" w:rsidRDefault="005B6DB9" w:rsidP="001457C3">
      <w:pPr>
        <w:spacing w:line="276" w:lineRule="auto"/>
        <w:rPr>
          <w:rFonts w:asciiTheme="minorHAnsi" w:eastAsiaTheme="minorHAnsi" w:hAnsiTheme="minorHAnsi" w:cstheme="minorHAnsi"/>
          <w:lang w:val="cy-GB"/>
        </w:rPr>
      </w:pPr>
    </w:p>
    <w:tbl>
      <w:tblPr>
        <w:tblpPr w:leftFromText="180" w:rightFromText="180" w:vertAnchor="text" w:horzAnchor="margin" w:tblpY="127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B6DB9" w:rsidRPr="00A406E5" w14:paraId="01D8193E" w14:textId="77777777" w:rsidTr="005B6DB9">
        <w:tc>
          <w:tcPr>
            <w:tcW w:w="2093" w:type="dxa"/>
            <w:shd w:val="clear" w:color="auto" w:fill="auto"/>
          </w:tcPr>
          <w:p w14:paraId="190FDF33"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Enw’r myfyriwr:</w:t>
            </w:r>
          </w:p>
        </w:tc>
        <w:tc>
          <w:tcPr>
            <w:tcW w:w="3293" w:type="dxa"/>
          </w:tcPr>
          <w:p w14:paraId="10F26652" w14:textId="77777777" w:rsidR="005B6DB9" w:rsidRPr="00A406E5" w:rsidRDefault="005B6DB9" w:rsidP="005B6DB9">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roofErr w:type="spellStart"/>
            <w:r>
              <w:rPr>
                <w:rFonts w:ascii="Arial" w:hAnsi="Arial" w:cs="Arial"/>
                <w:b/>
                <w:sz w:val="22"/>
                <w:szCs w:val="22"/>
              </w:rPr>
              <w:t>Eleri</w:t>
            </w:r>
            <w:proofErr w:type="spellEnd"/>
            <w:r>
              <w:rPr>
                <w:rFonts w:ascii="Arial" w:hAnsi="Arial" w:cs="Arial"/>
                <w:b/>
                <w:sz w:val="22"/>
                <w:szCs w:val="22"/>
              </w:rPr>
              <w:t xml:space="preserve"> Smith</w:t>
            </w:r>
          </w:p>
        </w:tc>
        <w:tc>
          <w:tcPr>
            <w:tcW w:w="2268" w:type="dxa"/>
            <w:shd w:val="clear" w:color="auto" w:fill="D9D9D9" w:themeFill="background1" w:themeFillShade="D9"/>
          </w:tcPr>
          <w:p w14:paraId="3E4C1382"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Rhif Adnabod y myfyriwr:</w:t>
            </w:r>
          </w:p>
        </w:tc>
        <w:tc>
          <w:tcPr>
            <w:tcW w:w="2268" w:type="dxa"/>
          </w:tcPr>
          <w:p w14:paraId="07953327" w14:textId="77777777" w:rsidR="005B6DB9" w:rsidRPr="00A406E5" w:rsidRDefault="005B6DB9" w:rsidP="005B6DB9">
            <w:pPr>
              <w:spacing w:before="120" w:after="120"/>
              <w:jc w:val="both"/>
              <w:rPr>
                <w:rFonts w:ascii="Arial" w:hAnsi="Arial" w:cs="Arial"/>
                <w:b/>
                <w:sz w:val="22"/>
                <w:szCs w:val="22"/>
              </w:rPr>
            </w:pPr>
            <w:r>
              <w:rPr>
                <w:rFonts w:ascii="Arial" w:hAnsi="Arial" w:cs="Arial"/>
                <w:b/>
                <w:sz w:val="22"/>
                <w:szCs w:val="22"/>
              </w:rPr>
              <w:t>1500151</w:t>
            </w:r>
          </w:p>
        </w:tc>
      </w:tr>
      <w:tr w:rsidR="005B6DB9" w:rsidRPr="00A406E5" w14:paraId="6A3129AB" w14:textId="77777777" w:rsidTr="005B6DB9">
        <w:tc>
          <w:tcPr>
            <w:tcW w:w="2093" w:type="dxa"/>
            <w:shd w:val="clear" w:color="auto" w:fill="auto"/>
          </w:tcPr>
          <w:p w14:paraId="5A4D0A3B"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Rhaglen:</w:t>
            </w:r>
          </w:p>
        </w:tc>
        <w:tc>
          <w:tcPr>
            <w:tcW w:w="7829" w:type="dxa"/>
            <w:gridSpan w:val="3"/>
          </w:tcPr>
          <w:p w14:paraId="588E67CE" w14:textId="77777777" w:rsidR="005B6DB9" w:rsidRPr="00A406E5" w:rsidRDefault="005B6DB9" w:rsidP="005B6DB9">
            <w:pPr>
              <w:spacing w:before="120" w:after="120"/>
              <w:jc w:val="both"/>
              <w:rPr>
                <w:rFonts w:ascii="Arial" w:hAnsi="Arial" w:cs="Arial"/>
                <w:b/>
                <w:sz w:val="22"/>
                <w:szCs w:val="22"/>
              </w:rPr>
            </w:pPr>
            <w:r w:rsidRPr="0055084A">
              <w:rPr>
                <w:rFonts w:ascii="Arial" w:hAnsi="Arial" w:cs="Arial"/>
                <w:b/>
                <w:sz w:val="22"/>
                <w:szCs w:val="22"/>
              </w:rPr>
              <w:t xml:space="preserve">TAR </w:t>
            </w:r>
            <w:proofErr w:type="spellStart"/>
            <w:r w:rsidRPr="0055084A">
              <w:rPr>
                <w:rFonts w:ascii="Arial" w:hAnsi="Arial" w:cs="Arial"/>
                <w:b/>
                <w:sz w:val="22"/>
                <w:szCs w:val="22"/>
              </w:rPr>
              <w:t>Uwchradd</w:t>
            </w:r>
            <w:proofErr w:type="spellEnd"/>
          </w:p>
        </w:tc>
      </w:tr>
      <w:tr w:rsidR="005B6DB9" w:rsidRPr="00A406E5" w14:paraId="58722646" w14:textId="77777777" w:rsidTr="005B6DB9">
        <w:tc>
          <w:tcPr>
            <w:tcW w:w="2093" w:type="dxa"/>
            <w:shd w:val="clear" w:color="auto" w:fill="auto"/>
          </w:tcPr>
          <w:p w14:paraId="7B186B2C"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Modwl:</w:t>
            </w:r>
          </w:p>
        </w:tc>
        <w:tc>
          <w:tcPr>
            <w:tcW w:w="7829" w:type="dxa"/>
            <w:gridSpan w:val="3"/>
            <w:shd w:val="clear" w:color="auto" w:fill="auto"/>
          </w:tcPr>
          <w:p w14:paraId="72D45FF5" w14:textId="77777777" w:rsidR="005B6DB9" w:rsidRPr="00A406E5" w:rsidRDefault="005B6DB9" w:rsidP="005B6DB9">
            <w:pPr>
              <w:spacing w:before="120" w:after="120"/>
              <w:jc w:val="both"/>
              <w:rPr>
                <w:rFonts w:ascii="Arial" w:hAnsi="Arial" w:cs="Arial"/>
                <w:b/>
                <w:sz w:val="22"/>
                <w:szCs w:val="22"/>
              </w:rPr>
            </w:pPr>
            <w:proofErr w:type="spellStart"/>
            <w:r w:rsidRPr="0055084A">
              <w:rPr>
                <w:rFonts w:ascii="Arial" w:hAnsi="Arial" w:cs="Arial"/>
                <w:b/>
                <w:sz w:val="22"/>
                <w:szCs w:val="22"/>
              </w:rPr>
              <w:t>Ymchwilio</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i</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Faterion</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Cyfoes</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mewn</w:t>
            </w:r>
            <w:proofErr w:type="spellEnd"/>
            <w:r>
              <w:rPr>
                <w:rFonts w:ascii="Arial" w:hAnsi="Arial" w:cs="Arial"/>
                <w:b/>
                <w:sz w:val="22"/>
                <w:szCs w:val="22"/>
              </w:rPr>
              <w:t xml:space="preserve"> </w:t>
            </w:r>
            <w:proofErr w:type="spellStart"/>
            <w:r>
              <w:rPr>
                <w:rFonts w:ascii="Arial" w:hAnsi="Arial" w:cs="Arial"/>
                <w:b/>
                <w:sz w:val="22"/>
                <w:szCs w:val="22"/>
              </w:rPr>
              <w:t>Addysg</w:t>
            </w:r>
            <w:proofErr w:type="spellEnd"/>
            <w:r>
              <w:rPr>
                <w:rFonts w:ascii="Arial" w:hAnsi="Arial" w:cs="Arial"/>
                <w:b/>
                <w:sz w:val="22"/>
                <w:szCs w:val="22"/>
              </w:rPr>
              <w:t xml:space="preserve"> </w:t>
            </w:r>
            <w:proofErr w:type="spellStart"/>
            <w:r>
              <w:rPr>
                <w:rFonts w:ascii="Arial" w:hAnsi="Arial" w:cs="Arial"/>
                <w:b/>
                <w:sz w:val="22"/>
                <w:szCs w:val="22"/>
              </w:rPr>
              <w:t>Uwchradd</w:t>
            </w:r>
            <w:proofErr w:type="spellEnd"/>
          </w:p>
        </w:tc>
      </w:tr>
      <w:tr w:rsidR="005B6DB9" w:rsidRPr="00A406E5" w14:paraId="7342F632" w14:textId="77777777" w:rsidTr="005B6DB9">
        <w:tc>
          <w:tcPr>
            <w:tcW w:w="2093" w:type="dxa"/>
            <w:shd w:val="clear" w:color="auto" w:fill="auto"/>
          </w:tcPr>
          <w:p w14:paraId="2E333767"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Cod y modwl:</w:t>
            </w:r>
          </w:p>
        </w:tc>
        <w:tc>
          <w:tcPr>
            <w:tcW w:w="3293" w:type="dxa"/>
          </w:tcPr>
          <w:p w14:paraId="7DE13A70" w14:textId="77777777" w:rsidR="005B6DB9" w:rsidRPr="0055084A" w:rsidRDefault="005B6DB9" w:rsidP="005B6DB9">
            <w:pPr>
              <w:spacing w:before="120" w:after="120"/>
              <w:jc w:val="both"/>
              <w:rPr>
                <w:rFonts w:ascii="Arial" w:hAnsi="Arial" w:cs="Arial"/>
                <w:b/>
                <w:sz w:val="22"/>
                <w:szCs w:val="22"/>
              </w:rPr>
            </w:pPr>
            <w:r w:rsidRPr="0055084A">
              <w:rPr>
                <w:rFonts w:ascii="Arial" w:hAnsi="Arial" w:cs="Arial"/>
                <w:b/>
              </w:rPr>
              <w:t>ECSP7001C</w:t>
            </w:r>
          </w:p>
        </w:tc>
        <w:tc>
          <w:tcPr>
            <w:tcW w:w="2268" w:type="dxa"/>
            <w:shd w:val="clear" w:color="auto" w:fill="D9D9D9" w:themeFill="background1" w:themeFillShade="D9"/>
          </w:tcPr>
          <w:p w14:paraId="448BDA97" w14:textId="77777777" w:rsidR="005B6DB9" w:rsidRPr="004D5E9B" w:rsidRDefault="005B6DB9" w:rsidP="005B6DB9">
            <w:pPr>
              <w:pStyle w:val="Heading2"/>
              <w:rPr>
                <w:rFonts w:ascii="Arial" w:hAnsi="Arial" w:cs="Arial"/>
                <w:sz w:val="22"/>
                <w:szCs w:val="22"/>
              </w:rPr>
            </w:pPr>
            <w:r w:rsidRPr="5E388572">
              <w:rPr>
                <w:rFonts w:ascii="Arial" w:hAnsi="Arial" w:cs="Arial"/>
                <w:sz w:val="22"/>
                <w:szCs w:val="22"/>
                <w:lang w:val="cy-GB"/>
              </w:rPr>
              <w:t>Cyfraniad at Asesiad Cyffredinol y Modwl  (%):</w:t>
            </w:r>
          </w:p>
        </w:tc>
        <w:tc>
          <w:tcPr>
            <w:tcW w:w="2268" w:type="dxa"/>
          </w:tcPr>
          <w:p w14:paraId="444DAF18" w14:textId="77777777" w:rsidR="005B6DB9" w:rsidRPr="00A406E5" w:rsidRDefault="005B6DB9" w:rsidP="005B6DB9">
            <w:pPr>
              <w:spacing w:before="120" w:after="120"/>
              <w:jc w:val="both"/>
              <w:rPr>
                <w:rFonts w:ascii="Arial" w:hAnsi="Arial" w:cs="Arial"/>
                <w:b/>
                <w:sz w:val="22"/>
                <w:szCs w:val="22"/>
              </w:rPr>
            </w:pPr>
            <w:r>
              <w:rPr>
                <w:rFonts w:ascii="Arial" w:hAnsi="Arial" w:cs="Arial"/>
                <w:b/>
                <w:sz w:val="22"/>
                <w:szCs w:val="22"/>
              </w:rPr>
              <w:t>100%</w:t>
            </w:r>
          </w:p>
        </w:tc>
      </w:tr>
      <w:tr w:rsidR="005B6DB9" w:rsidRPr="00A406E5" w14:paraId="58612489" w14:textId="77777777" w:rsidTr="005B6DB9">
        <w:tc>
          <w:tcPr>
            <w:tcW w:w="2093" w:type="dxa"/>
            <w:shd w:val="clear" w:color="auto" w:fill="auto"/>
          </w:tcPr>
          <w:p w14:paraId="6AEBCB21"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Darlithydd:</w:t>
            </w:r>
          </w:p>
        </w:tc>
        <w:tc>
          <w:tcPr>
            <w:tcW w:w="3293" w:type="dxa"/>
          </w:tcPr>
          <w:p w14:paraId="72DCB1A3" w14:textId="77777777" w:rsidR="005B6DB9" w:rsidRPr="00A406E5" w:rsidRDefault="005B6DB9" w:rsidP="005B6DB9">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hemeFill="background1" w:themeFillShade="D9"/>
          </w:tcPr>
          <w:p w14:paraId="1797B5C6"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Gwiriwr Mewnol:</w:t>
            </w:r>
          </w:p>
        </w:tc>
        <w:tc>
          <w:tcPr>
            <w:tcW w:w="2268" w:type="dxa"/>
          </w:tcPr>
          <w:p w14:paraId="322534A3" w14:textId="77777777" w:rsidR="005B6DB9" w:rsidRPr="00A406E5" w:rsidRDefault="005B6DB9" w:rsidP="005B6DB9">
            <w:pPr>
              <w:spacing w:before="120" w:after="120"/>
              <w:jc w:val="both"/>
              <w:rPr>
                <w:rFonts w:ascii="Arial" w:hAnsi="Arial" w:cs="Arial"/>
                <w:b/>
                <w:sz w:val="22"/>
                <w:szCs w:val="22"/>
              </w:rPr>
            </w:pPr>
          </w:p>
        </w:tc>
      </w:tr>
      <w:tr w:rsidR="005B6DB9" w:rsidRPr="00A406E5" w14:paraId="41B25C1B" w14:textId="77777777" w:rsidTr="005B6DB9">
        <w:tc>
          <w:tcPr>
            <w:tcW w:w="2093" w:type="dxa"/>
            <w:shd w:val="clear" w:color="auto" w:fill="auto"/>
          </w:tcPr>
          <w:p w14:paraId="21C37503"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Teitl yr Aseiniad:</w:t>
            </w:r>
          </w:p>
        </w:tc>
        <w:tc>
          <w:tcPr>
            <w:tcW w:w="3293" w:type="dxa"/>
          </w:tcPr>
          <w:p w14:paraId="626CB460" w14:textId="77777777" w:rsidR="005B6DB9" w:rsidRPr="00A406E5" w:rsidRDefault="005B6DB9" w:rsidP="005B6DB9">
            <w:pPr>
              <w:spacing w:before="120" w:after="120"/>
              <w:jc w:val="both"/>
              <w:rPr>
                <w:rFonts w:ascii="Arial" w:hAnsi="Arial" w:cs="Arial"/>
                <w:b/>
                <w:sz w:val="22"/>
                <w:szCs w:val="22"/>
              </w:rPr>
            </w:pPr>
            <w:proofErr w:type="spellStart"/>
            <w:r w:rsidRPr="0055084A">
              <w:rPr>
                <w:rFonts w:ascii="Arial" w:hAnsi="Arial" w:cs="Arial"/>
                <w:b/>
                <w:sz w:val="22"/>
                <w:szCs w:val="22"/>
              </w:rPr>
              <w:t>Ymchwilio</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i</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Faterion</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Cyfoes</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mewn</w:t>
            </w:r>
            <w:proofErr w:type="spellEnd"/>
            <w:r>
              <w:rPr>
                <w:rFonts w:ascii="Arial" w:hAnsi="Arial" w:cs="Arial"/>
                <w:b/>
                <w:sz w:val="22"/>
                <w:szCs w:val="22"/>
              </w:rPr>
              <w:t xml:space="preserve"> </w:t>
            </w:r>
            <w:proofErr w:type="spellStart"/>
            <w:r>
              <w:rPr>
                <w:rFonts w:ascii="Arial" w:hAnsi="Arial" w:cs="Arial"/>
                <w:b/>
                <w:sz w:val="22"/>
                <w:szCs w:val="22"/>
              </w:rPr>
              <w:t>Addysg</w:t>
            </w:r>
            <w:proofErr w:type="spellEnd"/>
            <w:r>
              <w:rPr>
                <w:rFonts w:ascii="Arial" w:hAnsi="Arial" w:cs="Arial"/>
                <w:b/>
                <w:sz w:val="22"/>
                <w:szCs w:val="22"/>
              </w:rPr>
              <w:t xml:space="preserve"> </w:t>
            </w:r>
            <w:proofErr w:type="spellStart"/>
            <w:r>
              <w:rPr>
                <w:rFonts w:ascii="Arial" w:hAnsi="Arial" w:cs="Arial"/>
                <w:b/>
                <w:sz w:val="22"/>
                <w:szCs w:val="22"/>
              </w:rPr>
              <w:t>Uwchradd</w:t>
            </w:r>
            <w:proofErr w:type="spellEnd"/>
          </w:p>
        </w:tc>
        <w:tc>
          <w:tcPr>
            <w:tcW w:w="2268" w:type="dxa"/>
            <w:shd w:val="clear" w:color="auto" w:fill="auto"/>
          </w:tcPr>
          <w:p w14:paraId="7F50C13B"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 xml:space="preserve">Nifer o eiriau (neu’r cyfwerth): </w:t>
            </w:r>
          </w:p>
        </w:tc>
        <w:tc>
          <w:tcPr>
            <w:tcW w:w="2268" w:type="dxa"/>
          </w:tcPr>
          <w:p w14:paraId="5811E606" w14:textId="77777777" w:rsidR="005B6DB9" w:rsidRPr="00A406E5" w:rsidRDefault="005B6DB9" w:rsidP="005B6DB9">
            <w:pPr>
              <w:spacing w:before="120" w:after="120"/>
              <w:jc w:val="both"/>
              <w:rPr>
                <w:rFonts w:ascii="Arial" w:hAnsi="Arial" w:cs="Arial"/>
                <w:b/>
                <w:sz w:val="22"/>
                <w:szCs w:val="22"/>
              </w:rPr>
            </w:pPr>
            <w:r w:rsidRPr="0055084A">
              <w:rPr>
                <w:rFonts w:ascii="Arial" w:hAnsi="Arial" w:cs="Arial"/>
                <w:b/>
                <w:sz w:val="22"/>
                <w:szCs w:val="22"/>
              </w:rPr>
              <w:t xml:space="preserve">5,000 o </w:t>
            </w:r>
            <w:proofErr w:type="spellStart"/>
            <w:r w:rsidRPr="0055084A">
              <w:rPr>
                <w:rFonts w:ascii="Arial" w:hAnsi="Arial" w:cs="Arial"/>
                <w:b/>
                <w:sz w:val="22"/>
                <w:szCs w:val="22"/>
              </w:rPr>
              <w:t>eiriau</w:t>
            </w:r>
            <w:proofErr w:type="spellEnd"/>
          </w:p>
        </w:tc>
      </w:tr>
      <w:tr w:rsidR="005B6DB9" w:rsidRPr="00A406E5" w14:paraId="067F67F0" w14:textId="77777777" w:rsidTr="005B6DB9">
        <w:tc>
          <w:tcPr>
            <w:tcW w:w="2093" w:type="dxa"/>
            <w:shd w:val="clear" w:color="auto" w:fill="auto"/>
          </w:tcPr>
          <w:p w14:paraId="72844F2C"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Dyddiad cyflwyno:</w:t>
            </w:r>
          </w:p>
        </w:tc>
        <w:tc>
          <w:tcPr>
            <w:tcW w:w="3293" w:type="dxa"/>
            <w:shd w:val="clear" w:color="auto" w:fill="auto"/>
          </w:tcPr>
          <w:p w14:paraId="58DE433E" w14:textId="77777777" w:rsidR="005B6DB9" w:rsidRPr="00A406E5" w:rsidRDefault="005B6DB9" w:rsidP="005B6DB9">
            <w:pPr>
              <w:spacing w:before="120" w:after="120"/>
              <w:jc w:val="both"/>
              <w:rPr>
                <w:rFonts w:ascii="Arial" w:hAnsi="Arial" w:cs="Arial"/>
                <w:b/>
                <w:sz w:val="22"/>
                <w:szCs w:val="22"/>
              </w:rPr>
            </w:pPr>
            <w:proofErr w:type="spellStart"/>
            <w:r>
              <w:rPr>
                <w:rFonts w:ascii="Arial" w:hAnsi="Arial" w:cs="Arial"/>
                <w:b/>
                <w:sz w:val="22"/>
                <w:szCs w:val="22"/>
              </w:rPr>
              <w:t>Ionawr</w:t>
            </w:r>
            <w:proofErr w:type="spellEnd"/>
            <w:r>
              <w:rPr>
                <w:rFonts w:ascii="Arial" w:hAnsi="Arial" w:cs="Arial"/>
                <w:b/>
                <w:sz w:val="22"/>
                <w:szCs w:val="22"/>
              </w:rPr>
              <w:t xml:space="preserve"> 28, 2019</w:t>
            </w:r>
          </w:p>
        </w:tc>
        <w:tc>
          <w:tcPr>
            <w:tcW w:w="2268" w:type="dxa"/>
            <w:shd w:val="clear" w:color="auto" w:fill="auto"/>
          </w:tcPr>
          <w:p w14:paraId="61C68FE4"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 xml:space="preserve">Dyddiad dychwelyd marciau dros dro ac adborth ysgrifenedig: </w:t>
            </w:r>
          </w:p>
        </w:tc>
        <w:tc>
          <w:tcPr>
            <w:tcW w:w="2268" w:type="dxa"/>
          </w:tcPr>
          <w:p w14:paraId="198B0D06" w14:textId="77777777" w:rsidR="005B6DB9" w:rsidRPr="00A406E5" w:rsidRDefault="005B6DB9" w:rsidP="005B6DB9">
            <w:pPr>
              <w:spacing w:before="120" w:after="120"/>
              <w:jc w:val="both"/>
              <w:rPr>
                <w:rFonts w:ascii="Arial" w:hAnsi="Arial" w:cs="Arial"/>
                <w:b/>
                <w:sz w:val="22"/>
                <w:szCs w:val="22"/>
              </w:rPr>
            </w:pPr>
            <w:proofErr w:type="spellStart"/>
            <w:r w:rsidRPr="0055084A">
              <w:rPr>
                <w:rFonts w:ascii="Arial" w:hAnsi="Arial" w:cs="Arial"/>
                <w:b/>
                <w:sz w:val="22"/>
                <w:szCs w:val="22"/>
              </w:rPr>
              <w:t>Chwefror</w:t>
            </w:r>
            <w:proofErr w:type="spellEnd"/>
            <w:r>
              <w:rPr>
                <w:rFonts w:ascii="Arial" w:hAnsi="Arial" w:cs="Arial"/>
                <w:b/>
                <w:sz w:val="22"/>
                <w:szCs w:val="22"/>
              </w:rPr>
              <w:t xml:space="preserve"> 19, 2019</w:t>
            </w:r>
          </w:p>
        </w:tc>
      </w:tr>
      <w:tr w:rsidR="005B6DB9" w:rsidRPr="00A406E5" w14:paraId="099113F8" w14:textId="77777777" w:rsidTr="005B6DB9">
        <w:tc>
          <w:tcPr>
            <w:tcW w:w="2093" w:type="dxa"/>
            <w:shd w:val="clear" w:color="auto" w:fill="auto"/>
          </w:tcPr>
          <w:p w14:paraId="60C323F9"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 xml:space="preserve">Dull cyflwyno: </w:t>
            </w:r>
          </w:p>
        </w:tc>
        <w:tc>
          <w:tcPr>
            <w:tcW w:w="7829" w:type="dxa"/>
            <w:gridSpan w:val="3"/>
            <w:shd w:val="clear" w:color="auto" w:fill="auto"/>
          </w:tcPr>
          <w:p w14:paraId="3947F3BB" w14:textId="77777777" w:rsidR="005B6DB9" w:rsidRPr="00A406E5" w:rsidRDefault="005B6DB9" w:rsidP="005B6DB9">
            <w:pPr>
              <w:rPr>
                <w:rFonts w:ascii="Arial" w:hAnsi="Arial" w:cs="Arial"/>
                <w:sz w:val="22"/>
                <w:szCs w:val="22"/>
              </w:rPr>
            </w:pPr>
            <w:r w:rsidRPr="5E388572">
              <w:rPr>
                <w:rFonts w:ascii="Arial" w:hAnsi="Arial" w:cs="Arial"/>
                <w:sz w:val="22"/>
                <w:szCs w:val="22"/>
                <w:lang w:val="cy-GB"/>
              </w:rPr>
              <w:t xml:space="preserve">Lle bo’n ymarferol ac yn bosibl, rhaid cyflwyno pob asesiad ysgrifenedig drwy Turnitin, oni nodir yn wahanol gan y Darlithydd. </w:t>
            </w:r>
            <w:r w:rsidRPr="5E388572">
              <w:rPr>
                <w:rFonts w:ascii="Arial" w:hAnsi="Arial" w:cs="Arial"/>
                <w:sz w:val="22"/>
                <w:szCs w:val="22"/>
              </w:rPr>
              <w:t xml:space="preserve"> </w:t>
            </w:r>
            <w:r w:rsidRPr="5E388572">
              <w:rPr>
                <w:rFonts w:ascii="Arial" w:hAnsi="Arial" w:cs="Arial"/>
                <w:sz w:val="22"/>
                <w:szCs w:val="22"/>
                <w:lang w:val="cy-GB"/>
              </w:rPr>
              <w:t>(PEIDIWCH â rhoi’r fanyleb asesu hon i mewn i Turnitin neu bydd yn cyfateb i lawer o bethau tebyg yng nghyflwyniadau myfyrwyr eraill.)</w:t>
            </w:r>
          </w:p>
          <w:p w14:paraId="185E1278"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Dull cyflwyno arall (os ydy’n berthnasol):</w:t>
            </w:r>
            <w:r w:rsidRPr="5E388572">
              <w:rPr>
                <w:rFonts w:ascii="Arial" w:hAnsi="Arial" w:cs="Arial"/>
                <w:b/>
                <w:bCs/>
                <w:sz w:val="22"/>
                <w:szCs w:val="22"/>
              </w:rPr>
              <w:t xml:space="preserve"> </w:t>
            </w:r>
          </w:p>
          <w:p w14:paraId="6BF74EA5"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Bydd cyflwyno’r asesiad yn hwyr yn arwain at ddyfarnu marc cosb.</w:t>
            </w:r>
            <w:r w:rsidRPr="5E388572">
              <w:rPr>
                <w:rFonts w:ascii="Arial" w:hAnsi="Arial" w:cs="Arial"/>
                <w:b/>
                <w:bCs/>
                <w:sz w:val="22"/>
                <w:szCs w:val="22"/>
              </w:rPr>
              <w:t xml:space="preserve">  </w:t>
            </w:r>
            <w:r w:rsidRPr="5E388572">
              <w:rPr>
                <w:rFonts w:ascii="Arial" w:hAnsi="Arial" w:cs="Arial"/>
                <w:sz w:val="22"/>
                <w:szCs w:val="22"/>
                <w:lang w:val="cy-GB"/>
              </w:rPr>
              <w:t>Cosbau am gyflwyno’n hwyr:</w:t>
            </w:r>
            <w:r w:rsidRPr="5E388572">
              <w:rPr>
                <w:rFonts w:ascii="Arial" w:hAnsi="Arial" w:cs="Arial"/>
                <w:sz w:val="22"/>
                <w:szCs w:val="22"/>
              </w:rPr>
              <w:t xml:space="preserve"> </w:t>
            </w:r>
            <w:r w:rsidRPr="5E388572">
              <w:rPr>
                <w:rFonts w:ascii="Arial" w:hAnsi="Arial" w:cs="Arial"/>
                <w:sz w:val="22"/>
                <w:szCs w:val="22"/>
                <w:lang w:val="cy-GB"/>
              </w:rPr>
              <w:t>Hyd at wythnos yn hwyr, uchafswm marc o D.</w:t>
            </w:r>
            <w:r w:rsidRPr="5E388572">
              <w:rPr>
                <w:rFonts w:ascii="Arial" w:hAnsi="Arial" w:cs="Arial"/>
                <w:sz w:val="22"/>
                <w:szCs w:val="22"/>
              </w:rPr>
              <w:t xml:space="preserve">  </w:t>
            </w:r>
            <w:r w:rsidRPr="5E388572">
              <w:rPr>
                <w:rFonts w:ascii="Arial" w:hAnsi="Arial" w:cs="Arial"/>
                <w:sz w:val="22"/>
                <w:szCs w:val="22"/>
                <w:lang w:val="cy-GB"/>
              </w:rPr>
              <w:t>Dros wythnos yn hwyr, 0%.</w:t>
            </w:r>
            <w:r w:rsidRPr="5E388572">
              <w:rPr>
                <w:rFonts w:ascii="Arial" w:hAnsi="Arial" w:cs="Arial"/>
                <w:sz w:val="22"/>
                <w:szCs w:val="22"/>
              </w:rPr>
              <w:t xml:space="preserve">  </w:t>
            </w:r>
            <w:r w:rsidRPr="5E388572">
              <w:rPr>
                <w:rFonts w:ascii="Arial" w:hAnsi="Arial" w:cs="Arial"/>
                <w:sz w:val="22"/>
                <w:szCs w:val="22"/>
                <w:lang w:val="cy-GB"/>
              </w:rPr>
              <w:t xml:space="preserve">Y Panel Amgylchiadau Esgusodol yn unig all gymeradwyo newid dyddiadau cyflwyno. </w:t>
            </w:r>
          </w:p>
        </w:tc>
      </w:tr>
      <w:tr w:rsidR="005B6DB9" w:rsidRPr="00A406E5" w14:paraId="69DF4271" w14:textId="77777777" w:rsidTr="005B6DB9">
        <w:tc>
          <w:tcPr>
            <w:tcW w:w="2093" w:type="dxa"/>
            <w:shd w:val="clear" w:color="auto" w:fill="auto"/>
          </w:tcPr>
          <w:p w14:paraId="1DB7C6AB" w14:textId="77777777" w:rsidR="005B6DB9" w:rsidRPr="00A406E5" w:rsidRDefault="005B6DB9" w:rsidP="005B6DB9">
            <w:pPr>
              <w:spacing w:before="120" w:after="120"/>
              <w:rPr>
                <w:rFonts w:ascii="Arial" w:hAnsi="Arial" w:cs="Arial"/>
                <w:b/>
                <w:bCs/>
                <w:sz w:val="22"/>
                <w:szCs w:val="22"/>
              </w:rPr>
            </w:pPr>
            <w:r w:rsidRPr="5E388572">
              <w:rPr>
                <w:rFonts w:ascii="Arial" w:hAnsi="Arial" w:cs="Arial"/>
                <w:b/>
                <w:bCs/>
                <w:sz w:val="22"/>
                <w:szCs w:val="22"/>
                <w:lang w:val="cy-GB"/>
              </w:rPr>
              <w:t xml:space="preserve">Gonestrwydd academaidd / cyfeirnodi: </w:t>
            </w:r>
          </w:p>
        </w:tc>
        <w:tc>
          <w:tcPr>
            <w:tcW w:w="7829" w:type="dxa"/>
            <w:gridSpan w:val="3"/>
            <w:shd w:val="clear" w:color="auto" w:fill="auto"/>
          </w:tcPr>
          <w:p w14:paraId="2E4D6317" w14:textId="77777777" w:rsidR="005B6DB9" w:rsidRPr="00A406E5" w:rsidRDefault="005B6DB9" w:rsidP="005B6DB9">
            <w:pPr>
              <w:spacing w:before="120" w:after="120"/>
              <w:jc w:val="both"/>
              <w:rPr>
                <w:rFonts w:ascii="Arial" w:hAnsi="Arial" w:cs="Arial"/>
                <w:sz w:val="22"/>
                <w:szCs w:val="22"/>
              </w:rPr>
            </w:pPr>
            <w:r w:rsidRPr="5E388572">
              <w:rPr>
                <w:rFonts w:ascii="Arial" w:hAnsi="Arial" w:cs="Arial"/>
                <w:sz w:val="22"/>
                <w:szCs w:val="22"/>
                <w:lang w:val="cy-GB"/>
              </w:rPr>
              <w:t xml:space="preserve">Mae gonestrwydd academaidd yn ofynnol. </w:t>
            </w:r>
            <w:r w:rsidRPr="5E388572">
              <w:rPr>
                <w:rFonts w:ascii="Arial" w:hAnsi="Arial" w:cs="Arial"/>
                <w:sz w:val="22"/>
                <w:szCs w:val="22"/>
              </w:rPr>
              <w:t xml:space="preserve"> </w:t>
            </w:r>
            <w:r w:rsidRPr="5E388572">
              <w:rPr>
                <w:rFonts w:ascii="Arial" w:hAnsi="Arial" w:cs="Arial"/>
                <w:sz w:val="22"/>
                <w:szCs w:val="22"/>
                <w:lang w:val="cy-GB"/>
              </w:rPr>
              <w:t>Ym mhrif ran eich cyflwyniad rhaid i chi gydnabod awduron y mae’ch gwaith wedi’i seilio ar eu hymchwil a’u syniadau.</w:t>
            </w:r>
            <w:r w:rsidRPr="5E388572">
              <w:rPr>
                <w:rFonts w:ascii="Arial" w:hAnsi="Arial" w:cs="Arial"/>
                <w:sz w:val="22"/>
                <w:szCs w:val="22"/>
              </w:rPr>
              <w:t xml:space="preserve"> </w:t>
            </w:r>
            <w:r w:rsidRPr="5E388572">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5E388572">
              <w:rPr>
                <w:rFonts w:ascii="Arial" w:hAnsi="Arial" w:cs="Arial"/>
                <w:sz w:val="22"/>
                <w:szCs w:val="22"/>
              </w:rPr>
              <w:t xml:space="preserve">  </w:t>
            </w:r>
          </w:p>
        </w:tc>
      </w:tr>
    </w:tbl>
    <w:p w14:paraId="0C14307D" w14:textId="586FF991" w:rsidR="005B6DB9" w:rsidRDefault="005B6DB9" w:rsidP="001457C3">
      <w:pPr>
        <w:spacing w:line="276" w:lineRule="auto"/>
        <w:rPr>
          <w:rFonts w:asciiTheme="minorHAnsi" w:eastAsiaTheme="minorHAnsi" w:hAnsiTheme="minorHAnsi" w:cstheme="minorHAnsi"/>
          <w:lang w:val="cy-GB"/>
        </w:rPr>
      </w:pPr>
    </w:p>
    <w:tbl>
      <w:tblPr>
        <w:tblpPr w:leftFromText="180" w:rightFromText="180" w:vertAnchor="text" w:horzAnchor="margin" w:tblpY="16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5B6DB9" w:rsidRPr="00A406E5" w14:paraId="37FF289B" w14:textId="77777777" w:rsidTr="005B6DB9">
        <w:tc>
          <w:tcPr>
            <w:tcW w:w="8618" w:type="dxa"/>
            <w:shd w:val="clear" w:color="auto" w:fill="C0C0C0"/>
          </w:tcPr>
          <w:p w14:paraId="29839530" w14:textId="77777777" w:rsidR="005B6DB9" w:rsidRPr="00A406E5" w:rsidRDefault="005B6DB9" w:rsidP="005B6DB9">
            <w:pPr>
              <w:pStyle w:val="Heading4"/>
              <w:rPr>
                <w:rFonts w:ascii="Arial" w:hAnsi="Arial" w:cs="Arial"/>
                <w:b/>
                <w:bCs/>
              </w:rPr>
            </w:pPr>
            <w:r w:rsidRPr="5E388572">
              <w:rPr>
                <w:rFonts w:ascii="Arial" w:hAnsi="Arial" w:cs="Arial"/>
                <w:b/>
                <w:bCs/>
                <w:lang w:val="cy-GB"/>
              </w:rPr>
              <w:t>MANYLEB ASESU LEFEL 7</w:t>
            </w:r>
            <w:r w:rsidRPr="5E388572">
              <w:rPr>
                <w:rFonts w:ascii="Arial" w:hAnsi="Arial" w:cs="Arial"/>
                <w:b/>
                <w:bCs/>
              </w:rPr>
              <w:t xml:space="preserve"> </w:t>
            </w:r>
          </w:p>
        </w:tc>
      </w:tr>
    </w:tbl>
    <w:p w14:paraId="2BF38DA1" w14:textId="4187FA2D" w:rsidR="005B6DB9" w:rsidRPr="00A85BFE" w:rsidRDefault="005B6DB9" w:rsidP="005B6DB9">
      <w:pPr>
        <w:pStyle w:val="Header"/>
        <w:tabs>
          <w:tab w:val="clear" w:pos="4153"/>
          <w:tab w:val="clear" w:pos="8306"/>
        </w:tabs>
        <w:jc w:val="right"/>
        <w:rPr>
          <w:rFonts w:ascii="Arial" w:hAnsi="Arial" w:cs="Arial"/>
          <w:b/>
          <w:bCs/>
          <w:sz w:val="28"/>
          <w:szCs w:val="28"/>
        </w:rPr>
      </w:pPr>
      <w:r>
        <w:rPr>
          <w:rFonts w:ascii="Arial" w:hAnsi="Arial" w:cs="Arial"/>
        </w:rPr>
        <w:t xml:space="preserve"> </w:t>
      </w:r>
      <w:r>
        <w:rPr>
          <w:rFonts w:ascii="Arial" w:hAnsi="Arial" w:cs="Arial"/>
        </w:rPr>
        <w:br w:type="textWrapping" w:clear="all"/>
      </w:r>
      <w:r w:rsidRPr="5E388572">
        <w:rPr>
          <w:rFonts w:ascii="Arial" w:hAnsi="Arial" w:cs="Arial"/>
          <w:b/>
          <w:bCs/>
          <w:sz w:val="28"/>
          <w:szCs w:val="28"/>
          <w:lang w:val="cy-GB"/>
        </w:rPr>
        <w:t>ATODIAD GA36d</w:t>
      </w:r>
    </w:p>
    <w:p w14:paraId="398D24F1" w14:textId="77777777" w:rsidR="005B6DB9" w:rsidRPr="00A406E5" w:rsidRDefault="005B6DB9" w:rsidP="005B6DB9">
      <w:pPr>
        <w:rPr>
          <w:rFonts w:ascii="Arial" w:hAnsi="Arial" w:cs="Arial"/>
        </w:rPr>
      </w:pPr>
    </w:p>
    <w:p w14:paraId="0B08B563" w14:textId="77777777" w:rsidR="005B6DB9" w:rsidRPr="00A406E5" w:rsidRDefault="005B6DB9" w:rsidP="005B6DB9">
      <w:pPr>
        <w:jc w:val="center"/>
        <w:rPr>
          <w:rFonts w:ascii="Arial" w:hAnsi="Arial" w:cs="Arial"/>
          <w:b/>
          <w:i/>
          <w:sz w:val="32"/>
        </w:rPr>
      </w:pPr>
    </w:p>
    <w:p w14:paraId="509ADED4" w14:textId="77777777" w:rsidR="005B6DB9" w:rsidRDefault="005B6DB9" w:rsidP="005B6DB9">
      <w:pPr>
        <w:rPr>
          <w:rFonts w:ascii="Arial" w:hAnsi="Arial" w:cs="Arial"/>
          <w:sz w:val="32"/>
        </w:rPr>
      </w:pPr>
    </w:p>
    <w:p w14:paraId="5B669674" w14:textId="77777777" w:rsidR="005B6DB9" w:rsidRDefault="005B6DB9" w:rsidP="005B6DB9">
      <w:pPr>
        <w:rPr>
          <w:rFonts w:ascii="Arial" w:hAnsi="Arial" w:cs="Arial"/>
          <w:sz w:val="32"/>
        </w:rPr>
      </w:pPr>
    </w:p>
    <w:p w14:paraId="5E338D18" w14:textId="77777777" w:rsidR="005B6DB9" w:rsidRDefault="005B6DB9" w:rsidP="005B6DB9">
      <w:pPr>
        <w:rPr>
          <w:rFonts w:ascii="Arial" w:hAnsi="Arial" w:cs="Arial"/>
          <w:sz w:val="32"/>
        </w:rPr>
      </w:pPr>
    </w:p>
    <w:p w14:paraId="2517D375" w14:textId="09A6C72C" w:rsidR="00872CAF" w:rsidRPr="005B6DB9" w:rsidRDefault="001457C3" w:rsidP="00B92732">
      <w:pPr>
        <w:spacing w:line="276" w:lineRule="auto"/>
        <w:ind w:firstLine="720"/>
        <w:rPr>
          <w:rFonts w:ascii="Arial" w:hAnsi="Arial" w:cs="Arial"/>
          <w:sz w:val="32"/>
        </w:rPr>
      </w:pPr>
      <w:r w:rsidRPr="00A97F45">
        <w:rPr>
          <w:rFonts w:asciiTheme="minorHAnsi" w:eastAsiaTheme="minorHAnsi" w:hAnsiTheme="minorHAnsi" w:cstheme="minorHAnsi"/>
          <w:lang w:val="cy-GB"/>
        </w:rPr>
        <w:lastRenderedPageBreak/>
        <w:t>Trafodaf yn yr adroddiad yma'r pwrpas o wahaniaethu a beth mae’r Cynllun Gwella’r Ysgol a’r Cynllun Gwella’r Adran ynglŷn â gwahaniaethu, a pham mae gwahaniaethu yn un o flaenoriaethau'r ysgol. Bydd yr adroddiad yma yn sôn am sut mae’r ysgol yn gweithio gyda’r adran Addysg Grefyddol, felly byddaf yn sôn am beth mae Ysgol X yn cyflawni ar hyn y bryd. Yna, wrth edrych ar beth mae Ysgol X yn gwneud ar y cyfan, byddaf yn gwneud  awgrymiadau o dechnegau a strategaethau arall wrth edrych ar wahanol lenyddiaeth, er mwyn helpu’r dysgwyr cyflawni fwy o gynnydd na beth maen nhw yn barod.</w:t>
      </w:r>
    </w:p>
    <w:p w14:paraId="31FD2273" w14:textId="77777777" w:rsidR="00872CAF" w:rsidRPr="00A97F45" w:rsidRDefault="0052314F" w:rsidP="00872CAF">
      <w:pPr>
        <w:spacing w:line="276" w:lineRule="auto"/>
        <w:ind w:firstLine="720"/>
        <w:rPr>
          <w:rFonts w:asciiTheme="minorHAnsi" w:hAnsiTheme="minorHAnsi" w:cstheme="minorHAnsi"/>
          <w:lang w:val="cy-GB"/>
        </w:rPr>
      </w:pPr>
      <w:r w:rsidRPr="00A97F45">
        <w:rPr>
          <w:rFonts w:asciiTheme="minorHAnsi" w:hAnsiTheme="minorHAnsi" w:cstheme="minorHAnsi"/>
          <w:lang w:val="cy-GB"/>
        </w:rPr>
        <w:t>Mae Ysgol X yn ysgol gyfrwng Gymraeg sy’n darparu addysg i ddisgyblion rhwng 11 ac 18 oed. Lleolir yr ysgol yng ngogledd Abertawe ac fe’i cynhelir gan awdurdod lleol Abertawe. Mae 19.6% o ddisgyblion yn byw mewn 20% o’r ardaloedd mwyaf difreintiedig yng Nghymru (Estyn, 2013). Yn Ysgol X mae 746 o ddisgyblion ar y gofrestr gan gynnwys 129 yn y chweched dosbarth. Mae yna tua 12% o ddisgyblion gyda’r hawl i brydau ysgol am ddim (PYD), sy’n is na’r canran cenedlaethol o 17.4%. Mae 18% o ddisgyblion ar y gofrestr o anghenion dysgu ychwanegol (ADY), ac mae gan 2% ddatganiad o anghenion addysgol arbennig. Mae’r ffigyrau yma o Ysgol X yn is na’r ffigurau cenedlaethol. Yn Ysgol X mae 22% o ddysgwyr yn dod o gartrefi lle maent yn siarad Cymraeg, ac mae 99% yn rhugl yn y Gymraeg (Estyn, 2013). Mae gan Ysgol X ddarpariaeth ‘trochi’ (immersion) ar gyfer grŵp ym mlwyddyn 7 sydd wedi trosglwyddo o ysgolion cynradd cyfrwng Saesneg, i’w galluogi eu haddysg trwy gyfrwng y Gymraeg yn y brif ffrwd.</w:t>
      </w:r>
    </w:p>
    <w:p w14:paraId="752FBF8F" w14:textId="5CD56A67" w:rsidR="00872CAF"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 xml:space="preserve">Ar ôl arsylwad Estyn diweddaraf ym 2013, cafodd Ysgol X ei hystyried fel ysgol ragorol. Er hyn, mae ychydig o argymhellion ac mae'r rhain yn cael ei weld yn Gynllun Gwella’r Ysgol (CGY) a Chynllun Gwella’r Adran (CGA). Y ffocws allweddol sydd yn cael ei weld yn y ddau CGY a CGA yw lleihau’r </w:t>
      </w:r>
      <w:r w:rsidR="00EC1D24">
        <w:rPr>
          <w:rFonts w:asciiTheme="minorHAnsi" w:eastAsiaTheme="minorHAnsi" w:hAnsiTheme="minorHAnsi" w:cstheme="minorHAnsi"/>
          <w:lang w:val="cy-GB"/>
        </w:rPr>
        <w:t>bwlch</w:t>
      </w:r>
      <w:r w:rsidRPr="00A97F45">
        <w:rPr>
          <w:rFonts w:asciiTheme="minorHAnsi" w:eastAsiaTheme="minorHAnsi" w:hAnsiTheme="minorHAnsi" w:cstheme="minorHAnsi"/>
          <w:lang w:val="cy-GB"/>
        </w:rPr>
        <w:t xml:space="preserve"> rhwng perfformiad bechgyn a merched; cryfhau perfformiad yn Gyfnod Allweddol 3; a lledaenu arferion rhagorol wrth gynllunio ar gyfer gwelliant. Am fwy o wybodaeth amdano argymhellion eraill mae’r Ysgol yn gwneud gweler CGA a CGY yn yr atodiad. Un peth mae Ysgol X yn gwthio yn ddiweddar yn ei CGY a CGA yw cryfhau lefel yr her ar draws yr ysgol gan wahaniaethu ar gyfer y dysgwyr ADY ac y rhai MAT, ac mae hwnna’n cysylltu gyda’r ail argymell o gryfhau perfformiad yn Gyfnod Allweddol 3 (Estyn, 2013). Mae hwn yn ganolbwynt yr ysgol, oherwydd yn ôl Dyfodol Llwyddiannus (2015), mae rhaid anelu’n uchel, ac mae Ysgol X yn cymryd hwn o ddifrif wrth godi lefel yr her a gwahaniaethu ar draws yr ysgol ers lles y dysgwyr, yn enwedig ar gyfer y disgyblion MAT a ADY. Felly, achos mae lefel yr her ond o safbwynt gwahaniaethu yn prif ffocws yn y CGY a CGA, dyma beth yw prif ffocws y papur yma. Byddaf yn edrych ar: beth mae’r ysgol yn gwneud?; sut maent yn gwneud?; a ble mae’r ysgol yn mynd nesaf.</w:t>
      </w:r>
    </w:p>
    <w:p w14:paraId="1070D30A" w14:textId="1AE52611" w:rsidR="001B35E2" w:rsidRPr="00A97F45" w:rsidRDefault="001457C3" w:rsidP="001457C3">
      <w:pPr>
        <w:pStyle w:val="NormalWeb"/>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 xml:space="preserve">Yn ôl Fidler (2002), mae yna dau strwythur gwahanol sef CDY a CDA. Mae ‘bottom up’ neu ‘top down’. Yn ystod ysgolion mawr, efallai bydd adran gryf o fewn yr ysgol sy’n teimlo bod ganddynt hunaniaeth ac mai’r uned ar gyfer gweithredu ar lefel ganolradd, islaw lefel yr ysgol gyfan (Fidler, 2002). Fodd bynnag, bydd rhaid i’r adrannau hyn ddylunio eu cynlluniau ar y cyd  â’r ysgol gyfan os yw’r broses gyfan i weithredu (Fidler, 2002). Y prif fater gyda’r dull ‘bottom up’ yw bod tueddiad mawr i adrannau fethu â chydnabod </w:t>
      </w:r>
      <w:r w:rsidRPr="00A97F45">
        <w:rPr>
          <w:rFonts w:asciiTheme="minorHAnsi" w:eastAsiaTheme="minorHAnsi" w:hAnsiTheme="minorHAnsi" w:cstheme="minorHAnsi"/>
          <w:lang w:val="cy-GB"/>
        </w:rPr>
        <w:lastRenderedPageBreak/>
        <w:t>pwysigrwydd gwasanaethau canolog a blaenoriaethau ysgol gyfan (Fidler, 2002). Fel arfer, mae ysgolion yn mabwysiadu strategaeth ‘top down’. Fel mae’r term yn golygu, mae ‘top down’ yn gweithio i’r gwrthwyneb i’r ‘bottom up’ gyda’r blaenoriaethau gosod ysgol gyfan, ac mae adrannau yn seilio ar eu strategaethau bach ar y blaenoriaethau hyn i sicrhau ymagwedd unffurf at welliannau.</w:t>
      </w:r>
    </w:p>
    <w:p w14:paraId="55E07411" w14:textId="451B59EA" w:rsidR="001C1AD4" w:rsidRPr="00A97F45" w:rsidRDefault="001457C3" w:rsidP="001457C3">
      <w:pPr>
        <w:spacing w:line="276" w:lineRule="auto"/>
        <w:rPr>
          <w:rFonts w:asciiTheme="minorHAnsi" w:hAnsiTheme="minorHAnsi" w:cstheme="minorHAnsi"/>
          <w:lang w:val="cy-GB"/>
        </w:rPr>
      </w:pPr>
      <w:r w:rsidRPr="00A97F45">
        <w:rPr>
          <w:rFonts w:asciiTheme="minorHAnsi" w:eastAsiaTheme="minorHAnsi" w:hAnsiTheme="minorHAnsi" w:cstheme="minorHAnsi"/>
          <w:lang w:val="cy-GB"/>
        </w:rPr>
        <w:tab/>
        <w:t xml:space="preserve">Mae Ysgol X yn defnyddio strategaeth ‘top down’ ar gyfer ei CDA. Wrth edrych ar y CDA, y prif flaenoriaethau sydd o fewn yr ysgol ar hyn y bryd yw </w:t>
      </w:r>
      <w:r w:rsidR="00F16718">
        <w:rPr>
          <w:rFonts w:asciiTheme="minorHAnsi" w:eastAsiaTheme="minorHAnsi" w:hAnsiTheme="minorHAnsi" w:cstheme="minorHAnsi"/>
          <w:lang w:val="cy-GB"/>
        </w:rPr>
        <w:t>i g</w:t>
      </w:r>
      <w:r w:rsidRPr="00A97F45">
        <w:rPr>
          <w:rFonts w:asciiTheme="minorHAnsi" w:eastAsiaTheme="minorHAnsi" w:hAnsiTheme="minorHAnsi" w:cstheme="minorHAnsi"/>
          <w:lang w:val="cy-GB"/>
        </w:rPr>
        <w:t>odi safonau ar draws yr ysgol gyfan, dysgu ac addysgu, iechyd a lles ac arweinyddiaeth. Ar gyfer pob un o’r blaenoriaethau, mae yna gamau gweithredu ac mae'r rhain yn cael ei weld o fewn y CDY (Gweler atodiad</w:t>
      </w:r>
      <w:r w:rsidR="00F16718">
        <w:rPr>
          <w:rFonts w:asciiTheme="minorHAnsi" w:eastAsiaTheme="minorHAnsi" w:hAnsiTheme="minorHAnsi" w:cstheme="minorHAnsi"/>
          <w:lang w:val="cy-GB"/>
        </w:rPr>
        <w:t xml:space="preserve"> 1</w:t>
      </w:r>
      <w:r w:rsidRPr="00A97F45">
        <w:rPr>
          <w:rFonts w:asciiTheme="minorHAnsi" w:eastAsiaTheme="minorHAnsi" w:hAnsiTheme="minorHAnsi" w:cstheme="minorHAnsi"/>
          <w:lang w:val="cy-GB"/>
        </w:rPr>
        <w:t>).</w:t>
      </w:r>
    </w:p>
    <w:p w14:paraId="18BEE336" w14:textId="71F25FD7" w:rsidR="0052314F"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Wrth edrych ar y CDY, un o’r prif blaenoriaethu sydd yn cael ei weld trwy gydol y CDY yw'r datganiad Tom Sherrington (2017) o ‘teaching to the top’. Dyma un o’r prif flaenoriaethau a strategaethau sydd yn cael ei weld yn yr ysgol. Un o’r pethau mae’r ysgol wedi rhoi fel ei gamau gweithredu yw cynyddu lefel yr her yn wersi, ond i sicrhau mae yna wahaniaethu o ansawdd ar gyfer yr unigolion penodol. Wrth edrych ar Gynllun Gwella’r Adran (gweler atodiad</w:t>
      </w:r>
      <w:r w:rsidR="00F16718">
        <w:rPr>
          <w:rFonts w:asciiTheme="minorHAnsi" w:eastAsiaTheme="minorHAnsi" w:hAnsiTheme="minorHAnsi" w:cstheme="minorHAnsi"/>
          <w:lang w:val="cy-GB"/>
        </w:rPr>
        <w:t xml:space="preserve"> 2</w:t>
      </w:r>
      <w:r w:rsidRPr="00A97F45">
        <w:rPr>
          <w:rFonts w:asciiTheme="minorHAnsi" w:eastAsiaTheme="minorHAnsi" w:hAnsiTheme="minorHAnsi" w:cstheme="minorHAnsi"/>
          <w:lang w:val="cy-GB"/>
        </w:rPr>
        <w:t>), un o’r blaenoriaethau'r cynllun yw Dysgu ac Addysgu, ac mae’r adran Addysg Grefyddol yn mynd i barhau i gefnogi'r disgyblion MAT drwy gynyddu cysondeb lefelau'r her ar gyfer pob dysgwr ym mhob gwers. Hefyd, bydd yr adran yn parhau i ddatblygu eu hadnoddau gwahaniaethol ar gyfer dysgwyr MAT trwy ddefnyddio strategaethau pellach i dargedu a chynorthwyo dysgwyr sydd ddim yn cyrraedd eu targed, enwedig y dysgwyr MAT. Mae rhaid iddynt gyflawni Meini Prawf Llwyddiant yn seiliedig ar safonau'r adran yw cael y dysgwyr MAT i gyrraedd y lefelau/ graddau uwch.</w:t>
      </w:r>
    </w:p>
    <w:p w14:paraId="6B599CE7" w14:textId="1E5057E4" w:rsidR="0052314F"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Pwrpas Cynllun strategol yn addysg yw’r broses sy'n ymgorffori'r cyfarwyddiadau arweiniol ar sut i redeg system addysg o fewn persbectif datblygu cenedlaethol, sy'n esblygu yn ôl natur, ac yn aml yn golygu cyfyngiadau (Chang, 2006). Er mwyn i’r strategaeth i weithio, yn ôl Pisel (2008) mae rhaid i chi dangos eich dealltwriaeth, rhagweld yr holl strategaeth, ac os mae unrhyw anawsterau, bod yn barod i ddatrys ac adnabod y problemau gall neu yn mynd i godi (Pisel, 2008). Felly, mae cynllunio strategol yn cynnig cyfle sefydliad (au) addysg i nodi sut y bydd yn ymrwymo adnoddau dros y tymor hir er mwyn cyflawni ei genhadaeth.</w:t>
      </w:r>
    </w:p>
    <w:p w14:paraId="09947C8C" w14:textId="2AA5795E" w:rsidR="00442F98" w:rsidRPr="00A97F45" w:rsidRDefault="001457C3" w:rsidP="00872CAF">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Yn ôl y Llywodraeth Cymru (2010), er mwyn i gynllunio datblygu ysgolion fod yn fwyaf effeithiol, dylai gynnwys pob partner ysgol a rhanddeiliad. Mae hyn yn hanfodol wrth sicrhau bod gan bawb ymrwymiad i agenda gwella'r ysgol. Mae rhai ysgolion yn gwasanaethu ardal lawer ehangach na'r ardal lle mae'r ysgol wedi'i lleoli, er enghraifft ysgolion cyfrwng Cymraeg, ysgolion ffydd ac ysgolion anghenion arbennig. Mae rhaid i'r corff llywodraethu sicrhau eu bod yn gweithio gyda'r gymuned ehangach y mae'r ysgol yn ei gwasanaethu (Llywodraeth Cymru, 2010). Bydd pob ysgol yn penderfynu sut y bydd hyn yn cael ei wneud, ond mae hyn yn rhan hollbwysig o broses cynllunio datblygu'r ysgol a bydd yn helpu i hyrwyddo ymdeimlad o berchnogaeth a chydweithio tuag at welliant.</w:t>
      </w:r>
    </w:p>
    <w:p w14:paraId="391894D1" w14:textId="1528F0EF" w:rsidR="0052314F" w:rsidRPr="00A97F45" w:rsidRDefault="001457C3" w:rsidP="00872CAF">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lastRenderedPageBreak/>
        <w:t>Er hyn, yn ôl Billingham (2012), cynllunio strategol yw’r broses o osod nodau ac amcanion, penderfynu ar gamau weithredu i gyflawni’r nodau ac amcanion, ac yna creu neu addasu’r adnoddai sydd eu hangen i gymryd y camau gweithredu hynny. Mae’r cynllun strategol yn disgrifio sut i gyflawni’r nodau ac amcanion trwy ddefnyddio’r adnoddau perthnasol. Mae ardaloedd ysgol o bob maint yn defnyddio cynllunio strategol i gyflawni’r nodau ac amcanion er mwyn gwella canlyniadau’r myfyrwyr, ac yn ymateb i ddemograffeg newidiol wrth aros i mewn i’r cyllid (funding) sydd yn cael ei rhoi iddynt. Mae natur y nodau a'r cyfyngiadau hyn yn awgrymu bod cynllunio strategol mewn addysg, ac mae'n rhaid iddo fod, yn wahanol i'r broses a ddefnyddir yn y sector busnes. Yn y sector busnes y nod yw cael mwy o gwsmeriaid neu wneud mwy o arian. Gan gydnabod y gwahaniaethau hyn, daeth addysgwyr yn fabwysiadau cynnar o gynllunio strategol cyfuno gyda gweithgareddau sydd yn ymgysylltu â'r gymuned.</w:t>
      </w:r>
    </w:p>
    <w:p w14:paraId="05E58D7C" w14:textId="33249C29" w:rsidR="0052314F" w:rsidRPr="00A97F45" w:rsidRDefault="001457C3" w:rsidP="001457C3">
      <w:pPr>
        <w:spacing w:line="276" w:lineRule="auto"/>
        <w:rPr>
          <w:rFonts w:asciiTheme="minorHAnsi" w:hAnsiTheme="minorHAnsi" w:cstheme="minorHAnsi"/>
          <w:lang w:val="cy-GB"/>
        </w:rPr>
      </w:pPr>
      <w:r w:rsidRPr="00A97F45">
        <w:rPr>
          <w:rFonts w:asciiTheme="minorHAnsi" w:eastAsiaTheme="minorHAnsi" w:hAnsiTheme="minorHAnsi" w:cstheme="minorHAnsi"/>
          <w:lang w:val="cy-GB"/>
        </w:rPr>
        <w:tab/>
        <w:t>Nid yw pawb yn credu bod cynllunion strategol yn y ffordd draddodiadol yn gweithio.</w:t>
      </w:r>
      <w:r w:rsidR="00EC1D24">
        <w:rPr>
          <w:rFonts w:asciiTheme="minorHAnsi" w:hAnsiTheme="minorHAnsi" w:cstheme="minorHAnsi"/>
          <w:lang w:val="cy-GB"/>
        </w:rPr>
        <w:t xml:space="preserve"> </w:t>
      </w:r>
      <w:r w:rsidRPr="00A97F45">
        <w:rPr>
          <w:rFonts w:asciiTheme="minorHAnsi" w:eastAsiaTheme="minorHAnsi" w:hAnsiTheme="minorHAnsi" w:cstheme="minorHAnsi"/>
          <w:lang w:val="cy-GB"/>
        </w:rPr>
        <w:t>Yn ôl Tom Peters (1980), sy’n disgrifio cynllunio strategol fel marwolaeth fesul mil o fentrau, i gymharu â Henry Mintzberg (1994) sy’n awgrymu bod y dystiolaeth yn dangos yn glir mai esgidiau arwain a melinau gwaith papur oedd canlyniad arferol o gynllunio’n strategol. Yn ogystal â hynny, darganfyddodd Mintzberg (1994) nifer o enghreifftiau o sefydliadau a fu’n llwyddiannus mewn cynllunio’n strategol. Mae Mintzberg yn nodi bod y sefydliadau hyn yn ymdrin â chynllunio strategol mewn ffordd lai strwythuredig a chadarn. Mae hwn yn debyg iawn fel yr ydym wedi arsylwi o fewn gwahanol ardaloedd ysgol.</w:t>
      </w:r>
    </w:p>
    <w:p w14:paraId="2258AE09" w14:textId="20A30BB8" w:rsidR="007B7CD7" w:rsidRPr="00A97F45" w:rsidRDefault="001457C3" w:rsidP="001457C3">
      <w:pPr>
        <w:spacing w:line="276" w:lineRule="auto"/>
        <w:rPr>
          <w:rFonts w:asciiTheme="minorHAnsi" w:hAnsiTheme="minorHAnsi" w:cstheme="minorHAnsi"/>
          <w:lang w:val="cy-GB"/>
        </w:rPr>
      </w:pPr>
      <w:r w:rsidRPr="00A97F45">
        <w:rPr>
          <w:rFonts w:asciiTheme="minorHAnsi" w:eastAsiaTheme="minorHAnsi" w:hAnsiTheme="minorHAnsi" w:cstheme="minorHAnsi"/>
          <w:lang w:val="cy-GB"/>
        </w:rPr>
        <w:tab/>
        <w:t>Wrth i addysgwyr wireddu gwerth safbwyntiau amrywiol a chefnogaeth gymunedol megis, rhieni, gweithwyr, myfyrwyr ac addysg eraill i lywio eu cynllunio strategol. Mae'r sectorau addysg a datblygu cymunedol wedi croesawu'r syniad bod cynllunio strategol yn cael ei gyflawni orau gyda chynnwys y gymuned. Mae technoleg wedi galluogi hyn. Heb "amgylchedd" cysylltiedig â hygyrch fel y rhyngrwyd, ni fyddai ymgysylltiad cymunedol gwirioneddol a fforddiadwy mewn cynllunio strategol yn ymarferol. Mae ein hamgylchedd cysylltiedig, hollgynhwysedd e-bost a thechnoleg sy'n hawdd ei ddefnyddio wedi newid, a bydd yn parhau i newid, y broses cynllunio strategol. Yn ôl Satell (date) “strategy is not a starting point, it’s a process and a collaborative one at that.  It is not written in stone, nor is it ever truly complete. It evolves over time, becomes stronger as it adapts to new challenges even as it remains true to its core principles. Good strategy is never being, it is always becoming”. Nid yw cynllunio strategol yn mynd unrhyw le, gan ei fod yn newid; yn esblygu ac yn dod yn fwy cymunedol o bwrpas sydd yn debyg iawn i ein haddysg heddiw.</w:t>
      </w:r>
    </w:p>
    <w:p w14:paraId="58B7E9BB" w14:textId="5CBBA6E9" w:rsidR="003B0E3E" w:rsidRPr="00A97F45" w:rsidRDefault="003B0E3E" w:rsidP="00872CAF">
      <w:pPr>
        <w:spacing w:line="276" w:lineRule="auto"/>
        <w:ind w:firstLine="720"/>
        <w:rPr>
          <w:rFonts w:asciiTheme="minorHAnsi" w:hAnsiTheme="minorHAnsi" w:cstheme="minorHAnsi"/>
          <w:lang w:val="cy-GB"/>
        </w:rPr>
      </w:pPr>
      <w:r w:rsidRPr="00A97F45">
        <w:rPr>
          <w:rFonts w:asciiTheme="minorHAnsi" w:hAnsiTheme="minorHAnsi" w:cstheme="minorHAnsi"/>
          <w:lang w:val="cy-GB"/>
        </w:rPr>
        <w:t>Dylai'r lleoliadau / ysgolion ddefnyddio'r datganiad 'Cynnwys pob dysgwr' i edrych ar eu trefniadau presennol a nodi ymarfer da, tra hefyd yn tynnu sylw at unrhyw ffyrdd o weithio a allai greu rhwystrau amgylcheddol neu gymdeithasol i gymryd rhan ac ymgysylltu. Rhaid i leoliadau / ysgolion weithio i ddarparu cwricwlwm cynhwysol sy'n cynnig cyfleoedd i bob dysgwr gyflawni a chyfrannu at y Gymru aml-ethnig heddiw (A Curriculum for All Learners, 2010).</w:t>
      </w:r>
    </w:p>
    <w:p w14:paraId="2A0A5CF2" w14:textId="13C10D8F" w:rsidR="00680655" w:rsidRPr="00A97F45" w:rsidRDefault="00680655" w:rsidP="00872CAF">
      <w:pPr>
        <w:spacing w:line="276" w:lineRule="auto"/>
        <w:ind w:firstLine="720"/>
        <w:rPr>
          <w:rFonts w:asciiTheme="minorHAnsi" w:hAnsiTheme="minorHAnsi" w:cstheme="minorHAnsi"/>
          <w:lang w:val="cy-GB"/>
        </w:rPr>
      </w:pPr>
      <w:r w:rsidRPr="00A97F45">
        <w:rPr>
          <w:rFonts w:asciiTheme="minorHAnsi" w:hAnsiTheme="minorHAnsi" w:cstheme="minorHAnsi"/>
          <w:lang w:val="cy-GB"/>
        </w:rPr>
        <w:t xml:space="preserve">Yn ôl Tomlinson 2014, mae gwahaniaethu yn gallu cael ei ddeall fel ymagwedd gyfrannol sydd yn seiliedig ar egwyddorion at ddysgu ac addysgu mewn lleoliadau </w:t>
      </w:r>
      <w:r w:rsidRPr="00A97F45">
        <w:rPr>
          <w:rFonts w:asciiTheme="minorHAnsi" w:hAnsiTheme="minorHAnsi" w:cstheme="minorHAnsi"/>
          <w:lang w:val="cy-GB"/>
        </w:rPr>
        <w:lastRenderedPageBreak/>
        <w:t>heterogenaidd, ac mae rhaid i athrawon cynllunio’n rhyngweithiol ar gyfer gwahaniaethu o flaen llaw ar gyfer y dysgwyr. I gysylltu â hyn, mae athrawon i fod i gynllunio gwahaniaethu ar sail gwybodaeth a sgiliau cyfredol, diddordeb sy’n ymwneud a chynnwys, a dewisiadau ar gyfer ymgysylltu a’r cwricwlwm (Tomlinson, 2014). O ran addysg, oherwydd yr Adroddiad Donaldson ‘Dyfodol Llwyddiannus’ (2015), mae gwahaniaethu yn hanfodol yn yr ystafell dosbarth ac mae hyn yn cael ei wneud trwy scaffoldio ac Asesu ar Gyfer Dysgu, a bydd mwy o wybodaeth ar sut mae scaffoldio ac Asesu ar Gyfer Dysgu yn cysylltu â gwahaniaethu yn nes ymlaen yn y papur. Mae wedi’i gofnodi bod llawer o athrawon yn cael trafferth i gofleidio a gweithredu yn ymarferol gyda gwahaniaethu yn effeithiol yn eu cyd-destunau gwaith (Hertberg-Davis; Brighton, 2016). Mae hwn yn heriol i rai athrawon, ac yn cynnwys newid enfawr mewn rhai lleoliadau, oherwydd does dim digon o adnoddau a chyfleoedd dysgu proffesiynol (Mills et al, 2014).</w:t>
      </w:r>
    </w:p>
    <w:p w14:paraId="6A9C71D9" w14:textId="5030838A" w:rsidR="00680655" w:rsidRPr="00A97F45" w:rsidRDefault="001457C3" w:rsidP="00872CAF">
      <w:pPr>
        <w:spacing w:line="276" w:lineRule="auto"/>
        <w:ind w:firstLine="720"/>
        <w:jc w:val="both"/>
        <w:rPr>
          <w:rFonts w:asciiTheme="minorHAnsi" w:hAnsiTheme="minorHAnsi" w:cstheme="minorHAnsi"/>
          <w:lang w:val="cy-GB"/>
        </w:rPr>
      </w:pPr>
      <w:r w:rsidRPr="00A97F45">
        <w:rPr>
          <w:rFonts w:asciiTheme="minorHAnsi" w:eastAsiaTheme="minorHAnsi" w:hAnsiTheme="minorHAnsi" w:cstheme="minorHAnsi"/>
          <w:lang w:val="cy-GB"/>
        </w:rPr>
        <w:t>Mae ymchwilwyr megis Tomlinson a McTighe (2006), yn nodi mai’r prif nod o wahaniaethu yw sicrhau bod athrawon yn canolbwyntio ar brosesau a gweithdrefnau sy’n darparu cyfleoedd dysgu effeithiol i bob unigolyn. Er enghraifft, yn Ysgol X maent yn darparu gwaith gwahanol i ddysgwyr sydd a ADY yn wahanol i ddysgwyr MAT sy’n cael eu herio o fewn wersi. Er hyn, erbyn diwedd y wers maent yn cyrraedd yr un amcan dysgu. Yn syml, mae Tomlinson (1999) yn dadlau mae cyfarwyddyd gwahaniaethol yn ddull sy’n galluogi athrawon i gynllunio’n strategol i gyrraedd anghenion pob dysgwr, wrth weithredu o fewn fframwaith cwricwlwm cyffredin. Dyma ddatganiad Tomlinson a Jarvis (2009) am wahaniaethu:</w:t>
      </w:r>
    </w:p>
    <w:p w14:paraId="0EC88C0B" w14:textId="4D2D844A" w:rsidR="00680655" w:rsidRPr="00A97F45" w:rsidRDefault="00680655" w:rsidP="00872CAF">
      <w:pPr>
        <w:ind w:left="720"/>
        <w:rPr>
          <w:rFonts w:asciiTheme="minorHAnsi" w:hAnsiTheme="minorHAnsi" w:cstheme="minorHAnsi"/>
          <w:lang w:val="cy-GB"/>
        </w:rPr>
      </w:pPr>
      <w:r w:rsidRPr="00A97F45">
        <w:rPr>
          <w:rFonts w:asciiTheme="minorHAnsi" w:hAnsiTheme="minorHAnsi" w:cstheme="minorHAnsi"/>
          <w:lang w:val="cy-GB"/>
        </w:rPr>
        <w:t>“Differentiation is an approach to curriculum and instruction that systematically takes student differences into account in designing opportunities for each student to engage with information and ideas and to develop essential skills. Differentiation provides a framework for responding to differences in students’ current and developing levels of readiness, their learning profiles, and their interests, to optimize the match between students and learning opportunities. These three dimensions of student difference can be addressed through adjustments to the content, process, products, and environments of student learning”. (Tomlinson</w:t>
      </w:r>
      <w:r w:rsidR="00CB4864" w:rsidRPr="00A97F45">
        <w:rPr>
          <w:rFonts w:asciiTheme="minorHAnsi" w:hAnsiTheme="minorHAnsi" w:cstheme="minorHAnsi"/>
          <w:lang w:val="cy-GB"/>
        </w:rPr>
        <w:t>;</w:t>
      </w:r>
      <w:r w:rsidRPr="00A97F45">
        <w:rPr>
          <w:rFonts w:asciiTheme="minorHAnsi" w:hAnsiTheme="minorHAnsi" w:cstheme="minorHAnsi"/>
          <w:lang w:val="cy-GB"/>
        </w:rPr>
        <w:t xml:space="preserve"> Jarvis, 2009, p. 599). </w:t>
      </w:r>
    </w:p>
    <w:p w14:paraId="3EB13F4A" w14:textId="77777777" w:rsidR="00680655" w:rsidRPr="00A97F45" w:rsidRDefault="00680655" w:rsidP="00872CAF">
      <w:pPr>
        <w:spacing w:line="276" w:lineRule="auto"/>
        <w:ind w:left="720"/>
        <w:rPr>
          <w:rFonts w:asciiTheme="minorHAnsi" w:hAnsiTheme="minorHAnsi" w:cstheme="minorHAnsi"/>
          <w:lang w:val="cy-GB"/>
        </w:rPr>
      </w:pPr>
    </w:p>
    <w:p w14:paraId="562023CD" w14:textId="108B7ACB" w:rsidR="00680655" w:rsidRPr="00A97F45" w:rsidRDefault="001457C3" w:rsidP="00872CAF">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 xml:space="preserve">Mae Sadler (2013) yn pwysleisio bod yr athro yn diffinio’r bwlch rhwng yr hyn gall y dysgwyr ei gyflawni heb unrhyw fath o gymorth er mwyn iddynt wybod beth y gellir ei gyflawni gyda chymorth addas yn cael ei hystyried fel gwahaniaethu gan eich bod yn gwybod ble mae’r dysgwyr ar y dechrau a ble mae rhaid iddynt gyrraedd. Mae hwn yn cael ei ystyried fel techneg a strategaeth o wahaniaethu. Mae hwn yn cysylltu gyda syniad Vygotsky (1986) o </w:t>
      </w:r>
      <w:r w:rsidRPr="00A97F45">
        <w:rPr>
          <w:rFonts w:asciiTheme="minorHAnsi" w:eastAsiaTheme="minorHAnsi" w:hAnsiTheme="minorHAnsi" w:cstheme="minorHAnsi"/>
          <w:i/>
          <w:iCs/>
          <w:lang w:val="cy-GB"/>
        </w:rPr>
        <w:t>Barth Datblygiad Procsimol</w:t>
      </w:r>
      <w:r w:rsidRPr="00A97F45">
        <w:rPr>
          <w:rFonts w:asciiTheme="minorHAnsi" w:eastAsiaTheme="minorHAnsi" w:hAnsiTheme="minorHAnsi" w:cstheme="minorHAnsi"/>
          <w:lang w:val="cy-GB"/>
        </w:rPr>
        <w:t xml:space="preserve"> (PDP), a bydd mwy o wybodaeth am hyn yn cael ei drafod yn nad ymlaen. I gysylltu â hwnna, mae’r defnydd o syniad Wood et al (1976) o syniad Vygotsky o scaffoldio, oherwydd i rai dysgwyr efallai bydd rhaid iddynt gael cymorth ychwanegol er mwyn iddynt gyrraedd yr un man a’r dysgwyr eraill. Felly, trwy wahaniaethu wrth ddefnyddio scaffoldio; bydd pawb yn cyrraedd yr un nodau ac amcanion yn y pendraw. Er hyn, y ffordd mae ysgol heigion yn diffinio’r strategaeth y Parth Datblygiad Procsimol yn amrywio. Er enghraifft mae Chaiklin (2005), yn nodi i Vygotsky mae rhaid diffinio’r parth er mwyn cynllunio datblygiad. Diffinnir y camau datblygu gwahanol hyn fel </w:t>
      </w:r>
      <w:r w:rsidRPr="00A97F45">
        <w:rPr>
          <w:rFonts w:asciiTheme="minorHAnsi" w:eastAsiaTheme="minorHAnsi" w:hAnsiTheme="minorHAnsi" w:cstheme="minorHAnsi"/>
          <w:lang w:val="cy-GB"/>
        </w:rPr>
        <w:lastRenderedPageBreak/>
        <w:t>dilyniant o strwythurau cydlynol ar gyfer rhyngweithio â swyddogaethau deallusol. Er hyn, ar gyfer y dysgwyr ADY, efallai bydd rhaid iddynt gael fwy o gamau yn eu lle er mwyn cyrraedd yr un man a dysgwyr MATh.</w:t>
      </w:r>
    </w:p>
    <w:p w14:paraId="5AAA8445" w14:textId="3352A614" w:rsidR="00EB0A49" w:rsidRPr="00A97F45" w:rsidRDefault="001457C3" w:rsidP="001457C3">
      <w:pPr>
        <w:spacing w:line="276" w:lineRule="auto"/>
        <w:rPr>
          <w:rFonts w:asciiTheme="minorHAnsi" w:hAnsiTheme="minorHAnsi" w:cstheme="minorHAnsi"/>
          <w:lang w:val="cy-GB"/>
        </w:rPr>
      </w:pPr>
      <w:r w:rsidRPr="00A97F45">
        <w:rPr>
          <w:rFonts w:asciiTheme="minorHAnsi" w:eastAsiaTheme="minorHAnsi" w:hAnsiTheme="minorHAnsi" w:cstheme="minorHAnsi"/>
          <w:lang w:val="cy-GB"/>
        </w:rPr>
        <w:tab/>
        <w:t>Y cwestiwn mae’r Llywodraeth yn codi wrth sôn amdano wahaniaethu yw: ‘Ydy gwahaniaethu yn capio’r cynnydd mae’r dysgwyr yn gallu gwneud?’. Daeth Simpson a Ure (1994) yn eu hastudiaeth o wahaniaethu, i'r casgliad, os na fydd athrawon yn ymateb i anghenion unigol dysgwyr neu ddim yn gwybod sut i greu'r amodau sy'n caniatáu iddynt wneud hynny, ni fydd unrhyw strategaeth wahaniaethu yn effeithiol iawn. Maent yn pwysleisio yn A Curriculum for All Learners (2010), bod bob dysgwr anghenion ac sy'n gysylltiedig â rhain:</w:t>
      </w:r>
    </w:p>
    <w:p w14:paraId="7F93D618" w14:textId="5DFF2BCD" w:rsidR="00EB0A49" w:rsidRPr="00A97F45" w:rsidRDefault="00EB0A49" w:rsidP="00872CAF">
      <w:pPr>
        <w:spacing w:line="276" w:lineRule="auto"/>
        <w:rPr>
          <w:rFonts w:asciiTheme="minorHAnsi" w:hAnsiTheme="minorHAnsi" w:cstheme="minorHAnsi"/>
          <w:lang w:val="cy-GB"/>
        </w:rPr>
      </w:pPr>
      <w:r w:rsidRPr="00A97F45">
        <w:rPr>
          <w:rFonts w:asciiTheme="minorHAnsi" w:hAnsiTheme="minorHAnsi" w:cstheme="minorHAnsi"/>
          <w:b/>
          <w:lang w:val="cy-GB"/>
        </w:rPr>
        <w:t>y cwricwlwm</w:t>
      </w:r>
      <w:r w:rsidRPr="00A97F45">
        <w:rPr>
          <w:rFonts w:asciiTheme="minorHAnsi" w:hAnsiTheme="minorHAnsi" w:cstheme="minorHAnsi"/>
          <w:lang w:val="cy-GB"/>
        </w:rPr>
        <w:t xml:space="preserve">: yr angen i gael lefelau gwaith priodol; i wybod am yr hyn sydd i'w ddysgu; i osod targedau tymor byr realistig; i gael cefnogaeth wrth gaffael sgiliau cydran neu ragofynion. </w:t>
      </w:r>
    </w:p>
    <w:p w14:paraId="2140306A" w14:textId="52EE0264" w:rsidR="00EB0A49" w:rsidRPr="00A97F45" w:rsidRDefault="001457C3" w:rsidP="001457C3">
      <w:pPr>
        <w:spacing w:line="276" w:lineRule="auto"/>
        <w:rPr>
          <w:rFonts w:asciiTheme="minorHAnsi" w:hAnsiTheme="minorHAnsi" w:cstheme="minorHAnsi"/>
          <w:lang w:val="cy-GB"/>
        </w:rPr>
      </w:pPr>
      <w:r w:rsidRPr="00A97F45">
        <w:rPr>
          <w:rFonts w:asciiTheme="minorHAnsi" w:eastAsiaTheme="minorHAnsi" w:hAnsiTheme="minorHAnsi" w:cstheme="minorHAnsi"/>
          <w:b/>
          <w:bCs/>
          <w:lang w:val="cy-GB"/>
        </w:rPr>
        <w:t>gwybyddiaeth</w:t>
      </w:r>
      <w:r w:rsidRPr="00A97F45">
        <w:rPr>
          <w:rFonts w:asciiTheme="minorHAnsi" w:eastAsiaTheme="minorHAnsi" w:hAnsiTheme="minorHAnsi" w:cstheme="minorHAnsi"/>
          <w:lang w:val="cy-GB"/>
        </w:rPr>
        <w:t>: yr angen i gael esboniadau sy'n ddealladwy; bod camddealltwriaeth a chamdybiaethau wedi'u nodi a'u cywiro; i gael 'sgaffaldiau cysyniadol' a fydd yn galluogi trefnu manylion neu ymhelaethi o gysyniadau haniaethol; i gael strategaethau sydd ar gael megis mapio cysyniad i gynorthwyo i ddatblygu dealltwriaeth.</w:t>
      </w:r>
    </w:p>
    <w:p w14:paraId="317A822A" w14:textId="77F9A93F" w:rsidR="00EB0A49" w:rsidRPr="00A97F45" w:rsidRDefault="00EB0A49" w:rsidP="00872CAF">
      <w:pPr>
        <w:spacing w:line="276" w:lineRule="auto"/>
        <w:rPr>
          <w:rFonts w:asciiTheme="minorHAnsi" w:hAnsiTheme="minorHAnsi" w:cstheme="minorHAnsi"/>
          <w:lang w:val="cy-GB"/>
        </w:rPr>
      </w:pPr>
      <w:r w:rsidRPr="00A97F45">
        <w:rPr>
          <w:rFonts w:asciiTheme="minorHAnsi" w:hAnsiTheme="minorHAnsi" w:cstheme="minorHAnsi"/>
          <w:b/>
          <w:lang w:val="cy-GB"/>
        </w:rPr>
        <w:t>rheolaeth dysgu</w:t>
      </w:r>
      <w:r w:rsidRPr="00A97F45">
        <w:rPr>
          <w:rFonts w:asciiTheme="minorHAnsi" w:hAnsiTheme="minorHAnsi" w:cstheme="minorHAnsi"/>
          <w:lang w:val="cy-GB"/>
        </w:rPr>
        <w:t xml:space="preserve">: yr angen i gael cefnogaeth i hunan-pacio a rheoli gwaith; i gael cymorth i ddeall sut i weithio'n broffidiol mewn grwpiau; gallu nodi strategaethau ar gyfer datrys problemau / mynd i'r afael â chwestiynau arholiad / cymryd nodiadau / tynnu sylw at bwyntiau allweddol / diwygio, ac ati; i ddatblygu strategaeth ar gyfer gofyn am help gyda phroblemau. </w:t>
      </w:r>
    </w:p>
    <w:p w14:paraId="138664E6" w14:textId="5E98AA37" w:rsidR="007B7CD7"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Y cwestiwn sydd yn codi yn aml yn Ysgol X yw oes rhaid creu gwahanol dasgau megis taflenni gwaith i ddangos ei fod yn gwahaniaethu? Yr ateb you na. Yn ôl Mcnamara a Moreton (1997), mae pwrpas i wahaniaethu achos un peth mae rhaid i athrawon i’w gofio yw bod pob dysgwr yn dysgu mewn gwahanol ffordd. Mae ymchwil yn dangos mai gwahaniaethu yn aml yn cael ei hystyried fel strategaeth dysgu negyddol, felly dyle athrawon meddwl i ddysgu ac addysgu yn y ffordd mae’r dysgwyr yn dysgu’n orau. I Mcnamara a Moreton (2016), y ffriodd orau i wahaniaethu yw trwy gyfathrebu, cydweithrediad a chyngor. Yn Ysgol X, dyma yn union un o’r prif strategaethau maent yn defnyddio i wahaniaethu yn ystod eu gwersi.</w:t>
      </w:r>
    </w:p>
    <w:p w14:paraId="56212920" w14:textId="5EED07A8" w:rsidR="009A12F4"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 xml:space="preserve">Wrth edrych ar wahaniaethu, mae yna dau ochr i wahaniaethu sef yr ymagweddau blaengar a dulliau traddodiadol. Mae yna gwahanol ddulliau traddodiadol megis grwpio’r dysgwyr yn ôl gallu, gwahaniaethu trwy dasgau sydd yn golygu byddent yn creu tasgau penodol ar gyfer gwahanol unigolion; ac yn olaf mae athrawon yn barod wedi rhoi’r dysgwyr i mewn i grwpiau sydd â galluoedd tebyg (Mcnamara a Moreton, 2016). Yn ogystal â hyn, i Radice (2015), mae rhaid trin y dysgwyr yr un peth ac yn gyfartal, ni ddylid gwneud lwfansau. Mae disgwyliadau clir ar gyfer y dysgwyr i gyd. Dydy Ysgol X ddim yn defnyddio’r dulliau traddodiadol, yn hytrach maent yn defnyddio’r ymagweddau blaengar (progressive approaches). Yn Ysgol X, maent yn cael dosbarthiadau gallu cymysg, gwahaniaethu yn ôl nodau ac amcanion y wers, ac yn olaf gwahaniaethu yn ôl adnoddau. Y canlyniad o </w:t>
      </w:r>
      <w:r w:rsidRPr="00A97F45">
        <w:rPr>
          <w:rFonts w:asciiTheme="minorHAnsi" w:eastAsiaTheme="minorHAnsi" w:hAnsiTheme="minorHAnsi" w:cstheme="minorHAnsi"/>
          <w:lang w:val="cy-GB"/>
        </w:rPr>
        <w:lastRenderedPageBreak/>
        <w:t>ddefnyddio’r ymagweddau blaengar yma yn un cadarnhaol yn Ysgol X. Er enghraifft, mae’r dysgwyr yn eistedd mewn grwpiau gallu cymysg, ac maent yn rhoi cymorth i’w gilydd, ac mae hwn yn agwedd cadarnhaol oherwydd mae’r dysgwyr mwy uchel ei gallu yn defnyddio eu dealltwriaeth i helpu’r dysgwyr is ei gallu, ac wrth i’r dysgwyr ADY eistedd ar bwys dysgwyr MAT, mae’r dysgwyr ADY eisiau cyrraedd yr un safon a gweddill y dysgwyr ac yna mae’r athrawon yn herio’r dysgwyr MAT yn fwy. Er hyn, mae Convery a Coyle (1999) yn dweud does dim ffordd benodol i wahaniaethu, does dim strategaeth yn gweithio’n well na’r llall, cyn belled mae ymdrech yn cael ei wneud i gyfateb ag anghenion y dysgwyr. Mae Convery a Coyle (1996) yn awgrymu mae gwahanol fathau o wahaniaethu yn gallu cael ei wneud trwy gael testunau gwahanol, gwahanol mathau o dasgau, ac fel mae Mcnamara (2016) yn dweud wrth nodau ac amcanion. Mae strategaethau eraill yn cynnwys o ran y gwahanol fath o gymorth sydd yn cael ei rhoi i’r dysgwyr, ei allu ac yn olaf trwy ei wahanol ddiddordebau.</w:t>
      </w:r>
    </w:p>
    <w:p w14:paraId="1087AE9E" w14:textId="2F7FE93A" w:rsidR="00E94465"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Yn ogystal â hynny, mae gwahaniaethu yn cynnwys gwthio lefel yr her, sef un o flaenoriaethau'r ysgol. Mae Ysgol X yn defnyddio dylanwad Tom Sherrington (2017), achos i Sherrington (2017), mae dysgu i’r uchaf wedi bod yn egwyddor hir sefydlog o addysgu effeithiol, ond y ffordd mae’r strategaeth yn cael ei wneud wedi cael ei addasu. Dydy hwnna ddim dim ond yn golygu eich bod yn gwthio’r rhai MAT, ond yr ydych yn rhoi camau yn ei le er mwyn i bob dysgwyr cyrraedd yr un lefel yn y pendraw. I Sherrington (2017), mae gormod o ddysgwyr ddim yn cael eu herio’n ddigon, felly os yr ydych yn datrys hwn, bydd y bar yn cael ei godi i bawb. Ar hyn y bryd yn Ysgol X, maent yn cyflwyno’r wers trwy dasgau carwsél. Nid yn unig ydynt yn defnyddio nhw fel ffordd o adolygu megis mae’r arbenigedd pynciol yn arwain y thema. Mae yna ffocws ar herio’r dysgwyr sydd yn y ‘grŵp canol’. I gytuno ar beth mae’r ysgol yn gwthio fel blaenoriaeth mae Allison a Tharby (2015) yn dweud mai’r dysgwyr yn hoffi cael eu herio, ond i gofio nid yw’r flaenoriaeth ar y dysgwyr MAT. I Allison a Tharby (2015), mae cael disgwyliadau uchel trwy’r amser yn cael dylanwad  positif ar y dysgwyr, ac mae’n dda i’r dysgwyr cael eu gwthio tu allan i’w parth cysur, achos wrth gael eu gwthio dyna pryd mae’r dysgwyr yn fwy tebygol o ddysgu’r mwyaf oherwydd na fyddent yn diflasu. Mae’r strategaeth yma yn cael ei weld yn Ysgol X. Ym mhob dosbarth mae yna gornel her, ac wrth i’r athrawon gweld y dysgwyr yn diflasu neu maen nhw wedi cwblhau eu gwaith, mae’r athro/ awes yn gofyn i’r dysgwr i ddewis tasg o’r cornel her er mwyn iddynt gwblhau i gael nhw nol ar y trywydd cywir.</w:t>
      </w:r>
    </w:p>
    <w:p w14:paraId="7978F020" w14:textId="39CBD244" w:rsidR="00E94465"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 xml:space="preserve">Mae ffocws enfawr ar feddylfryd twf ar draws ysgolion ar hyn y bryd gan ei fod yn un o’r egwyddorion sydd yn cael ei drafod yn Ddyfodol Llwyddiannus (2015). I gytuno a hwn mae Dweck (2012), sydd yn sôn os maent yn cael y dysgwyr i fabwysiadu meddylfryd twf, yna mae’r dysgwyr yn fwy tebygol o weithio'n galed, i herio eu hunain a byddant yn mwynhau'r frwydr gyda'r dasg oherwydd eu bod yn parhau i weld cynnydd wrth wthio eu hunan. Er hyn ar y llaw arall, os oes gan ddysgwyr feddylfryd sefydlog, byddant yn gweld her fel canfyddiad negyddol am nad ydynt yn gweld y manteision wrth wthio eu hunain hyd yn oed os ydynt yn ymdrechu â hi ar y dechrau. Dyma pryd mae’r Ysgol ar Adran yn creu adnoddau gwahaniaethu er mwn rhoi’r cymorth ychwanegol i’r dysgwyr sydd eu hangen er </w:t>
      </w:r>
      <w:r w:rsidRPr="00A97F45">
        <w:rPr>
          <w:rFonts w:asciiTheme="minorHAnsi" w:eastAsiaTheme="minorHAnsi" w:hAnsiTheme="minorHAnsi" w:cstheme="minorHAnsi"/>
          <w:lang w:val="cy-GB"/>
        </w:rPr>
        <w:lastRenderedPageBreak/>
        <w:t>mwyn iddynt gyrraedd yr un lle a’r dysgwyr eraill, ac mae hwn yn cael ei weld yn yr CDY a CDA.</w:t>
      </w:r>
    </w:p>
    <w:p w14:paraId="2A445F4D" w14:textId="2A16CC59" w:rsidR="009A43E3" w:rsidRPr="00A97F45" w:rsidRDefault="001457C3" w:rsidP="00872CAF">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Mae Ysgol X yn barod yn gwahaniaethu o fewn grwpiau sydd yn strategaeth o Gunnill (2015).  Maent yn grwpio’r dysgwyr yn ôl eu potensial. Er mwyn i hyn i weithio, mae rhaid cael grwpiau cymysg (Gunnill, 2015), oherwydd wrth gael dysgwyr ADY a rhai MAT yn yr un grŵp, maent yn rhoi cymorth i'w gilydd. Mae'r defnydd o'r strategaeth gydweithio hon fel offeryn dysgu ac addysgu yn galluogi’r dysgwyr o allu tebyg i herio a chefnogi ei gilydd. Drwy weithredu fel ffrindiau dysgu, gallant wirio gwaith ei gilydd.</w:t>
      </w:r>
    </w:p>
    <w:p w14:paraId="6582214B" w14:textId="012D741D" w:rsidR="00B673A4" w:rsidRPr="00A97F45" w:rsidRDefault="001457C3" w:rsidP="00872CAF">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Wrth edrych ar y ffordd ymlaen ynglŷn â chyflawni’r blaenoriaethau’r ysgol a’r adran yn gyflawn, mae rhaid edrych ar wahanol strategaethau gall Ysgol X cynnwys yn yr ysgol. Mae’r ysgol yn llwyddiannus ynglŷn â chyflawni’r flaenoriaeth o wahaniaethu, ond mae ychydig o strategaethau ychwanegol gallent gynnwys i sicrhau mae gwahaniaethau yn cael ei wneud i’r safon uchaf yn yr ysgol. Yna, trwy gyflawni’r flaenoriaeth o wahaniaethu bydd cynnydd y dysgwyr yn gwella, ac yn y pendraw bydd canlyniadau'r ysgol yn codi a bydd y dysgwyr yn cael y cymorth gorau posib gall yr ysgol a’r adran rhoi i’r dysgwyr.</w:t>
      </w:r>
    </w:p>
    <w:p w14:paraId="483E657E" w14:textId="77777777" w:rsidR="005B6DB9" w:rsidRDefault="001457C3" w:rsidP="005B6DB9">
      <w:pPr>
        <w:spacing w:line="276" w:lineRule="auto"/>
        <w:rPr>
          <w:rFonts w:asciiTheme="minorHAnsi" w:hAnsiTheme="minorHAnsi" w:cstheme="minorHAnsi"/>
          <w:lang w:val="cy-GB"/>
        </w:rPr>
      </w:pPr>
      <w:r w:rsidRPr="00A97F45">
        <w:rPr>
          <w:rFonts w:asciiTheme="minorHAnsi" w:eastAsiaTheme="minorHAnsi" w:hAnsiTheme="minorHAnsi" w:cstheme="minorHAnsi"/>
          <w:lang w:val="cy-GB"/>
        </w:rPr>
        <w:tab/>
        <w:t>Yn gyntaf, hyd yn oed mae’r gwahanol o gwestiynu yn gyfyngedig (Anderson, 2007), mae ymchwil cadarn yn dweud mai’r gwahanol fathau o gwestiynu yn gallu bod yn sylfaen i wahaniaethu. Yn ôl Cox (2008) sy’n dweud, mae addasu cyfarwyddyd i dynnu ar ddiddordebau myfyrwyr yn debygol o ail-ymgysylltu â mwy o fyfyrwyr, lefelau cymhelliant cynhenid, cynhyrchedd myfyriwr uwch, mwy o annibyniaeth myfyrwyr, cyrhaeddiad mewnol, ac ymdeimlad o hunan-gym</w:t>
      </w:r>
      <w:r w:rsidR="00A97F45" w:rsidRPr="00A97F45">
        <w:rPr>
          <w:rFonts w:asciiTheme="minorHAnsi" w:eastAsiaTheme="minorHAnsi" w:hAnsiTheme="minorHAnsi" w:cstheme="minorHAnsi"/>
          <w:lang w:val="cy-GB"/>
        </w:rPr>
        <w:t xml:space="preserve">hwysedd. Mae’r strategaeth yma </w:t>
      </w:r>
      <w:r w:rsidRPr="00A97F45">
        <w:rPr>
          <w:rFonts w:asciiTheme="minorHAnsi" w:eastAsiaTheme="minorHAnsi" w:hAnsiTheme="minorHAnsi" w:cstheme="minorHAnsi"/>
          <w:lang w:val="cy-GB"/>
        </w:rPr>
        <w:t>yn cynnwys rheolaeth dosbarth, hyrwyddo ymgysylltiad y dysgwyr, bod yn barod i ddefnyddio gwahanol strategaethau dysgu ac addysg, ac yn olaf bod yn barod i ddysgu’r dysgwyr lan at eu Parth Datblygiad Procsimol (Allan a Tomlinson, 2000). Ar draws llenyddiaeth, mae arbenigwyr (Anderson, 2007; Rock, Gregg, Ellis, a Gable, 2008; Tomlinson, 2000) yn awgrymu egwyddorion arweiniol i gefnogi arferion ystafell ddosbarth gwahaniaethol. Yn gyntaf i ganolbwyntio ar syniadau a sgiliau hanfodol yr ardal gynnwys, gan ddileu tasgau a gweithgareddau atodol os oes angen. Felly, os mae’r athrawon yn gallu gweld mae rhai dysgwyr neu ddosbarth angen fwy o wahaniaethu, dyle dileu tasgau i gadarnhau mae’r dysgwyr yn deall beth maent wedi dysgu yn flaenorol i’r pethau ychwanegol. Mae hwnna’n cysylltu gydag ymateb i wahaniaethu ar gyfer dysgwyr unigol ADY, megis arddull dysgu, gwybodaeth flaenorol, diddordebau a lefel ymgysylltu.</w:t>
      </w:r>
    </w:p>
    <w:p w14:paraId="113309E0" w14:textId="1B02748F" w:rsidR="0052314F" w:rsidRPr="00A97F45" w:rsidRDefault="001457C3" w:rsidP="005B6DB9">
      <w:pPr>
        <w:spacing w:line="276" w:lineRule="auto"/>
        <w:ind w:firstLine="360"/>
        <w:rPr>
          <w:rFonts w:asciiTheme="minorHAnsi" w:hAnsiTheme="minorHAnsi" w:cstheme="minorHAnsi"/>
          <w:lang w:val="cy-GB"/>
        </w:rPr>
      </w:pPr>
      <w:r w:rsidRPr="00A97F45">
        <w:rPr>
          <w:rFonts w:asciiTheme="minorHAnsi" w:eastAsiaTheme="minorHAnsi" w:hAnsiTheme="minorHAnsi" w:cstheme="minorHAnsi"/>
          <w:lang w:val="cy-GB"/>
        </w:rPr>
        <w:t xml:space="preserve">Yn ogystal â hynny, dylai athrawon integreiddio asesiadau parhaus ac ystyrlon gyda chyfarwyddyd gan asesu yn barhaus; adlewyrchu; ac addasu cynnwys, proses, a chynnyrch i ddiwallu anghenion myfyrwyr. Gall athrawon asesu barhaus trwy asesu ffurfiannol sydd yn un o egwyddorion Asesu ar Gyfer Dysgu, sydd hefyd yn un o egwyddorion Dyfodol Llwyddiannus (2015). Mae Ysgol X yn defnyddio strategaethau Asesu ar Gyfer Dysgu, ond wrth ymchwilio i mewn i wahanol lenyddiaeth ac ysgol heigion, megis Black a Wiliam (1998). Wrth asesu yn ffurfiannol, gall yr athrawon gweld beth yw cynnydd y dysgwyr trwy gydol y wers, a thrwy hyn, byddant yn gallu gweld os mae rhaid gwahaniaethu mwy neu lai, achos </w:t>
      </w:r>
      <w:r w:rsidRPr="00A97F45">
        <w:rPr>
          <w:rFonts w:asciiTheme="minorHAnsi" w:eastAsiaTheme="minorHAnsi" w:hAnsiTheme="minorHAnsi" w:cstheme="minorHAnsi"/>
          <w:lang w:val="cy-GB"/>
        </w:rPr>
        <w:lastRenderedPageBreak/>
        <w:t>mae rhaid bod ymwybodol o wthio’r dysgwyr i mewn i’r ‘struggle zone’ (Allison; Tharby, 2015).</w:t>
      </w:r>
    </w:p>
    <w:p w14:paraId="31122818" w14:textId="5FFFF25B" w:rsidR="007B7CD7" w:rsidRPr="00A97F45" w:rsidRDefault="001457C3" w:rsidP="001457C3">
      <w:pPr>
        <w:spacing w:line="276" w:lineRule="auto"/>
        <w:ind w:firstLine="360"/>
        <w:rPr>
          <w:rFonts w:asciiTheme="minorHAnsi" w:hAnsiTheme="minorHAnsi" w:cstheme="minorHAnsi"/>
          <w:lang w:val="cy-GB"/>
        </w:rPr>
      </w:pPr>
      <w:r w:rsidRPr="00A97F45">
        <w:rPr>
          <w:rFonts w:asciiTheme="minorHAnsi" w:eastAsiaTheme="minorHAnsi" w:hAnsiTheme="minorHAnsi" w:cstheme="minorHAnsi"/>
          <w:lang w:val="cy-GB"/>
        </w:rPr>
        <w:t xml:space="preserve">Fel drafodwn yn gynharach, mae Ysgol X yn defnyddio dechneg o Vygotsky (1978) o PDP, a scaffoldio, ond gall Ysgol X cael fwy o gysondeb ynglyn a’r strategaeth. Yr ydym yn ymwybodol bod PDP yn cael ei ddiffinio fel y gwahaniaeth rhwng yr hyn y gall y dysgwyr eu gwneud heb unrhyw fath o gymorth, a beth gall y dysgwyr eu cyflawni gyda chanllawiau ac anogaeth gan yr athro. Awgrym gall Ysgol X ei wneud i sicrhau mae’r strategaeth yn cael ei ddefnyddio gyda phwrpas llawn yw cael dasg i’r dysgwyr i gyflawni er mwyn i’r athro dosbarth gwybod ble mae’r dysgwyr ar hyn y bryd a ble mae rhaid iddynt gyrraedd, ac wrth ddefnyddio strategaeth o Sherrington (2017) o ‘teaching to the top’, bydd yr athrawon gallu scaffoldio beth sydd angen ar y dysgwyr er mwyn cyrraedd yr un amcan a phob dysgwr arall. Er enghraifft, i Sherrington (1999), mae dosbarth gwahaniaethu yn cynnwys gwahanol fathau o gwestiynau gan ddefnyddio Tacsonomy Bloom (2001). Gallent ddefnyddio Bloom ar gyfer gwahaniaethu rhwng y ADY a MAT trwy ofyn gwahanol gwestiynau a chael e rhan o dasg yn ystod y wers. Wrth gyflwyno’r gwahanol fathau o gwestiynau yn rheolaidd, bydd y dysgwyr yn dod yn gyfaredd a’r dechneg a dros amser wrth herio'r rhai MAT wrth ddefnyddio’r cwestiynau anoddach, bydd y </w:t>
      </w:r>
      <w:r w:rsidR="00EC1D24">
        <w:rPr>
          <w:rFonts w:asciiTheme="minorHAnsi" w:eastAsiaTheme="minorHAnsi" w:hAnsiTheme="minorHAnsi" w:cstheme="minorHAnsi"/>
          <w:lang w:val="cy-GB"/>
        </w:rPr>
        <w:t xml:space="preserve">bwlch </w:t>
      </w:r>
      <w:r w:rsidRPr="00A97F45">
        <w:rPr>
          <w:rFonts w:asciiTheme="minorHAnsi" w:eastAsiaTheme="minorHAnsi" w:hAnsiTheme="minorHAnsi" w:cstheme="minorHAnsi"/>
          <w:lang w:val="cy-GB"/>
        </w:rPr>
        <w:t>rhwng y ADY a MAT yn lleihau wrth ymarfer y cwestiynau yn gyson. Yn ogystal â hynny, wrth asesu ffurfiannol, ac amryw o wahanol strategaethau dysgu ac addysgu megis cael y dysgwyr i ddewis pa dasg maent yn cyflawni, i gadarnhau mae’r dysgwyr yn y canol o addysg eu hun (Sherrington, 1999). Wrth gael y dysgwyr i ddewis pa dasg maent yn cyflawni, mae rhaid i’r athro dosbarth sicrhau maent yn gwybod gallu'r dysgwyr. Wrth wybod gallu'r dysgwyr, bydd yr athro gallu gweld os mae’r dysgwyr yn dewis tasg synhwyrol neu beidio ag arwain y dysgwyr i’r cyfeiriad cywir i gyflawni’r gwaith i’r safon gorau i allu'r dysgwyr.</w:t>
      </w:r>
    </w:p>
    <w:p w14:paraId="57387B53" w14:textId="05ADDD51" w:rsidR="009A2E01" w:rsidRPr="00A97F45" w:rsidRDefault="001457C3" w:rsidP="001457C3">
      <w:pPr>
        <w:spacing w:line="276" w:lineRule="auto"/>
        <w:ind w:firstLine="360"/>
        <w:rPr>
          <w:rFonts w:asciiTheme="minorHAnsi" w:hAnsiTheme="minorHAnsi" w:cstheme="minorHAnsi"/>
          <w:lang w:val="cy-GB"/>
        </w:rPr>
      </w:pPr>
      <w:r w:rsidRPr="00A97F45">
        <w:rPr>
          <w:rFonts w:asciiTheme="minorHAnsi" w:eastAsiaTheme="minorHAnsi" w:hAnsiTheme="minorHAnsi" w:cstheme="minorHAnsi"/>
          <w:lang w:val="cy-GB"/>
        </w:rPr>
        <w:t>Wrth ddod at gasgliad, gallwn weld mae Ysgol X yn gweithio tuag un o flaenoriaethau’r ysgol ac yr adran o wahaniaethu ar gyfer y dysgwyr ADY ac y rhai MAT i safon uchel. Ar y cyfan, mae’r dysgwyr yn cyflawni nifer o wahanol strategaethau i gynorthwyo’r dysgwyr. Er hyn, yn yr adroddiad yma mae ychydig o awgrymiadau i sicrhau mae’r flaenoriaeth sydd o fewn y CDY a CDA yn cael ei ddatrys, er mwyn i Ysgol X symud ymlaen gyda blaenoriaeth newydd i sicrhau mae Ysgol X yn cadw lan at ei ddisgwyliadau uchel a safonau uchel o fewn yr ysgol. Yn bennaf, mae rhaid i’r ysgol sicrhau mae yna gysondeb rhwng yr adran a’r ysgol, ac ar hyn y bryd mae yna gyfathrebu rhwng y ddau, ond wrth gadw at y cyfathrebu a thrwy ymrwymo mwy o’r strategaethau dysgu ac addysgu i mewn i’r ysgol a’r adran, bydd y flaenoriaeth o wahaniaethu wedi cael ei gyflawni. Felly, wrth ddod at ddiwedd yr adroddiad yma, rydym yn gwybod ble mae Ysgol X ar hyn y bryd gyda’i blaenoriaethau o’r CDY a CDA, beth maent yn gwneud amdano fe, a beth yw ei gamau gweithredu i’r dyfodol. Bydd y camau gweithredu yn cymryd amser, ond wrth gael cysondeb bydd yr ysgol yn lleihau’r cap rhwng y dysgwyr ADY a'r dysgwyr MAT, a dros amser byddent yn gallu tynnu yn ôl o scaffoldio y dysgwyr ADY yn y diwedd ac efallai bydd cynorthwyo’r dysgwyr yn ddigon iddynt.</w:t>
      </w:r>
    </w:p>
    <w:p w14:paraId="337F7ADF" w14:textId="3C999979" w:rsidR="004057F9" w:rsidRPr="00A97F45" w:rsidRDefault="004057F9" w:rsidP="00872CAF">
      <w:pPr>
        <w:spacing w:line="276" w:lineRule="auto"/>
        <w:ind w:firstLine="360"/>
        <w:rPr>
          <w:rFonts w:asciiTheme="minorHAnsi" w:hAnsiTheme="minorHAnsi" w:cstheme="minorHAnsi"/>
          <w:lang w:val="cy-GB"/>
        </w:rPr>
      </w:pPr>
    </w:p>
    <w:p w14:paraId="069961C4" w14:textId="45484377" w:rsidR="004057F9" w:rsidRPr="00A97F45" w:rsidRDefault="004057F9" w:rsidP="00872CAF">
      <w:pPr>
        <w:spacing w:line="276" w:lineRule="auto"/>
        <w:ind w:firstLine="360"/>
        <w:rPr>
          <w:rFonts w:asciiTheme="minorHAnsi" w:hAnsiTheme="minorHAnsi" w:cstheme="minorHAnsi"/>
          <w:lang w:val="cy-GB"/>
        </w:rPr>
      </w:pPr>
    </w:p>
    <w:p w14:paraId="00510CF8" w14:textId="60122FF0" w:rsidR="004057F9" w:rsidRPr="00A97F45" w:rsidRDefault="004057F9" w:rsidP="00872CAF">
      <w:pPr>
        <w:spacing w:line="276" w:lineRule="auto"/>
        <w:ind w:firstLine="360"/>
        <w:rPr>
          <w:rFonts w:asciiTheme="minorHAnsi" w:hAnsiTheme="minorHAnsi" w:cstheme="minorHAnsi"/>
          <w:u w:val="single"/>
          <w:lang w:val="cy-GB"/>
        </w:rPr>
      </w:pPr>
      <w:r w:rsidRPr="00A97F45">
        <w:rPr>
          <w:rFonts w:asciiTheme="minorHAnsi" w:hAnsiTheme="minorHAnsi" w:cstheme="minorHAnsi"/>
          <w:u w:val="single"/>
          <w:lang w:val="cy-GB"/>
        </w:rPr>
        <w:t>Cyfeirnodau:</w:t>
      </w:r>
    </w:p>
    <w:p w14:paraId="34C5FA35" w14:textId="2A1C8BF0" w:rsidR="004057F9" w:rsidRPr="00A97F45" w:rsidRDefault="004057F9" w:rsidP="00872CAF">
      <w:pPr>
        <w:spacing w:line="276" w:lineRule="auto"/>
        <w:ind w:firstLine="360"/>
        <w:rPr>
          <w:rFonts w:asciiTheme="minorHAnsi" w:hAnsiTheme="minorHAnsi" w:cstheme="minorHAnsi"/>
          <w:lang w:val="cy-GB"/>
        </w:rPr>
      </w:pPr>
    </w:p>
    <w:p w14:paraId="48D440D1" w14:textId="28CEE347" w:rsidR="004057F9" w:rsidRPr="00A97F45" w:rsidRDefault="004057F9" w:rsidP="00727D8F">
      <w:pPr>
        <w:spacing w:line="276" w:lineRule="auto"/>
        <w:rPr>
          <w:rFonts w:asciiTheme="minorHAnsi" w:hAnsiTheme="minorHAnsi" w:cstheme="minorHAnsi"/>
          <w:lang w:val="cy-GB"/>
        </w:rPr>
      </w:pPr>
      <w:r w:rsidRPr="00A97F45">
        <w:rPr>
          <w:rFonts w:asciiTheme="minorHAnsi" w:hAnsiTheme="minorHAnsi" w:cstheme="minorHAnsi"/>
          <w:lang w:val="cy-GB"/>
        </w:rPr>
        <w:t>Jamie Billingham. (2012). </w:t>
      </w:r>
      <w:r w:rsidRPr="00A97F45">
        <w:rPr>
          <w:rFonts w:asciiTheme="minorHAnsi" w:hAnsiTheme="minorHAnsi" w:cstheme="minorHAnsi"/>
          <w:i/>
          <w:iCs/>
          <w:lang w:val="cy-GB"/>
        </w:rPr>
        <w:t>Strategic Planning in Education – 3 Keys to Success.</w:t>
      </w:r>
      <w:r w:rsidRPr="00A97F45">
        <w:rPr>
          <w:rFonts w:asciiTheme="minorHAnsi" w:hAnsiTheme="minorHAnsi" w:cstheme="minorHAnsi"/>
          <w:lang w:val="cy-GB"/>
        </w:rPr>
        <w:t> Available: https://www.thoughtexchange.com/strategic-planning-in-education-3-keys-to-success/. Last accessed 22/01/2019.</w:t>
      </w:r>
    </w:p>
    <w:p w14:paraId="23F1D22B" w14:textId="0F187804" w:rsidR="004057F9" w:rsidRPr="00A97F45" w:rsidRDefault="004057F9" w:rsidP="00727D8F">
      <w:pPr>
        <w:spacing w:line="276" w:lineRule="auto"/>
        <w:rPr>
          <w:rFonts w:asciiTheme="minorHAnsi" w:hAnsiTheme="minorHAnsi" w:cstheme="minorHAnsi"/>
          <w:lang w:val="cy-GB"/>
        </w:rPr>
      </w:pPr>
    </w:p>
    <w:p w14:paraId="6F903716" w14:textId="4DDA3A2D" w:rsidR="004057F9" w:rsidRPr="00A97F45" w:rsidRDefault="004057F9" w:rsidP="00727D8F">
      <w:pPr>
        <w:spacing w:line="276" w:lineRule="auto"/>
        <w:rPr>
          <w:rFonts w:asciiTheme="minorHAnsi" w:hAnsiTheme="minorHAnsi" w:cstheme="minorHAnsi"/>
          <w:lang w:val="cy-GB"/>
        </w:rPr>
      </w:pPr>
      <w:r w:rsidRPr="00A97F45">
        <w:rPr>
          <w:rFonts w:asciiTheme="minorHAnsi" w:hAnsiTheme="minorHAnsi" w:cstheme="minorHAnsi"/>
          <w:lang w:val="cy-GB"/>
        </w:rPr>
        <w:t>Mary Forehand (2011). </w:t>
      </w:r>
      <w:r w:rsidRPr="00A97F45">
        <w:rPr>
          <w:rFonts w:asciiTheme="minorHAnsi" w:hAnsiTheme="minorHAnsi" w:cstheme="minorHAnsi"/>
          <w:i/>
          <w:iCs/>
          <w:lang w:val="cy-GB"/>
        </w:rPr>
        <w:t>Emerging Perspectives on Learning, Teaching and Technology</w:t>
      </w:r>
      <w:r w:rsidRPr="00A97F45">
        <w:rPr>
          <w:rFonts w:asciiTheme="minorHAnsi" w:hAnsiTheme="minorHAnsi" w:cstheme="minorHAnsi"/>
          <w:lang w:val="cy-GB"/>
        </w:rPr>
        <w:t>. Georgia: 2011. 1-10.</w:t>
      </w:r>
    </w:p>
    <w:p w14:paraId="4C1604AD" w14:textId="5C21A87A" w:rsidR="004057F9" w:rsidRPr="00A97F45" w:rsidRDefault="004057F9" w:rsidP="00727D8F">
      <w:pPr>
        <w:spacing w:before="100" w:beforeAutospacing="1" w:after="100" w:afterAutospacing="1" w:line="276" w:lineRule="auto"/>
        <w:rPr>
          <w:rFonts w:asciiTheme="minorHAnsi" w:hAnsiTheme="minorHAnsi" w:cstheme="minorHAnsi"/>
          <w:lang w:val="cy-GB"/>
        </w:rPr>
      </w:pPr>
      <w:r w:rsidRPr="00A97F45">
        <w:rPr>
          <w:rFonts w:asciiTheme="minorHAnsi" w:hAnsiTheme="minorHAnsi" w:cstheme="minorHAnsi"/>
          <w:lang w:val="cy-GB"/>
        </w:rPr>
        <w:t>Saul McLeod. (2018). </w:t>
      </w:r>
      <w:r w:rsidRPr="00A97F45">
        <w:rPr>
          <w:rFonts w:asciiTheme="minorHAnsi" w:hAnsiTheme="minorHAnsi" w:cstheme="minorHAnsi"/>
          <w:i/>
          <w:iCs/>
          <w:lang w:val="cy-GB"/>
        </w:rPr>
        <w:t>The Zone of Proximal Development and Scaffolding.</w:t>
      </w:r>
      <w:r w:rsidRPr="00A97F45">
        <w:rPr>
          <w:rFonts w:asciiTheme="minorHAnsi" w:hAnsiTheme="minorHAnsi" w:cstheme="minorHAnsi"/>
          <w:lang w:val="cy-GB"/>
        </w:rPr>
        <w:t xml:space="preserve"> Available: </w:t>
      </w:r>
      <w:hyperlink r:id="rId7" w:history="1">
        <w:r w:rsidRPr="00A97F45">
          <w:rPr>
            <w:rStyle w:val="Hyperlink"/>
            <w:rFonts w:asciiTheme="minorHAnsi" w:hAnsiTheme="minorHAnsi" w:cstheme="minorHAnsi"/>
            <w:color w:val="auto"/>
            <w:lang w:val="cy-GB"/>
          </w:rPr>
          <w:t>https://www.simplypsychology.org/Zone-of-Proximal-Development.html. Last accessed 22/01/2019</w:t>
        </w:r>
      </w:hyperlink>
      <w:r w:rsidRPr="00A97F45">
        <w:rPr>
          <w:rFonts w:asciiTheme="minorHAnsi" w:hAnsiTheme="minorHAnsi" w:cstheme="minorHAnsi"/>
          <w:lang w:val="cy-GB"/>
        </w:rPr>
        <w:t>.</w:t>
      </w:r>
    </w:p>
    <w:p w14:paraId="388CB3E9" w14:textId="7FC958D7" w:rsidR="00727D8F" w:rsidRPr="00A97F45" w:rsidRDefault="00727D8F" w:rsidP="00727D8F">
      <w:pPr>
        <w:rPr>
          <w:rFonts w:asciiTheme="minorHAnsi" w:hAnsiTheme="minorHAnsi" w:cstheme="minorHAnsi"/>
          <w:lang w:val="cy-GB"/>
        </w:rPr>
      </w:pPr>
      <w:r w:rsidRPr="00A97F45">
        <w:rPr>
          <w:rFonts w:asciiTheme="minorHAnsi" w:hAnsiTheme="minorHAnsi" w:cstheme="minorHAnsi"/>
          <w:lang w:val="cy-GB"/>
        </w:rPr>
        <w:t xml:space="preserve">Welsh Government, (2014) School Development Plans, [online] Available from: </w:t>
      </w:r>
      <w:hyperlink r:id="rId8" w:tgtFrame="_blank" w:history="1">
        <w:r w:rsidRPr="00A97F45">
          <w:rPr>
            <w:rStyle w:val="Hyperlink"/>
            <w:rFonts w:asciiTheme="minorHAnsi" w:hAnsiTheme="minorHAnsi" w:cstheme="minorHAnsi"/>
            <w:color w:val="auto"/>
            <w:u w:val="none"/>
            <w:lang w:val="cy-GB"/>
          </w:rPr>
          <w:t>http://gov.wales/docs/dcells/publications/141023-school-development-plans.pdf</w:t>
        </w:r>
      </w:hyperlink>
      <w:r w:rsidRPr="00A97F45">
        <w:rPr>
          <w:rFonts w:asciiTheme="minorHAnsi" w:hAnsiTheme="minorHAnsi" w:cstheme="minorHAnsi"/>
          <w:lang w:val="cy-GB"/>
        </w:rPr>
        <w:t xml:space="preserve"> (Mynediad ddiwethaf: 20/01 2019) </w:t>
      </w:r>
    </w:p>
    <w:p w14:paraId="6736B9F3" w14:textId="77777777" w:rsidR="00727D8F" w:rsidRPr="00A97F45" w:rsidRDefault="00727D8F" w:rsidP="00727D8F">
      <w:pPr>
        <w:spacing w:line="276" w:lineRule="auto"/>
        <w:rPr>
          <w:rFonts w:asciiTheme="minorHAnsi" w:hAnsiTheme="minorHAnsi" w:cstheme="minorHAnsi"/>
          <w:lang w:val="cy-GB"/>
        </w:rPr>
      </w:pPr>
    </w:p>
    <w:p w14:paraId="3131D0B8" w14:textId="08DED24E" w:rsidR="00294753" w:rsidRPr="00A97F45" w:rsidRDefault="00294753" w:rsidP="00727D8F">
      <w:pPr>
        <w:spacing w:line="276" w:lineRule="auto"/>
        <w:rPr>
          <w:rFonts w:asciiTheme="minorHAnsi" w:hAnsiTheme="minorHAnsi" w:cstheme="minorHAnsi"/>
          <w:lang w:val="cy-GB"/>
        </w:rPr>
      </w:pPr>
      <w:r w:rsidRPr="00A97F45">
        <w:rPr>
          <w:rFonts w:asciiTheme="minorHAnsi" w:hAnsiTheme="minorHAnsi" w:cstheme="minorHAnsi"/>
          <w:lang w:val="cy-GB"/>
        </w:rPr>
        <w:t>Gwang-Chol Chang (2006). </w:t>
      </w:r>
      <w:r w:rsidRPr="00A97F45">
        <w:rPr>
          <w:rFonts w:asciiTheme="minorHAnsi" w:hAnsiTheme="minorHAnsi" w:cstheme="minorHAnsi"/>
          <w:i/>
          <w:iCs/>
          <w:lang w:val="cy-GB"/>
        </w:rPr>
        <w:t>ED/EPS/2006/PI/11 October 2006 Strategic Planning in Education: Some Concepts and Steps</w:t>
      </w:r>
      <w:r w:rsidRPr="00A97F45">
        <w:rPr>
          <w:rFonts w:asciiTheme="minorHAnsi" w:hAnsiTheme="minorHAnsi" w:cstheme="minorHAnsi"/>
          <w:lang w:val="cy-GB"/>
        </w:rPr>
        <w:t>. Paris: United Nations Educational, Scientific and Cultural Organization.</w:t>
      </w:r>
    </w:p>
    <w:p w14:paraId="230498E2" w14:textId="0269C9F5" w:rsidR="00294753" w:rsidRPr="00A97F45" w:rsidRDefault="00294753" w:rsidP="00727D8F">
      <w:pPr>
        <w:spacing w:line="276" w:lineRule="auto"/>
        <w:rPr>
          <w:rFonts w:asciiTheme="minorHAnsi" w:hAnsiTheme="minorHAnsi" w:cstheme="minorHAnsi"/>
          <w:lang w:val="cy-GB"/>
        </w:rPr>
      </w:pPr>
    </w:p>
    <w:p w14:paraId="1A030972" w14:textId="018E23C6" w:rsidR="00294753" w:rsidRPr="00A97F45" w:rsidRDefault="00294753" w:rsidP="00727D8F">
      <w:pPr>
        <w:spacing w:line="276" w:lineRule="auto"/>
        <w:rPr>
          <w:rFonts w:asciiTheme="minorHAnsi" w:hAnsiTheme="minorHAnsi" w:cstheme="minorHAnsi"/>
          <w:lang w:val="cy-GB"/>
        </w:rPr>
      </w:pPr>
      <w:r w:rsidRPr="00A97F45">
        <w:rPr>
          <w:rFonts w:asciiTheme="minorHAnsi" w:hAnsiTheme="minorHAnsi" w:cstheme="minorHAnsi"/>
          <w:lang w:val="cy-GB"/>
        </w:rPr>
        <w:t>Maiyo Kiprop Julius; Ndiku Judah. (2014). Strategic Organizational, Planning and Management: An Introduction. </w:t>
      </w:r>
      <w:r w:rsidRPr="00A97F45">
        <w:rPr>
          <w:rFonts w:asciiTheme="minorHAnsi" w:hAnsiTheme="minorHAnsi" w:cstheme="minorHAnsi"/>
          <w:i/>
          <w:iCs/>
          <w:lang w:val="cy-GB"/>
        </w:rPr>
        <w:t>Research Signpost</w:t>
      </w:r>
      <w:r w:rsidRPr="00A97F45">
        <w:rPr>
          <w:rFonts w:asciiTheme="minorHAnsi" w:hAnsiTheme="minorHAnsi" w:cstheme="minorHAnsi"/>
          <w:lang w:val="cy-GB"/>
        </w:rPr>
        <w:t>. 37 (2), 34-47.</w:t>
      </w:r>
    </w:p>
    <w:p w14:paraId="44FF0FBD" w14:textId="080B90F8" w:rsidR="00294753" w:rsidRPr="00A97F45" w:rsidRDefault="00294753" w:rsidP="00727D8F">
      <w:pPr>
        <w:spacing w:line="276" w:lineRule="auto"/>
        <w:rPr>
          <w:rFonts w:asciiTheme="minorHAnsi" w:hAnsiTheme="minorHAnsi" w:cstheme="minorHAnsi"/>
          <w:lang w:val="cy-GB"/>
        </w:rPr>
      </w:pPr>
    </w:p>
    <w:p w14:paraId="632F7A3D" w14:textId="77777777" w:rsidR="00294753" w:rsidRPr="00A97F45" w:rsidRDefault="00294753" w:rsidP="00727D8F">
      <w:pPr>
        <w:spacing w:line="276" w:lineRule="auto"/>
        <w:rPr>
          <w:rFonts w:asciiTheme="minorHAnsi" w:hAnsiTheme="minorHAnsi" w:cstheme="minorHAnsi"/>
          <w:lang w:val="cy-GB"/>
        </w:rPr>
      </w:pPr>
      <w:r w:rsidRPr="00A97F45">
        <w:rPr>
          <w:rFonts w:asciiTheme="minorHAnsi" w:hAnsiTheme="minorHAnsi" w:cstheme="minorHAnsi"/>
          <w:lang w:val="cy-GB"/>
        </w:rPr>
        <w:t>Gill Gunnill. (2015). </w:t>
      </w:r>
      <w:r w:rsidRPr="00A97F45">
        <w:rPr>
          <w:rFonts w:asciiTheme="minorHAnsi" w:hAnsiTheme="minorHAnsi" w:cstheme="minorHAnsi"/>
          <w:i/>
          <w:iCs/>
          <w:lang w:val="cy-GB"/>
        </w:rPr>
        <w:t>How collaborative learning can be used as a strategy to support differentiation in the classroom.</w:t>
      </w:r>
      <w:r w:rsidRPr="00A97F45">
        <w:rPr>
          <w:rFonts w:asciiTheme="minorHAnsi" w:hAnsiTheme="minorHAnsi" w:cstheme="minorHAnsi"/>
          <w:lang w:val="cy-GB"/>
        </w:rPr>
        <w:t> Available: https://www.stem.org.uk/news-and-views/opinions/how-collaborative-learning-can-be-used-strategy-support-differentiation. Last accessed 22/01/2019.</w:t>
      </w:r>
    </w:p>
    <w:p w14:paraId="3EC527BA" w14:textId="2F716116" w:rsidR="00294753" w:rsidRPr="00A97F45" w:rsidRDefault="00294753" w:rsidP="00727D8F">
      <w:pPr>
        <w:spacing w:line="276" w:lineRule="auto"/>
        <w:rPr>
          <w:rFonts w:asciiTheme="minorHAnsi" w:hAnsiTheme="minorHAnsi" w:cstheme="minorHAnsi"/>
          <w:lang w:val="cy-GB"/>
        </w:rPr>
      </w:pPr>
    </w:p>
    <w:p w14:paraId="0FE1BFE0" w14:textId="7FB48111" w:rsidR="00294753" w:rsidRPr="00A97F45" w:rsidRDefault="00294753" w:rsidP="00727D8F">
      <w:pPr>
        <w:spacing w:line="276" w:lineRule="auto"/>
        <w:rPr>
          <w:rFonts w:asciiTheme="minorHAnsi" w:hAnsiTheme="minorHAnsi" w:cstheme="minorHAnsi"/>
          <w:lang w:val="cy-GB"/>
        </w:rPr>
      </w:pPr>
      <w:r w:rsidRPr="00A97F45">
        <w:rPr>
          <w:rFonts w:asciiTheme="minorHAnsi" w:hAnsiTheme="minorHAnsi" w:cstheme="minorHAnsi"/>
          <w:lang w:val="cy-GB"/>
        </w:rPr>
        <w:t>Tom Sherrington. (2013). </w:t>
      </w:r>
      <w:r w:rsidRPr="00A97F45">
        <w:rPr>
          <w:rFonts w:asciiTheme="minorHAnsi" w:hAnsiTheme="minorHAnsi" w:cstheme="minorHAnsi"/>
          <w:i/>
          <w:iCs/>
          <w:lang w:val="cy-GB"/>
        </w:rPr>
        <w:t>Raising The Bar.</w:t>
      </w:r>
      <w:r w:rsidRPr="00A97F45">
        <w:rPr>
          <w:rFonts w:asciiTheme="minorHAnsi" w:hAnsiTheme="minorHAnsi" w:cstheme="minorHAnsi"/>
          <w:lang w:val="cy-GB"/>
        </w:rPr>
        <w:t> Available: https://teacherhead.com/2013/05/12/raising-the-bar/. Last accessed 23/01/2019.</w:t>
      </w:r>
    </w:p>
    <w:p w14:paraId="4AC8603D" w14:textId="0420CFC4" w:rsidR="00294753" w:rsidRPr="00A97F45" w:rsidRDefault="00294753" w:rsidP="00727D8F">
      <w:pPr>
        <w:spacing w:line="276" w:lineRule="auto"/>
        <w:rPr>
          <w:rFonts w:asciiTheme="minorHAnsi" w:hAnsiTheme="minorHAnsi" w:cstheme="minorHAnsi"/>
          <w:lang w:val="cy-GB"/>
        </w:rPr>
      </w:pPr>
    </w:p>
    <w:p w14:paraId="2622E363" w14:textId="5654F267" w:rsidR="00294753" w:rsidRPr="00A97F45" w:rsidRDefault="00294753" w:rsidP="00727D8F">
      <w:pPr>
        <w:spacing w:line="276" w:lineRule="auto"/>
        <w:rPr>
          <w:rFonts w:asciiTheme="minorHAnsi" w:hAnsiTheme="minorHAnsi" w:cstheme="minorHAnsi"/>
          <w:lang w:val="cy-GB"/>
        </w:rPr>
      </w:pPr>
      <w:r w:rsidRPr="00A97F45">
        <w:rPr>
          <w:rFonts w:asciiTheme="minorHAnsi" w:hAnsiTheme="minorHAnsi" w:cstheme="minorHAnsi"/>
          <w:lang w:val="cy-GB"/>
        </w:rPr>
        <w:t>Tom Sherrington. (2017). </w:t>
      </w:r>
      <w:r w:rsidRPr="00A97F45">
        <w:rPr>
          <w:rFonts w:asciiTheme="minorHAnsi" w:hAnsiTheme="minorHAnsi" w:cstheme="minorHAnsi"/>
          <w:i/>
          <w:iCs/>
          <w:lang w:val="cy-GB"/>
        </w:rPr>
        <w:t>Teaching to the Top: Attitudes and strategies for delivering real challenge.</w:t>
      </w:r>
      <w:r w:rsidR="000E63D3" w:rsidRPr="00A97F45">
        <w:rPr>
          <w:rFonts w:asciiTheme="minorHAnsi" w:hAnsiTheme="minorHAnsi" w:cstheme="minorHAnsi"/>
          <w:i/>
          <w:iCs/>
          <w:lang w:val="cy-GB"/>
        </w:rPr>
        <w:t xml:space="preserve"> </w:t>
      </w:r>
      <w:r w:rsidRPr="00A97F45">
        <w:rPr>
          <w:rFonts w:asciiTheme="minorHAnsi" w:hAnsiTheme="minorHAnsi" w:cstheme="minorHAnsi"/>
          <w:lang w:val="cy-GB"/>
        </w:rPr>
        <w:t>Available: https://teacherhead.com/2013/05/12/raising-the-bar/. Last accessed 23/01/2019.</w:t>
      </w:r>
    </w:p>
    <w:p w14:paraId="2B5C684C" w14:textId="659B1D9D" w:rsidR="000E63D3" w:rsidRPr="00A97F45" w:rsidRDefault="00294753" w:rsidP="00727D8F">
      <w:pPr>
        <w:pStyle w:val="NormalWeb"/>
        <w:spacing w:line="276" w:lineRule="auto"/>
        <w:rPr>
          <w:rFonts w:asciiTheme="minorHAnsi" w:hAnsiTheme="minorHAnsi" w:cstheme="minorHAnsi"/>
          <w:lang w:val="cy-GB"/>
        </w:rPr>
      </w:pPr>
      <w:r w:rsidRPr="00A97F45">
        <w:rPr>
          <w:rFonts w:asciiTheme="minorHAnsi" w:hAnsiTheme="minorHAnsi" w:cstheme="minorHAnsi"/>
          <w:lang w:val="cy-GB"/>
        </w:rPr>
        <w:t xml:space="preserve">Llywodraeth Cymru (2007). A Curriculum for All Learners. </w:t>
      </w:r>
    </w:p>
    <w:p w14:paraId="4887E479" w14:textId="57044C31" w:rsidR="000E63D3" w:rsidRPr="00A97F45" w:rsidRDefault="000E63D3" w:rsidP="00727D8F">
      <w:pPr>
        <w:spacing w:line="276" w:lineRule="auto"/>
        <w:rPr>
          <w:rFonts w:asciiTheme="minorHAnsi" w:hAnsiTheme="minorHAnsi" w:cstheme="minorHAnsi"/>
          <w:lang w:val="cy-GB"/>
        </w:rPr>
      </w:pPr>
      <w:r w:rsidRPr="00A97F45">
        <w:rPr>
          <w:rFonts w:asciiTheme="minorHAnsi" w:hAnsiTheme="minorHAnsi" w:cstheme="minorHAnsi"/>
          <w:lang w:val="cy-GB"/>
        </w:rPr>
        <w:t>David Didau. (2018).</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Differentiation: to do or not to do?.</w:t>
      </w:r>
      <w:r w:rsidRPr="00A97F45">
        <w:rPr>
          <w:rStyle w:val="apple-converted-space"/>
          <w:rFonts w:asciiTheme="minorHAnsi" w:hAnsiTheme="minorHAnsi" w:cstheme="minorHAnsi"/>
          <w:lang w:val="cy-GB"/>
        </w:rPr>
        <w:t> </w:t>
      </w:r>
      <w:r w:rsidRPr="00A97F45">
        <w:rPr>
          <w:rFonts w:asciiTheme="minorHAnsi" w:hAnsiTheme="minorHAnsi" w:cstheme="minorHAnsi"/>
          <w:lang w:val="cy-GB"/>
        </w:rPr>
        <w:t>Available: https://learningspy.co.uk/assessment/differentiation-to-do-or-not-to-do/. Last accessed 23/01/2019.</w:t>
      </w:r>
    </w:p>
    <w:p w14:paraId="5AEBD5F5" w14:textId="77777777" w:rsidR="000E63D3" w:rsidRPr="00A97F45" w:rsidRDefault="000E63D3" w:rsidP="00727D8F">
      <w:pPr>
        <w:spacing w:line="276" w:lineRule="auto"/>
        <w:rPr>
          <w:rFonts w:asciiTheme="minorHAnsi" w:hAnsiTheme="minorHAnsi" w:cstheme="minorHAnsi"/>
          <w:lang w:val="cy-GB"/>
        </w:rPr>
      </w:pPr>
    </w:p>
    <w:p w14:paraId="5EAB493B" w14:textId="247BEFE6" w:rsidR="000E63D3" w:rsidRPr="00A97F45" w:rsidRDefault="000E63D3" w:rsidP="00727D8F">
      <w:pPr>
        <w:spacing w:line="276" w:lineRule="auto"/>
        <w:rPr>
          <w:rFonts w:asciiTheme="minorHAnsi" w:hAnsiTheme="minorHAnsi" w:cstheme="minorHAnsi"/>
          <w:lang w:val="cy-GB"/>
        </w:rPr>
      </w:pPr>
      <w:r w:rsidRPr="00A97F45">
        <w:rPr>
          <w:rFonts w:asciiTheme="minorHAnsi" w:hAnsiTheme="minorHAnsi" w:cstheme="minorHAnsi"/>
          <w:lang w:val="cy-GB"/>
        </w:rPr>
        <w:t>Linda K. Lemasters. (2009). Educational Planning.</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The Journal of the International Society for Educational Planning</w:t>
      </w:r>
      <w:r w:rsidRPr="00A97F45">
        <w:rPr>
          <w:rFonts w:asciiTheme="minorHAnsi" w:hAnsiTheme="minorHAnsi" w:cstheme="minorHAnsi"/>
          <w:lang w:val="cy-GB"/>
        </w:rPr>
        <w:t>. 1 (1).</w:t>
      </w:r>
    </w:p>
    <w:p w14:paraId="41AF0081" w14:textId="4B949BB8" w:rsidR="000E63D3" w:rsidRPr="00A97F45" w:rsidRDefault="000E63D3" w:rsidP="00727D8F">
      <w:pPr>
        <w:spacing w:line="276" w:lineRule="auto"/>
        <w:rPr>
          <w:rFonts w:asciiTheme="minorHAnsi" w:hAnsiTheme="minorHAnsi" w:cstheme="minorHAnsi"/>
          <w:lang w:val="cy-GB"/>
        </w:rPr>
      </w:pPr>
    </w:p>
    <w:p w14:paraId="72F7107F" w14:textId="3237CBBA" w:rsidR="000E63D3" w:rsidRPr="00A97F45" w:rsidRDefault="000E63D3" w:rsidP="00727D8F">
      <w:pPr>
        <w:spacing w:line="276" w:lineRule="auto"/>
        <w:rPr>
          <w:rFonts w:asciiTheme="minorHAnsi" w:hAnsiTheme="minorHAnsi" w:cstheme="minorHAnsi"/>
          <w:lang w:val="cy-GB"/>
        </w:rPr>
      </w:pPr>
      <w:r w:rsidRPr="00A97F45">
        <w:rPr>
          <w:rFonts w:asciiTheme="minorHAnsi" w:hAnsiTheme="minorHAnsi" w:cstheme="minorHAnsi"/>
          <w:lang w:val="cy-GB"/>
        </w:rPr>
        <w:t xml:space="preserve"> Estyn </w:t>
      </w:r>
      <w:r w:rsidR="005B6DB9">
        <w:rPr>
          <w:rFonts w:asciiTheme="minorHAnsi" w:hAnsiTheme="minorHAnsi" w:cstheme="minorHAnsi"/>
          <w:lang w:val="cy-GB"/>
        </w:rPr>
        <w:t xml:space="preserve">(2013), Ysgol X. </w:t>
      </w:r>
    </w:p>
    <w:p w14:paraId="1A0135B7" w14:textId="3B766334" w:rsidR="000E63D3" w:rsidRPr="00A97F45" w:rsidRDefault="000E63D3" w:rsidP="00727D8F">
      <w:pPr>
        <w:spacing w:line="276" w:lineRule="auto"/>
        <w:rPr>
          <w:rFonts w:asciiTheme="minorHAnsi" w:hAnsiTheme="minorHAnsi" w:cstheme="minorHAnsi"/>
          <w:lang w:val="cy-GB"/>
        </w:rPr>
      </w:pPr>
    </w:p>
    <w:p w14:paraId="4C80A0AD" w14:textId="22990A46" w:rsidR="000E63D3" w:rsidRPr="00A97F45" w:rsidRDefault="000E63D3" w:rsidP="00727D8F">
      <w:pPr>
        <w:spacing w:line="276" w:lineRule="auto"/>
        <w:rPr>
          <w:rFonts w:asciiTheme="minorHAnsi" w:hAnsiTheme="minorHAnsi" w:cstheme="minorHAnsi"/>
          <w:lang w:val="cy-GB"/>
        </w:rPr>
      </w:pPr>
      <w:r w:rsidRPr="00A97F45">
        <w:rPr>
          <w:rFonts w:asciiTheme="minorHAnsi" w:hAnsiTheme="minorHAnsi" w:cstheme="minorHAnsi"/>
          <w:lang w:val="cy-GB"/>
        </w:rPr>
        <w:t>Carol Ann Tomlinson (1999).</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The Differentiated Classroom</w:t>
      </w:r>
      <w:r w:rsidRPr="00A97F45">
        <w:rPr>
          <w:rFonts w:asciiTheme="minorHAnsi" w:hAnsiTheme="minorHAnsi" w:cstheme="minorHAnsi"/>
          <w:lang w:val="cy-GB"/>
        </w:rPr>
        <w:t>. America: ASCD.</w:t>
      </w:r>
    </w:p>
    <w:p w14:paraId="47C8A4CC" w14:textId="2069574B" w:rsidR="000E63D3" w:rsidRPr="00A97F45" w:rsidRDefault="000E63D3" w:rsidP="00727D8F">
      <w:pPr>
        <w:spacing w:line="276" w:lineRule="auto"/>
        <w:rPr>
          <w:rFonts w:asciiTheme="minorHAnsi" w:hAnsiTheme="minorHAnsi" w:cstheme="minorHAnsi"/>
          <w:lang w:val="cy-GB"/>
        </w:rPr>
      </w:pPr>
    </w:p>
    <w:p w14:paraId="624419E1" w14:textId="0334DC96" w:rsidR="00727D8F" w:rsidRPr="00A97F45" w:rsidRDefault="00727D8F" w:rsidP="00727D8F">
      <w:pPr>
        <w:spacing w:line="276" w:lineRule="auto"/>
        <w:rPr>
          <w:rFonts w:asciiTheme="minorHAnsi" w:hAnsiTheme="minorHAnsi" w:cstheme="minorHAnsi"/>
          <w:lang w:val="cy-GB"/>
        </w:rPr>
      </w:pPr>
      <w:r w:rsidRPr="00A97F45">
        <w:rPr>
          <w:rFonts w:asciiTheme="minorHAnsi" w:hAnsiTheme="minorHAnsi" w:cstheme="minorHAnsi"/>
          <w:lang w:val="cy-GB"/>
        </w:rPr>
        <w:t>Anne Convery; Do Coyle (1999).</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Differentiation and Individual Learners</w:t>
      </w:r>
      <w:r w:rsidRPr="00A97F45">
        <w:rPr>
          <w:rFonts w:asciiTheme="minorHAnsi" w:hAnsiTheme="minorHAnsi" w:cstheme="minorHAnsi"/>
          <w:lang w:val="cy-GB"/>
        </w:rPr>
        <w:t xml:space="preserve">. London: CILT. </w:t>
      </w:r>
    </w:p>
    <w:p w14:paraId="1DFF285B" w14:textId="60BBF7F0" w:rsidR="00727D8F" w:rsidRPr="00A97F45" w:rsidRDefault="00727D8F" w:rsidP="00727D8F">
      <w:pPr>
        <w:spacing w:line="276" w:lineRule="auto"/>
        <w:rPr>
          <w:rFonts w:asciiTheme="minorHAnsi" w:hAnsiTheme="minorHAnsi" w:cstheme="minorHAnsi"/>
          <w:lang w:val="cy-GB"/>
        </w:rPr>
      </w:pPr>
    </w:p>
    <w:p w14:paraId="66708BE2" w14:textId="2040F1F8" w:rsidR="00727D8F" w:rsidRPr="00A97F45" w:rsidRDefault="00727D8F" w:rsidP="00727D8F">
      <w:pPr>
        <w:spacing w:line="276" w:lineRule="auto"/>
        <w:rPr>
          <w:rFonts w:asciiTheme="minorHAnsi" w:hAnsiTheme="minorHAnsi" w:cstheme="minorHAnsi"/>
          <w:lang w:val="cy-GB"/>
        </w:rPr>
      </w:pPr>
      <w:r w:rsidRPr="00A97F45">
        <w:rPr>
          <w:rFonts w:asciiTheme="minorHAnsi" w:hAnsiTheme="minorHAnsi" w:cstheme="minorHAnsi"/>
          <w:lang w:val="cy-GB"/>
        </w:rPr>
        <w:t>Sylvia McNamara; Gill Moreton (1997).</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Understanding Differentiation</w:t>
      </w:r>
      <w:r w:rsidRPr="00A97F45">
        <w:rPr>
          <w:rFonts w:asciiTheme="minorHAnsi" w:hAnsiTheme="minorHAnsi" w:cstheme="minorHAnsi"/>
          <w:lang w:val="cy-GB"/>
        </w:rPr>
        <w:t>. London: David Fulton Publishers.</w:t>
      </w:r>
    </w:p>
    <w:p w14:paraId="768F83BE" w14:textId="7ABE0941" w:rsidR="00727D8F" w:rsidRPr="00A97F45" w:rsidRDefault="00727D8F" w:rsidP="00727D8F">
      <w:pPr>
        <w:spacing w:line="276" w:lineRule="auto"/>
        <w:rPr>
          <w:rFonts w:asciiTheme="minorHAnsi" w:hAnsiTheme="minorHAnsi" w:cstheme="minorHAnsi"/>
          <w:lang w:val="cy-GB"/>
        </w:rPr>
      </w:pPr>
    </w:p>
    <w:p w14:paraId="61B0A34A" w14:textId="17B0BB28" w:rsidR="00727D8F" w:rsidRPr="00A97F45" w:rsidRDefault="00727D8F" w:rsidP="00727D8F">
      <w:pPr>
        <w:spacing w:line="276" w:lineRule="auto"/>
        <w:rPr>
          <w:rFonts w:asciiTheme="minorHAnsi" w:hAnsiTheme="minorHAnsi" w:cstheme="minorHAnsi"/>
          <w:lang w:val="cy-GB"/>
        </w:rPr>
      </w:pPr>
      <w:r w:rsidRPr="00A97F45">
        <w:rPr>
          <w:rFonts w:asciiTheme="minorHAnsi" w:hAnsiTheme="minorHAnsi" w:cstheme="minorHAnsi"/>
          <w:lang w:val="cy-GB"/>
        </w:rPr>
        <w:t>Chris Dickinson; Julie Wright (1993).</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Differentiation: A Practical Handbook of Classroom Strategies</w:t>
      </w:r>
      <w:r w:rsidRPr="00A97F45">
        <w:rPr>
          <w:rFonts w:asciiTheme="minorHAnsi" w:hAnsiTheme="minorHAnsi" w:cstheme="minorHAnsi"/>
          <w:lang w:val="cy-GB"/>
        </w:rPr>
        <w:t>. Coventry: NCET</w:t>
      </w:r>
      <w:r w:rsidR="0018440C" w:rsidRPr="00A97F45">
        <w:rPr>
          <w:rFonts w:asciiTheme="minorHAnsi" w:hAnsiTheme="minorHAnsi" w:cstheme="minorHAnsi"/>
          <w:lang w:val="cy-GB"/>
        </w:rPr>
        <w:t xml:space="preserve">. </w:t>
      </w:r>
    </w:p>
    <w:p w14:paraId="6775FEEB" w14:textId="507541CC" w:rsidR="00727D8F" w:rsidRPr="00A97F45" w:rsidRDefault="00727D8F" w:rsidP="00727D8F">
      <w:pPr>
        <w:spacing w:line="276" w:lineRule="auto"/>
        <w:rPr>
          <w:rFonts w:asciiTheme="minorHAnsi" w:hAnsiTheme="minorHAnsi" w:cstheme="minorHAnsi"/>
          <w:lang w:val="cy-GB"/>
        </w:rPr>
      </w:pPr>
    </w:p>
    <w:p w14:paraId="74F8A8E6" w14:textId="336719AA" w:rsidR="00F16718" w:rsidRDefault="00727D8F" w:rsidP="00727D8F">
      <w:pPr>
        <w:spacing w:line="276" w:lineRule="auto"/>
        <w:rPr>
          <w:rFonts w:asciiTheme="minorHAnsi" w:hAnsiTheme="minorHAnsi" w:cstheme="minorHAnsi"/>
          <w:lang w:val="cy-GB"/>
        </w:rPr>
      </w:pPr>
      <w:r w:rsidRPr="00A97F45">
        <w:rPr>
          <w:rFonts w:asciiTheme="minorHAnsi" w:hAnsiTheme="minorHAnsi" w:cstheme="minorHAnsi"/>
          <w:lang w:val="cy-GB"/>
        </w:rPr>
        <w:t>Paul Ginnis (2002).</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The Teacher's Toolkit</w:t>
      </w:r>
      <w:r w:rsidRPr="00A97F45">
        <w:rPr>
          <w:rFonts w:asciiTheme="minorHAnsi" w:hAnsiTheme="minorHAnsi" w:cstheme="minorHAnsi"/>
          <w:lang w:val="cy-GB"/>
        </w:rPr>
        <w:t>. Carmarthen: Crown House Publishing Ltd.</w:t>
      </w:r>
    </w:p>
    <w:p w14:paraId="6EAF0C00" w14:textId="3997C3E2" w:rsidR="00F16718" w:rsidRPr="00F16718" w:rsidRDefault="00F16718" w:rsidP="00F16718">
      <w:pPr>
        <w:spacing w:before="100" w:beforeAutospacing="1" w:after="100" w:afterAutospacing="1"/>
        <w:rPr>
          <w:rFonts w:asciiTheme="minorHAnsi" w:hAnsiTheme="minorHAnsi" w:cstheme="minorHAnsi"/>
          <w:color w:val="000000"/>
        </w:rPr>
      </w:pPr>
      <w:r>
        <w:rPr>
          <w:rFonts w:asciiTheme="minorHAnsi" w:hAnsiTheme="minorHAnsi" w:cstheme="minorHAnsi"/>
          <w:color w:val="000000"/>
        </w:rPr>
        <w:t>B Fidler</w:t>
      </w:r>
      <w:r w:rsidRPr="00F16718">
        <w:rPr>
          <w:rFonts w:asciiTheme="minorHAnsi" w:hAnsiTheme="minorHAnsi" w:cstheme="minorHAnsi"/>
          <w:color w:val="000000"/>
        </w:rPr>
        <w:t xml:space="preserve"> (2002) </w:t>
      </w:r>
      <w:r w:rsidRPr="00F16718">
        <w:rPr>
          <w:rFonts w:asciiTheme="minorHAnsi" w:hAnsiTheme="minorHAnsi" w:cstheme="minorHAnsi"/>
          <w:i/>
          <w:color w:val="000000"/>
        </w:rPr>
        <w:t>Strategic Management for School Development</w:t>
      </w:r>
      <w:r>
        <w:rPr>
          <w:rFonts w:asciiTheme="minorHAnsi" w:hAnsiTheme="minorHAnsi" w:cstheme="minorHAnsi"/>
          <w:i/>
          <w:color w:val="000000"/>
        </w:rPr>
        <w:t>.</w:t>
      </w:r>
      <w:r w:rsidRPr="00F16718">
        <w:rPr>
          <w:rFonts w:asciiTheme="minorHAnsi" w:hAnsiTheme="minorHAnsi" w:cstheme="minorHAnsi"/>
          <w:i/>
          <w:color w:val="000000"/>
        </w:rPr>
        <w:t xml:space="preserve"> </w:t>
      </w:r>
      <w:r w:rsidRPr="00F16718">
        <w:rPr>
          <w:rFonts w:asciiTheme="minorHAnsi" w:hAnsiTheme="minorHAnsi" w:cstheme="minorHAnsi"/>
          <w:color w:val="000000"/>
        </w:rPr>
        <w:t>London: Paul Chapman Publishing</w:t>
      </w:r>
      <w:r>
        <w:rPr>
          <w:rFonts w:asciiTheme="minorHAnsi" w:hAnsiTheme="minorHAnsi" w:cstheme="minorHAnsi"/>
          <w:color w:val="000000"/>
        </w:rPr>
        <w:t>.</w:t>
      </w:r>
    </w:p>
    <w:p w14:paraId="260CF25B" w14:textId="77777777" w:rsidR="00F16718" w:rsidRDefault="00F16718" w:rsidP="00727D8F">
      <w:pPr>
        <w:spacing w:line="276" w:lineRule="auto"/>
        <w:rPr>
          <w:rFonts w:asciiTheme="minorHAnsi" w:hAnsiTheme="minorHAnsi" w:cstheme="minorHAnsi"/>
          <w:lang w:val="cy-GB"/>
        </w:rPr>
      </w:pPr>
    </w:p>
    <w:p w14:paraId="004572CD" w14:textId="512EBE65" w:rsidR="00F16718" w:rsidRPr="00F16718" w:rsidRDefault="00F16718" w:rsidP="00727D8F">
      <w:pPr>
        <w:spacing w:line="276" w:lineRule="auto"/>
        <w:rPr>
          <w:rFonts w:asciiTheme="minorHAnsi" w:hAnsiTheme="minorHAnsi" w:cstheme="minorHAnsi"/>
          <w:u w:val="single"/>
          <w:lang w:val="cy-GB"/>
        </w:rPr>
      </w:pPr>
      <w:bookmarkStart w:id="0" w:name="_GoBack"/>
      <w:bookmarkEnd w:id="0"/>
      <w:r w:rsidRPr="00F16718">
        <w:rPr>
          <w:rFonts w:asciiTheme="minorHAnsi" w:hAnsiTheme="minorHAnsi" w:cstheme="minorHAnsi"/>
          <w:u w:val="single"/>
          <w:lang w:val="cy-GB"/>
        </w:rPr>
        <w:t>Atodiadau:</w:t>
      </w:r>
    </w:p>
    <w:p w14:paraId="43EBC0E3" w14:textId="46538BF2" w:rsidR="00F16718" w:rsidRDefault="00F16718" w:rsidP="00727D8F">
      <w:pPr>
        <w:spacing w:line="276" w:lineRule="auto"/>
        <w:rPr>
          <w:rFonts w:asciiTheme="minorHAnsi" w:hAnsiTheme="minorHAnsi" w:cstheme="minorHAnsi"/>
          <w:lang w:val="cy-GB"/>
        </w:rPr>
      </w:pPr>
    </w:p>
    <w:p w14:paraId="7FB81C47" w14:textId="2067D180" w:rsidR="00F16718" w:rsidRDefault="00F16718" w:rsidP="00727D8F">
      <w:pPr>
        <w:spacing w:line="276" w:lineRule="auto"/>
        <w:rPr>
          <w:rFonts w:asciiTheme="minorHAnsi" w:hAnsiTheme="minorHAnsi" w:cstheme="minorHAnsi"/>
          <w:lang w:val="cy-GB"/>
        </w:rPr>
      </w:pPr>
      <w:r>
        <w:rPr>
          <w:rFonts w:asciiTheme="minorHAnsi" w:hAnsiTheme="minorHAnsi" w:cstheme="minorHAnsi"/>
          <w:lang w:val="cy-GB"/>
        </w:rPr>
        <w:t>Atodiad 1 – Cynllun Gwella’r Ysgol (2018)</w:t>
      </w:r>
    </w:p>
    <w:p w14:paraId="0CEB2D26" w14:textId="352FCC5E" w:rsidR="00F16718" w:rsidRDefault="00F16718" w:rsidP="00727D8F">
      <w:pPr>
        <w:spacing w:line="276" w:lineRule="auto"/>
        <w:rPr>
          <w:rFonts w:asciiTheme="minorHAnsi" w:hAnsiTheme="minorHAnsi" w:cstheme="minorHAnsi"/>
          <w:lang w:val="cy-GB"/>
        </w:rPr>
      </w:pPr>
    </w:p>
    <w:p w14:paraId="05C00985" w14:textId="174B00B7" w:rsidR="00F16718" w:rsidRPr="00A97F45" w:rsidRDefault="00F16718" w:rsidP="00727D8F">
      <w:pPr>
        <w:spacing w:line="276" w:lineRule="auto"/>
        <w:rPr>
          <w:rFonts w:asciiTheme="minorHAnsi" w:hAnsiTheme="minorHAnsi" w:cstheme="minorHAnsi"/>
          <w:lang w:val="cy-GB"/>
        </w:rPr>
      </w:pPr>
      <w:r>
        <w:rPr>
          <w:rFonts w:asciiTheme="minorHAnsi" w:hAnsiTheme="minorHAnsi" w:cstheme="minorHAnsi"/>
          <w:lang w:val="cy-GB"/>
        </w:rPr>
        <w:t>Atodiad 2 – Cynllun Gwella’r Adran (2018)</w:t>
      </w:r>
    </w:p>
    <w:p w14:paraId="3D6A08E0" w14:textId="77777777" w:rsidR="00727D8F" w:rsidRPr="00A97F45" w:rsidRDefault="00727D8F" w:rsidP="00727D8F">
      <w:pPr>
        <w:rPr>
          <w:rFonts w:asciiTheme="minorHAnsi" w:hAnsiTheme="minorHAnsi" w:cstheme="minorHAnsi"/>
          <w:lang w:val="cy-GB"/>
        </w:rPr>
      </w:pPr>
    </w:p>
    <w:p w14:paraId="26238A9B" w14:textId="77777777" w:rsidR="00727D8F" w:rsidRPr="00A97F45" w:rsidRDefault="00727D8F" w:rsidP="00727D8F">
      <w:pPr>
        <w:rPr>
          <w:rFonts w:asciiTheme="minorHAnsi" w:hAnsiTheme="minorHAnsi" w:cstheme="minorHAnsi"/>
          <w:lang w:val="cy-GB"/>
        </w:rPr>
      </w:pPr>
    </w:p>
    <w:p w14:paraId="04469983" w14:textId="77777777" w:rsidR="00727D8F" w:rsidRPr="00A97F45" w:rsidRDefault="00727D8F" w:rsidP="000E63D3">
      <w:pPr>
        <w:rPr>
          <w:rFonts w:asciiTheme="minorHAnsi" w:hAnsiTheme="minorHAnsi" w:cstheme="minorHAnsi"/>
          <w:sz w:val="20"/>
          <w:szCs w:val="20"/>
          <w:lang w:val="cy-GB"/>
        </w:rPr>
      </w:pPr>
    </w:p>
    <w:p w14:paraId="0ACC0B85" w14:textId="77777777" w:rsidR="000E63D3" w:rsidRPr="00A97F45" w:rsidRDefault="000E63D3" w:rsidP="00294753">
      <w:pPr>
        <w:pStyle w:val="NormalWeb"/>
        <w:rPr>
          <w:rFonts w:asciiTheme="minorHAnsi" w:hAnsiTheme="minorHAnsi" w:cstheme="minorHAnsi"/>
          <w:lang w:val="cy-GB"/>
        </w:rPr>
      </w:pPr>
    </w:p>
    <w:p w14:paraId="43CBF698" w14:textId="77777777" w:rsidR="00294753" w:rsidRPr="00A97F45" w:rsidRDefault="00294753" w:rsidP="00294753">
      <w:pPr>
        <w:rPr>
          <w:rFonts w:asciiTheme="minorHAnsi" w:hAnsiTheme="minorHAnsi" w:cstheme="minorHAnsi"/>
          <w:lang w:val="cy-GB"/>
        </w:rPr>
      </w:pPr>
    </w:p>
    <w:p w14:paraId="2BA64430" w14:textId="77777777" w:rsidR="00294753" w:rsidRPr="00A97F45" w:rsidRDefault="00294753" w:rsidP="00294753">
      <w:pPr>
        <w:rPr>
          <w:rFonts w:asciiTheme="minorHAnsi" w:hAnsiTheme="minorHAnsi" w:cstheme="minorHAnsi"/>
          <w:lang w:val="cy-GB"/>
        </w:rPr>
      </w:pPr>
    </w:p>
    <w:p w14:paraId="2F7563CB" w14:textId="77777777" w:rsidR="00294753" w:rsidRPr="00A97F45" w:rsidRDefault="00294753" w:rsidP="00294753">
      <w:pPr>
        <w:rPr>
          <w:rFonts w:asciiTheme="minorHAnsi" w:hAnsiTheme="minorHAnsi" w:cstheme="minorHAnsi"/>
          <w:lang w:val="cy-GB"/>
        </w:rPr>
      </w:pPr>
    </w:p>
    <w:p w14:paraId="2E31C214" w14:textId="77777777" w:rsidR="00294753" w:rsidRPr="00A97F45" w:rsidRDefault="00294753" w:rsidP="004057F9">
      <w:pPr>
        <w:pStyle w:val="NormalWeb"/>
        <w:rPr>
          <w:rFonts w:asciiTheme="minorHAnsi" w:hAnsiTheme="minorHAnsi" w:cstheme="minorHAnsi"/>
          <w:lang w:val="cy-GB"/>
        </w:rPr>
      </w:pPr>
    </w:p>
    <w:p w14:paraId="1E6B6B71" w14:textId="1B907828" w:rsidR="004057F9" w:rsidRPr="00A97F45" w:rsidRDefault="004057F9" w:rsidP="004057F9">
      <w:pPr>
        <w:spacing w:before="100" w:beforeAutospacing="1" w:after="100" w:afterAutospacing="1"/>
        <w:rPr>
          <w:rFonts w:asciiTheme="minorHAnsi" w:hAnsiTheme="minorHAnsi" w:cstheme="minorHAnsi"/>
          <w:sz w:val="20"/>
          <w:szCs w:val="20"/>
          <w:lang w:val="cy-GB"/>
        </w:rPr>
      </w:pPr>
    </w:p>
    <w:p w14:paraId="03BE378B" w14:textId="77777777" w:rsidR="004057F9" w:rsidRPr="00A97F45" w:rsidRDefault="004057F9" w:rsidP="004057F9">
      <w:pPr>
        <w:rPr>
          <w:rFonts w:asciiTheme="minorHAnsi" w:hAnsiTheme="minorHAnsi" w:cstheme="minorHAnsi"/>
          <w:lang w:val="cy-GB"/>
        </w:rPr>
      </w:pPr>
    </w:p>
    <w:p w14:paraId="5FB1C52A" w14:textId="77777777" w:rsidR="004057F9" w:rsidRPr="00A97F45" w:rsidRDefault="004057F9" w:rsidP="004057F9">
      <w:pPr>
        <w:rPr>
          <w:rFonts w:asciiTheme="minorHAnsi" w:hAnsiTheme="minorHAnsi" w:cstheme="minorHAnsi"/>
          <w:lang w:val="cy-GB"/>
        </w:rPr>
      </w:pPr>
    </w:p>
    <w:p w14:paraId="24313102" w14:textId="77777777" w:rsidR="004057F9" w:rsidRPr="00A97F45" w:rsidRDefault="004057F9" w:rsidP="00872CAF">
      <w:pPr>
        <w:spacing w:line="276" w:lineRule="auto"/>
        <w:ind w:firstLine="360"/>
        <w:rPr>
          <w:rFonts w:asciiTheme="minorHAnsi" w:hAnsiTheme="minorHAnsi" w:cstheme="minorHAnsi"/>
          <w:lang w:val="cy-GB"/>
        </w:rPr>
      </w:pPr>
    </w:p>
    <w:sectPr w:rsidR="004057F9" w:rsidRPr="00A97F45" w:rsidSect="006A3C4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C66F0"/>
    <w:multiLevelType w:val="hybridMultilevel"/>
    <w:tmpl w:val="AB2E8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4A0255"/>
    <w:multiLevelType w:val="hybridMultilevel"/>
    <w:tmpl w:val="6E5A0C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7CD7"/>
    <w:rsid w:val="00041D32"/>
    <w:rsid w:val="00042FED"/>
    <w:rsid w:val="00077D0C"/>
    <w:rsid w:val="000E63D3"/>
    <w:rsid w:val="001457C3"/>
    <w:rsid w:val="001552B1"/>
    <w:rsid w:val="00155DF8"/>
    <w:rsid w:val="0018440C"/>
    <w:rsid w:val="001B35E2"/>
    <w:rsid w:val="001C1AD4"/>
    <w:rsid w:val="00294753"/>
    <w:rsid w:val="002A572E"/>
    <w:rsid w:val="002B2E8D"/>
    <w:rsid w:val="002D0A21"/>
    <w:rsid w:val="00304690"/>
    <w:rsid w:val="003357D7"/>
    <w:rsid w:val="003B0E3E"/>
    <w:rsid w:val="004057F9"/>
    <w:rsid w:val="0043251B"/>
    <w:rsid w:val="00442F98"/>
    <w:rsid w:val="004D036E"/>
    <w:rsid w:val="004E2954"/>
    <w:rsid w:val="0052314F"/>
    <w:rsid w:val="005379FB"/>
    <w:rsid w:val="005B6DB9"/>
    <w:rsid w:val="005C372A"/>
    <w:rsid w:val="005C64C1"/>
    <w:rsid w:val="00674894"/>
    <w:rsid w:val="00680655"/>
    <w:rsid w:val="006A3C45"/>
    <w:rsid w:val="00706B35"/>
    <w:rsid w:val="00727D8F"/>
    <w:rsid w:val="00784EDA"/>
    <w:rsid w:val="007A4B6A"/>
    <w:rsid w:val="007B7CD7"/>
    <w:rsid w:val="00816690"/>
    <w:rsid w:val="00872CAF"/>
    <w:rsid w:val="00882DB0"/>
    <w:rsid w:val="008E143B"/>
    <w:rsid w:val="00952088"/>
    <w:rsid w:val="009A12F4"/>
    <w:rsid w:val="009A2E01"/>
    <w:rsid w:val="009A43E3"/>
    <w:rsid w:val="00A70597"/>
    <w:rsid w:val="00A80B7D"/>
    <w:rsid w:val="00A97F45"/>
    <w:rsid w:val="00AE4DCD"/>
    <w:rsid w:val="00AE57DD"/>
    <w:rsid w:val="00B61F06"/>
    <w:rsid w:val="00B673A4"/>
    <w:rsid w:val="00B8557D"/>
    <w:rsid w:val="00B92732"/>
    <w:rsid w:val="00BF261C"/>
    <w:rsid w:val="00CB4864"/>
    <w:rsid w:val="00CC5673"/>
    <w:rsid w:val="00D84522"/>
    <w:rsid w:val="00DE318D"/>
    <w:rsid w:val="00E30734"/>
    <w:rsid w:val="00E94465"/>
    <w:rsid w:val="00EB0A49"/>
    <w:rsid w:val="00EC1D24"/>
    <w:rsid w:val="00EC76B3"/>
    <w:rsid w:val="00EE1EE1"/>
    <w:rsid w:val="00EE7136"/>
    <w:rsid w:val="00F16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591C7"/>
  <w15:chartTrackingRefBased/>
  <w15:docId w15:val="{54D1E5D6-9B5C-CE41-99B9-445555722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63D3"/>
    <w:rPr>
      <w:rFonts w:ascii="Times New Roman" w:eastAsia="Times New Roman" w:hAnsi="Times New Roman" w:cs="Times New Roman"/>
    </w:rPr>
  </w:style>
  <w:style w:type="paragraph" w:styleId="Heading2">
    <w:name w:val="heading 2"/>
    <w:basedOn w:val="Normal"/>
    <w:next w:val="Normal"/>
    <w:link w:val="Heading2Char"/>
    <w:qFormat/>
    <w:rsid w:val="005B6DB9"/>
    <w:pPr>
      <w:keepNext/>
      <w:jc w:val="both"/>
      <w:outlineLvl w:val="1"/>
    </w:pPr>
    <w:rPr>
      <w:b/>
      <w:szCs w:val="20"/>
      <w:lang w:eastAsia="en-GB"/>
    </w:rPr>
  </w:style>
  <w:style w:type="paragraph" w:styleId="Heading4">
    <w:name w:val="heading 4"/>
    <w:basedOn w:val="Normal"/>
    <w:next w:val="Normal"/>
    <w:link w:val="Heading4Char"/>
    <w:qFormat/>
    <w:rsid w:val="005B6DB9"/>
    <w:pPr>
      <w:keepNext/>
      <w:spacing w:before="120" w:after="120"/>
      <w:jc w:val="center"/>
      <w:outlineLvl w:val="3"/>
    </w:pPr>
    <w:rPr>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2314F"/>
    <w:pPr>
      <w:spacing w:before="100" w:beforeAutospacing="1" w:after="100" w:afterAutospacing="1"/>
    </w:pPr>
  </w:style>
  <w:style w:type="paragraph" w:styleId="ListParagraph">
    <w:name w:val="List Paragraph"/>
    <w:basedOn w:val="Normal"/>
    <w:uiPriority w:val="34"/>
    <w:qFormat/>
    <w:rsid w:val="00952088"/>
    <w:pPr>
      <w:ind w:left="720"/>
      <w:contextualSpacing/>
    </w:pPr>
    <w:rPr>
      <w:rFonts w:asciiTheme="minorHAnsi" w:eastAsiaTheme="minorHAnsi" w:hAnsiTheme="minorHAnsi" w:cstheme="minorBidi"/>
      <w:lang w:val="cy-GB"/>
    </w:rPr>
  </w:style>
  <w:style w:type="character" w:styleId="CommentReference">
    <w:name w:val="annotation reference"/>
    <w:basedOn w:val="DefaultParagraphFont"/>
    <w:uiPriority w:val="99"/>
    <w:semiHidden/>
    <w:unhideWhenUsed/>
    <w:rsid w:val="00EE7136"/>
    <w:rPr>
      <w:sz w:val="16"/>
      <w:szCs w:val="16"/>
    </w:rPr>
  </w:style>
  <w:style w:type="paragraph" w:styleId="CommentText">
    <w:name w:val="annotation text"/>
    <w:basedOn w:val="Normal"/>
    <w:link w:val="CommentTextChar"/>
    <w:uiPriority w:val="99"/>
    <w:semiHidden/>
    <w:unhideWhenUsed/>
    <w:rsid w:val="00EE7136"/>
    <w:rPr>
      <w:rFonts w:asciiTheme="minorHAnsi" w:eastAsiaTheme="minorHAnsi" w:hAnsiTheme="minorHAnsi" w:cstheme="minorBidi"/>
      <w:sz w:val="20"/>
      <w:szCs w:val="20"/>
      <w:lang w:val="cy-GB"/>
    </w:rPr>
  </w:style>
  <w:style w:type="character" w:customStyle="1" w:styleId="CommentTextChar">
    <w:name w:val="Comment Text Char"/>
    <w:basedOn w:val="DefaultParagraphFont"/>
    <w:link w:val="CommentText"/>
    <w:uiPriority w:val="99"/>
    <w:semiHidden/>
    <w:rsid w:val="00EE7136"/>
    <w:rPr>
      <w:sz w:val="20"/>
      <w:szCs w:val="20"/>
      <w:lang w:val="cy-GB"/>
    </w:rPr>
  </w:style>
  <w:style w:type="paragraph" w:styleId="CommentSubject">
    <w:name w:val="annotation subject"/>
    <w:basedOn w:val="CommentText"/>
    <w:next w:val="CommentText"/>
    <w:link w:val="CommentSubjectChar"/>
    <w:uiPriority w:val="99"/>
    <w:semiHidden/>
    <w:unhideWhenUsed/>
    <w:rsid w:val="00EE7136"/>
    <w:rPr>
      <w:b/>
      <w:bCs/>
    </w:rPr>
  </w:style>
  <w:style w:type="character" w:customStyle="1" w:styleId="CommentSubjectChar">
    <w:name w:val="Comment Subject Char"/>
    <w:basedOn w:val="CommentTextChar"/>
    <w:link w:val="CommentSubject"/>
    <w:uiPriority w:val="99"/>
    <w:semiHidden/>
    <w:rsid w:val="00EE7136"/>
    <w:rPr>
      <w:b/>
      <w:bCs/>
      <w:sz w:val="20"/>
      <w:szCs w:val="20"/>
      <w:lang w:val="cy-GB"/>
    </w:rPr>
  </w:style>
  <w:style w:type="paragraph" w:styleId="BalloonText">
    <w:name w:val="Balloon Text"/>
    <w:basedOn w:val="Normal"/>
    <w:link w:val="BalloonTextChar"/>
    <w:uiPriority w:val="99"/>
    <w:semiHidden/>
    <w:unhideWhenUsed/>
    <w:rsid w:val="00EE7136"/>
    <w:rPr>
      <w:rFonts w:eastAsiaTheme="minorHAnsi"/>
      <w:sz w:val="18"/>
      <w:szCs w:val="18"/>
      <w:lang w:val="cy-GB"/>
    </w:rPr>
  </w:style>
  <w:style w:type="character" w:customStyle="1" w:styleId="BalloonTextChar">
    <w:name w:val="Balloon Text Char"/>
    <w:basedOn w:val="DefaultParagraphFont"/>
    <w:link w:val="BalloonText"/>
    <w:uiPriority w:val="99"/>
    <w:semiHidden/>
    <w:rsid w:val="00EE7136"/>
    <w:rPr>
      <w:rFonts w:ascii="Times New Roman" w:hAnsi="Times New Roman" w:cs="Times New Roman"/>
      <w:sz w:val="18"/>
      <w:szCs w:val="18"/>
      <w:lang w:val="cy-GB"/>
    </w:rPr>
  </w:style>
  <w:style w:type="character" w:styleId="SubtleEmphasis">
    <w:name w:val="Subtle Emphasis"/>
    <w:basedOn w:val="DefaultParagraphFont"/>
    <w:uiPriority w:val="19"/>
    <w:qFormat/>
    <w:rsid w:val="00B673A4"/>
    <w:rPr>
      <w:i/>
      <w:iCs/>
      <w:color w:val="404040" w:themeColor="text1" w:themeTint="BF"/>
    </w:rPr>
  </w:style>
  <w:style w:type="character" w:customStyle="1" w:styleId="apple-converted-space">
    <w:name w:val="apple-converted-space"/>
    <w:basedOn w:val="DefaultParagraphFont"/>
    <w:rsid w:val="004057F9"/>
  </w:style>
  <w:style w:type="character" w:styleId="Hyperlink">
    <w:name w:val="Hyperlink"/>
    <w:basedOn w:val="DefaultParagraphFont"/>
    <w:uiPriority w:val="99"/>
    <w:unhideWhenUsed/>
    <w:rsid w:val="004057F9"/>
    <w:rPr>
      <w:color w:val="0563C1" w:themeColor="hyperlink"/>
      <w:u w:val="single"/>
    </w:rPr>
  </w:style>
  <w:style w:type="character" w:customStyle="1" w:styleId="UnresolvedMention1">
    <w:name w:val="Unresolved Mention1"/>
    <w:basedOn w:val="DefaultParagraphFont"/>
    <w:uiPriority w:val="99"/>
    <w:semiHidden/>
    <w:unhideWhenUsed/>
    <w:rsid w:val="004057F9"/>
    <w:rPr>
      <w:color w:val="605E5C"/>
      <w:shd w:val="clear" w:color="auto" w:fill="E1DFDD"/>
    </w:rPr>
  </w:style>
  <w:style w:type="character" w:customStyle="1" w:styleId="Heading2Char">
    <w:name w:val="Heading 2 Char"/>
    <w:basedOn w:val="DefaultParagraphFont"/>
    <w:link w:val="Heading2"/>
    <w:rsid w:val="005B6DB9"/>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5B6DB9"/>
    <w:rPr>
      <w:rFonts w:ascii="Times New Roman" w:eastAsia="Times New Roman" w:hAnsi="Times New Roman" w:cs="Times New Roman"/>
      <w:sz w:val="40"/>
      <w:szCs w:val="20"/>
      <w:lang w:eastAsia="en-GB"/>
    </w:rPr>
  </w:style>
  <w:style w:type="paragraph" w:styleId="Header">
    <w:name w:val="header"/>
    <w:basedOn w:val="Normal"/>
    <w:link w:val="HeaderChar"/>
    <w:rsid w:val="005B6DB9"/>
    <w:pPr>
      <w:tabs>
        <w:tab w:val="center" w:pos="4153"/>
        <w:tab w:val="right" w:pos="8306"/>
      </w:tabs>
    </w:pPr>
    <w:rPr>
      <w:sz w:val="20"/>
      <w:szCs w:val="20"/>
      <w:lang w:eastAsia="en-GB"/>
    </w:rPr>
  </w:style>
  <w:style w:type="character" w:customStyle="1" w:styleId="HeaderChar">
    <w:name w:val="Header Char"/>
    <w:basedOn w:val="DefaultParagraphFont"/>
    <w:link w:val="Header"/>
    <w:rsid w:val="005B6DB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28034">
      <w:bodyDiv w:val="1"/>
      <w:marLeft w:val="0"/>
      <w:marRight w:val="0"/>
      <w:marTop w:val="0"/>
      <w:marBottom w:val="0"/>
      <w:divBdr>
        <w:top w:val="none" w:sz="0" w:space="0" w:color="auto"/>
        <w:left w:val="none" w:sz="0" w:space="0" w:color="auto"/>
        <w:bottom w:val="none" w:sz="0" w:space="0" w:color="auto"/>
        <w:right w:val="none" w:sz="0" w:space="0" w:color="auto"/>
      </w:divBdr>
    </w:div>
    <w:div w:id="100956173">
      <w:bodyDiv w:val="1"/>
      <w:marLeft w:val="0"/>
      <w:marRight w:val="0"/>
      <w:marTop w:val="0"/>
      <w:marBottom w:val="0"/>
      <w:divBdr>
        <w:top w:val="none" w:sz="0" w:space="0" w:color="auto"/>
        <w:left w:val="none" w:sz="0" w:space="0" w:color="auto"/>
        <w:bottom w:val="none" w:sz="0" w:space="0" w:color="auto"/>
        <w:right w:val="none" w:sz="0" w:space="0" w:color="auto"/>
      </w:divBdr>
    </w:div>
    <w:div w:id="220096818">
      <w:bodyDiv w:val="1"/>
      <w:marLeft w:val="0"/>
      <w:marRight w:val="0"/>
      <w:marTop w:val="0"/>
      <w:marBottom w:val="0"/>
      <w:divBdr>
        <w:top w:val="none" w:sz="0" w:space="0" w:color="auto"/>
        <w:left w:val="none" w:sz="0" w:space="0" w:color="auto"/>
        <w:bottom w:val="none" w:sz="0" w:space="0" w:color="auto"/>
        <w:right w:val="none" w:sz="0" w:space="0" w:color="auto"/>
      </w:divBdr>
    </w:div>
    <w:div w:id="220484251">
      <w:bodyDiv w:val="1"/>
      <w:marLeft w:val="0"/>
      <w:marRight w:val="0"/>
      <w:marTop w:val="0"/>
      <w:marBottom w:val="0"/>
      <w:divBdr>
        <w:top w:val="none" w:sz="0" w:space="0" w:color="auto"/>
        <w:left w:val="none" w:sz="0" w:space="0" w:color="auto"/>
        <w:bottom w:val="none" w:sz="0" w:space="0" w:color="auto"/>
        <w:right w:val="none" w:sz="0" w:space="0" w:color="auto"/>
      </w:divBdr>
    </w:div>
    <w:div w:id="419907059">
      <w:bodyDiv w:val="1"/>
      <w:marLeft w:val="0"/>
      <w:marRight w:val="0"/>
      <w:marTop w:val="0"/>
      <w:marBottom w:val="0"/>
      <w:divBdr>
        <w:top w:val="none" w:sz="0" w:space="0" w:color="auto"/>
        <w:left w:val="none" w:sz="0" w:space="0" w:color="auto"/>
        <w:bottom w:val="none" w:sz="0" w:space="0" w:color="auto"/>
        <w:right w:val="none" w:sz="0" w:space="0" w:color="auto"/>
      </w:divBdr>
    </w:div>
    <w:div w:id="473570798">
      <w:bodyDiv w:val="1"/>
      <w:marLeft w:val="0"/>
      <w:marRight w:val="0"/>
      <w:marTop w:val="0"/>
      <w:marBottom w:val="0"/>
      <w:divBdr>
        <w:top w:val="none" w:sz="0" w:space="0" w:color="auto"/>
        <w:left w:val="none" w:sz="0" w:space="0" w:color="auto"/>
        <w:bottom w:val="none" w:sz="0" w:space="0" w:color="auto"/>
        <w:right w:val="none" w:sz="0" w:space="0" w:color="auto"/>
      </w:divBdr>
    </w:div>
    <w:div w:id="557401790">
      <w:bodyDiv w:val="1"/>
      <w:marLeft w:val="0"/>
      <w:marRight w:val="0"/>
      <w:marTop w:val="0"/>
      <w:marBottom w:val="0"/>
      <w:divBdr>
        <w:top w:val="none" w:sz="0" w:space="0" w:color="auto"/>
        <w:left w:val="none" w:sz="0" w:space="0" w:color="auto"/>
        <w:bottom w:val="none" w:sz="0" w:space="0" w:color="auto"/>
        <w:right w:val="none" w:sz="0" w:space="0" w:color="auto"/>
      </w:divBdr>
    </w:div>
    <w:div w:id="610094104">
      <w:bodyDiv w:val="1"/>
      <w:marLeft w:val="0"/>
      <w:marRight w:val="0"/>
      <w:marTop w:val="0"/>
      <w:marBottom w:val="0"/>
      <w:divBdr>
        <w:top w:val="none" w:sz="0" w:space="0" w:color="auto"/>
        <w:left w:val="none" w:sz="0" w:space="0" w:color="auto"/>
        <w:bottom w:val="none" w:sz="0" w:space="0" w:color="auto"/>
        <w:right w:val="none" w:sz="0" w:space="0" w:color="auto"/>
      </w:divBdr>
    </w:div>
    <w:div w:id="619999407">
      <w:bodyDiv w:val="1"/>
      <w:marLeft w:val="0"/>
      <w:marRight w:val="0"/>
      <w:marTop w:val="0"/>
      <w:marBottom w:val="0"/>
      <w:divBdr>
        <w:top w:val="none" w:sz="0" w:space="0" w:color="auto"/>
        <w:left w:val="none" w:sz="0" w:space="0" w:color="auto"/>
        <w:bottom w:val="none" w:sz="0" w:space="0" w:color="auto"/>
        <w:right w:val="none" w:sz="0" w:space="0" w:color="auto"/>
      </w:divBdr>
    </w:div>
    <w:div w:id="702679133">
      <w:bodyDiv w:val="1"/>
      <w:marLeft w:val="0"/>
      <w:marRight w:val="0"/>
      <w:marTop w:val="0"/>
      <w:marBottom w:val="0"/>
      <w:divBdr>
        <w:top w:val="none" w:sz="0" w:space="0" w:color="auto"/>
        <w:left w:val="none" w:sz="0" w:space="0" w:color="auto"/>
        <w:bottom w:val="none" w:sz="0" w:space="0" w:color="auto"/>
        <w:right w:val="none" w:sz="0" w:space="0" w:color="auto"/>
      </w:divBdr>
    </w:div>
    <w:div w:id="1024094046">
      <w:bodyDiv w:val="1"/>
      <w:marLeft w:val="0"/>
      <w:marRight w:val="0"/>
      <w:marTop w:val="0"/>
      <w:marBottom w:val="0"/>
      <w:divBdr>
        <w:top w:val="none" w:sz="0" w:space="0" w:color="auto"/>
        <w:left w:val="none" w:sz="0" w:space="0" w:color="auto"/>
        <w:bottom w:val="none" w:sz="0" w:space="0" w:color="auto"/>
        <w:right w:val="none" w:sz="0" w:space="0" w:color="auto"/>
      </w:divBdr>
    </w:div>
    <w:div w:id="1220483439">
      <w:bodyDiv w:val="1"/>
      <w:marLeft w:val="0"/>
      <w:marRight w:val="0"/>
      <w:marTop w:val="0"/>
      <w:marBottom w:val="0"/>
      <w:divBdr>
        <w:top w:val="none" w:sz="0" w:space="0" w:color="auto"/>
        <w:left w:val="none" w:sz="0" w:space="0" w:color="auto"/>
        <w:bottom w:val="none" w:sz="0" w:space="0" w:color="auto"/>
        <w:right w:val="none" w:sz="0" w:space="0" w:color="auto"/>
      </w:divBdr>
      <w:divsChild>
        <w:div w:id="461311215">
          <w:marLeft w:val="0"/>
          <w:marRight w:val="0"/>
          <w:marTop w:val="0"/>
          <w:marBottom w:val="0"/>
          <w:divBdr>
            <w:top w:val="none" w:sz="0" w:space="0" w:color="auto"/>
            <w:left w:val="none" w:sz="0" w:space="0" w:color="auto"/>
            <w:bottom w:val="none" w:sz="0" w:space="0" w:color="auto"/>
            <w:right w:val="none" w:sz="0" w:space="0" w:color="auto"/>
          </w:divBdr>
          <w:divsChild>
            <w:div w:id="1132752137">
              <w:marLeft w:val="0"/>
              <w:marRight w:val="0"/>
              <w:marTop w:val="0"/>
              <w:marBottom w:val="0"/>
              <w:divBdr>
                <w:top w:val="none" w:sz="0" w:space="0" w:color="auto"/>
                <w:left w:val="none" w:sz="0" w:space="0" w:color="auto"/>
                <w:bottom w:val="none" w:sz="0" w:space="0" w:color="auto"/>
                <w:right w:val="none" w:sz="0" w:space="0" w:color="auto"/>
              </w:divBdr>
              <w:divsChild>
                <w:div w:id="194491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348768">
      <w:bodyDiv w:val="1"/>
      <w:marLeft w:val="0"/>
      <w:marRight w:val="0"/>
      <w:marTop w:val="0"/>
      <w:marBottom w:val="0"/>
      <w:divBdr>
        <w:top w:val="none" w:sz="0" w:space="0" w:color="auto"/>
        <w:left w:val="none" w:sz="0" w:space="0" w:color="auto"/>
        <w:bottom w:val="none" w:sz="0" w:space="0" w:color="auto"/>
        <w:right w:val="none" w:sz="0" w:space="0" w:color="auto"/>
      </w:divBdr>
    </w:div>
    <w:div w:id="1514494742">
      <w:bodyDiv w:val="1"/>
      <w:marLeft w:val="0"/>
      <w:marRight w:val="0"/>
      <w:marTop w:val="0"/>
      <w:marBottom w:val="0"/>
      <w:divBdr>
        <w:top w:val="none" w:sz="0" w:space="0" w:color="auto"/>
        <w:left w:val="none" w:sz="0" w:space="0" w:color="auto"/>
        <w:bottom w:val="none" w:sz="0" w:space="0" w:color="auto"/>
        <w:right w:val="none" w:sz="0" w:space="0" w:color="auto"/>
      </w:divBdr>
    </w:div>
    <w:div w:id="1650284797">
      <w:bodyDiv w:val="1"/>
      <w:marLeft w:val="0"/>
      <w:marRight w:val="0"/>
      <w:marTop w:val="0"/>
      <w:marBottom w:val="0"/>
      <w:divBdr>
        <w:top w:val="none" w:sz="0" w:space="0" w:color="auto"/>
        <w:left w:val="none" w:sz="0" w:space="0" w:color="auto"/>
        <w:bottom w:val="none" w:sz="0" w:space="0" w:color="auto"/>
        <w:right w:val="none" w:sz="0" w:space="0" w:color="auto"/>
      </w:divBdr>
    </w:div>
    <w:div w:id="1733773313">
      <w:bodyDiv w:val="1"/>
      <w:marLeft w:val="0"/>
      <w:marRight w:val="0"/>
      <w:marTop w:val="0"/>
      <w:marBottom w:val="0"/>
      <w:divBdr>
        <w:top w:val="none" w:sz="0" w:space="0" w:color="auto"/>
        <w:left w:val="none" w:sz="0" w:space="0" w:color="auto"/>
        <w:bottom w:val="none" w:sz="0" w:space="0" w:color="auto"/>
        <w:right w:val="none" w:sz="0" w:space="0" w:color="auto"/>
      </w:divBdr>
    </w:div>
    <w:div w:id="1787963662">
      <w:bodyDiv w:val="1"/>
      <w:marLeft w:val="0"/>
      <w:marRight w:val="0"/>
      <w:marTop w:val="0"/>
      <w:marBottom w:val="0"/>
      <w:divBdr>
        <w:top w:val="none" w:sz="0" w:space="0" w:color="auto"/>
        <w:left w:val="none" w:sz="0" w:space="0" w:color="auto"/>
        <w:bottom w:val="none" w:sz="0" w:space="0" w:color="auto"/>
        <w:right w:val="none" w:sz="0" w:space="0" w:color="auto"/>
      </w:divBdr>
    </w:div>
    <w:div w:id="1851095709">
      <w:bodyDiv w:val="1"/>
      <w:marLeft w:val="0"/>
      <w:marRight w:val="0"/>
      <w:marTop w:val="0"/>
      <w:marBottom w:val="0"/>
      <w:divBdr>
        <w:top w:val="none" w:sz="0" w:space="0" w:color="auto"/>
        <w:left w:val="none" w:sz="0" w:space="0" w:color="auto"/>
        <w:bottom w:val="none" w:sz="0" w:space="0" w:color="auto"/>
        <w:right w:val="none" w:sz="0" w:space="0" w:color="auto"/>
      </w:divBdr>
    </w:div>
    <w:div w:id="1857427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41023-school-development-plans.pdf?fbclid=IwAR1Y24w_AIW2lKrwmnbJfZUXu8QYcbX9SeuwcBu-YIJOxN-CqnDAxRbjy0s" TargetMode="External"/><Relationship Id="rId3" Type="http://schemas.openxmlformats.org/officeDocument/2006/relationships/settings" Target="settings.xml"/><Relationship Id="rId7" Type="http://schemas.openxmlformats.org/officeDocument/2006/relationships/hyperlink" Target="https://www.simplypsychology.org/Zone-of-Proximal-Development.html.%20Last%20accessed%2022/01/201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4645</Words>
  <Characters>26481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Smith (1500151)</dc:creator>
  <cp:keywords/>
  <dc:description/>
  <cp:lastModifiedBy>Eleri Smith (1500151)</cp:lastModifiedBy>
  <cp:revision>2</cp:revision>
  <dcterms:created xsi:type="dcterms:W3CDTF">2019-01-27T18:38:00Z</dcterms:created>
  <dcterms:modified xsi:type="dcterms:W3CDTF">2019-01-27T18:38:00Z</dcterms:modified>
</cp:coreProperties>
</file>