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01D5D8DB" w14:textId="03ED09ED" w:rsidR="00FF5B70" w:rsidRPr="00AD0E8D" w:rsidRDefault="00FF5B70" w:rsidP="00041A5A">
      <w:pPr>
        <w:spacing w:line="360" w:lineRule="auto"/>
        <w:rPr>
          <w:rFonts w:ascii="Arial" w:hAnsi="Arial" w:cs="Arial"/>
          <w:sz w:val="28"/>
          <w:szCs w:val="28"/>
        </w:rPr>
      </w:pPr>
    </w:p>
    <w:p w14:paraId="12FF4830" w14:textId="77777777" w:rsidR="00F86E5E"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F86E5E">
        <w:rPr>
          <w:rFonts w:ascii="Arial" w:hAnsi="Arial" w:cs="Arial"/>
          <w:sz w:val="28"/>
          <w:szCs w:val="28"/>
        </w:rPr>
        <w:t>OMOLOLA SONOLA</w:t>
      </w:r>
    </w:p>
    <w:p w14:paraId="19AA26A9" w14:textId="28B83DD9" w:rsidR="00FF5B70" w:rsidRPr="00F86E5E" w:rsidRDefault="00F86E5E" w:rsidP="00041A5A">
      <w:pPr>
        <w:spacing w:line="360" w:lineRule="auto"/>
        <w:rPr>
          <w:rFonts w:ascii="Arial" w:hAnsi="Arial" w:cs="Arial"/>
          <w:b/>
          <w:bCs/>
          <w:sz w:val="28"/>
          <w:szCs w:val="28"/>
        </w:rPr>
      </w:pPr>
      <w:r w:rsidRPr="00F86E5E">
        <w:rPr>
          <w:rFonts w:ascii="Arial" w:hAnsi="Arial" w:cs="Arial"/>
          <w:b/>
          <w:bCs/>
          <w:sz w:val="28"/>
          <w:szCs w:val="28"/>
        </w:rPr>
        <w:t xml:space="preserve">Student ID: </w:t>
      </w:r>
      <w:r w:rsidRPr="00F86E5E">
        <w:rPr>
          <w:rFonts w:ascii="Arial" w:hAnsi="Arial" w:cs="Arial"/>
          <w:sz w:val="28"/>
          <w:szCs w:val="28"/>
        </w:rPr>
        <w:t>2423672</w:t>
      </w:r>
    </w:p>
    <w:p w14:paraId="3FE66E60" w14:textId="5A82C11E"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83124B" w:rsidRPr="0083124B">
        <w:rPr>
          <w:rFonts w:ascii="Arial" w:hAnsi="Arial" w:cs="Arial"/>
          <w:sz w:val="28"/>
          <w:szCs w:val="28"/>
        </w:rPr>
        <w:t>Brian Mashumba</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AD0E8D">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D769F0">
      <w:pPr>
        <w:rPr>
          <w:sz w:val="22"/>
        </w:rPr>
      </w:pPr>
    </w:p>
    <w:p w14:paraId="6A13103F" w14:textId="4D18002B" w:rsidR="00380294" w:rsidRPr="00CE25A6" w:rsidRDefault="00AD0E8D" w:rsidP="00CE25A6">
      <w:pPr>
        <w:rPr>
          <w:b/>
          <w:bCs/>
        </w:rPr>
      </w:pPr>
      <w:r w:rsidRPr="00CE25A6">
        <w:rPr>
          <w:b/>
          <w:bCs/>
        </w:rPr>
        <w:t>Topic</w:t>
      </w:r>
      <w:r w:rsidR="00D769F0" w:rsidRPr="00CE25A6">
        <w:rPr>
          <w:b/>
          <w:bCs/>
        </w:rPr>
        <w:t>:</w:t>
      </w:r>
      <w:r w:rsidR="001B0363" w:rsidRPr="00CE25A6">
        <w:rPr>
          <w:b/>
          <w:bCs/>
        </w:rPr>
        <w:t xml:space="preserve"> A Scoping Review of Systemic Barriers and Enablers to Equitable Healthcare Access for Adults with Learning Disabilities in England.</w:t>
      </w:r>
    </w:p>
    <w:p w14:paraId="03FD30D3" w14:textId="475F3855" w:rsidR="00715990" w:rsidRPr="00AD0E8D" w:rsidRDefault="00715990" w:rsidP="00041A5A">
      <w:pPr>
        <w:spacing w:line="360" w:lineRule="auto"/>
        <w:rPr>
          <w:rFonts w:ascii="Arial" w:hAnsi="Arial" w:cs="Arial"/>
          <w:sz w:val="22"/>
        </w:rPr>
      </w:pPr>
    </w:p>
    <w:p w14:paraId="4C6858D8" w14:textId="49896507" w:rsidR="00784670" w:rsidRPr="00CE25A6" w:rsidRDefault="00CE25A6" w:rsidP="00CE25A6">
      <w:pPr>
        <w:rPr>
          <w:b/>
          <w:bCs/>
        </w:rPr>
      </w:pPr>
      <w:r w:rsidRPr="00CE25A6">
        <w:rPr>
          <w:b/>
          <w:bCs/>
        </w:rPr>
        <w:t>1)</w:t>
      </w:r>
      <w:r>
        <w:rPr>
          <w:b/>
          <w:bCs/>
        </w:rPr>
        <w:t xml:space="preserve"> </w:t>
      </w:r>
      <w:r w:rsidR="00AD0E8D" w:rsidRPr="00CE25A6">
        <w:rPr>
          <w:b/>
          <w:bCs/>
        </w:rPr>
        <w:t>Review question</w:t>
      </w:r>
      <w:r w:rsidR="00784670" w:rsidRPr="00CE25A6">
        <w:rPr>
          <w:b/>
          <w:bCs/>
        </w:rPr>
        <w:t>:</w:t>
      </w:r>
      <w:r w:rsidR="001B0363" w:rsidRPr="00CE25A6">
        <w:rPr>
          <w:b/>
          <w:bCs/>
        </w:rPr>
        <w:t xml:space="preserve"> “</w:t>
      </w:r>
      <w:r w:rsidR="001B0363" w:rsidRPr="00CE25A6">
        <w:rPr>
          <w:b/>
          <w:bCs/>
          <w:i/>
          <w:iCs/>
        </w:rPr>
        <w:t>What systemic barriers and enablers to equitable healthcare access for adults with learning disabilities in England are reported in peer-reviewed literature</w:t>
      </w:r>
      <w:r w:rsidR="001B0363" w:rsidRPr="00CE25A6">
        <w:rPr>
          <w:b/>
          <w:bCs/>
        </w:rPr>
        <w:t>?”</w:t>
      </w:r>
    </w:p>
    <w:p w14:paraId="6C0B898E" w14:textId="77777777" w:rsidR="00CE25A6" w:rsidRPr="00CE25A6" w:rsidRDefault="00CE25A6" w:rsidP="00CE25A6">
      <w:pPr>
        <w:rPr>
          <w:sz w:val="22"/>
        </w:rPr>
      </w:pPr>
    </w:p>
    <w:p w14:paraId="2B00F95C" w14:textId="7302587D" w:rsidR="00545684" w:rsidRPr="00CE25A6" w:rsidRDefault="00FF5B70" w:rsidP="00CE25A6">
      <w:pPr>
        <w:rPr>
          <w:b/>
          <w:bCs/>
        </w:rPr>
      </w:pPr>
      <w:r w:rsidRPr="00CE25A6">
        <w:rPr>
          <w:b/>
          <w:bCs/>
        </w:rPr>
        <w:t>2</w:t>
      </w:r>
      <w:r w:rsidR="00784670" w:rsidRPr="00CE25A6">
        <w:rPr>
          <w:b/>
          <w:bCs/>
        </w:rPr>
        <w:t>) O</w:t>
      </w:r>
      <w:r w:rsidR="00545684" w:rsidRPr="00CE25A6">
        <w:rPr>
          <w:b/>
          <w:bCs/>
        </w:rPr>
        <w:t>bjectives:</w:t>
      </w:r>
    </w:p>
    <w:p w14:paraId="176B2A74" w14:textId="0592AD70" w:rsidR="001B0363" w:rsidRPr="001B0363" w:rsidRDefault="001B0363" w:rsidP="001B0363">
      <w:pPr>
        <w:numPr>
          <w:ilvl w:val="0"/>
          <w:numId w:val="3"/>
        </w:numPr>
        <w:spacing w:line="360" w:lineRule="auto"/>
        <w:rPr>
          <w:rFonts w:ascii="Arial" w:hAnsi="Arial" w:cs="Arial"/>
        </w:rPr>
      </w:pPr>
      <w:r w:rsidRPr="001B0363">
        <w:rPr>
          <w:rFonts w:ascii="Arial" w:hAnsi="Arial" w:cs="Arial"/>
        </w:rPr>
        <w:t xml:space="preserve">To record the extent, range, and nature of the available evidence </w:t>
      </w:r>
    </w:p>
    <w:p w14:paraId="05486BC7" w14:textId="77777777" w:rsidR="001B0363" w:rsidRPr="001B0363" w:rsidRDefault="001B0363" w:rsidP="001B0363">
      <w:pPr>
        <w:numPr>
          <w:ilvl w:val="0"/>
          <w:numId w:val="3"/>
        </w:numPr>
        <w:spacing w:line="360" w:lineRule="auto"/>
        <w:rPr>
          <w:rFonts w:ascii="Arial" w:hAnsi="Arial" w:cs="Arial"/>
        </w:rPr>
      </w:pPr>
      <w:r w:rsidRPr="001B0363">
        <w:rPr>
          <w:rFonts w:ascii="Arial" w:hAnsi="Arial" w:cs="Arial"/>
        </w:rPr>
        <w:t>To identify and categorize barriers and enablers at the system level, such as appointment systems, registration processes, staff training, and any other necessary adjustments.</w:t>
      </w:r>
    </w:p>
    <w:p w14:paraId="465B5748" w14:textId="77777777" w:rsidR="001B0363" w:rsidRPr="001B0363" w:rsidRDefault="001B0363" w:rsidP="001B0363">
      <w:pPr>
        <w:numPr>
          <w:ilvl w:val="0"/>
          <w:numId w:val="3"/>
        </w:numPr>
        <w:spacing w:line="360" w:lineRule="auto"/>
        <w:rPr>
          <w:rFonts w:ascii="Arial" w:hAnsi="Arial" w:cs="Arial"/>
        </w:rPr>
      </w:pPr>
      <w:r w:rsidRPr="001B0363">
        <w:rPr>
          <w:rFonts w:ascii="Arial" w:hAnsi="Arial" w:cs="Arial"/>
        </w:rPr>
        <w:t>To identify gaps in design, process, or implementation to inform future research and practice.</w:t>
      </w:r>
    </w:p>
    <w:p w14:paraId="3AC96963" w14:textId="643B4BF4" w:rsidR="00545684" w:rsidRPr="00CE25A6" w:rsidRDefault="00FF5B70" w:rsidP="00CE25A6">
      <w:pPr>
        <w:rPr>
          <w:b/>
          <w:bCs/>
        </w:rPr>
      </w:pPr>
      <w:r w:rsidRPr="00CE25A6">
        <w:rPr>
          <w:b/>
          <w:bCs/>
        </w:rPr>
        <w:t>3</w:t>
      </w:r>
      <w:r w:rsidR="008E5015" w:rsidRPr="00CE25A6">
        <w:rPr>
          <w:b/>
          <w:bCs/>
        </w:rPr>
        <w:t xml:space="preserve">) </w:t>
      </w:r>
      <w:r w:rsidR="00AD0E8D" w:rsidRPr="00CE25A6">
        <w:rPr>
          <w:b/>
          <w:bCs/>
        </w:rPr>
        <w:t>Rationale</w:t>
      </w:r>
      <w:r w:rsidR="00545684" w:rsidRPr="00CE25A6">
        <w:rPr>
          <w:b/>
          <w:bCs/>
        </w:rPr>
        <w:t>:</w:t>
      </w:r>
    </w:p>
    <w:p w14:paraId="0EDCBF16" w14:textId="4C9AB448" w:rsidR="001B0363" w:rsidRPr="001B0363" w:rsidRDefault="001B0363" w:rsidP="001B0363">
      <w:pPr>
        <w:spacing w:line="360" w:lineRule="auto"/>
        <w:rPr>
          <w:rFonts w:ascii="Arial" w:hAnsi="Arial" w:cs="Arial"/>
        </w:rPr>
      </w:pPr>
      <w:r w:rsidRPr="001B0363">
        <w:rPr>
          <w:rFonts w:ascii="Arial" w:hAnsi="Arial" w:cs="Arial"/>
        </w:rPr>
        <w:t>Adults with learning disabilities in England experience severe health inequalities. In 2023, a report revealed the average age at death for adults with learning disabilities was 62.5 years, which is about 20 years lower than the average life expectancy of the general population, with almost 60% dying before age 65 (King’s College London, 2025). Inadequate access to preventive care contributes to these inequalities. According to Morris and Juan (2024), only around one in four people with learning disabilities are on their GP’s learning disability register; their access to annual health checks is restricted, and cervical screening rates are lower by 36 percentage points. A national survey of 6,711 adults reporting a learning disability found lower confidence and trust in healthcare professionals and harder-to-navigate practice websites (Tromans et al., 2024). Although a recent scoping review synthesised qualitative evidence on appointment attendance among adults with learning disabilities and autism (Cooper et al., 2026), system-level factors across study designs are still not clearly mapped; this review aims to address this gap.</w:t>
      </w:r>
    </w:p>
    <w:p w14:paraId="5D02E881" w14:textId="459B5EDF" w:rsidR="001B0363" w:rsidRPr="001B0363" w:rsidRDefault="001B0363" w:rsidP="001B0363"/>
    <w:p w14:paraId="123E060D" w14:textId="779C77FB" w:rsidR="00545684" w:rsidRPr="00AD0E8D" w:rsidRDefault="00545684" w:rsidP="00041A5A">
      <w:pPr>
        <w:spacing w:line="360" w:lineRule="auto"/>
        <w:rPr>
          <w:rFonts w:ascii="Arial" w:hAnsi="Arial" w:cs="Arial"/>
          <w:sz w:val="22"/>
        </w:rPr>
      </w:pPr>
    </w:p>
    <w:p w14:paraId="48B3D1A4" w14:textId="77777777" w:rsidR="00041A5A" w:rsidRPr="00AD0E8D" w:rsidRDefault="00041A5A" w:rsidP="00041A5A">
      <w:pPr>
        <w:spacing w:line="360" w:lineRule="auto"/>
        <w:rPr>
          <w:rFonts w:ascii="Arial" w:hAnsi="Arial" w:cs="Arial"/>
          <w:sz w:val="22"/>
        </w:rPr>
      </w:pPr>
    </w:p>
    <w:p w14:paraId="332E5A12" w14:textId="051972BF" w:rsidR="00545684" w:rsidRPr="00CE25A6" w:rsidRDefault="00FF5B70" w:rsidP="00CE25A6">
      <w:pPr>
        <w:spacing w:before="240"/>
        <w:rPr>
          <w:b/>
          <w:bCs/>
        </w:rPr>
      </w:pPr>
      <w:r w:rsidRPr="00CE25A6">
        <w:rPr>
          <w:b/>
          <w:bCs/>
        </w:rPr>
        <w:t>4</w:t>
      </w:r>
      <w:r w:rsidR="008E5015" w:rsidRPr="00CE25A6">
        <w:rPr>
          <w:b/>
          <w:bCs/>
        </w:rPr>
        <w:t xml:space="preserve">) </w:t>
      </w:r>
      <w:r w:rsidR="00545684" w:rsidRPr="00CE25A6">
        <w:rPr>
          <w:b/>
          <w:bCs/>
        </w:rPr>
        <w:t>Methods:</w:t>
      </w:r>
    </w:p>
    <w:p w14:paraId="08437629" w14:textId="47BCFDC8" w:rsidR="0061260B" w:rsidRPr="00AD0E8D" w:rsidRDefault="001B0363" w:rsidP="001B0363">
      <w:pPr>
        <w:spacing w:line="360" w:lineRule="auto"/>
        <w:rPr>
          <w:rFonts w:ascii="Arial" w:hAnsi="Arial" w:cs="Arial"/>
          <w:sz w:val="22"/>
        </w:rPr>
      </w:pPr>
      <w:r w:rsidRPr="001B0363">
        <w:rPr>
          <w:rFonts w:ascii="Arial" w:hAnsi="Arial" w:cs="Arial"/>
        </w:rPr>
        <w:t xml:space="preserve">The review will adhere to PRISMA-ScR guidance (Tricco et al., 2018). The search strategy will combine terms for learning or intellectual disability, health access, barriers or facilitators, and England, sourced from MEDLINE, CINAHL, Google Scholar, and PsycINFO. Only peer-reviewed primary or secondary research focusing on adults aged 18 years and over with learning disabilities, </w:t>
      </w:r>
      <w:r>
        <w:rPr>
          <w:rFonts w:ascii="Arial" w:hAnsi="Arial" w:cs="Arial"/>
        </w:rPr>
        <w:t>published in English between 2016 and 2026, will be eligible</w:t>
      </w:r>
      <w:r w:rsidRPr="001B0363">
        <w:rPr>
          <w:rFonts w:ascii="Arial" w:hAnsi="Arial" w:cs="Arial"/>
        </w:rPr>
        <w:t>. A PRISMA flow diagram will show results for screening from titles, abstracts, and full texts against these criteria. Data will be presented in a table, and findings will be analysed thematically, grouped by system level and summarised.</w:t>
      </w:r>
    </w:p>
    <w:p w14:paraId="232DCC93" w14:textId="2CF9B0F8" w:rsidR="0061260B" w:rsidRPr="00CE25A6" w:rsidRDefault="00FF5B70" w:rsidP="00CE25A6">
      <w:pPr>
        <w:spacing w:before="240"/>
        <w:rPr>
          <w:b/>
          <w:bCs/>
        </w:rPr>
      </w:pPr>
      <w:r w:rsidRPr="00CE25A6">
        <w:rPr>
          <w:b/>
          <w:bCs/>
        </w:rPr>
        <w:t>5</w:t>
      </w:r>
      <w:r w:rsidR="0061260B" w:rsidRPr="00CE25A6">
        <w:rPr>
          <w:b/>
          <w:bCs/>
        </w:rPr>
        <w:t xml:space="preserve">) </w:t>
      </w:r>
      <w:r w:rsidR="00AD0E8D" w:rsidRPr="00CE25A6">
        <w:rPr>
          <w:b/>
          <w:bCs/>
        </w:rPr>
        <w:t>Ethical considerations</w:t>
      </w:r>
      <w:r w:rsidR="00260277" w:rsidRPr="00CE25A6">
        <w:rPr>
          <w:b/>
          <w:bCs/>
        </w:rPr>
        <w:t>:</w:t>
      </w:r>
      <w:r w:rsidR="0061260B" w:rsidRPr="00CE25A6">
        <w:rPr>
          <w:b/>
          <w:bCs/>
        </w:rPr>
        <w:t xml:space="preserve"> </w:t>
      </w:r>
    </w:p>
    <w:p w14:paraId="20D78226" w14:textId="77777777" w:rsidR="001B0363" w:rsidRPr="001B0363" w:rsidRDefault="001B0363" w:rsidP="001B0363">
      <w:pPr>
        <w:spacing w:line="360" w:lineRule="auto"/>
        <w:rPr>
          <w:rFonts w:ascii="Arial" w:hAnsi="Arial" w:cs="Arial"/>
        </w:rPr>
      </w:pPr>
      <w:r w:rsidRPr="001B0363">
        <w:rPr>
          <w:rFonts w:ascii="Arial" w:hAnsi="Arial" w:cs="Arial"/>
        </w:rPr>
        <w:t>This review relies solely on published literature with no human participants. Academic integrity will be maintained through transparent reporting and accurate attribution. Language will be respectful and non-stigmatizing, and whether included studies reported ethical approval will be recorded.</w:t>
      </w:r>
    </w:p>
    <w:p w14:paraId="6FCCA26A" w14:textId="77777777" w:rsidR="001B0363" w:rsidRPr="001B0363" w:rsidRDefault="001B0363" w:rsidP="001B0363"/>
    <w:p w14:paraId="64C3045A" w14:textId="742E6424" w:rsidR="0061260B" w:rsidRPr="00AD0E8D" w:rsidRDefault="0061260B" w:rsidP="00260277">
      <w:pPr>
        <w:rPr>
          <w:rFonts w:ascii="Arial" w:hAnsi="Arial" w:cs="Arial"/>
          <w:sz w:val="22"/>
        </w:rPr>
      </w:pPr>
    </w:p>
    <w:p w14:paraId="32C49FA8" w14:textId="77777777" w:rsidR="00260277" w:rsidRPr="00AD0E8D" w:rsidRDefault="00260277" w:rsidP="00260277">
      <w:pPr>
        <w:rPr>
          <w:rFonts w:ascii="Arial" w:hAnsi="Arial" w:cs="Arial"/>
          <w:sz w:val="22"/>
        </w:rPr>
      </w:pPr>
    </w:p>
    <w:p w14:paraId="376E10FA" w14:textId="77777777" w:rsidR="00260277" w:rsidRPr="00AD0E8D" w:rsidRDefault="00260277" w:rsidP="00260277">
      <w:pPr>
        <w:rPr>
          <w:rFonts w:ascii="Arial" w:hAnsi="Arial" w:cs="Arial"/>
          <w:sz w:val="22"/>
        </w:rPr>
      </w:pPr>
    </w:p>
    <w:p w14:paraId="44ED918B" w14:textId="77777777" w:rsidR="00FF5B70" w:rsidRPr="00AD0E8D" w:rsidRDefault="00FF5B70" w:rsidP="00041A5A">
      <w:pPr>
        <w:spacing w:line="360" w:lineRule="auto"/>
        <w:rPr>
          <w:rFonts w:ascii="Arial" w:hAnsi="Arial" w:cs="Arial"/>
          <w:sz w:val="22"/>
        </w:rPr>
      </w:pPr>
    </w:p>
    <w:p w14:paraId="602D39AC" w14:textId="44AF797D" w:rsidR="00545684" w:rsidRPr="00AD0E8D" w:rsidRDefault="00545684" w:rsidP="00041A5A">
      <w:pPr>
        <w:spacing w:line="360" w:lineRule="auto"/>
        <w:rPr>
          <w:rFonts w:ascii="Arial" w:hAnsi="Arial" w:cs="Arial"/>
          <w:sz w:val="22"/>
        </w:rPr>
      </w:pPr>
    </w:p>
    <w:p w14:paraId="7D7C2A82" w14:textId="1F77B7A9" w:rsidR="00FF5B70" w:rsidRPr="00AD0E8D" w:rsidRDefault="00FF5B70" w:rsidP="00041A5A">
      <w:pPr>
        <w:spacing w:line="360" w:lineRule="auto"/>
        <w:rPr>
          <w:rFonts w:ascii="Arial" w:hAnsi="Arial" w:cs="Arial"/>
          <w:sz w:val="22"/>
        </w:rPr>
      </w:pPr>
    </w:p>
    <w:p w14:paraId="4ECDA0BD" w14:textId="77777777" w:rsidR="00FF5B70" w:rsidRPr="00AD0E8D" w:rsidRDefault="00FF5B70" w:rsidP="00041A5A">
      <w:pPr>
        <w:spacing w:line="360" w:lineRule="auto"/>
        <w:rPr>
          <w:rFonts w:ascii="Arial" w:hAnsi="Arial" w:cs="Arial"/>
          <w:sz w:val="22"/>
        </w:rPr>
      </w:pPr>
    </w:p>
    <w:p w14:paraId="449212CA" w14:textId="77777777" w:rsidR="00545684" w:rsidRPr="00AD0E8D" w:rsidRDefault="00545684" w:rsidP="00041A5A">
      <w:pPr>
        <w:spacing w:line="360" w:lineRule="auto"/>
        <w:rPr>
          <w:rFonts w:ascii="Arial" w:hAnsi="Arial" w:cs="Arial"/>
          <w:sz w:val="22"/>
        </w:rPr>
      </w:pPr>
      <w:r w:rsidRPr="00AD0E8D">
        <w:rPr>
          <w:rFonts w:ascii="Arial" w:hAnsi="Arial" w:cs="Arial"/>
          <w:sz w:val="22"/>
        </w:rPr>
        <w:br w:type="page"/>
      </w:r>
    </w:p>
    <w:p w14:paraId="262C8CA3" w14:textId="4D2FF9E1" w:rsidR="00545684" w:rsidRPr="00AD0E8D" w:rsidRDefault="00545684" w:rsidP="00AD0E8D">
      <w:pPr>
        <w:pStyle w:val="Heading1"/>
      </w:pPr>
      <w:r w:rsidRPr="00AD0E8D">
        <w:lastRenderedPageBreak/>
        <w:t>References</w:t>
      </w:r>
    </w:p>
    <w:p w14:paraId="36B72869" w14:textId="39E95422" w:rsidR="001B0363" w:rsidRPr="001B0363" w:rsidRDefault="001B0363" w:rsidP="001B0363">
      <w:pPr>
        <w:spacing w:line="360" w:lineRule="auto"/>
        <w:rPr>
          <w:rFonts w:ascii="Arial" w:hAnsi="Arial" w:cs="Arial"/>
          <w:szCs w:val="24"/>
        </w:rPr>
      </w:pPr>
      <w:r w:rsidRPr="001B0363">
        <w:rPr>
          <w:rFonts w:ascii="Arial" w:hAnsi="Arial" w:cs="Arial"/>
          <w:szCs w:val="24"/>
        </w:rPr>
        <w:t xml:space="preserve">Cooper, M., Tuschick, E., Giles, E.L., Hodgson, J., Stubbs, E. and Barker, J. (2026) ‘Barriers and facilitators to healthcare access for adults with learning disabilities and autistic adults in England: a scoping review and meta-aggregation’, </w:t>
      </w:r>
      <w:r w:rsidRPr="001B0363">
        <w:rPr>
          <w:rFonts w:ascii="Arial" w:hAnsi="Arial" w:cs="Arial"/>
          <w:i/>
          <w:iCs/>
          <w:szCs w:val="24"/>
        </w:rPr>
        <w:t>Journal of Intellectual Disabilities</w:t>
      </w:r>
      <w:r w:rsidRPr="001B0363">
        <w:rPr>
          <w:rFonts w:ascii="Arial" w:hAnsi="Arial" w:cs="Arial"/>
          <w:szCs w:val="24"/>
        </w:rPr>
        <w:t>. doi:10.1177/17446295261422395</w:t>
      </w:r>
      <w:r>
        <w:rPr>
          <w:rFonts w:ascii="Arial" w:hAnsi="Arial" w:cs="Arial"/>
          <w:szCs w:val="24"/>
        </w:rPr>
        <w:t>.</w:t>
      </w:r>
    </w:p>
    <w:p w14:paraId="0D45ECA0" w14:textId="77777777" w:rsidR="001B0363" w:rsidRPr="001B0363" w:rsidRDefault="001B0363" w:rsidP="001B0363">
      <w:pPr>
        <w:spacing w:line="360" w:lineRule="auto"/>
        <w:rPr>
          <w:rFonts w:ascii="Arial" w:hAnsi="Arial" w:cs="Arial"/>
          <w:szCs w:val="24"/>
        </w:rPr>
      </w:pPr>
      <w:r w:rsidRPr="001B0363">
        <w:rPr>
          <w:rFonts w:ascii="Arial" w:hAnsi="Arial" w:cs="Arial"/>
          <w:szCs w:val="24"/>
        </w:rPr>
        <w:t xml:space="preserve">King’s College London (2025) </w:t>
      </w:r>
      <w:r w:rsidRPr="001B0363">
        <w:rPr>
          <w:rFonts w:ascii="Arial" w:hAnsi="Arial" w:cs="Arial"/>
          <w:i/>
          <w:iCs/>
          <w:szCs w:val="24"/>
        </w:rPr>
        <w:t>Learning from Lives and Deaths: People with a learning disability and autistic people (LeDeR) annual report 2023</w:t>
      </w:r>
      <w:r w:rsidRPr="001B0363">
        <w:rPr>
          <w:rFonts w:ascii="Arial" w:hAnsi="Arial" w:cs="Arial"/>
          <w:szCs w:val="24"/>
        </w:rPr>
        <w:t>. London: NHS England.</w:t>
      </w:r>
    </w:p>
    <w:p w14:paraId="4E9367F4" w14:textId="77777777" w:rsidR="001B0363" w:rsidRPr="001B0363" w:rsidRDefault="001B0363" w:rsidP="001B0363">
      <w:pPr>
        <w:spacing w:line="360" w:lineRule="auto"/>
        <w:rPr>
          <w:rFonts w:ascii="Arial" w:hAnsi="Arial" w:cs="Arial"/>
          <w:szCs w:val="24"/>
        </w:rPr>
      </w:pPr>
      <w:r w:rsidRPr="001B0363">
        <w:rPr>
          <w:rFonts w:ascii="Arial" w:hAnsi="Arial" w:cs="Arial"/>
          <w:szCs w:val="24"/>
        </w:rPr>
        <w:t xml:space="preserve">Morris, J. and Julian, S. (2024) </w:t>
      </w:r>
      <w:r w:rsidRPr="001B0363">
        <w:rPr>
          <w:rFonts w:ascii="Arial" w:hAnsi="Arial" w:cs="Arial"/>
          <w:i/>
          <w:iCs/>
          <w:szCs w:val="24"/>
        </w:rPr>
        <w:t>Preventing people with a learning disability from dying too young</w:t>
      </w:r>
      <w:r w:rsidRPr="001B0363">
        <w:rPr>
          <w:rFonts w:ascii="Arial" w:hAnsi="Arial" w:cs="Arial"/>
          <w:szCs w:val="24"/>
        </w:rPr>
        <w:t>. London: Nuffield Trust.</w:t>
      </w:r>
    </w:p>
    <w:p w14:paraId="0807CD77" w14:textId="77777777" w:rsidR="001B0363" w:rsidRPr="001B0363" w:rsidRDefault="001B0363" w:rsidP="001B0363">
      <w:pPr>
        <w:spacing w:line="360" w:lineRule="auto"/>
        <w:rPr>
          <w:rFonts w:ascii="Arial" w:hAnsi="Arial" w:cs="Arial"/>
          <w:szCs w:val="24"/>
        </w:rPr>
      </w:pPr>
      <w:r w:rsidRPr="001B0363">
        <w:rPr>
          <w:rFonts w:ascii="Arial" w:hAnsi="Arial" w:cs="Arial"/>
          <w:szCs w:val="24"/>
        </w:rPr>
        <w:t xml:space="preserve">Tricco, A.C. et al. (2018) ‘PRISMA Extension for Scoping Reviews (PRISMA-ScR): checklist and explanation’, </w:t>
      </w:r>
      <w:r w:rsidRPr="001B0363">
        <w:rPr>
          <w:rFonts w:ascii="Arial" w:hAnsi="Arial" w:cs="Arial"/>
          <w:i/>
          <w:iCs/>
          <w:szCs w:val="24"/>
        </w:rPr>
        <w:t>Annals of Internal Medicine</w:t>
      </w:r>
      <w:r w:rsidRPr="001B0363">
        <w:rPr>
          <w:rFonts w:ascii="Arial" w:hAnsi="Arial" w:cs="Arial"/>
          <w:szCs w:val="24"/>
        </w:rPr>
        <w:t>, 169(7), pp. 467–473. doi:10.7326/M18-0850.</w:t>
      </w:r>
    </w:p>
    <w:p w14:paraId="2E620F32" w14:textId="77777777" w:rsidR="001B0363" w:rsidRPr="001B0363" w:rsidRDefault="001B0363" w:rsidP="001B0363">
      <w:pPr>
        <w:spacing w:line="360" w:lineRule="auto"/>
        <w:rPr>
          <w:rFonts w:ascii="Arial" w:hAnsi="Arial" w:cs="Arial"/>
          <w:sz w:val="22"/>
        </w:rPr>
      </w:pPr>
      <w:r w:rsidRPr="001B0363">
        <w:rPr>
          <w:rFonts w:ascii="Arial" w:hAnsi="Arial" w:cs="Arial"/>
          <w:szCs w:val="24"/>
        </w:rPr>
        <w:t xml:space="preserve">Tromans, S. et al. (2024) ‘Primary care experiences of adults reporting learning disability: a probability sample survey’, </w:t>
      </w:r>
      <w:r w:rsidRPr="001B0363">
        <w:rPr>
          <w:rFonts w:ascii="Arial" w:hAnsi="Arial" w:cs="Arial"/>
          <w:i/>
          <w:iCs/>
          <w:szCs w:val="24"/>
        </w:rPr>
        <w:t>British Journal of General Practice</w:t>
      </w:r>
      <w:r w:rsidRPr="001B0363">
        <w:rPr>
          <w:rFonts w:ascii="Arial" w:hAnsi="Arial" w:cs="Arial"/>
          <w:szCs w:val="24"/>
        </w:rPr>
        <w:t>, 74(749), pp. e845–e853. doi:10.3399/bjgp.2024.0056</w:t>
      </w:r>
      <w:r w:rsidRPr="001B0363">
        <w:rPr>
          <w:rFonts w:ascii="Arial" w:hAnsi="Arial" w:cs="Arial"/>
          <w:sz w:val="22"/>
        </w:rPr>
        <w:t>.</w:t>
      </w:r>
    </w:p>
    <w:p w14:paraId="754CEB55" w14:textId="77777777" w:rsidR="00545684" w:rsidRPr="00AD0E8D" w:rsidRDefault="00545684" w:rsidP="00041A5A">
      <w:pPr>
        <w:spacing w:line="360" w:lineRule="auto"/>
        <w:rPr>
          <w:rFonts w:ascii="Arial" w:hAnsi="Arial" w:cs="Arial"/>
          <w:sz w:val="22"/>
        </w:rPr>
      </w:pPr>
    </w:p>
    <w:p w14:paraId="5BC91157" w14:textId="77777777" w:rsidR="00545684" w:rsidRPr="00AD0E8D" w:rsidRDefault="00545684" w:rsidP="00041A5A">
      <w:pPr>
        <w:spacing w:line="360" w:lineRule="auto"/>
        <w:rPr>
          <w:rFonts w:ascii="Arial" w:hAnsi="Arial" w:cs="Arial"/>
          <w:sz w:val="22"/>
        </w:rPr>
      </w:pPr>
    </w:p>
    <w:sectPr w:rsidR="00545684" w:rsidRPr="00AD0E8D"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89F90" w14:textId="77777777" w:rsidR="00A94B5F" w:rsidRDefault="00A94B5F" w:rsidP="00545684">
      <w:pPr>
        <w:spacing w:after="0" w:line="240" w:lineRule="auto"/>
      </w:pPr>
      <w:r>
        <w:separator/>
      </w:r>
    </w:p>
  </w:endnote>
  <w:endnote w:type="continuationSeparator" w:id="0">
    <w:p w14:paraId="1153C471" w14:textId="77777777" w:rsidR="00A94B5F" w:rsidRDefault="00A94B5F"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E36FD" w14:textId="77777777" w:rsidR="00A94B5F" w:rsidRDefault="00A94B5F" w:rsidP="00545684">
      <w:pPr>
        <w:spacing w:after="0" w:line="240" w:lineRule="auto"/>
      </w:pPr>
      <w:r>
        <w:separator/>
      </w:r>
    </w:p>
  </w:footnote>
  <w:footnote w:type="continuationSeparator" w:id="0">
    <w:p w14:paraId="44AA2EA9" w14:textId="77777777" w:rsidR="00A94B5F" w:rsidRDefault="00A94B5F"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50796"/>
    <w:multiLevelType w:val="hybridMultilevel"/>
    <w:tmpl w:val="DB3E8E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456DAE"/>
    <w:multiLevelType w:val="hybridMultilevel"/>
    <w:tmpl w:val="F098979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5A1929A2"/>
    <w:multiLevelType w:val="hybridMultilevel"/>
    <w:tmpl w:val="59241E66"/>
    <w:lvl w:ilvl="0" w:tplc="200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3"/>
  </w:num>
  <w:num w:numId="2" w16cid:durableId="1277255999">
    <w:abstractNumId w:val="1"/>
  </w:num>
  <w:num w:numId="3" w16cid:durableId="1599560036">
    <w:abstractNumId w:val="2"/>
  </w:num>
  <w:num w:numId="4" w16cid:durableId="1067729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4525B"/>
    <w:rsid w:val="00197B80"/>
    <w:rsid w:val="001B0363"/>
    <w:rsid w:val="00216C85"/>
    <w:rsid w:val="00260277"/>
    <w:rsid w:val="00273EDD"/>
    <w:rsid w:val="002A15DA"/>
    <w:rsid w:val="002C3965"/>
    <w:rsid w:val="002F07B8"/>
    <w:rsid w:val="00321C4C"/>
    <w:rsid w:val="00380294"/>
    <w:rsid w:val="003A220F"/>
    <w:rsid w:val="003B5B7F"/>
    <w:rsid w:val="004903AA"/>
    <w:rsid w:val="004E6C3B"/>
    <w:rsid w:val="00545684"/>
    <w:rsid w:val="0061260B"/>
    <w:rsid w:val="00715990"/>
    <w:rsid w:val="00784670"/>
    <w:rsid w:val="00792527"/>
    <w:rsid w:val="007C3767"/>
    <w:rsid w:val="0083124B"/>
    <w:rsid w:val="00866B7B"/>
    <w:rsid w:val="008943D5"/>
    <w:rsid w:val="008E5015"/>
    <w:rsid w:val="009043CA"/>
    <w:rsid w:val="009D1D1E"/>
    <w:rsid w:val="00A035FD"/>
    <w:rsid w:val="00A94B5F"/>
    <w:rsid w:val="00AD0E8D"/>
    <w:rsid w:val="00CE25A6"/>
    <w:rsid w:val="00D769F0"/>
    <w:rsid w:val="00DA2672"/>
    <w:rsid w:val="00E614D4"/>
    <w:rsid w:val="00F278D4"/>
    <w:rsid w:val="00F86E5E"/>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1B0363"/>
    <w:pPr>
      <w:spacing w:line="278" w:lineRule="auto"/>
      <w:ind w:left="720"/>
      <w:contextualSpacing/>
    </w:pPr>
    <w:rPr>
      <w:rFonts w:asciiTheme="minorHAnsi" w:hAnsiTheme="minorHAnsi"/>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615</Words>
  <Characters>3506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Lola Sonola</cp:lastModifiedBy>
  <cp:revision>5</cp:revision>
  <dcterms:created xsi:type="dcterms:W3CDTF">2026-10-19T12:06:00Z</dcterms:created>
  <dcterms:modified xsi:type="dcterms:W3CDTF">2026-10-22T21:56:00Z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edff75465dc08f3359b61142d6af78878ced9fc4c3f6ca5cb990bd1e114f42d7</vt:lpwstr>
  </property>
</Properties>
</file>