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C6E3CD" w14:textId="3778D78B" w:rsidR="00C4567C" w:rsidRPr="009A452D" w:rsidRDefault="00AF5875">
      <w:pPr>
        <w:rPr>
          <w:rFonts w:asciiTheme="majorHAnsi" w:hAnsiTheme="majorHAnsi" w:cstheme="majorHAnsi"/>
          <w:sz w:val="28"/>
          <w:szCs w:val="28"/>
          <w:u w:val="single"/>
        </w:rPr>
      </w:pPr>
      <w:r w:rsidRPr="009A452D">
        <w:rPr>
          <w:rFonts w:asciiTheme="majorHAnsi" w:hAnsiTheme="majorHAnsi" w:cstheme="majorHAnsi"/>
          <w:sz w:val="28"/>
          <w:szCs w:val="28"/>
          <w:u w:val="single"/>
        </w:rPr>
        <w:t>Manual Handling within the Healthcare Sector</w:t>
      </w:r>
      <w:r w:rsidR="009A452D">
        <w:rPr>
          <w:rFonts w:asciiTheme="majorHAnsi" w:hAnsiTheme="majorHAnsi" w:cstheme="majorHAnsi"/>
          <w:sz w:val="28"/>
          <w:szCs w:val="28"/>
          <w:u w:val="single"/>
        </w:rPr>
        <w:t>.</w:t>
      </w:r>
    </w:p>
    <w:p w14:paraId="05B30755" w14:textId="77777777" w:rsidR="001A32C3" w:rsidRPr="000B3773" w:rsidRDefault="00AF5875" w:rsidP="001A32C3">
      <w:pPr>
        <w:rPr>
          <w:rFonts w:asciiTheme="majorHAnsi" w:hAnsiTheme="majorHAnsi" w:cstheme="majorHAnsi"/>
          <w:b/>
          <w:bCs/>
          <w:sz w:val="24"/>
          <w:szCs w:val="24"/>
          <w:u w:val="single"/>
        </w:rPr>
      </w:pPr>
      <w:r w:rsidRPr="000B3773">
        <w:rPr>
          <w:rFonts w:asciiTheme="majorHAnsi" w:hAnsiTheme="majorHAnsi" w:cstheme="majorHAnsi"/>
          <w:b/>
          <w:bCs/>
          <w:sz w:val="24"/>
          <w:szCs w:val="24"/>
          <w:u w:val="single"/>
        </w:rPr>
        <w:t>Slide 1-</w:t>
      </w:r>
    </w:p>
    <w:p w14:paraId="75E5E4DB" w14:textId="0F899A13" w:rsidR="00DA56BB" w:rsidRDefault="001A32C3" w:rsidP="001A32C3">
      <w:pPr>
        <w:rPr>
          <w:rFonts w:asciiTheme="majorHAnsi" w:hAnsiTheme="majorHAnsi" w:cstheme="majorHAnsi"/>
          <w:color w:val="000000"/>
          <w:sz w:val="20"/>
          <w:szCs w:val="20"/>
          <w:shd w:val="clear" w:color="auto" w:fill="FFFFFF"/>
        </w:rPr>
      </w:pPr>
      <w:r w:rsidRPr="001A32C3">
        <w:rPr>
          <w:rFonts w:asciiTheme="majorHAnsi" w:eastAsia="Times New Roman" w:hAnsiTheme="majorHAnsi" w:cstheme="majorHAnsi"/>
          <w:color w:val="333333"/>
          <w:kern w:val="36"/>
          <w:sz w:val="24"/>
          <w:szCs w:val="24"/>
          <w:lang w:eastAsia="en-GB"/>
        </w:rPr>
        <w:t xml:space="preserve">The Manual Handling Operations Regulations </w:t>
      </w:r>
      <w:r w:rsidRPr="00733CDC">
        <w:rPr>
          <w:rFonts w:asciiTheme="majorHAnsi" w:eastAsia="Times New Roman" w:hAnsiTheme="majorHAnsi" w:cstheme="majorHAnsi"/>
          <w:color w:val="333333"/>
          <w:kern w:val="36"/>
          <w:sz w:val="24"/>
          <w:szCs w:val="24"/>
          <w:lang w:eastAsia="en-GB"/>
        </w:rPr>
        <w:t xml:space="preserve">act was introduced in </w:t>
      </w:r>
      <w:r w:rsidRPr="001A32C3">
        <w:rPr>
          <w:rFonts w:asciiTheme="majorHAnsi" w:eastAsia="Times New Roman" w:hAnsiTheme="majorHAnsi" w:cstheme="majorHAnsi"/>
          <w:color w:val="333333"/>
          <w:kern w:val="36"/>
          <w:sz w:val="24"/>
          <w:szCs w:val="24"/>
          <w:lang w:eastAsia="en-GB"/>
        </w:rPr>
        <w:t>1992</w:t>
      </w:r>
      <w:r w:rsidRPr="00733CDC">
        <w:rPr>
          <w:rFonts w:asciiTheme="majorHAnsi" w:eastAsia="Times New Roman" w:hAnsiTheme="majorHAnsi" w:cstheme="majorHAnsi"/>
          <w:color w:val="333333"/>
          <w:kern w:val="36"/>
          <w:sz w:val="24"/>
          <w:szCs w:val="24"/>
          <w:lang w:eastAsia="en-GB"/>
        </w:rPr>
        <w:t xml:space="preserve"> and was then amended in 2002. </w:t>
      </w:r>
      <w:r w:rsidRPr="00733CDC">
        <w:rPr>
          <w:rFonts w:asciiTheme="majorHAnsi" w:hAnsiTheme="majorHAnsi" w:cstheme="majorHAnsi"/>
          <w:color w:val="202124"/>
          <w:sz w:val="24"/>
          <w:szCs w:val="24"/>
          <w:shd w:val="clear" w:color="auto" w:fill="FFFFFF"/>
        </w:rPr>
        <w:t>The Manual Handling Operations Regulations (MHOR) of 1992 were created as rules for businesses to follow when it comes to the risks that can be involved when manual handling occurs, this is so there is a straight forward, standardised way of managing risks in the workplace.</w:t>
      </w:r>
      <w:r w:rsidR="00733CDC" w:rsidRPr="00733CDC">
        <w:rPr>
          <w:rFonts w:asciiTheme="majorHAnsi" w:hAnsiTheme="majorHAnsi" w:cstheme="majorHAnsi"/>
          <w:color w:val="202124"/>
          <w:sz w:val="24"/>
          <w:szCs w:val="24"/>
          <w:shd w:val="clear" w:color="auto" w:fill="FFFFFF"/>
        </w:rPr>
        <w:t xml:space="preserve"> </w:t>
      </w:r>
      <w:r w:rsidR="00733CDC" w:rsidRPr="009A452D">
        <w:rPr>
          <w:rFonts w:asciiTheme="majorHAnsi" w:hAnsiTheme="majorHAnsi" w:cstheme="majorHAnsi"/>
          <w:color w:val="000000"/>
          <w:sz w:val="20"/>
          <w:szCs w:val="20"/>
          <w:shd w:val="clear" w:color="auto" w:fill="FFFFFF"/>
        </w:rPr>
        <w:t xml:space="preserve">("What is the Manual Handling Operations Regulations 1992? | </w:t>
      </w:r>
      <w:proofErr w:type="spellStart"/>
      <w:r w:rsidR="00733CDC" w:rsidRPr="009A452D">
        <w:rPr>
          <w:rFonts w:asciiTheme="majorHAnsi" w:hAnsiTheme="majorHAnsi" w:cstheme="majorHAnsi"/>
          <w:color w:val="000000"/>
          <w:sz w:val="20"/>
          <w:szCs w:val="20"/>
          <w:shd w:val="clear" w:color="auto" w:fill="FFFFFF"/>
        </w:rPr>
        <w:t>DeltaNet</w:t>
      </w:r>
      <w:proofErr w:type="spellEnd"/>
      <w:r w:rsidR="00733CDC" w:rsidRPr="009A452D">
        <w:rPr>
          <w:rFonts w:asciiTheme="majorHAnsi" w:hAnsiTheme="majorHAnsi" w:cstheme="majorHAnsi"/>
          <w:color w:val="000000"/>
          <w:sz w:val="20"/>
          <w:szCs w:val="20"/>
          <w:shd w:val="clear" w:color="auto" w:fill="FFFFFF"/>
        </w:rPr>
        <w:t>", 2021)</w:t>
      </w:r>
    </w:p>
    <w:p w14:paraId="5DE6D7B9" w14:textId="2CE88FC3" w:rsidR="00DA56BB" w:rsidRPr="00DA56BB" w:rsidRDefault="00DA56BB" w:rsidP="001A32C3">
      <w:pPr>
        <w:rPr>
          <w:rFonts w:asciiTheme="majorHAnsi" w:hAnsiTheme="majorHAnsi" w:cstheme="majorHAnsi"/>
          <w:shd w:val="clear" w:color="auto" w:fill="FFFFFF"/>
        </w:rPr>
      </w:pPr>
      <w:r w:rsidRPr="00DA56BB">
        <w:rPr>
          <w:rFonts w:asciiTheme="majorHAnsi" w:hAnsiTheme="majorHAnsi" w:cstheme="majorHAnsi"/>
          <w:sz w:val="24"/>
          <w:szCs w:val="24"/>
          <w:shd w:val="clear" w:color="auto" w:fill="FFFFFF"/>
        </w:rPr>
        <w:t>Before 1974 approximately 8 million employees had no legal safety protection at work. The Health and Safety at Work Act 1974 provides the legal framework to promote, stimulate and encourage high standards of health and safety in places of work. It protects employees and the public from work activities.</w:t>
      </w:r>
      <w:r>
        <w:rPr>
          <w:rFonts w:asciiTheme="majorHAnsi" w:hAnsiTheme="majorHAnsi" w:cstheme="majorHAnsi"/>
          <w:sz w:val="24"/>
          <w:szCs w:val="24"/>
          <w:shd w:val="clear" w:color="auto" w:fill="FFFFFF"/>
        </w:rPr>
        <w:t xml:space="preserve"> </w:t>
      </w:r>
      <w:r w:rsidRPr="00DA56BB">
        <w:rPr>
          <w:rFonts w:asciiTheme="majorHAnsi" w:hAnsiTheme="majorHAnsi" w:cstheme="majorHAnsi"/>
          <w:color w:val="000000"/>
          <w:sz w:val="20"/>
          <w:szCs w:val="20"/>
          <w:shd w:val="clear" w:color="auto" w:fill="FFFFFF"/>
        </w:rPr>
        <w:t>(Health and Safety at Work Act | Royal Borough of Kensington and Chelsea, 2021)</w:t>
      </w:r>
      <w:r>
        <w:rPr>
          <w:rFonts w:asciiTheme="majorHAnsi" w:hAnsiTheme="majorHAnsi" w:cstheme="majorHAnsi"/>
          <w:color w:val="000000"/>
          <w:sz w:val="20"/>
          <w:szCs w:val="20"/>
          <w:shd w:val="clear" w:color="auto" w:fill="FFFFFF"/>
        </w:rPr>
        <w:t>.</w:t>
      </w:r>
    </w:p>
    <w:p w14:paraId="419F8439" w14:textId="77777777" w:rsidR="006108A9" w:rsidRPr="001A32C3" w:rsidRDefault="006108A9" w:rsidP="001A32C3">
      <w:pPr>
        <w:rPr>
          <w:rFonts w:asciiTheme="majorHAnsi" w:hAnsiTheme="majorHAnsi" w:cstheme="majorHAnsi"/>
          <w:sz w:val="20"/>
          <w:szCs w:val="20"/>
        </w:rPr>
      </w:pPr>
    </w:p>
    <w:p w14:paraId="43639EC5" w14:textId="25F1E01F" w:rsidR="00733CDC" w:rsidRPr="000B3773" w:rsidRDefault="00733CDC">
      <w:pPr>
        <w:rPr>
          <w:rFonts w:asciiTheme="majorHAnsi" w:hAnsiTheme="majorHAnsi" w:cstheme="majorHAnsi"/>
          <w:b/>
          <w:bCs/>
          <w:sz w:val="24"/>
          <w:szCs w:val="24"/>
          <w:u w:val="single"/>
        </w:rPr>
      </w:pPr>
      <w:r w:rsidRPr="000B3773">
        <w:rPr>
          <w:rFonts w:asciiTheme="majorHAnsi" w:hAnsiTheme="majorHAnsi" w:cstheme="majorHAnsi"/>
          <w:b/>
          <w:bCs/>
          <w:sz w:val="24"/>
          <w:szCs w:val="24"/>
          <w:u w:val="single"/>
        </w:rPr>
        <w:t>Slide 2-</w:t>
      </w:r>
    </w:p>
    <w:p w14:paraId="4B2FCA6C" w14:textId="4C396173" w:rsidR="00733CDC" w:rsidRDefault="00733CDC">
      <w:pPr>
        <w:rPr>
          <w:rFonts w:asciiTheme="majorHAnsi" w:hAnsiTheme="majorHAnsi" w:cstheme="majorHAnsi"/>
          <w:sz w:val="24"/>
          <w:szCs w:val="24"/>
        </w:rPr>
      </w:pPr>
      <w:r>
        <w:rPr>
          <w:rFonts w:asciiTheme="majorHAnsi" w:hAnsiTheme="majorHAnsi" w:cstheme="majorHAnsi"/>
          <w:sz w:val="24"/>
          <w:szCs w:val="24"/>
        </w:rPr>
        <w:t xml:space="preserve">Correct use of Manual Handling is very important because if not implemented properly then it can cause risk of injury to yourself or the patient. </w:t>
      </w:r>
    </w:p>
    <w:p w14:paraId="050198FD" w14:textId="1FA04F8F" w:rsidR="000B3773" w:rsidRDefault="008A27EA">
      <w:pPr>
        <w:rPr>
          <w:rFonts w:asciiTheme="majorHAnsi" w:hAnsiTheme="majorHAnsi" w:cstheme="majorHAnsi"/>
          <w:color w:val="000000"/>
          <w:sz w:val="20"/>
          <w:szCs w:val="20"/>
          <w:shd w:val="clear" w:color="auto" w:fill="FFFFFF"/>
        </w:rPr>
      </w:pPr>
      <w:r w:rsidRPr="009A452D">
        <w:rPr>
          <w:rFonts w:asciiTheme="majorHAnsi" w:hAnsiTheme="majorHAnsi" w:cstheme="majorHAnsi"/>
          <w:sz w:val="24"/>
          <w:szCs w:val="24"/>
          <w:shd w:val="clear" w:color="auto" w:fill="FFFFFF"/>
        </w:rPr>
        <w:t>What are the other benefits of manual handling training? Not only will manual handling training help increase employees’ awareness of risks involved with lifting, employees will recognise that that their welfare is top priority, and the course will lead to less people taking time off work due to injury</w:t>
      </w:r>
      <w:r w:rsidRPr="009A452D">
        <w:rPr>
          <w:rFonts w:asciiTheme="majorHAnsi" w:hAnsiTheme="majorHAnsi" w:cstheme="majorHAnsi"/>
          <w:sz w:val="20"/>
          <w:szCs w:val="20"/>
          <w:shd w:val="clear" w:color="auto" w:fill="FFFFFF"/>
        </w:rPr>
        <w:t>.</w:t>
      </w:r>
      <w:r w:rsidR="009A452D" w:rsidRPr="009A452D">
        <w:rPr>
          <w:rFonts w:asciiTheme="majorHAnsi" w:hAnsiTheme="majorHAnsi" w:cstheme="majorHAnsi"/>
          <w:color w:val="000000"/>
          <w:sz w:val="20"/>
          <w:szCs w:val="20"/>
          <w:shd w:val="clear" w:color="auto" w:fill="FFFFFF"/>
        </w:rPr>
        <w:t xml:space="preserve"> </w:t>
      </w:r>
      <w:r w:rsidR="009A452D" w:rsidRPr="009A452D">
        <w:rPr>
          <w:rFonts w:asciiTheme="majorHAnsi" w:hAnsiTheme="majorHAnsi" w:cstheme="majorHAnsi"/>
          <w:color w:val="000000"/>
          <w:sz w:val="20"/>
          <w:szCs w:val="20"/>
          <w:shd w:val="clear" w:color="auto" w:fill="FFFFFF"/>
        </w:rPr>
        <w:t>("Why do my employees need manual handling training? | imperative training", 2021)</w:t>
      </w:r>
    </w:p>
    <w:p w14:paraId="14829CF9" w14:textId="1E1B13BD" w:rsidR="006108A9" w:rsidRDefault="006108A9">
      <w:pPr>
        <w:rPr>
          <w:rFonts w:asciiTheme="majorHAnsi" w:hAnsiTheme="majorHAnsi" w:cstheme="majorHAnsi"/>
          <w:color w:val="000000"/>
          <w:sz w:val="24"/>
          <w:szCs w:val="24"/>
          <w:shd w:val="clear" w:color="auto" w:fill="FFFFFF"/>
        </w:rPr>
      </w:pPr>
      <w:r w:rsidRPr="006108A9">
        <w:rPr>
          <w:rFonts w:asciiTheme="majorHAnsi" w:hAnsiTheme="majorHAnsi" w:cstheme="majorHAnsi"/>
          <w:color w:val="000000"/>
          <w:sz w:val="24"/>
          <w:szCs w:val="24"/>
          <w:shd w:val="clear" w:color="auto" w:fill="FFFFFF"/>
        </w:rPr>
        <w:t xml:space="preserve">Employees </w:t>
      </w:r>
      <w:r>
        <w:rPr>
          <w:rFonts w:asciiTheme="majorHAnsi" w:hAnsiTheme="majorHAnsi" w:cstheme="majorHAnsi"/>
          <w:color w:val="000000"/>
          <w:sz w:val="24"/>
          <w:szCs w:val="24"/>
          <w:shd w:val="clear" w:color="auto" w:fill="FFFFFF"/>
        </w:rPr>
        <w:t xml:space="preserve">also have a duty to ensure that they follow the correct guidelines and policies when it comes to Manual Handling </w:t>
      </w:r>
      <w:r w:rsidR="00DA56BB">
        <w:rPr>
          <w:rFonts w:asciiTheme="majorHAnsi" w:hAnsiTheme="majorHAnsi" w:cstheme="majorHAnsi"/>
          <w:color w:val="000000"/>
          <w:sz w:val="24"/>
          <w:szCs w:val="24"/>
          <w:shd w:val="clear" w:color="auto" w:fill="FFFFFF"/>
        </w:rPr>
        <w:t>for their own safety. They must follow procedures and policies that have been put in place by the employer and ensuring that they are using the equipment needed correctly.</w:t>
      </w:r>
    </w:p>
    <w:p w14:paraId="7ABA9CC6" w14:textId="77FBDE0D" w:rsidR="00733CDC" w:rsidRPr="000B3773" w:rsidRDefault="00733CDC">
      <w:pPr>
        <w:rPr>
          <w:rFonts w:asciiTheme="majorHAnsi" w:hAnsiTheme="majorHAnsi" w:cstheme="majorHAnsi"/>
          <w:b/>
          <w:bCs/>
          <w:sz w:val="20"/>
          <w:szCs w:val="20"/>
        </w:rPr>
      </w:pPr>
      <w:r w:rsidRPr="000B3773">
        <w:rPr>
          <w:rFonts w:asciiTheme="majorHAnsi" w:hAnsiTheme="majorHAnsi" w:cstheme="majorHAnsi"/>
          <w:b/>
          <w:bCs/>
          <w:sz w:val="24"/>
          <w:szCs w:val="24"/>
          <w:u w:val="single"/>
        </w:rPr>
        <w:t>Slide 3-</w:t>
      </w:r>
    </w:p>
    <w:p w14:paraId="5B5D4B65" w14:textId="77738E84" w:rsidR="00733CDC" w:rsidRPr="009A452D" w:rsidRDefault="00733CDC">
      <w:pPr>
        <w:rPr>
          <w:rFonts w:asciiTheme="majorHAnsi" w:hAnsiTheme="majorHAnsi" w:cstheme="majorHAnsi"/>
          <w:color w:val="000000"/>
          <w:sz w:val="20"/>
          <w:szCs w:val="20"/>
          <w:shd w:val="clear" w:color="auto" w:fill="FFFFFF"/>
        </w:rPr>
      </w:pPr>
      <w:r w:rsidRPr="008A27EA">
        <w:rPr>
          <w:rFonts w:asciiTheme="majorHAnsi" w:hAnsiTheme="majorHAnsi" w:cstheme="majorHAnsi"/>
          <w:sz w:val="24"/>
          <w:szCs w:val="24"/>
          <w:shd w:val="clear" w:color="auto" w:fill="FFFFFF"/>
        </w:rPr>
        <w:t xml:space="preserve">Employers also need to assess the risks of back and musculoskeletal disorders from a wide range of activities such as those which could involve bending or stooping for periods of time e.g. leg ulcer dressings - or handling part of a patient </w:t>
      </w:r>
      <w:proofErr w:type="gramStart"/>
      <w:r w:rsidRPr="008A27EA">
        <w:rPr>
          <w:rFonts w:asciiTheme="majorHAnsi" w:hAnsiTheme="majorHAnsi" w:cstheme="majorHAnsi"/>
          <w:sz w:val="24"/>
          <w:szCs w:val="24"/>
          <w:shd w:val="clear" w:color="auto" w:fill="FFFFFF"/>
        </w:rPr>
        <w:t>e.g.</w:t>
      </w:r>
      <w:proofErr w:type="gramEnd"/>
      <w:r w:rsidRPr="008A27EA">
        <w:rPr>
          <w:rFonts w:asciiTheme="majorHAnsi" w:hAnsiTheme="majorHAnsi" w:cstheme="majorHAnsi"/>
          <w:sz w:val="24"/>
          <w:szCs w:val="24"/>
          <w:shd w:val="clear" w:color="auto" w:fill="FFFFFF"/>
        </w:rPr>
        <w:t xml:space="preserve"> a limb being prepared for surgery in a theatre environment</w:t>
      </w:r>
      <w:r w:rsidRPr="009A452D">
        <w:rPr>
          <w:rFonts w:asciiTheme="majorHAnsi" w:hAnsiTheme="majorHAnsi" w:cstheme="majorHAnsi"/>
          <w:sz w:val="20"/>
          <w:szCs w:val="20"/>
          <w:shd w:val="clear" w:color="auto" w:fill="FFFFFF"/>
        </w:rPr>
        <w:t>.</w:t>
      </w:r>
      <w:r w:rsidRPr="009A452D">
        <w:rPr>
          <w:rFonts w:asciiTheme="majorHAnsi" w:hAnsiTheme="majorHAnsi" w:cstheme="majorHAnsi"/>
          <w:sz w:val="20"/>
          <w:szCs w:val="20"/>
          <w:shd w:val="clear" w:color="auto" w:fill="FFFFFF"/>
        </w:rPr>
        <w:t xml:space="preserve"> </w:t>
      </w:r>
      <w:r w:rsidR="008A27EA" w:rsidRPr="009A452D">
        <w:rPr>
          <w:rFonts w:asciiTheme="majorHAnsi" w:hAnsiTheme="majorHAnsi" w:cstheme="majorHAnsi"/>
          <w:sz w:val="20"/>
          <w:szCs w:val="20"/>
          <w:shd w:val="clear" w:color="auto" w:fill="FFFFFF"/>
        </w:rPr>
        <w:t xml:space="preserve">("Moving and handling | Advice guides | Royal </w:t>
      </w:r>
      <w:r w:rsidR="008A27EA" w:rsidRPr="009A452D">
        <w:rPr>
          <w:rFonts w:asciiTheme="majorHAnsi" w:hAnsiTheme="majorHAnsi" w:cstheme="majorHAnsi"/>
          <w:color w:val="000000"/>
          <w:sz w:val="20"/>
          <w:szCs w:val="20"/>
          <w:shd w:val="clear" w:color="auto" w:fill="FFFFFF"/>
        </w:rPr>
        <w:t>College of Nursing", 2021)</w:t>
      </w:r>
      <w:r w:rsidR="008A27EA" w:rsidRPr="009A452D">
        <w:rPr>
          <w:rFonts w:asciiTheme="majorHAnsi" w:hAnsiTheme="majorHAnsi" w:cstheme="majorHAnsi"/>
          <w:color w:val="000000"/>
          <w:sz w:val="20"/>
          <w:szCs w:val="20"/>
          <w:shd w:val="clear" w:color="auto" w:fill="FFFFFF"/>
        </w:rPr>
        <w:t xml:space="preserve"> </w:t>
      </w:r>
    </w:p>
    <w:p w14:paraId="1E69653F" w14:textId="06119832" w:rsidR="008A27EA" w:rsidRPr="008A27EA" w:rsidRDefault="008A27EA" w:rsidP="008A27EA">
      <w:pPr>
        <w:shd w:val="clear" w:color="auto" w:fill="FFFFFF"/>
        <w:spacing w:after="240" w:line="240" w:lineRule="auto"/>
        <w:textAlignment w:val="baseline"/>
        <w:rPr>
          <w:rFonts w:asciiTheme="majorHAnsi" w:eastAsia="Times New Roman" w:hAnsiTheme="majorHAnsi" w:cstheme="majorHAnsi"/>
          <w:color w:val="222222"/>
          <w:spacing w:val="-3"/>
          <w:sz w:val="24"/>
          <w:szCs w:val="24"/>
          <w:lang w:eastAsia="en-GB"/>
        </w:rPr>
      </w:pPr>
      <w:r w:rsidRPr="009A452D">
        <w:rPr>
          <w:rFonts w:asciiTheme="majorHAnsi" w:eastAsia="Times New Roman" w:hAnsiTheme="majorHAnsi" w:cstheme="majorHAnsi"/>
          <w:color w:val="222222"/>
          <w:spacing w:val="-3"/>
          <w:sz w:val="24"/>
          <w:szCs w:val="24"/>
          <w:lang w:eastAsia="en-GB"/>
        </w:rPr>
        <w:t>T</w:t>
      </w:r>
      <w:r w:rsidRPr="008A27EA">
        <w:rPr>
          <w:rFonts w:asciiTheme="majorHAnsi" w:eastAsia="Times New Roman" w:hAnsiTheme="majorHAnsi" w:cstheme="majorHAnsi"/>
          <w:color w:val="222222"/>
          <w:spacing w:val="-3"/>
          <w:sz w:val="24"/>
          <w:szCs w:val="24"/>
          <w:lang w:eastAsia="en-GB"/>
        </w:rPr>
        <w:t>he regulations state that an employer must:</w:t>
      </w:r>
    </w:p>
    <w:p w14:paraId="4C5DE8EB" w14:textId="77777777" w:rsidR="008A27EA" w:rsidRPr="008A27EA" w:rsidRDefault="008A27EA" w:rsidP="008A27EA">
      <w:pPr>
        <w:numPr>
          <w:ilvl w:val="0"/>
          <w:numId w:val="1"/>
        </w:numPr>
        <w:shd w:val="clear" w:color="auto" w:fill="FFFFFF"/>
        <w:spacing w:after="0" w:line="240" w:lineRule="auto"/>
        <w:textAlignment w:val="baseline"/>
        <w:rPr>
          <w:rFonts w:asciiTheme="majorHAnsi" w:eastAsia="Times New Roman" w:hAnsiTheme="majorHAnsi" w:cstheme="majorHAnsi"/>
          <w:color w:val="222222"/>
          <w:spacing w:val="-3"/>
          <w:sz w:val="24"/>
          <w:szCs w:val="24"/>
          <w:lang w:eastAsia="en-GB"/>
        </w:rPr>
      </w:pPr>
      <w:r w:rsidRPr="008A27EA">
        <w:rPr>
          <w:rFonts w:asciiTheme="majorHAnsi" w:eastAsia="Times New Roman" w:hAnsiTheme="majorHAnsi" w:cstheme="majorHAnsi"/>
          <w:b/>
          <w:bCs/>
          <w:color w:val="222222"/>
          <w:spacing w:val="-3"/>
          <w:sz w:val="24"/>
          <w:szCs w:val="24"/>
          <w:bdr w:val="none" w:sz="0" w:space="0" w:color="auto" w:frame="1"/>
          <w:lang w:eastAsia="en-GB"/>
        </w:rPr>
        <w:t>Avoid</w:t>
      </w:r>
      <w:r w:rsidRPr="008A27EA">
        <w:rPr>
          <w:rFonts w:asciiTheme="majorHAnsi" w:eastAsia="Times New Roman" w:hAnsiTheme="majorHAnsi" w:cstheme="majorHAnsi"/>
          <w:color w:val="222222"/>
          <w:spacing w:val="-3"/>
          <w:sz w:val="24"/>
          <w:szCs w:val="24"/>
          <w:bdr w:val="none" w:sz="0" w:space="0" w:color="auto" w:frame="1"/>
          <w:lang w:eastAsia="en-GB"/>
        </w:rPr>
        <w:t> </w:t>
      </w:r>
      <w:r w:rsidRPr="008A27EA">
        <w:rPr>
          <w:rFonts w:asciiTheme="majorHAnsi" w:eastAsia="Times New Roman" w:hAnsiTheme="majorHAnsi" w:cstheme="majorHAnsi"/>
          <w:color w:val="222222"/>
          <w:spacing w:val="-3"/>
          <w:sz w:val="24"/>
          <w:szCs w:val="24"/>
          <w:lang w:eastAsia="en-GB"/>
        </w:rPr>
        <w:t>the need for hazardous manual handling, so far as is reasonably practicable</w:t>
      </w:r>
    </w:p>
    <w:p w14:paraId="49BD60B4" w14:textId="77777777" w:rsidR="008A27EA" w:rsidRPr="008A27EA" w:rsidRDefault="008A27EA" w:rsidP="008A27EA">
      <w:pPr>
        <w:numPr>
          <w:ilvl w:val="0"/>
          <w:numId w:val="1"/>
        </w:numPr>
        <w:shd w:val="clear" w:color="auto" w:fill="FFFFFF"/>
        <w:spacing w:after="0" w:line="240" w:lineRule="auto"/>
        <w:textAlignment w:val="baseline"/>
        <w:rPr>
          <w:rFonts w:asciiTheme="majorHAnsi" w:eastAsia="Times New Roman" w:hAnsiTheme="majorHAnsi" w:cstheme="majorHAnsi"/>
          <w:color w:val="222222"/>
          <w:spacing w:val="-3"/>
          <w:sz w:val="24"/>
          <w:szCs w:val="24"/>
          <w:lang w:eastAsia="en-GB"/>
        </w:rPr>
      </w:pPr>
      <w:r w:rsidRPr="008A27EA">
        <w:rPr>
          <w:rFonts w:asciiTheme="majorHAnsi" w:eastAsia="Times New Roman" w:hAnsiTheme="majorHAnsi" w:cstheme="majorHAnsi"/>
          <w:b/>
          <w:bCs/>
          <w:color w:val="222222"/>
          <w:spacing w:val="-3"/>
          <w:sz w:val="24"/>
          <w:szCs w:val="24"/>
          <w:bdr w:val="none" w:sz="0" w:space="0" w:color="auto" w:frame="1"/>
          <w:lang w:eastAsia="en-GB"/>
        </w:rPr>
        <w:t>Assess</w:t>
      </w:r>
      <w:r w:rsidRPr="008A27EA">
        <w:rPr>
          <w:rFonts w:asciiTheme="majorHAnsi" w:eastAsia="Times New Roman" w:hAnsiTheme="majorHAnsi" w:cstheme="majorHAnsi"/>
          <w:color w:val="222222"/>
          <w:spacing w:val="-3"/>
          <w:sz w:val="24"/>
          <w:szCs w:val="24"/>
          <w:bdr w:val="none" w:sz="0" w:space="0" w:color="auto" w:frame="1"/>
          <w:lang w:eastAsia="en-GB"/>
        </w:rPr>
        <w:t> </w:t>
      </w:r>
      <w:r w:rsidRPr="008A27EA">
        <w:rPr>
          <w:rFonts w:asciiTheme="majorHAnsi" w:eastAsia="Times New Roman" w:hAnsiTheme="majorHAnsi" w:cstheme="majorHAnsi"/>
          <w:color w:val="222222"/>
          <w:spacing w:val="-3"/>
          <w:sz w:val="24"/>
          <w:szCs w:val="24"/>
          <w:lang w:eastAsia="en-GB"/>
        </w:rPr>
        <w:t>the risk of injury from any manual handling task that cannot be avoided</w:t>
      </w:r>
    </w:p>
    <w:p w14:paraId="0133B15C" w14:textId="77777777" w:rsidR="008A27EA" w:rsidRPr="008A27EA" w:rsidRDefault="008A27EA" w:rsidP="008A27EA">
      <w:pPr>
        <w:numPr>
          <w:ilvl w:val="0"/>
          <w:numId w:val="1"/>
        </w:numPr>
        <w:shd w:val="clear" w:color="auto" w:fill="FFFFFF"/>
        <w:spacing w:after="0" w:line="240" w:lineRule="auto"/>
        <w:textAlignment w:val="baseline"/>
        <w:rPr>
          <w:rFonts w:asciiTheme="majorHAnsi" w:eastAsia="Times New Roman" w:hAnsiTheme="majorHAnsi" w:cstheme="majorHAnsi"/>
          <w:color w:val="222222"/>
          <w:spacing w:val="-3"/>
          <w:sz w:val="24"/>
          <w:szCs w:val="24"/>
          <w:lang w:eastAsia="en-GB"/>
        </w:rPr>
      </w:pPr>
      <w:r w:rsidRPr="008A27EA">
        <w:rPr>
          <w:rFonts w:asciiTheme="majorHAnsi" w:eastAsia="Times New Roman" w:hAnsiTheme="majorHAnsi" w:cstheme="majorHAnsi"/>
          <w:b/>
          <w:bCs/>
          <w:color w:val="222222"/>
          <w:spacing w:val="-3"/>
          <w:sz w:val="24"/>
          <w:szCs w:val="24"/>
          <w:bdr w:val="none" w:sz="0" w:space="0" w:color="auto" w:frame="1"/>
          <w:lang w:eastAsia="en-GB"/>
        </w:rPr>
        <w:t>Reduce</w:t>
      </w:r>
      <w:r w:rsidRPr="008A27EA">
        <w:rPr>
          <w:rFonts w:asciiTheme="majorHAnsi" w:eastAsia="Times New Roman" w:hAnsiTheme="majorHAnsi" w:cstheme="majorHAnsi"/>
          <w:color w:val="222222"/>
          <w:spacing w:val="-3"/>
          <w:sz w:val="24"/>
          <w:szCs w:val="24"/>
          <w:bdr w:val="none" w:sz="0" w:space="0" w:color="auto" w:frame="1"/>
          <w:lang w:eastAsia="en-GB"/>
        </w:rPr>
        <w:t> </w:t>
      </w:r>
      <w:r w:rsidRPr="008A27EA">
        <w:rPr>
          <w:rFonts w:asciiTheme="majorHAnsi" w:eastAsia="Times New Roman" w:hAnsiTheme="majorHAnsi" w:cstheme="majorHAnsi"/>
          <w:color w:val="222222"/>
          <w:spacing w:val="-3"/>
          <w:sz w:val="24"/>
          <w:szCs w:val="24"/>
          <w:lang w:eastAsia="en-GB"/>
        </w:rPr>
        <w:t>the risk of injury from manual handling, so far as is reasonably practicable.</w:t>
      </w:r>
    </w:p>
    <w:p w14:paraId="45A7F472" w14:textId="77777777" w:rsidR="000B3773" w:rsidRDefault="009A452D">
      <w:pPr>
        <w:rPr>
          <w:rFonts w:asciiTheme="majorHAnsi" w:hAnsiTheme="majorHAnsi" w:cstheme="majorHAnsi"/>
          <w:color w:val="000000"/>
          <w:sz w:val="20"/>
          <w:szCs w:val="20"/>
          <w:shd w:val="clear" w:color="auto" w:fill="FFFFFF"/>
        </w:rPr>
      </w:pPr>
      <w:r w:rsidRPr="009A452D">
        <w:rPr>
          <w:rFonts w:asciiTheme="majorHAnsi" w:hAnsiTheme="majorHAnsi" w:cstheme="majorHAnsi"/>
          <w:color w:val="000000"/>
          <w:sz w:val="20"/>
          <w:szCs w:val="20"/>
          <w:shd w:val="clear" w:color="auto" w:fill="FFFFFF"/>
        </w:rPr>
        <w:t>(</w:t>
      </w:r>
      <w:r>
        <w:rPr>
          <w:rFonts w:asciiTheme="majorHAnsi" w:hAnsiTheme="majorHAnsi" w:cstheme="majorHAnsi"/>
          <w:color w:val="000000"/>
          <w:sz w:val="20"/>
          <w:szCs w:val="20"/>
          <w:shd w:val="clear" w:color="auto" w:fill="FFFFFF"/>
        </w:rPr>
        <w:t>The Health and Safety Executives, 2020)</w:t>
      </w:r>
    </w:p>
    <w:p w14:paraId="7F8959A8" w14:textId="02425448" w:rsidR="00733CDC" w:rsidRPr="000B3773" w:rsidRDefault="00C23355">
      <w:pPr>
        <w:rPr>
          <w:rFonts w:asciiTheme="majorHAnsi" w:hAnsiTheme="majorHAnsi" w:cstheme="majorHAnsi"/>
          <w:b/>
          <w:bCs/>
          <w:color w:val="000000"/>
          <w:sz w:val="20"/>
          <w:szCs w:val="20"/>
          <w:shd w:val="clear" w:color="auto" w:fill="FFFFFF"/>
        </w:rPr>
      </w:pPr>
      <w:r w:rsidRPr="000B3773">
        <w:rPr>
          <w:rFonts w:asciiTheme="majorHAnsi" w:hAnsiTheme="majorHAnsi" w:cstheme="majorHAnsi"/>
          <w:b/>
          <w:bCs/>
          <w:sz w:val="24"/>
          <w:szCs w:val="24"/>
          <w:u w:val="single"/>
        </w:rPr>
        <w:t xml:space="preserve">Slide 4- </w:t>
      </w:r>
    </w:p>
    <w:p w14:paraId="5C798E49" w14:textId="7954A16C" w:rsidR="00C23355" w:rsidRDefault="00C23355">
      <w:pPr>
        <w:rPr>
          <w:rFonts w:asciiTheme="majorHAnsi" w:hAnsiTheme="majorHAnsi" w:cstheme="majorHAnsi"/>
          <w:sz w:val="24"/>
          <w:szCs w:val="24"/>
        </w:rPr>
      </w:pPr>
      <w:r>
        <w:rPr>
          <w:rFonts w:asciiTheme="majorHAnsi" w:hAnsiTheme="majorHAnsi" w:cstheme="majorHAnsi"/>
          <w:sz w:val="24"/>
          <w:szCs w:val="24"/>
        </w:rPr>
        <w:lastRenderedPageBreak/>
        <w:t>There are a huge variety of equipment used when it comes to using manual handling within the healthcare sector.</w:t>
      </w:r>
    </w:p>
    <w:p w14:paraId="12F544C2" w14:textId="77777777" w:rsidR="00C23355" w:rsidRPr="00C23355" w:rsidRDefault="00C23355" w:rsidP="00C23355">
      <w:pPr>
        <w:spacing w:after="240" w:line="240" w:lineRule="auto"/>
        <w:textAlignment w:val="baseline"/>
        <w:rPr>
          <w:rFonts w:asciiTheme="majorHAnsi" w:eastAsia="Times New Roman" w:hAnsiTheme="majorHAnsi" w:cstheme="majorHAnsi"/>
          <w:color w:val="111111"/>
          <w:sz w:val="24"/>
          <w:szCs w:val="24"/>
          <w:lang w:eastAsia="en-GB"/>
        </w:rPr>
      </w:pPr>
      <w:r w:rsidRPr="00C23355">
        <w:rPr>
          <w:rFonts w:asciiTheme="majorHAnsi" w:eastAsia="Times New Roman" w:hAnsiTheme="majorHAnsi" w:cstheme="majorHAnsi"/>
          <w:color w:val="111111"/>
          <w:sz w:val="24"/>
          <w:szCs w:val="24"/>
          <w:lang w:eastAsia="en-GB"/>
        </w:rPr>
        <w:t>The type and amount of equipment needed will vary according to the specific needs of care service users. When providing equipment, providers should consider:</w:t>
      </w:r>
    </w:p>
    <w:p w14:paraId="665B935A" w14:textId="77777777" w:rsidR="00C23355" w:rsidRPr="00C23355" w:rsidRDefault="00C23355" w:rsidP="00C23355">
      <w:pPr>
        <w:numPr>
          <w:ilvl w:val="0"/>
          <w:numId w:val="2"/>
        </w:numPr>
        <w:spacing w:after="0" w:line="240" w:lineRule="auto"/>
        <w:ind w:left="870"/>
        <w:textAlignment w:val="baseline"/>
        <w:rPr>
          <w:rFonts w:asciiTheme="majorHAnsi" w:eastAsia="Times New Roman" w:hAnsiTheme="majorHAnsi" w:cstheme="majorHAnsi"/>
          <w:color w:val="111111"/>
          <w:sz w:val="24"/>
          <w:szCs w:val="24"/>
          <w:lang w:eastAsia="en-GB"/>
        </w:rPr>
      </w:pPr>
      <w:r w:rsidRPr="00C23355">
        <w:rPr>
          <w:rFonts w:asciiTheme="majorHAnsi" w:eastAsia="Times New Roman" w:hAnsiTheme="majorHAnsi" w:cstheme="majorHAnsi"/>
          <w:color w:val="111111"/>
          <w:sz w:val="24"/>
          <w:szCs w:val="24"/>
          <w:lang w:eastAsia="en-GB"/>
        </w:rPr>
        <w:t>the needs of the individual – helping to maintain, wherever possible, independence</w:t>
      </w:r>
    </w:p>
    <w:p w14:paraId="6230CB78" w14:textId="023B4A76" w:rsidR="00C23355" w:rsidRDefault="00C23355" w:rsidP="00C23355">
      <w:pPr>
        <w:numPr>
          <w:ilvl w:val="0"/>
          <w:numId w:val="2"/>
        </w:numPr>
        <w:spacing w:after="0" w:line="240" w:lineRule="auto"/>
        <w:ind w:left="870"/>
        <w:textAlignment w:val="baseline"/>
        <w:rPr>
          <w:rFonts w:asciiTheme="majorHAnsi" w:eastAsia="Times New Roman" w:hAnsiTheme="majorHAnsi" w:cstheme="majorHAnsi"/>
          <w:color w:val="111111"/>
          <w:sz w:val="24"/>
          <w:szCs w:val="24"/>
          <w:lang w:eastAsia="en-GB"/>
        </w:rPr>
      </w:pPr>
      <w:r w:rsidRPr="00C23355">
        <w:rPr>
          <w:rFonts w:asciiTheme="majorHAnsi" w:eastAsia="Times New Roman" w:hAnsiTheme="majorHAnsi" w:cstheme="majorHAnsi"/>
          <w:color w:val="111111"/>
          <w:sz w:val="24"/>
          <w:szCs w:val="24"/>
          <w:lang w:eastAsia="en-GB"/>
        </w:rPr>
        <w:t>the safety of the individual and staff </w:t>
      </w:r>
    </w:p>
    <w:p w14:paraId="37A451E8" w14:textId="77777777" w:rsidR="00C23355" w:rsidRDefault="00C23355" w:rsidP="00C23355">
      <w:pPr>
        <w:spacing w:after="0" w:line="240" w:lineRule="auto"/>
        <w:textAlignment w:val="baseline"/>
        <w:rPr>
          <w:rFonts w:asciiTheme="majorHAnsi" w:eastAsia="Times New Roman" w:hAnsiTheme="majorHAnsi" w:cstheme="majorHAnsi"/>
          <w:color w:val="111111"/>
          <w:sz w:val="24"/>
          <w:szCs w:val="24"/>
          <w:lang w:eastAsia="en-GB"/>
        </w:rPr>
      </w:pPr>
    </w:p>
    <w:p w14:paraId="714417BB" w14:textId="2280EF50" w:rsidR="00C23355" w:rsidRDefault="00C23355" w:rsidP="00C23355">
      <w:pPr>
        <w:spacing w:after="0" w:line="240" w:lineRule="auto"/>
        <w:textAlignment w:val="baseline"/>
        <w:rPr>
          <w:rFonts w:asciiTheme="majorHAnsi" w:eastAsia="Times New Roman" w:hAnsiTheme="majorHAnsi" w:cstheme="majorHAnsi"/>
          <w:color w:val="111111"/>
          <w:sz w:val="24"/>
          <w:szCs w:val="24"/>
          <w:lang w:eastAsia="en-GB"/>
        </w:rPr>
      </w:pPr>
      <w:r>
        <w:rPr>
          <w:rFonts w:asciiTheme="majorHAnsi" w:eastAsia="Times New Roman" w:hAnsiTheme="majorHAnsi" w:cstheme="majorHAnsi"/>
          <w:color w:val="111111"/>
          <w:sz w:val="24"/>
          <w:szCs w:val="24"/>
          <w:lang w:eastAsia="en-GB"/>
        </w:rPr>
        <w:t xml:space="preserve">The types of equipment used both in the hospital and in the patients, home can include- </w:t>
      </w:r>
    </w:p>
    <w:p w14:paraId="610B1BED" w14:textId="77777777" w:rsidR="00C23355" w:rsidRPr="00C23355" w:rsidRDefault="00C23355" w:rsidP="00C23355">
      <w:pPr>
        <w:spacing w:after="0" w:line="240" w:lineRule="auto"/>
        <w:textAlignment w:val="baseline"/>
        <w:rPr>
          <w:rFonts w:asciiTheme="majorHAnsi" w:eastAsia="Times New Roman" w:hAnsiTheme="majorHAnsi" w:cstheme="majorHAnsi"/>
          <w:color w:val="111111"/>
          <w:sz w:val="24"/>
          <w:szCs w:val="24"/>
          <w:lang w:eastAsia="en-GB"/>
        </w:rPr>
      </w:pPr>
    </w:p>
    <w:p w14:paraId="4213DE5E"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Hoists </w:t>
      </w:r>
    </w:p>
    <w:p w14:paraId="0F46880E"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Glide sheets </w:t>
      </w:r>
    </w:p>
    <w:p w14:paraId="1FDE34A4"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Steady</w:t>
      </w:r>
    </w:p>
    <w:p w14:paraId="2A9629DB"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Bath hoists/lifts </w:t>
      </w:r>
    </w:p>
    <w:p w14:paraId="5DD08BD3"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Slings </w:t>
      </w:r>
    </w:p>
    <w:p w14:paraId="2491129E"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Transfer boards </w:t>
      </w:r>
    </w:p>
    <w:p w14:paraId="6C83FFA0"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Wheelchairs </w:t>
      </w:r>
    </w:p>
    <w:p w14:paraId="1EF2A13A"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Handling belts</w:t>
      </w:r>
    </w:p>
    <w:p w14:paraId="5D1FEA89"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Lifting cushions </w:t>
      </w:r>
    </w:p>
    <w:p w14:paraId="2C757A03"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Bed levers </w:t>
      </w:r>
    </w:p>
    <w:p w14:paraId="31D6A2AD" w14:textId="77777777" w:rsidR="00C23355" w:rsidRPr="00300843" w:rsidRDefault="00C23355" w:rsidP="00300843">
      <w:pPr>
        <w:pStyle w:val="ListParagraph"/>
        <w:numPr>
          <w:ilvl w:val="0"/>
          <w:numId w:val="8"/>
        </w:numPr>
        <w:rPr>
          <w:rFonts w:asciiTheme="majorHAnsi" w:hAnsiTheme="majorHAnsi" w:cstheme="majorHAnsi"/>
          <w:sz w:val="24"/>
          <w:szCs w:val="24"/>
        </w:rPr>
      </w:pPr>
      <w:r w:rsidRPr="00300843">
        <w:rPr>
          <w:rFonts w:asciiTheme="majorHAnsi" w:hAnsiTheme="majorHAnsi" w:cstheme="majorHAnsi"/>
          <w:sz w:val="24"/>
          <w:szCs w:val="24"/>
        </w:rPr>
        <w:t xml:space="preserve">Walking aids </w:t>
      </w:r>
    </w:p>
    <w:p w14:paraId="233D2860" w14:textId="77777777" w:rsidR="000B3773" w:rsidRDefault="00C23355">
      <w:pPr>
        <w:rPr>
          <w:rFonts w:asciiTheme="majorHAnsi" w:hAnsiTheme="majorHAnsi" w:cstheme="majorHAnsi"/>
          <w:sz w:val="24"/>
          <w:szCs w:val="24"/>
        </w:rPr>
      </w:pPr>
      <w:r w:rsidRPr="00C23355">
        <w:rPr>
          <w:rFonts w:asciiTheme="majorHAnsi" w:hAnsiTheme="majorHAnsi" w:cstheme="majorHAnsi"/>
          <w:sz w:val="24"/>
          <w:szCs w:val="24"/>
        </w:rPr>
        <w:t>("Moving and handling in health and social care: Moving and handling equipment", 2021)</w:t>
      </w:r>
    </w:p>
    <w:p w14:paraId="111A418C" w14:textId="2167B951" w:rsidR="00733CDC" w:rsidRPr="000B3773" w:rsidRDefault="00AF3B5F">
      <w:pPr>
        <w:rPr>
          <w:rFonts w:asciiTheme="majorHAnsi" w:hAnsiTheme="majorHAnsi" w:cstheme="majorHAnsi"/>
          <w:sz w:val="24"/>
          <w:szCs w:val="24"/>
        </w:rPr>
      </w:pPr>
      <w:r w:rsidRPr="000B3773">
        <w:rPr>
          <w:rFonts w:asciiTheme="majorHAnsi" w:hAnsiTheme="majorHAnsi" w:cstheme="majorHAnsi"/>
          <w:b/>
          <w:bCs/>
          <w:sz w:val="24"/>
          <w:szCs w:val="24"/>
          <w:u w:val="single"/>
        </w:rPr>
        <w:t>Slide 5-</w:t>
      </w:r>
    </w:p>
    <w:p w14:paraId="0FD7F5CA" w14:textId="6EC3FB34" w:rsidR="00AF3B5F" w:rsidRDefault="00AF3B5F">
      <w:pPr>
        <w:rPr>
          <w:rFonts w:asciiTheme="majorHAnsi" w:hAnsiTheme="majorHAnsi" w:cstheme="majorHAnsi"/>
          <w:sz w:val="24"/>
          <w:szCs w:val="24"/>
        </w:rPr>
      </w:pPr>
      <w:r>
        <w:rPr>
          <w:rFonts w:asciiTheme="majorHAnsi" w:hAnsiTheme="majorHAnsi" w:cstheme="majorHAnsi"/>
          <w:sz w:val="24"/>
          <w:szCs w:val="24"/>
        </w:rPr>
        <w:t xml:space="preserve">When utilising Manual Handling it is important be aware of the risks associated with this. </w:t>
      </w:r>
    </w:p>
    <w:p w14:paraId="54B233D8" w14:textId="51347FEF" w:rsidR="00AF3B5F" w:rsidRDefault="00AF3B5F">
      <w:pPr>
        <w:rPr>
          <w:rFonts w:asciiTheme="majorHAnsi" w:hAnsiTheme="majorHAnsi" w:cstheme="majorHAnsi"/>
          <w:sz w:val="24"/>
          <w:szCs w:val="24"/>
        </w:rPr>
      </w:pPr>
      <w:r>
        <w:rPr>
          <w:rFonts w:asciiTheme="majorHAnsi" w:hAnsiTheme="majorHAnsi" w:cstheme="majorHAnsi"/>
          <w:sz w:val="24"/>
          <w:szCs w:val="24"/>
        </w:rPr>
        <w:t xml:space="preserve">Manual Handling can cause injury to both you and the patient if not implemented safely, for example injuries </w:t>
      </w:r>
      <w:r w:rsidR="00300843">
        <w:rPr>
          <w:rFonts w:asciiTheme="majorHAnsi" w:hAnsiTheme="majorHAnsi" w:cstheme="majorHAnsi"/>
          <w:sz w:val="24"/>
          <w:szCs w:val="24"/>
        </w:rPr>
        <w:t xml:space="preserve">can include- </w:t>
      </w:r>
    </w:p>
    <w:p w14:paraId="661CC592" w14:textId="4A0E7C13" w:rsidR="00300843" w:rsidRDefault="00300843" w:rsidP="00300843">
      <w:pPr>
        <w:pStyle w:val="ListParagraph"/>
        <w:numPr>
          <w:ilvl w:val="0"/>
          <w:numId w:val="6"/>
        </w:numPr>
        <w:rPr>
          <w:rFonts w:asciiTheme="majorHAnsi" w:hAnsiTheme="majorHAnsi" w:cstheme="majorHAnsi"/>
          <w:sz w:val="24"/>
          <w:szCs w:val="24"/>
        </w:rPr>
      </w:pPr>
      <w:r>
        <w:rPr>
          <w:rFonts w:asciiTheme="majorHAnsi" w:hAnsiTheme="majorHAnsi" w:cstheme="majorHAnsi"/>
          <w:sz w:val="24"/>
          <w:szCs w:val="24"/>
        </w:rPr>
        <w:t xml:space="preserve">Bank injuries </w:t>
      </w:r>
    </w:p>
    <w:p w14:paraId="28BAB753" w14:textId="10BB6859" w:rsidR="00300843" w:rsidRDefault="00300843" w:rsidP="00300843">
      <w:pPr>
        <w:pStyle w:val="ListParagraph"/>
        <w:numPr>
          <w:ilvl w:val="0"/>
          <w:numId w:val="6"/>
        </w:numPr>
        <w:rPr>
          <w:rFonts w:asciiTheme="majorHAnsi" w:hAnsiTheme="majorHAnsi" w:cstheme="majorHAnsi"/>
          <w:sz w:val="24"/>
          <w:szCs w:val="24"/>
        </w:rPr>
      </w:pPr>
      <w:r>
        <w:rPr>
          <w:rFonts w:asciiTheme="majorHAnsi" w:hAnsiTheme="majorHAnsi" w:cstheme="majorHAnsi"/>
          <w:sz w:val="24"/>
          <w:szCs w:val="24"/>
        </w:rPr>
        <w:t>Hand/foot injuries</w:t>
      </w:r>
    </w:p>
    <w:p w14:paraId="009ED170" w14:textId="1AB2BE6A" w:rsidR="00300843" w:rsidRDefault="00300843" w:rsidP="00300843">
      <w:pPr>
        <w:pStyle w:val="ListParagraph"/>
        <w:numPr>
          <w:ilvl w:val="0"/>
          <w:numId w:val="6"/>
        </w:numPr>
        <w:rPr>
          <w:rFonts w:asciiTheme="majorHAnsi" w:hAnsiTheme="majorHAnsi" w:cstheme="majorHAnsi"/>
          <w:sz w:val="24"/>
          <w:szCs w:val="24"/>
        </w:rPr>
      </w:pPr>
      <w:r>
        <w:rPr>
          <w:rFonts w:asciiTheme="majorHAnsi" w:hAnsiTheme="majorHAnsi" w:cstheme="majorHAnsi"/>
          <w:sz w:val="24"/>
          <w:szCs w:val="24"/>
        </w:rPr>
        <w:t>Strains and sprains</w:t>
      </w:r>
    </w:p>
    <w:p w14:paraId="563FA07A" w14:textId="3EE51150" w:rsidR="00300843" w:rsidRDefault="00300843" w:rsidP="00300843">
      <w:pPr>
        <w:pStyle w:val="ListParagraph"/>
        <w:numPr>
          <w:ilvl w:val="0"/>
          <w:numId w:val="6"/>
        </w:numPr>
        <w:rPr>
          <w:rFonts w:asciiTheme="majorHAnsi" w:hAnsiTheme="majorHAnsi" w:cstheme="majorHAnsi"/>
          <w:sz w:val="24"/>
          <w:szCs w:val="24"/>
        </w:rPr>
      </w:pPr>
      <w:r>
        <w:rPr>
          <w:rFonts w:asciiTheme="majorHAnsi" w:hAnsiTheme="majorHAnsi" w:cstheme="majorHAnsi"/>
          <w:sz w:val="24"/>
          <w:szCs w:val="24"/>
        </w:rPr>
        <w:t>Musculoskeletal injuries</w:t>
      </w:r>
    </w:p>
    <w:p w14:paraId="74D5FCB5" w14:textId="05656ED3" w:rsidR="00300843" w:rsidRDefault="00300843" w:rsidP="00300843">
      <w:pPr>
        <w:pStyle w:val="ListParagraph"/>
        <w:numPr>
          <w:ilvl w:val="0"/>
          <w:numId w:val="6"/>
        </w:numPr>
        <w:rPr>
          <w:rFonts w:asciiTheme="majorHAnsi" w:hAnsiTheme="majorHAnsi" w:cstheme="majorHAnsi"/>
          <w:sz w:val="24"/>
          <w:szCs w:val="24"/>
        </w:rPr>
      </w:pPr>
      <w:r>
        <w:rPr>
          <w:rFonts w:asciiTheme="majorHAnsi" w:hAnsiTheme="majorHAnsi" w:cstheme="majorHAnsi"/>
          <w:sz w:val="24"/>
          <w:szCs w:val="24"/>
        </w:rPr>
        <w:t>Slip and falls</w:t>
      </w:r>
    </w:p>
    <w:p w14:paraId="1AFEC328" w14:textId="0773B85B" w:rsidR="00300843" w:rsidRPr="00300843" w:rsidRDefault="00300843" w:rsidP="00300843">
      <w:pPr>
        <w:pStyle w:val="ListParagraph"/>
        <w:numPr>
          <w:ilvl w:val="0"/>
          <w:numId w:val="6"/>
        </w:numPr>
        <w:rPr>
          <w:rFonts w:asciiTheme="majorHAnsi" w:hAnsiTheme="majorHAnsi" w:cstheme="majorHAnsi"/>
          <w:sz w:val="24"/>
          <w:szCs w:val="24"/>
        </w:rPr>
      </w:pPr>
      <w:r>
        <w:rPr>
          <w:rFonts w:asciiTheme="majorHAnsi" w:hAnsiTheme="majorHAnsi" w:cstheme="majorHAnsi"/>
          <w:sz w:val="24"/>
          <w:szCs w:val="24"/>
        </w:rPr>
        <w:t xml:space="preserve">Chronic pain </w:t>
      </w:r>
    </w:p>
    <w:p w14:paraId="440F328A" w14:textId="1612C05C" w:rsidR="00300843" w:rsidRDefault="00AF3B5F" w:rsidP="00AF3B5F">
      <w:pPr>
        <w:rPr>
          <w:rFonts w:asciiTheme="majorHAnsi" w:hAnsiTheme="majorHAnsi" w:cstheme="majorHAnsi"/>
          <w:sz w:val="24"/>
          <w:szCs w:val="24"/>
        </w:rPr>
      </w:pPr>
      <w:r w:rsidRPr="00AF3B5F">
        <w:rPr>
          <w:rFonts w:asciiTheme="majorHAnsi" w:hAnsiTheme="majorHAnsi" w:cstheme="majorHAnsi"/>
          <w:sz w:val="24"/>
          <w:szCs w:val="24"/>
        </w:rPr>
        <w:t>According to the Nursing Times, research shows an estimated one-third of all reported accidents in healthcare settings result from moving and handling, and approximately 40% of all sickness absences in the health service are attributed to moving and handling accidents (Department of Health, 2002). Some 80,000 nurses sustain back injuries at work each year (National Audit Office, 2003). ("Manual Handling 1- assisted stand", 2008)</w:t>
      </w:r>
      <w:r w:rsidR="00300843">
        <w:rPr>
          <w:rFonts w:asciiTheme="majorHAnsi" w:hAnsiTheme="majorHAnsi" w:cstheme="majorHAnsi"/>
          <w:sz w:val="24"/>
          <w:szCs w:val="24"/>
        </w:rPr>
        <w:t>.</w:t>
      </w:r>
    </w:p>
    <w:p w14:paraId="6915A901" w14:textId="77777777" w:rsidR="00300843" w:rsidRPr="00300843" w:rsidRDefault="00300843" w:rsidP="00300843">
      <w:pPr>
        <w:pStyle w:val="NormalWeb"/>
        <w:spacing w:after="0" w:afterAutospacing="0"/>
        <w:rPr>
          <w:rFonts w:asciiTheme="majorHAnsi" w:hAnsiTheme="majorHAnsi" w:cstheme="majorHAnsi"/>
          <w:color w:val="191919"/>
        </w:rPr>
      </w:pPr>
      <w:r w:rsidRPr="00300843">
        <w:rPr>
          <w:rFonts w:asciiTheme="majorHAnsi" w:hAnsiTheme="majorHAnsi" w:cstheme="majorHAnsi"/>
          <w:color w:val="191919"/>
        </w:rPr>
        <w:t xml:space="preserve">Manual handling is work where you have to lift, lower, push, pull, carry, move, </w:t>
      </w:r>
      <w:proofErr w:type="gramStart"/>
      <w:r w:rsidRPr="00300843">
        <w:rPr>
          <w:rFonts w:asciiTheme="majorHAnsi" w:hAnsiTheme="majorHAnsi" w:cstheme="majorHAnsi"/>
          <w:color w:val="191919"/>
        </w:rPr>
        <w:t>hold</w:t>
      </w:r>
      <w:proofErr w:type="gramEnd"/>
      <w:r w:rsidRPr="00300843">
        <w:rPr>
          <w:rFonts w:asciiTheme="majorHAnsi" w:hAnsiTheme="majorHAnsi" w:cstheme="majorHAnsi"/>
          <w:color w:val="191919"/>
        </w:rPr>
        <w:t xml:space="preserve"> or restrain something. It’s hazardous manual handling if it involves:</w:t>
      </w:r>
    </w:p>
    <w:p w14:paraId="7F016C3E" w14:textId="77777777" w:rsidR="00300843" w:rsidRPr="00300843" w:rsidRDefault="00300843" w:rsidP="00300843">
      <w:pPr>
        <w:pStyle w:val="checklistitem"/>
        <w:numPr>
          <w:ilvl w:val="0"/>
          <w:numId w:val="7"/>
        </w:numPr>
        <w:shd w:val="clear" w:color="auto" w:fill="FFFFFF"/>
        <w:spacing w:before="0" w:beforeAutospacing="0" w:after="0" w:afterAutospacing="0"/>
        <w:rPr>
          <w:rFonts w:asciiTheme="majorHAnsi" w:hAnsiTheme="majorHAnsi" w:cstheme="majorHAnsi"/>
          <w:color w:val="191919"/>
        </w:rPr>
      </w:pPr>
      <w:r w:rsidRPr="00300843">
        <w:rPr>
          <w:rStyle w:val="checklistcontent"/>
          <w:rFonts w:asciiTheme="majorHAnsi" w:hAnsiTheme="majorHAnsi" w:cstheme="majorHAnsi"/>
          <w:color w:val="191919"/>
        </w:rPr>
        <w:t>repeated, sustained or high force</w:t>
      </w:r>
    </w:p>
    <w:p w14:paraId="74A28167" w14:textId="77777777" w:rsidR="00300843" w:rsidRPr="00300843" w:rsidRDefault="00300843" w:rsidP="00300843">
      <w:pPr>
        <w:pStyle w:val="checklistitem"/>
        <w:numPr>
          <w:ilvl w:val="0"/>
          <w:numId w:val="7"/>
        </w:numPr>
        <w:shd w:val="clear" w:color="auto" w:fill="FFFFFF"/>
        <w:spacing w:after="0" w:afterAutospacing="0"/>
        <w:rPr>
          <w:rFonts w:asciiTheme="majorHAnsi" w:hAnsiTheme="majorHAnsi" w:cstheme="majorHAnsi"/>
          <w:color w:val="191919"/>
        </w:rPr>
      </w:pPr>
      <w:r w:rsidRPr="00300843">
        <w:rPr>
          <w:rStyle w:val="checklistcontent"/>
          <w:rFonts w:asciiTheme="majorHAnsi" w:hAnsiTheme="majorHAnsi" w:cstheme="majorHAnsi"/>
          <w:color w:val="191919"/>
        </w:rPr>
        <w:lastRenderedPageBreak/>
        <w:t>sustained awkward posture</w:t>
      </w:r>
    </w:p>
    <w:p w14:paraId="194B486D" w14:textId="77777777" w:rsidR="00300843" w:rsidRPr="00300843" w:rsidRDefault="00300843" w:rsidP="00300843">
      <w:pPr>
        <w:pStyle w:val="checklistitem"/>
        <w:numPr>
          <w:ilvl w:val="0"/>
          <w:numId w:val="7"/>
        </w:numPr>
        <w:shd w:val="clear" w:color="auto" w:fill="FFFFFF"/>
        <w:spacing w:after="0" w:afterAutospacing="0"/>
        <w:rPr>
          <w:rFonts w:asciiTheme="majorHAnsi" w:hAnsiTheme="majorHAnsi" w:cstheme="majorHAnsi"/>
          <w:color w:val="191919"/>
        </w:rPr>
      </w:pPr>
      <w:r w:rsidRPr="00300843">
        <w:rPr>
          <w:rStyle w:val="checklistcontent"/>
          <w:rFonts w:asciiTheme="majorHAnsi" w:hAnsiTheme="majorHAnsi" w:cstheme="majorHAnsi"/>
          <w:color w:val="191919"/>
        </w:rPr>
        <w:t>repetitive movements</w:t>
      </w:r>
    </w:p>
    <w:p w14:paraId="782648BF" w14:textId="77777777" w:rsidR="00300843" w:rsidRPr="00300843" w:rsidRDefault="00300843" w:rsidP="00300843">
      <w:pPr>
        <w:pStyle w:val="checklistitem"/>
        <w:numPr>
          <w:ilvl w:val="0"/>
          <w:numId w:val="7"/>
        </w:numPr>
        <w:shd w:val="clear" w:color="auto" w:fill="FFFFFF"/>
        <w:spacing w:after="0" w:afterAutospacing="0"/>
        <w:rPr>
          <w:rFonts w:asciiTheme="majorHAnsi" w:hAnsiTheme="majorHAnsi" w:cstheme="majorHAnsi"/>
          <w:color w:val="191919"/>
        </w:rPr>
      </w:pPr>
      <w:r w:rsidRPr="00300843">
        <w:rPr>
          <w:rStyle w:val="checklistcontent"/>
          <w:rFonts w:asciiTheme="majorHAnsi" w:hAnsiTheme="majorHAnsi" w:cstheme="majorHAnsi"/>
          <w:color w:val="191919"/>
        </w:rPr>
        <w:t>exposure to sustained vibration</w:t>
      </w:r>
    </w:p>
    <w:p w14:paraId="6FC1CEB4" w14:textId="77777777" w:rsidR="00300843" w:rsidRPr="00300843" w:rsidRDefault="00300843" w:rsidP="00300843">
      <w:pPr>
        <w:pStyle w:val="checklistitem"/>
        <w:numPr>
          <w:ilvl w:val="0"/>
          <w:numId w:val="7"/>
        </w:numPr>
        <w:shd w:val="clear" w:color="auto" w:fill="FFFFFF"/>
        <w:spacing w:after="0" w:afterAutospacing="0"/>
        <w:rPr>
          <w:rFonts w:asciiTheme="majorHAnsi" w:hAnsiTheme="majorHAnsi" w:cstheme="majorHAnsi"/>
          <w:color w:val="191919"/>
        </w:rPr>
      </w:pPr>
      <w:r w:rsidRPr="00300843">
        <w:rPr>
          <w:rStyle w:val="checklistcontent"/>
          <w:rFonts w:asciiTheme="majorHAnsi" w:hAnsiTheme="majorHAnsi" w:cstheme="majorHAnsi"/>
          <w:color w:val="191919"/>
        </w:rPr>
        <w:t>handling people or animals</w:t>
      </w:r>
    </w:p>
    <w:p w14:paraId="089EB83B" w14:textId="77777777" w:rsidR="000B3773" w:rsidRDefault="00300843" w:rsidP="000B3773">
      <w:pPr>
        <w:pStyle w:val="checklistitem"/>
        <w:numPr>
          <w:ilvl w:val="0"/>
          <w:numId w:val="7"/>
        </w:numPr>
        <w:shd w:val="clear" w:color="auto" w:fill="FFFFFF"/>
        <w:spacing w:after="0" w:afterAutospacing="0"/>
        <w:rPr>
          <w:rStyle w:val="checklistcontent"/>
          <w:rFonts w:asciiTheme="majorHAnsi" w:hAnsiTheme="majorHAnsi" w:cstheme="majorHAnsi"/>
          <w:color w:val="191919"/>
        </w:rPr>
      </w:pPr>
      <w:r w:rsidRPr="00300843">
        <w:rPr>
          <w:rStyle w:val="checklistcontent"/>
          <w:rFonts w:asciiTheme="majorHAnsi" w:hAnsiTheme="majorHAnsi" w:cstheme="majorHAnsi"/>
          <w:color w:val="191919"/>
        </w:rPr>
        <w:t xml:space="preserve">loads that are unstable, </w:t>
      </w:r>
      <w:proofErr w:type="gramStart"/>
      <w:r w:rsidRPr="00300843">
        <w:rPr>
          <w:rStyle w:val="checklistcontent"/>
          <w:rFonts w:asciiTheme="majorHAnsi" w:hAnsiTheme="majorHAnsi" w:cstheme="majorHAnsi"/>
          <w:color w:val="191919"/>
        </w:rPr>
        <w:t>unbalanced</w:t>
      </w:r>
      <w:proofErr w:type="gramEnd"/>
      <w:r w:rsidRPr="00300843">
        <w:rPr>
          <w:rStyle w:val="checklistcontent"/>
          <w:rFonts w:asciiTheme="majorHAnsi" w:hAnsiTheme="majorHAnsi" w:cstheme="majorHAnsi"/>
          <w:color w:val="191919"/>
        </w:rPr>
        <w:t xml:space="preserve"> or hard to hold</w:t>
      </w:r>
    </w:p>
    <w:p w14:paraId="4056FC3D" w14:textId="4C0E775D" w:rsidR="000B3773" w:rsidRDefault="00300843" w:rsidP="000B3773">
      <w:pPr>
        <w:pStyle w:val="checklistitem"/>
        <w:shd w:val="clear" w:color="auto" w:fill="FFFFFF"/>
        <w:spacing w:after="0" w:afterAutospacing="0"/>
        <w:ind w:left="360"/>
        <w:rPr>
          <w:rFonts w:asciiTheme="majorHAnsi" w:hAnsiTheme="majorHAnsi" w:cstheme="majorHAnsi"/>
          <w:color w:val="000000"/>
          <w:sz w:val="20"/>
          <w:szCs w:val="20"/>
          <w:shd w:val="clear" w:color="auto" w:fill="FFFFFF"/>
        </w:rPr>
      </w:pPr>
      <w:r w:rsidRPr="000B3773">
        <w:rPr>
          <w:rFonts w:ascii="Arial" w:hAnsi="Arial" w:cs="Arial"/>
          <w:color w:val="000000"/>
          <w:sz w:val="20"/>
          <w:szCs w:val="20"/>
          <w:shd w:val="clear" w:color="auto" w:fill="FFFFFF"/>
        </w:rPr>
        <w:t>(</w:t>
      </w:r>
      <w:r w:rsidRPr="000B3773">
        <w:rPr>
          <w:rFonts w:asciiTheme="majorHAnsi" w:hAnsiTheme="majorHAnsi" w:cstheme="majorHAnsi"/>
          <w:color w:val="000000"/>
          <w:sz w:val="20"/>
          <w:szCs w:val="20"/>
          <w:shd w:val="clear" w:color="auto" w:fill="FFFFFF"/>
        </w:rPr>
        <w:t>Hazardous manual handling: Safety basics - WorkSafe, 2021)</w:t>
      </w:r>
    </w:p>
    <w:p w14:paraId="62061302" w14:textId="31D80291" w:rsidR="000B3773" w:rsidRDefault="000B3773" w:rsidP="000B3773">
      <w:pPr>
        <w:pStyle w:val="checklistitem"/>
        <w:shd w:val="clear" w:color="auto" w:fill="FFFFFF"/>
        <w:spacing w:after="0" w:afterAutospacing="0"/>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Risk assessments are put in place to prevent Injuries such as stated above, </w:t>
      </w:r>
      <w:r w:rsidR="006108A9">
        <w:rPr>
          <w:rFonts w:asciiTheme="majorHAnsi" w:hAnsiTheme="majorHAnsi" w:cstheme="majorHAnsi"/>
          <w:color w:val="000000"/>
          <w:shd w:val="clear" w:color="auto" w:fill="FFFFFF"/>
        </w:rPr>
        <w:t>and all assessments should be carried out by a qualified and competent individual within this field.</w:t>
      </w:r>
    </w:p>
    <w:p w14:paraId="46E739C2" w14:textId="77777777" w:rsidR="006108A9" w:rsidRDefault="006108A9" w:rsidP="000B3773">
      <w:pPr>
        <w:pStyle w:val="checklistitem"/>
        <w:shd w:val="clear" w:color="auto" w:fill="FFFFFF"/>
        <w:spacing w:after="0" w:afterAutospacing="0"/>
        <w:rPr>
          <w:rFonts w:asciiTheme="majorHAnsi" w:hAnsiTheme="majorHAnsi" w:cstheme="majorHAnsi"/>
          <w:color w:val="000000"/>
          <w:shd w:val="clear" w:color="auto" w:fill="FFFFFF"/>
        </w:rPr>
      </w:pPr>
    </w:p>
    <w:p w14:paraId="7EA47E06" w14:textId="77777777" w:rsidR="006108A9" w:rsidRPr="006108A9" w:rsidRDefault="006108A9" w:rsidP="006108A9">
      <w:pPr>
        <w:shd w:val="clear" w:color="auto" w:fill="FFFFFF"/>
        <w:spacing w:after="240" w:line="240" w:lineRule="auto"/>
        <w:textAlignment w:val="baseline"/>
        <w:rPr>
          <w:rFonts w:asciiTheme="majorHAnsi" w:eastAsia="Times New Roman" w:hAnsiTheme="majorHAnsi" w:cstheme="majorHAnsi"/>
          <w:spacing w:val="-3"/>
          <w:sz w:val="24"/>
          <w:szCs w:val="24"/>
          <w:lang w:eastAsia="en-GB"/>
        </w:rPr>
      </w:pPr>
      <w:r w:rsidRPr="006108A9">
        <w:rPr>
          <w:rFonts w:asciiTheme="majorHAnsi" w:eastAsia="Times New Roman" w:hAnsiTheme="majorHAnsi" w:cstheme="majorHAnsi"/>
          <w:spacing w:val="-3"/>
          <w:sz w:val="24"/>
          <w:szCs w:val="24"/>
          <w:lang w:eastAsia="en-GB"/>
        </w:rPr>
        <w:t xml:space="preserve">Risk assessment is a straightforward and structured method of ensuring the risks to the health, safety and wellbeing of employees (and others) are suitably eliminated, reduced or </w:t>
      </w:r>
      <w:proofErr w:type="gramStart"/>
      <w:r w:rsidRPr="006108A9">
        <w:rPr>
          <w:rFonts w:asciiTheme="majorHAnsi" w:eastAsia="Times New Roman" w:hAnsiTheme="majorHAnsi" w:cstheme="majorHAnsi"/>
          <w:spacing w:val="-3"/>
          <w:sz w:val="24"/>
          <w:szCs w:val="24"/>
          <w:lang w:eastAsia="en-GB"/>
        </w:rPr>
        <w:t>controlled</w:t>
      </w:r>
      <w:proofErr w:type="gramEnd"/>
    </w:p>
    <w:p w14:paraId="078395C2" w14:textId="77777777" w:rsidR="006108A9" w:rsidRPr="006108A9" w:rsidRDefault="006108A9" w:rsidP="006108A9">
      <w:pPr>
        <w:shd w:val="clear" w:color="auto" w:fill="FFFFFF"/>
        <w:spacing w:after="240" w:line="240" w:lineRule="auto"/>
        <w:textAlignment w:val="baseline"/>
        <w:rPr>
          <w:rFonts w:asciiTheme="majorHAnsi" w:eastAsia="Times New Roman" w:hAnsiTheme="majorHAnsi" w:cstheme="majorHAnsi"/>
          <w:spacing w:val="-3"/>
          <w:sz w:val="24"/>
          <w:szCs w:val="24"/>
          <w:lang w:eastAsia="en-GB"/>
        </w:rPr>
      </w:pPr>
      <w:r w:rsidRPr="006108A9">
        <w:rPr>
          <w:rFonts w:asciiTheme="majorHAnsi" w:eastAsia="Times New Roman" w:hAnsiTheme="majorHAnsi" w:cstheme="majorHAnsi"/>
          <w:spacing w:val="-3"/>
          <w:sz w:val="24"/>
          <w:szCs w:val="24"/>
          <w:lang w:eastAsia="en-GB"/>
        </w:rPr>
        <w:t xml:space="preserve">The main purpose of risk assessments </w:t>
      </w:r>
      <w:proofErr w:type="gramStart"/>
      <w:r w:rsidRPr="006108A9">
        <w:rPr>
          <w:rFonts w:asciiTheme="majorHAnsi" w:eastAsia="Times New Roman" w:hAnsiTheme="majorHAnsi" w:cstheme="majorHAnsi"/>
          <w:spacing w:val="-3"/>
          <w:sz w:val="24"/>
          <w:szCs w:val="24"/>
          <w:lang w:eastAsia="en-GB"/>
        </w:rPr>
        <w:t>are</w:t>
      </w:r>
      <w:proofErr w:type="gramEnd"/>
      <w:r w:rsidRPr="006108A9">
        <w:rPr>
          <w:rFonts w:asciiTheme="majorHAnsi" w:eastAsia="Times New Roman" w:hAnsiTheme="majorHAnsi" w:cstheme="majorHAnsi"/>
          <w:spacing w:val="-3"/>
          <w:sz w:val="24"/>
          <w:szCs w:val="24"/>
          <w:lang w:eastAsia="en-GB"/>
        </w:rPr>
        <w:t>:</w:t>
      </w:r>
    </w:p>
    <w:p w14:paraId="5E14E467" w14:textId="77777777" w:rsidR="006108A9" w:rsidRPr="006108A9" w:rsidRDefault="006108A9" w:rsidP="006108A9">
      <w:pPr>
        <w:numPr>
          <w:ilvl w:val="0"/>
          <w:numId w:val="9"/>
        </w:numPr>
        <w:shd w:val="clear" w:color="auto" w:fill="FFFFFF"/>
        <w:spacing w:after="0" w:line="240" w:lineRule="auto"/>
        <w:textAlignment w:val="baseline"/>
        <w:rPr>
          <w:rFonts w:asciiTheme="majorHAnsi" w:eastAsia="Times New Roman" w:hAnsiTheme="majorHAnsi" w:cstheme="majorHAnsi"/>
          <w:spacing w:val="-3"/>
          <w:sz w:val="24"/>
          <w:szCs w:val="24"/>
          <w:lang w:eastAsia="en-GB"/>
        </w:rPr>
      </w:pPr>
      <w:r w:rsidRPr="006108A9">
        <w:rPr>
          <w:rFonts w:asciiTheme="majorHAnsi" w:eastAsia="Times New Roman" w:hAnsiTheme="majorHAnsi" w:cstheme="majorHAnsi"/>
          <w:spacing w:val="-3"/>
          <w:sz w:val="24"/>
          <w:szCs w:val="24"/>
          <w:lang w:eastAsia="en-GB"/>
        </w:rPr>
        <w:t>To identify health and safety hazards and evaluate the risks presented within the workplace</w:t>
      </w:r>
    </w:p>
    <w:p w14:paraId="628B34B5" w14:textId="77777777" w:rsidR="006108A9" w:rsidRPr="006108A9" w:rsidRDefault="006108A9" w:rsidP="006108A9">
      <w:pPr>
        <w:numPr>
          <w:ilvl w:val="0"/>
          <w:numId w:val="9"/>
        </w:numPr>
        <w:shd w:val="clear" w:color="auto" w:fill="FFFFFF"/>
        <w:spacing w:after="0" w:line="240" w:lineRule="auto"/>
        <w:textAlignment w:val="baseline"/>
        <w:rPr>
          <w:rFonts w:asciiTheme="majorHAnsi" w:eastAsia="Times New Roman" w:hAnsiTheme="majorHAnsi" w:cstheme="majorHAnsi"/>
          <w:spacing w:val="-3"/>
          <w:sz w:val="24"/>
          <w:szCs w:val="24"/>
          <w:lang w:eastAsia="en-GB"/>
        </w:rPr>
      </w:pPr>
      <w:r w:rsidRPr="006108A9">
        <w:rPr>
          <w:rFonts w:asciiTheme="majorHAnsi" w:eastAsia="Times New Roman" w:hAnsiTheme="majorHAnsi" w:cstheme="majorHAnsi"/>
          <w:spacing w:val="-3"/>
          <w:sz w:val="24"/>
          <w:szCs w:val="24"/>
          <w:lang w:eastAsia="en-GB"/>
        </w:rPr>
        <w:t>To evaluate the effectiveness and suitability of existing control measures</w:t>
      </w:r>
    </w:p>
    <w:p w14:paraId="1171F62C" w14:textId="77777777" w:rsidR="006108A9" w:rsidRPr="006108A9" w:rsidRDefault="006108A9" w:rsidP="006108A9">
      <w:pPr>
        <w:numPr>
          <w:ilvl w:val="0"/>
          <w:numId w:val="9"/>
        </w:numPr>
        <w:shd w:val="clear" w:color="auto" w:fill="FFFFFF"/>
        <w:spacing w:after="0" w:line="240" w:lineRule="auto"/>
        <w:textAlignment w:val="baseline"/>
        <w:rPr>
          <w:rFonts w:asciiTheme="majorHAnsi" w:eastAsia="Times New Roman" w:hAnsiTheme="majorHAnsi" w:cstheme="majorHAnsi"/>
          <w:spacing w:val="-3"/>
          <w:sz w:val="24"/>
          <w:szCs w:val="24"/>
          <w:lang w:eastAsia="en-GB"/>
        </w:rPr>
      </w:pPr>
      <w:r w:rsidRPr="006108A9">
        <w:rPr>
          <w:rFonts w:asciiTheme="majorHAnsi" w:eastAsia="Times New Roman" w:hAnsiTheme="majorHAnsi" w:cstheme="majorHAnsi"/>
          <w:spacing w:val="-3"/>
          <w:sz w:val="24"/>
          <w:szCs w:val="24"/>
          <w:lang w:eastAsia="en-GB"/>
        </w:rPr>
        <w:t>To ensure additional controls (including procedural) are implemented wherever the remaining risk is considered to be anything other than low.</w:t>
      </w:r>
    </w:p>
    <w:p w14:paraId="5BFDB778" w14:textId="77777777" w:rsidR="006108A9" w:rsidRPr="006108A9" w:rsidRDefault="006108A9" w:rsidP="006108A9">
      <w:pPr>
        <w:numPr>
          <w:ilvl w:val="0"/>
          <w:numId w:val="9"/>
        </w:numPr>
        <w:shd w:val="clear" w:color="auto" w:fill="FFFFFF"/>
        <w:spacing w:after="0" w:line="240" w:lineRule="auto"/>
        <w:textAlignment w:val="baseline"/>
        <w:rPr>
          <w:rFonts w:asciiTheme="majorHAnsi" w:eastAsia="Times New Roman" w:hAnsiTheme="majorHAnsi" w:cstheme="majorHAnsi"/>
          <w:spacing w:val="-3"/>
          <w:sz w:val="24"/>
          <w:szCs w:val="24"/>
          <w:lang w:eastAsia="en-GB"/>
        </w:rPr>
      </w:pPr>
      <w:r w:rsidRPr="006108A9">
        <w:rPr>
          <w:rFonts w:asciiTheme="majorHAnsi" w:eastAsia="Times New Roman" w:hAnsiTheme="majorHAnsi" w:cstheme="majorHAnsi"/>
          <w:spacing w:val="-3"/>
          <w:sz w:val="24"/>
          <w:szCs w:val="24"/>
          <w:lang w:eastAsia="en-GB"/>
        </w:rPr>
        <w:t>To prioritise further resources if needed to ensure the above.</w:t>
      </w:r>
    </w:p>
    <w:p w14:paraId="5EF4A46F" w14:textId="60D7B933" w:rsidR="00DA56BB" w:rsidRDefault="006108A9" w:rsidP="00DA56BB">
      <w:pPr>
        <w:pStyle w:val="checklistitem"/>
        <w:shd w:val="clear" w:color="auto" w:fill="FFFFFF"/>
        <w:spacing w:after="0" w:afterAutospacing="0"/>
        <w:rPr>
          <w:rFonts w:asciiTheme="majorHAnsi" w:hAnsiTheme="majorHAnsi" w:cstheme="majorHAnsi"/>
        </w:rPr>
      </w:pPr>
      <w:r w:rsidRPr="006108A9">
        <w:rPr>
          <w:rFonts w:asciiTheme="majorHAnsi" w:hAnsiTheme="majorHAnsi" w:cstheme="majorHAnsi"/>
          <w:color w:val="000000"/>
          <w:sz w:val="20"/>
          <w:szCs w:val="20"/>
          <w:shd w:val="clear" w:color="auto" w:fill="FFFFFF"/>
        </w:rPr>
        <w:t>(Council, 2021)</w:t>
      </w:r>
    </w:p>
    <w:p w14:paraId="4EE8B41D" w14:textId="5052AD87" w:rsidR="00DA56BB" w:rsidRDefault="00DA56BB" w:rsidP="00DA56BB">
      <w:pPr>
        <w:pStyle w:val="checklistitem"/>
        <w:shd w:val="clear" w:color="auto" w:fill="FFFFFF"/>
        <w:spacing w:after="0" w:afterAutospacing="0"/>
        <w:rPr>
          <w:rFonts w:asciiTheme="majorHAnsi" w:hAnsiTheme="majorHAnsi" w:cstheme="majorHAnsi"/>
        </w:rPr>
      </w:pPr>
    </w:p>
    <w:p w14:paraId="0ED7EA97" w14:textId="710B98CF" w:rsidR="00DA56BB" w:rsidRPr="00DA56BB" w:rsidRDefault="00DA56BB" w:rsidP="00DA56BB">
      <w:pPr>
        <w:pStyle w:val="checklistitem"/>
        <w:shd w:val="clear" w:color="auto" w:fill="FFFFFF"/>
        <w:spacing w:after="0" w:afterAutospacing="0"/>
        <w:rPr>
          <w:rFonts w:asciiTheme="majorHAnsi" w:hAnsiTheme="majorHAnsi" w:cstheme="majorHAnsi"/>
          <w:u w:val="single"/>
        </w:rPr>
      </w:pPr>
      <w:r w:rsidRPr="00DA56BB">
        <w:rPr>
          <w:rFonts w:asciiTheme="majorHAnsi" w:hAnsiTheme="majorHAnsi" w:cstheme="majorHAnsi"/>
          <w:u w:val="single"/>
        </w:rPr>
        <w:t xml:space="preserve">Conclusion- </w:t>
      </w:r>
    </w:p>
    <w:p w14:paraId="64F24019" w14:textId="426BEA2A" w:rsidR="00DA56BB" w:rsidRPr="00DA56BB" w:rsidRDefault="00DA56BB" w:rsidP="00DA56BB">
      <w:pPr>
        <w:pStyle w:val="checklistitem"/>
        <w:shd w:val="clear" w:color="auto" w:fill="FFFFFF"/>
        <w:spacing w:after="0" w:afterAutospacing="0"/>
        <w:rPr>
          <w:rFonts w:asciiTheme="majorHAnsi" w:hAnsiTheme="majorHAnsi" w:cstheme="majorHAnsi"/>
        </w:rPr>
      </w:pPr>
      <w:r>
        <w:rPr>
          <w:rFonts w:asciiTheme="majorHAnsi" w:hAnsiTheme="majorHAnsi" w:cstheme="majorHAnsi"/>
        </w:rPr>
        <w:t>To summarise, the Health and Safety Act is an important piece of legislation and has been put in place to help improve risks associated with health and safety in work environments. The importance of correct use of Manual Handling in work is crucial, it can prevent risks</w:t>
      </w:r>
      <w:r w:rsidR="006D53C5">
        <w:rPr>
          <w:rFonts w:asciiTheme="majorHAnsi" w:hAnsiTheme="majorHAnsi" w:cstheme="majorHAnsi"/>
        </w:rPr>
        <w:t xml:space="preserve"> and improve patient and employee safety. </w:t>
      </w:r>
    </w:p>
    <w:p w14:paraId="5B0DB718" w14:textId="77777777" w:rsidR="000B3773" w:rsidRDefault="000B3773" w:rsidP="000B3773">
      <w:pPr>
        <w:pStyle w:val="checklistitem"/>
        <w:shd w:val="clear" w:color="auto" w:fill="FFFFFF"/>
        <w:spacing w:after="0" w:afterAutospacing="0"/>
        <w:ind w:left="360"/>
        <w:rPr>
          <w:rFonts w:asciiTheme="majorHAnsi" w:hAnsiTheme="majorHAnsi" w:cstheme="majorHAnsi"/>
          <w:color w:val="000000"/>
          <w:sz w:val="20"/>
          <w:szCs w:val="20"/>
          <w:shd w:val="clear" w:color="auto" w:fill="FFFFFF"/>
        </w:rPr>
      </w:pPr>
    </w:p>
    <w:p w14:paraId="09F28C8D" w14:textId="77777777" w:rsidR="000B3773" w:rsidRDefault="000B3773" w:rsidP="000B3773">
      <w:pPr>
        <w:pStyle w:val="checklistitem"/>
        <w:shd w:val="clear" w:color="auto" w:fill="FFFFFF"/>
        <w:spacing w:after="0" w:afterAutospacing="0"/>
        <w:ind w:left="360"/>
        <w:rPr>
          <w:rFonts w:asciiTheme="majorHAnsi" w:hAnsiTheme="majorHAnsi" w:cstheme="majorHAnsi"/>
          <w:color w:val="000000"/>
          <w:sz w:val="20"/>
          <w:szCs w:val="20"/>
          <w:shd w:val="clear" w:color="auto" w:fill="FFFFFF"/>
        </w:rPr>
      </w:pPr>
    </w:p>
    <w:p w14:paraId="5205E591" w14:textId="77777777" w:rsidR="000B3773" w:rsidRDefault="000B3773" w:rsidP="000B3773">
      <w:pPr>
        <w:pStyle w:val="checklistitem"/>
        <w:shd w:val="clear" w:color="auto" w:fill="FFFFFF"/>
        <w:spacing w:after="0" w:afterAutospacing="0"/>
        <w:ind w:left="360"/>
        <w:rPr>
          <w:rFonts w:asciiTheme="majorHAnsi" w:hAnsiTheme="majorHAnsi" w:cstheme="majorHAnsi"/>
          <w:color w:val="000000"/>
          <w:sz w:val="20"/>
          <w:szCs w:val="20"/>
          <w:shd w:val="clear" w:color="auto" w:fill="FFFFFF"/>
        </w:rPr>
      </w:pPr>
    </w:p>
    <w:p w14:paraId="36C42ED2" w14:textId="77777777" w:rsidR="000B3773" w:rsidRDefault="000B3773" w:rsidP="000B3773">
      <w:pPr>
        <w:pStyle w:val="checklistitem"/>
        <w:shd w:val="clear" w:color="auto" w:fill="FFFFFF"/>
        <w:spacing w:after="0" w:afterAutospacing="0"/>
        <w:ind w:left="360"/>
        <w:rPr>
          <w:rFonts w:asciiTheme="majorHAnsi" w:hAnsiTheme="majorHAnsi" w:cstheme="majorHAnsi"/>
          <w:color w:val="000000"/>
          <w:sz w:val="20"/>
          <w:szCs w:val="20"/>
          <w:shd w:val="clear" w:color="auto" w:fill="FFFFFF"/>
        </w:rPr>
      </w:pPr>
    </w:p>
    <w:p w14:paraId="61047429" w14:textId="72B893C7" w:rsidR="00733CDC" w:rsidRPr="00DA56BB" w:rsidRDefault="000B3773" w:rsidP="000B3773">
      <w:pPr>
        <w:pStyle w:val="checklistitem"/>
        <w:shd w:val="clear" w:color="auto" w:fill="FFFFFF"/>
        <w:spacing w:after="0" w:afterAutospacing="0"/>
        <w:rPr>
          <w:rFonts w:asciiTheme="majorHAnsi" w:hAnsiTheme="majorHAnsi" w:cstheme="majorHAnsi"/>
          <w:u w:val="single"/>
        </w:rPr>
      </w:pPr>
      <w:r w:rsidRPr="00DA56BB">
        <w:rPr>
          <w:rFonts w:asciiTheme="majorHAnsi" w:hAnsiTheme="majorHAnsi" w:cstheme="majorHAnsi"/>
          <w:u w:val="single"/>
        </w:rPr>
        <w:t xml:space="preserve">References- </w:t>
      </w:r>
    </w:p>
    <w:p w14:paraId="2E0A2EDB" w14:textId="77777777" w:rsidR="000B3773" w:rsidRPr="000B3773" w:rsidRDefault="000B3773" w:rsidP="000B3773">
      <w:pPr>
        <w:pStyle w:val="checklistitem"/>
        <w:shd w:val="clear" w:color="auto" w:fill="FFFFFF"/>
        <w:spacing w:after="0" w:afterAutospacing="0"/>
        <w:rPr>
          <w:rFonts w:asciiTheme="majorHAnsi" w:hAnsiTheme="majorHAnsi" w:cstheme="majorHAnsi"/>
          <w:color w:val="191919"/>
        </w:rPr>
      </w:pPr>
    </w:p>
    <w:p w14:paraId="2C2B3B0B" w14:textId="6CDF1FE1" w:rsidR="00733CDC" w:rsidRDefault="00733CDC">
      <w:pPr>
        <w:rPr>
          <w:rFonts w:asciiTheme="majorHAnsi" w:hAnsiTheme="majorHAnsi" w:cstheme="majorHAnsi"/>
          <w:color w:val="000000"/>
          <w:sz w:val="24"/>
          <w:szCs w:val="24"/>
          <w:shd w:val="clear" w:color="auto" w:fill="FFFFFF"/>
        </w:rPr>
      </w:pPr>
      <w:r w:rsidRPr="00733CDC">
        <w:rPr>
          <w:rFonts w:asciiTheme="majorHAnsi" w:hAnsiTheme="majorHAnsi" w:cstheme="majorHAnsi"/>
          <w:color w:val="000000"/>
          <w:sz w:val="24"/>
          <w:szCs w:val="24"/>
          <w:shd w:val="clear" w:color="auto" w:fill="FFFFFF"/>
        </w:rPr>
        <w:t xml:space="preserve">What is the Manual Handling Operations Regulations 1992? | </w:t>
      </w:r>
      <w:proofErr w:type="spellStart"/>
      <w:r w:rsidRPr="00733CDC">
        <w:rPr>
          <w:rFonts w:asciiTheme="majorHAnsi" w:hAnsiTheme="majorHAnsi" w:cstheme="majorHAnsi"/>
          <w:color w:val="000000"/>
          <w:sz w:val="24"/>
          <w:szCs w:val="24"/>
          <w:shd w:val="clear" w:color="auto" w:fill="FFFFFF"/>
        </w:rPr>
        <w:t>DeltaNet</w:t>
      </w:r>
      <w:proofErr w:type="spellEnd"/>
      <w:r w:rsidRPr="00733CDC">
        <w:rPr>
          <w:rFonts w:asciiTheme="majorHAnsi" w:hAnsiTheme="majorHAnsi" w:cstheme="majorHAnsi"/>
          <w:color w:val="000000"/>
          <w:sz w:val="24"/>
          <w:szCs w:val="24"/>
          <w:shd w:val="clear" w:color="auto" w:fill="FFFFFF"/>
        </w:rPr>
        <w:t xml:space="preserve">. (2021). Retrieved 26 March 2021, from </w:t>
      </w:r>
      <w:hyperlink r:id="rId5" w:history="1">
        <w:r w:rsidR="008A27EA" w:rsidRPr="00E113C4">
          <w:rPr>
            <w:rStyle w:val="Hyperlink"/>
            <w:rFonts w:asciiTheme="majorHAnsi" w:hAnsiTheme="majorHAnsi" w:cstheme="majorHAnsi"/>
            <w:sz w:val="24"/>
            <w:szCs w:val="24"/>
            <w:shd w:val="clear" w:color="auto" w:fill="FFFFFF"/>
          </w:rPr>
          <w:t>https://www.delta-net.com/health-and-safety/manual-handling/faqs/what-is-the-manual-handling-operations-regulations-1992</w:t>
        </w:r>
      </w:hyperlink>
    </w:p>
    <w:p w14:paraId="473256A8" w14:textId="6FA9BFC4" w:rsidR="008A27EA" w:rsidRDefault="008A27EA">
      <w:pPr>
        <w:rPr>
          <w:rFonts w:asciiTheme="majorHAnsi" w:hAnsiTheme="majorHAnsi" w:cstheme="majorHAnsi"/>
          <w:color w:val="000000"/>
          <w:sz w:val="24"/>
          <w:szCs w:val="24"/>
          <w:shd w:val="clear" w:color="auto" w:fill="FFFFFF"/>
        </w:rPr>
      </w:pPr>
      <w:r w:rsidRPr="008A27EA">
        <w:rPr>
          <w:rFonts w:asciiTheme="majorHAnsi" w:hAnsiTheme="majorHAnsi" w:cstheme="majorHAnsi"/>
          <w:color w:val="000000"/>
          <w:sz w:val="24"/>
          <w:szCs w:val="24"/>
          <w:shd w:val="clear" w:color="auto" w:fill="FFFFFF"/>
        </w:rPr>
        <w:lastRenderedPageBreak/>
        <w:t xml:space="preserve">Moving and handling | Advice guides | Royal College of Nursing. (2021). Retrieved 26 March 2021, from </w:t>
      </w:r>
      <w:hyperlink r:id="rId6" w:history="1">
        <w:r w:rsidRPr="008A27EA">
          <w:rPr>
            <w:rStyle w:val="Hyperlink"/>
            <w:rFonts w:asciiTheme="majorHAnsi" w:hAnsiTheme="majorHAnsi" w:cstheme="majorHAnsi"/>
            <w:sz w:val="24"/>
            <w:szCs w:val="24"/>
            <w:shd w:val="clear" w:color="auto" w:fill="FFFFFF"/>
          </w:rPr>
          <w:t>https://www.rcn.org.uk/get-help/rcn-advice/moving-and-handling</w:t>
        </w:r>
      </w:hyperlink>
    </w:p>
    <w:p w14:paraId="7500164B" w14:textId="4438700F" w:rsidR="009A452D" w:rsidRDefault="009A452D">
      <w:pPr>
        <w:rPr>
          <w:rFonts w:asciiTheme="majorHAnsi" w:hAnsiTheme="majorHAnsi" w:cstheme="majorHAnsi"/>
          <w:color w:val="000000"/>
          <w:sz w:val="24"/>
          <w:szCs w:val="24"/>
          <w:shd w:val="clear" w:color="auto" w:fill="FFFFFF"/>
        </w:rPr>
      </w:pPr>
      <w:r w:rsidRPr="009A452D">
        <w:rPr>
          <w:rFonts w:asciiTheme="majorHAnsi" w:hAnsiTheme="majorHAnsi" w:cstheme="majorHAnsi"/>
          <w:color w:val="000000"/>
          <w:sz w:val="24"/>
          <w:szCs w:val="24"/>
          <w:shd w:val="clear" w:color="auto" w:fill="FFFFFF"/>
        </w:rPr>
        <w:t xml:space="preserve">Manual handling at work: Overview - HSE. (2021). Retrieved 26 March 2021, from </w:t>
      </w:r>
      <w:hyperlink r:id="rId7" w:history="1">
        <w:r w:rsidRPr="009A452D">
          <w:rPr>
            <w:rStyle w:val="Hyperlink"/>
            <w:rFonts w:asciiTheme="majorHAnsi" w:hAnsiTheme="majorHAnsi" w:cstheme="majorHAnsi"/>
            <w:sz w:val="24"/>
            <w:szCs w:val="24"/>
            <w:shd w:val="clear" w:color="auto" w:fill="FFFFFF"/>
          </w:rPr>
          <w:t>https://www.hse.gov.uk/msd/manual-handling</w:t>
        </w:r>
      </w:hyperlink>
    </w:p>
    <w:p w14:paraId="0061EF13" w14:textId="77777777" w:rsidR="00C23355" w:rsidRPr="00C23355" w:rsidRDefault="00C23355" w:rsidP="00C23355">
      <w:pPr>
        <w:rPr>
          <w:rFonts w:asciiTheme="majorHAnsi" w:hAnsiTheme="majorHAnsi" w:cstheme="majorHAnsi"/>
          <w:color w:val="000000"/>
          <w:sz w:val="24"/>
          <w:szCs w:val="24"/>
          <w:shd w:val="clear" w:color="auto" w:fill="FFFFFF"/>
        </w:rPr>
      </w:pPr>
      <w:r w:rsidRPr="00C23355">
        <w:rPr>
          <w:rFonts w:asciiTheme="majorHAnsi" w:hAnsiTheme="majorHAnsi" w:cstheme="majorHAnsi"/>
          <w:color w:val="000000"/>
          <w:sz w:val="24"/>
          <w:szCs w:val="24"/>
          <w:shd w:val="clear" w:color="auto" w:fill="FFFFFF"/>
        </w:rPr>
        <w:t xml:space="preserve">Moving and handling in health and social care: Moving and handling equipment. (2021). Retrieved 26 March 2021, from </w:t>
      </w:r>
      <w:hyperlink r:id="rId8" w:history="1">
        <w:r w:rsidRPr="00C23355">
          <w:rPr>
            <w:rStyle w:val="Hyperlink"/>
            <w:rFonts w:asciiTheme="majorHAnsi" w:hAnsiTheme="majorHAnsi" w:cstheme="majorHAnsi"/>
            <w:sz w:val="24"/>
            <w:szCs w:val="24"/>
            <w:shd w:val="clear" w:color="auto" w:fill="FFFFFF"/>
          </w:rPr>
          <w:t>https://www.hse.gov.uk/healthservices/moving-handling-equipment.htm</w:t>
        </w:r>
      </w:hyperlink>
    </w:p>
    <w:p w14:paraId="65627DB0" w14:textId="2EA2C241" w:rsidR="00AF3B5F" w:rsidRDefault="00AF3B5F" w:rsidP="00AF3B5F">
      <w:pPr>
        <w:rPr>
          <w:rFonts w:asciiTheme="majorHAnsi" w:hAnsiTheme="majorHAnsi" w:cstheme="majorHAnsi"/>
          <w:color w:val="000000"/>
          <w:sz w:val="24"/>
          <w:szCs w:val="24"/>
          <w:shd w:val="clear" w:color="auto" w:fill="FFFFFF"/>
        </w:rPr>
      </w:pPr>
      <w:r w:rsidRPr="00AF3B5F">
        <w:rPr>
          <w:rFonts w:asciiTheme="majorHAnsi" w:hAnsiTheme="majorHAnsi" w:cstheme="majorHAnsi"/>
          <w:color w:val="000000"/>
          <w:sz w:val="24"/>
          <w:szCs w:val="24"/>
          <w:shd w:val="clear" w:color="auto" w:fill="FFFFFF"/>
        </w:rPr>
        <w:t xml:space="preserve">Manual Handling 1- assisted stand. (2008). [Blog]. Retrieved from </w:t>
      </w:r>
      <w:hyperlink r:id="rId9" w:history="1">
        <w:r w:rsidRPr="00AF3B5F">
          <w:rPr>
            <w:rStyle w:val="Hyperlink"/>
            <w:rFonts w:asciiTheme="majorHAnsi" w:hAnsiTheme="majorHAnsi" w:cstheme="majorHAnsi"/>
            <w:sz w:val="24"/>
            <w:szCs w:val="24"/>
            <w:shd w:val="clear" w:color="auto" w:fill="FFFFFF"/>
          </w:rPr>
          <w:t>https://www.nursingtimes.net/roles/older-people-nurses-roles/manual-handling-1-assisted-stand-16-12-2008/</w:t>
        </w:r>
      </w:hyperlink>
    </w:p>
    <w:p w14:paraId="3502F342" w14:textId="3A2E3E89" w:rsidR="00AF3B5F" w:rsidRDefault="00300843" w:rsidP="00AF3B5F">
      <w:pPr>
        <w:rPr>
          <w:rFonts w:asciiTheme="majorHAnsi" w:hAnsiTheme="majorHAnsi" w:cstheme="majorHAnsi"/>
          <w:color w:val="000000"/>
          <w:sz w:val="24"/>
          <w:szCs w:val="24"/>
          <w:shd w:val="clear" w:color="auto" w:fill="FFFFFF"/>
        </w:rPr>
      </w:pPr>
      <w:r w:rsidRPr="00300843">
        <w:rPr>
          <w:rFonts w:asciiTheme="majorHAnsi" w:hAnsiTheme="majorHAnsi" w:cstheme="majorHAnsi"/>
          <w:color w:val="000000"/>
          <w:sz w:val="24"/>
          <w:szCs w:val="24"/>
          <w:shd w:val="clear" w:color="auto" w:fill="FFFFFF"/>
        </w:rPr>
        <w:t>Worksafe.vic.gov.au. 2021. </w:t>
      </w:r>
      <w:r w:rsidRPr="00300843">
        <w:rPr>
          <w:rFonts w:asciiTheme="majorHAnsi" w:hAnsiTheme="majorHAnsi" w:cstheme="majorHAnsi"/>
          <w:i/>
          <w:iCs/>
          <w:color w:val="000000"/>
          <w:sz w:val="24"/>
          <w:szCs w:val="24"/>
          <w:shd w:val="clear" w:color="auto" w:fill="FFFFFF"/>
        </w:rPr>
        <w:t>Hazardous manual handling: Safety basics - WorkSafe</w:t>
      </w:r>
      <w:r w:rsidRPr="00300843">
        <w:rPr>
          <w:rFonts w:asciiTheme="majorHAnsi" w:hAnsiTheme="majorHAnsi" w:cstheme="majorHAnsi"/>
          <w:color w:val="000000"/>
          <w:sz w:val="24"/>
          <w:szCs w:val="24"/>
          <w:shd w:val="clear" w:color="auto" w:fill="FFFFFF"/>
        </w:rPr>
        <w:t>. [online] Available at: &lt;https://www.worksafe.vic.gov.au/hazardous-manual-handling-safety-basics&gt; [Accessed 26 March 2021].</w:t>
      </w:r>
    </w:p>
    <w:p w14:paraId="1B21DF72" w14:textId="11BD9F77" w:rsidR="006108A9" w:rsidRPr="006108A9" w:rsidRDefault="006108A9" w:rsidP="00AF3B5F">
      <w:pPr>
        <w:rPr>
          <w:rFonts w:asciiTheme="majorHAnsi" w:hAnsiTheme="majorHAnsi" w:cstheme="majorHAnsi"/>
          <w:color w:val="000000"/>
          <w:sz w:val="24"/>
          <w:szCs w:val="24"/>
          <w:shd w:val="clear" w:color="auto" w:fill="FFFFFF"/>
        </w:rPr>
      </w:pPr>
      <w:r w:rsidRPr="006108A9">
        <w:rPr>
          <w:rFonts w:asciiTheme="majorHAnsi" w:hAnsiTheme="majorHAnsi" w:cstheme="majorHAnsi"/>
          <w:color w:val="000000"/>
          <w:sz w:val="24"/>
          <w:szCs w:val="24"/>
          <w:shd w:val="clear" w:color="auto" w:fill="FFFFFF"/>
        </w:rPr>
        <w:t>Council, B., 2021. </w:t>
      </w:r>
      <w:r w:rsidRPr="006108A9">
        <w:rPr>
          <w:rFonts w:asciiTheme="majorHAnsi" w:hAnsiTheme="majorHAnsi" w:cstheme="majorHAnsi"/>
          <w:i/>
          <w:iCs/>
          <w:color w:val="000000"/>
          <w:sz w:val="24"/>
          <w:szCs w:val="24"/>
          <w:shd w:val="clear" w:color="auto" w:fill="FFFFFF"/>
        </w:rPr>
        <w:t>Risk Assessment and Management: A Complete Guide | British Safety Council</w:t>
      </w:r>
      <w:r w:rsidRPr="006108A9">
        <w:rPr>
          <w:rFonts w:asciiTheme="majorHAnsi" w:hAnsiTheme="majorHAnsi" w:cstheme="majorHAnsi"/>
          <w:color w:val="000000"/>
          <w:sz w:val="24"/>
          <w:szCs w:val="24"/>
          <w:shd w:val="clear" w:color="auto" w:fill="FFFFFF"/>
        </w:rPr>
        <w:t>. [online] Britsafe.org. Available at: &lt;https://www.britsafe.org/training-and-learning/find-the-right-course-for-you/informational-resources/risk-assessment/&gt; [Accessed 26 March 2021].</w:t>
      </w:r>
    </w:p>
    <w:p w14:paraId="329B4C3B" w14:textId="7430C06E" w:rsidR="006108A9" w:rsidRPr="00DA56BB" w:rsidRDefault="00DA56BB" w:rsidP="00AF3B5F">
      <w:pPr>
        <w:rPr>
          <w:rFonts w:asciiTheme="majorHAnsi" w:hAnsiTheme="majorHAnsi" w:cstheme="majorHAnsi"/>
          <w:color w:val="000000"/>
          <w:sz w:val="32"/>
          <w:szCs w:val="32"/>
          <w:shd w:val="clear" w:color="auto" w:fill="FFFFFF"/>
        </w:rPr>
      </w:pPr>
      <w:r w:rsidRPr="00DA56BB">
        <w:rPr>
          <w:rFonts w:asciiTheme="majorHAnsi" w:hAnsiTheme="majorHAnsi" w:cstheme="majorHAnsi"/>
          <w:color w:val="000000"/>
          <w:sz w:val="24"/>
          <w:szCs w:val="24"/>
          <w:shd w:val="clear" w:color="auto" w:fill="FFFFFF"/>
        </w:rPr>
        <w:t>Rbkc.gov.uk. 2021. </w:t>
      </w:r>
      <w:r w:rsidRPr="00DA56BB">
        <w:rPr>
          <w:rFonts w:asciiTheme="majorHAnsi" w:hAnsiTheme="majorHAnsi" w:cstheme="majorHAnsi"/>
          <w:i/>
          <w:iCs/>
          <w:color w:val="000000"/>
          <w:sz w:val="24"/>
          <w:szCs w:val="24"/>
          <w:shd w:val="clear" w:color="auto" w:fill="FFFFFF"/>
        </w:rPr>
        <w:t>Health and Safety at Work Act | Royal Borough of Kensington and Chelsea</w:t>
      </w:r>
      <w:r w:rsidRPr="00DA56BB">
        <w:rPr>
          <w:rFonts w:asciiTheme="majorHAnsi" w:hAnsiTheme="majorHAnsi" w:cstheme="majorHAnsi"/>
          <w:color w:val="000000"/>
          <w:sz w:val="24"/>
          <w:szCs w:val="24"/>
          <w:shd w:val="clear" w:color="auto" w:fill="FFFFFF"/>
        </w:rPr>
        <w:t>. [online] Available at: &lt;https://www.rbkc.gov.uk/business-and-enterprise/regulation/health-and-safety/safety-work/health-and-safety-work-act&gt; [Accessed 26 March 2021].</w:t>
      </w:r>
    </w:p>
    <w:p w14:paraId="2463352A" w14:textId="77777777" w:rsidR="00300843" w:rsidRPr="00300843" w:rsidRDefault="00300843" w:rsidP="00AF3B5F">
      <w:pPr>
        <w:rPr>
          <w:rFonts w:asciiTheme="majorHAnsi" w:hAnsiTheme="majorHAnsi" w:cstheme="majorHAnsi"/>
          <w:color w:val="000000"/>
          <w:sz w:val="24"/>
          <w:szCs w:val="24"/>
          <w:shd w:val="clear" w:color="auto" w:fill="FFFFFF"/>
        </w:rPr>
      </w:pPr>
    </w:p>
    <w:p w14:paraId="1E4026EE" w14:textId="77777777" w:rsidR="00AF3B5F" w:rsidRPr="00AF3B5F" w:rsidRDefault="00AF3B5F" w:rsidP="00AF3B5F">
      <w:pPr>
        <w:rPr>
          <w:rFonts w:asciiTheme="majorHAnsi" w:hAnsiTheme="majorHAnsi" w:cstheme="majorHAnsi"/>
          <w:color w:val="000000"/>
          <w:sz w:val="24"/>
          <w:szCs w:val="24"/>
          <w:shd w:val="clear" w:color="auto" w:fill="FFFFFF"/>
        </w:rPr>
      </w:pPr>
    </w:p>
    <w:p w14:paraId="442FC877" w14:textId="77777777" w:rsidR="00C23355" w:rsidRPr="009A452D" w:rsidRDefault="00C23355">
      <w:pPr>
        <w:rPr>
          <w:rFonts w:asciiTheme="majorHAnsi" w:hAnsiTheme="majorHAnsi" w:cstheme="majorHAnsi"/>
          <w:color w:val="000000"/>
          <w:sz w:val="24"/>
          <w:szCs w:val="24"/>
          <w:shd w:val="clear" w:color="auto" w:fill="FFFFFF"/>
        </w:rPr>
      </w:pPr>
    </w:p>
    <w:p w14:paraId="6AB0EF44" w14:textId="77777777" w:rsidR="009A452D" w:rsidRPr="008A27EA" w:rsidRDefault="009A452D">
      <w:pPr>
        <w:rPr>
          <w:rFonts w:asciiTheme="majorHAnsi" w:hAnsiTheme="majorHAnsi" w:cstheme="majorHAnsi"/>
          <w:color w:val="000000"/>
          <w:sz w:val="24"/>
          <w:szCs w:val="24"/>
          <w:shd w:val="clear" w:color="auto" w:fill="FFFFFF"/>
        </w:rPr>
      </w:pPr>
    </w:p>
    <w:p w14:paraId="635BE9C8" w14:textId="77777777" w:rsidR="008A27EA" w:rsidRPr="00733CDC" w:rsidRDefault="008A27EA">
      <w:pPr>
        <w:rPr>
          <w:rFonts w:asciiTheme="majorHAnsi" w:hAnsiTheme="majorHAnsi" w:cstheme="majorHAnsi"/>
          <w:sz w:val="32"/>
          <w:szCs w:val="32"/>
        </w:rPr>
      </w:pPr>
    </w:p>
    <w:sectPr w:rsidR="008A27EA" w:rsidRPr="00733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A3A8F"/>
    <w:multiLevelType w:val="hybridMultilevel"/>
    <w:tmpl w:val="9AE853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BA41A73"/>
    <w:multiLevelType w:val="multilevel"/>
    <w:tmpl w:val="E0AE0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B22348"/>
    <w:multiLevelType w:val="hybridMultilevel"/>
    <w:tmpl w:val="92D2097E"/>
    <w:lvl w:ilvl="0" w:tplc="624A3832">
      <w:start w:val="1"/>
      <w:numFmt w:val="bullet"/>
      <w:lvlText w:val="•"/>
      <w:lvlJc w:val="left"/>
      <w:pPr>
        <w:tabs>
          <w:tab w:val="num" w:pos="720"/>
        </w:tabs>
        <w:ind w:left="720" w:hanging="360"/>
      </w:pPr>
      <w:rPr>
        <w:rFonts w:ascii="Arial" w:hAnsi="Arial" w:hint="default"/>
      </w:rPr>
    </w:lvl>
    <w:lvl w:ilvl="1" w:tplc="52EE04D8" w:tentative="1">
      <w:start w:val="1"/>
      <w:numFmt w:val="bullet"/>
      <w:lvlText w:val="•"/>
      <w:lvlJc w:val="left"/>
      <w:pPr>
        <w:tabs>
          <w:tab w:val="num" w:pos="1440"/>
        </w:tabs>
        <w:ind w:left="1440" w:hanging="360"/>
      </w:pPr>
      <w:rPr>
        <w:rFonts w:ascii="Arial" w:hAnsi="Arial" w:hint="default"/>
      </w:rPr>
    </w:lvl>
    <w:lvl w:ilvl="2" w:tplc="51C69AEA" w:tentative="1">
      <w:start w:val="1"/>
      <w:numFmt w:val="bullet"/>
      <w:lvlText w:val="•"/>
      <w:lvlJc w:val="left"/>
      <w:pPr>
        <w:tabs>
          <w:tab w:val="num" w:pos="2160"/>
        </w:tabs>
        <w:ind w:left="2160" w:hanging="360"/>
      </w:pPr>
      <w:rPr>
        <w:rFonts w:ascii="Arial" w:hAnsi="Arial" w:hint="default"/>
      </w:rPr>
    </w:lvl>
    <w:lvl w:ilvl="3" w:tplc="8BF0DBFE" w:tentative="1">
      <w:start w:val="1"/>
      <w:numFmt w:val="bullet"/>
      <w:lvlText w:val="•"/>
      <w:lvlJc w:val="left"/>
      <w:pPr>
        <w:tabs>
          <w:tab w:val="num" w:pos="2880"/>
        </w:tabs>
        <w:ind w:left="2880" w:hanging="360"/>
      </w:pPr>
      <w:rPr>
        <w:rFonts w:ascii="Arial" w:hAnsi="Arial" w:hint="default"/>
      </w:rPr>
    </w:lvl>
    <w:lvl w:ilvl="4" w:tplc="54E6837C" w:tentative="1">
      <w:start w:val="1"/>
      <w:numFmt w:val="bullet"/>
      <w:lvlText w:val="•"/>
      <w:lvlJc w:val="left"/>
      <w:pPr>
        <w:tabs>
          <w:tab w:val="num" w:pos="3600"/>
        </w:tabs>
        <w:ind w:left="3600" w:hanging="360"/>
      </w:pPr>
      <w:rPr>
        <w:rFonts w:ascii="Arial" w:hAnsi="Arial" w:hint="default"/>
      </w:rPr>
    </w:lvl>
    <w:lvl w:ilvl="5" w:tplc="C02861CE" w:tentative="1">
      <w:start w:val="1"/>
      <w:numFmt w:val="bullet"/>
      <w:lvlText w:val="•"/>
      <w:lvlJc w:val="left"/>
      <w:pPr>
        <w:tabs>
          <w:tab w:val="num" w:pos="4320"/>
        </w:tabs>
        <w:ind w:left="4320" w:hanging="360"/>
      </w:pPr>
      <w:rPr>
        <w:rFonts w:ascii="Arial" w:hAnsi="Arial" w:hint="default"/>
      </w:rPr>
    </w:lvl>
    <w:lvl w:ilvl="6" w:tplc="95788EEC" w:tentative="1">
      <w:start w:val="1"/>
      <w:numFmt w:val="bullet"/>
      <w:lvlText w:val="•"/>
      <w:lvlJc w:val="left"/>
      <w:pPr>
        <w:tabs>
          <w:tab w:val="num" w:pos="5040"/>
        </w:tabs>
        <w:ind w:left="5040" w:hanging="360"/>
      </w:pPr>
      <w:rPr>
        <w:rFonts w:ascii="Arial" w:hAnsi="Arial" w:hint="default"/>
      </w:rPr>
    </w:lvl>
    <w:lvl w:ilvl="7" w:tplc="807A6EE0" w:tentative="1">
      <w:start w:val="1"/>
      <w:numFmt w:val="bullet"/>
      <w:lvlText w:val="•"/>
      <w:lvlJc w:val="left"/>
      <w:pPr>
        <w:tabs>
          <w:tab w:val="num" w:pos="5760"/>
        </w:tabs>
        <w:ind w:left="5760" w:hanging="360"/>
      </w:pPr>
      <w:rPr>
        <w:rFonts w:ascii="Arial" w:hAnsi="Arial" w:hint="default"/>
      </w:rPr>
    </w:lvl>
    <w:lvl w:ilvl="8" w:tplc="041026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1418BA"/>
    <w:multiLevelType w:val="multilevel"/>
    <w:tmpl w:val="BF3CE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147AAF"/>
    <w:multiLevelType w:val="hybridMultilevel"/>
    <w:tmpl w:val="DFBCE05E"/>
    <w:lvl w:ilvl="0" w:tplc="07220B80">
      <w:start w:val="1"/>
      <w:numFmt w:val="bullet"/>
      <w:lvlText w:val="•"/>
      <w:lvlJc w:val="left"/>
      <w:pPr>
        <w:tabs>
          <w:tab w:val="num" w:pos="720"/>
        </w:tabs>
        <w:ind w:left="720" w:hanging="360"/>
      </w:pPr>
      <w:rPr>
        <w:rFonts w:ascii="Arial" w:hAnsi="Arial" w:hint="default"/>
      </w:rPr>
    </w:lvl>
    <w:lvl w:ilvl="1" w:tplc="9BE4F2B6" w:tentative="1">
      <w:start w:val="1"/>
      <w:numFmt w:val="bullet"/>
      <w:lvlText w:val="•"/>
      <w:lvlJc w:val="left"/>
      <w:pPr>
        <w:tabs>
          <w:tab w:val="num" w:pos="1440"/>
        </w:tabs>
        <w:ind w:left="1440" w:hanging="360"/>
      </w:pPr>
      <w:rPr>
        <w:rFonts w:ascii="Arial" w:hAnsi="Arial" w:hint="default"/>
      </w:rPr>
    </w:lvl>
    <w:lvl w:ilvl="2" w:tplc="C172EEF6" w:tentative="1">
      <w:start w:val="1"/>
      <w:numFmt w:val="bullet"/>
      <w:lvlText w:val="•"/>
      <w:lvlJc w:val="left"/>
      <w:pPr>
        <w:tabs>
          <w:tab w:val="num" w:pos="2160"/>
        </w:tabs>
        <w:ind w:left="2160" w:hanging="360"/>
      </w:pPr>
      <w:rPr>
        <w:rFonts w:ascii="Arial" w:hAnsi="Arial" w:hint="default"/>
      </w:rPr>
    </w:lvl>
    <w:lvl w:ilvl="3" w:tplc="11008298" w:tentative="1">
      <w:start w:val="1"/>
      <w:numFmt w:val="bullet"/>
      <w:lvlText w:val="•"/>
      <w:lvlJc w:val="left"/>
      <w:pPr>
        <w:tabs>
          <w:tab w:val="num" w:pos="2880"/>
        </w:tabs>
        <w:ind w:left="2880" w:hanging="360"/>
      </w:pPr>
      <w:rPr>
        <w:rFonts w:ascii="Arial" w:hAnsi="Arial" w:hint="default"/>
      </w:rPr>
    </w:lvl>
    <w:lvl w:ilvl="4" w:tplc="A790F036" w:tentative="1">
      <w:start w:val="1"/>
      <w:numFmt w:val="bullet"/>
      <w:lvlText w:val="•"/>
      <w:lvlJc w:val="left"/>
      <w:pPr>
        <w:tabs>
          <w:tab w:val="num" w:pos="3600"/>
        </w:tabs>
        <w:ind w:left="3600" w:hanging="360"/>
      </w:pPr>
      <w:rPr>
        <w:rFonts w:ascii="Arial" w:hAnsi="Arial" w:hint="default"/>
      </w:rPr>
    </w:lvl>
    <w:lvl w:ilvl="5" w:tplc="D228DFFA" w:tentative="1">
      <w:start w:val="1"/>
      <w:numFmt w:val="bullet"/>
      <w:lvlText w:val="•"/>
      <w:lvlJc w:val="left"/>
      <w:pPr>
        <w:tabs>
          <w:tab w:val="num" w:pos="4320"/>
        </w:tabs>
        <w:ind w:left="4320" w:hanging="360"/>
      </w:pPr>
      <w:rPr>
        <w:rFonts w:ascii="Arial" w:hAnsi="Arial" w:hint="default"/>
      </w:rPr>
    </w:lvl>
    <w:lvl w:ilvl="6" w:tplc="0F1A93EC" w:tentative="1">
      <w:start w:val="1"/>
      <w:numFmt w:val="bullet"/>
      <w:lvlText w:val="•"/>
      <w:lvlJc w:val="left"/>
      <w:pPr>
        <w:tabs>
          <w:tab w:val="num" w:pos="5040"/>
        </w:tabs>
        <w:ind w:left="5040" w:hanging="360"/>
      </w:pPr>
      <w:rPr>
        <w:rFonts w:ascii="Arial" w:hAnsi="Arial" w:hint="default"/>
      </w:rPr>
    </w:lvl>
    <w:lvl w:ilvl="7" w:tplc="397A6A92" w:tentative="1">
      <w:start w:val="1"/>
      <w:numFmt w:val="bullet"/>
      <w:lvlText w:val="•"/>
      <w:lvlJc w:val="left"/>
      <w:pPr>
        <w:tabs>
          <w:tab w:val="num" w:pos="5760"/>
        </w:tabs>
        <w:ind w:left="5760" w:hanging="360"/>
      </w:pPr>
      <w:rPr>
        <w:rFonts w:ascii="Arial" w:hAnsi="Arial" w:hint="default"/>
      </w:rPr>
    </w:lvl>
    <w:lvl w:ilvl="8" w:tplc="E34EA1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E8B1384"/>
    <w:multiLevelType w:val="hybridMultilevel"/>
    <w:tmpl w:val="9FDAFB62"/>
    <w:lvl w:ilvl="0" w:tplc="9E64F612">
      <w:start w:val="1"/>
      <w:numFmt w:val="bullet"/>
      <w:lvlText w:val="•"/>
      <w:lvlJc w:val="left"/>
      <w:pPr>
        <w:tabs>
          <w:tab w:val="num" w:pos="720"/>
        </w:tabs>
        <w:ind w:left="720" w:hanging="360"/>
      </w:pPr>
      <w:rPr>
        <w:rFonts w:ascii="Arial" w:hAnsi="Arial" w:hint="default"/>
      </w:rPr>
    </w:lvl>
    <w:lvl w:ilvl="1" w:tplc="985A371E" w:tentative="1">
      <w:start w:val="1"/>
      <w:numFmt w:val="bullet"/>
      <w:lvlText w:val="•"/>
      <w:lvlJc w:val="left"/>
      <w:pPr>
        <w:tabs>
          <w:tab w:val="num" w:pos="1440"/>
        </w:tabs>
        <w:ind w:left="1440" w:hanging="360"/>
      </w:pPr>
      <w:rPr>
        <w:rFonts w:ascii="Arial" w:hAnsi="Arial" w:hint="default"/>
      </w:rPr>
    </w:lvl>
    <w:lvl w:ilvl="2" w:tplc="C9D0C928" w:tentative="1">
      <w:start w:val="1"/>
      <w:numFmt w:val="bullet"/>
      <w:lvlText w:val="•"/>
      <w:lvlJc w:val="left"/>
      <w:pPr>
        <w:tabs>
          <w:tab w:val="num" w:pos="2160"/>
        </w:tabs>
        <w:ind w:left="2160" w:hanging="360"/>
      </w:pPr>
      <w:rPr>
        <w:rFonts w:ascii="Arial" w:hAnsi="Arial" w:hint="default"/>
      </w:rPr>
    </w:lvl>
    <w:lvl w:ilvl="3" w:tplc="7996E30E" w:tentative="1">
      <w:start w:val="1"/>
      <w:numFmt w:val="bullet"/>
      <w:lvlText w:val="•"/>
      <w:lvlJc w:val="left"/>
      <w:pPr>
        <w:tabs>
          <w:tab w:val="num" w:pos="2880"/>
        </w:tabs>
        <w:ind w:left="2880" w:hanging="360"/>
      </w:pPr>
      <w:rPr>
        <w:rFonts w:ascii="Arial" w:hAnsi="Arial" w:hint="default"/>
      </w:rPr>
    </w:lvl>
    <w:lvl w:ilvl="4" w:tplc="1B281A5C" w:tentative="1">
      <w:start w:val="1"/>
      <w:numFmt w:val="bullet"/>
      <w:lvlText w:val="•"/>
      <w:lvlJc w:val="left"/>
      <w:pPr>
        <w:tabs>
          <w:tab w:val="num" w:pos="3600"/>
        </w:tabs>
        <w:ind w:left="3600" w:hanging="360"/>
      </w:pPr>
      <w:rPr>
        <w:rFonts w:ascii="Arial" w:hAnsi="Arial" w:hint="default"/>
      </w:rPr>
    </w:lvl>
    <w:lvl w:ilvl="5" w:tplc="AF0E2032" w:tentative="1">
      <w:start w:val="1"/>
      <w:numFmt w:val="bullet"/>
      <w:lvlText w:val="•"/>
      <w:lvlJc w:val="left"/>
      <w:pPr>
        <w:tabs>
          <w:tab w:val="num" w:pos="4320"/>
        </w:tabs>
        <w:ind w:left="4320" w:hanging="360"/>
      </w:pPr>
      <w:rPr>
        <w:rFonts w:ascii="Arial" w:hAnsi="Arial" w:hint="default"/>
      </w:rPr>
    </w:lvl>
    <w:lvl w:ilvl="6" w:tplc="733E8FD2" w:tentative="1">
      <w:start w:val="1"/>
      <w:numFmt w:val="bullet"/>
      <w:lvlText w:val="•"/>
      <w:lvlJc w:val="left"/>
      <w:pPr>
        <w:tabs>
          <w:tab w:val="num" w:pos="5040"/>
        </w:tabs>
        <w:ind w:left="5040" w:hanging="360"/>
      </w:pPr>
      <w:rPr>
        <w:rFonts w:ascii="Arial" w:hAnsi="Arial" w:hint="default"/>
      </w:rPr>
    </w:lvl>
    <w:lvl w:ilvl="7" w:tplc="04882ECA" w:tentative="1">
      <w:start w:val="1"/>
      <w:numFmt w:val="bullet"/>
      <w:lvlText w:val="•"/>
      <w:lvlJc w:val="left"/>
      <w:pPr>
        <w:tabs>
          <w:tab w:val="num" w:pos="5760"/>
        </w:tabs>
        <w:ind w:left="5760" w:hanging="360"/>
      </w:pPr>
      <w:rPr>
        <w:rFonts w:ascii="Arial" w:hAnsi="Arial" w:hint="default"/>
      </w:rPr>
    </w:lvl>
    <w:lvl w:ilvl="8" w:tplc="5CB871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753423A"/>
    <w:multiLevelType w:val="multilevel"/>
    <w:tmpl w:val="BEBCB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9232E5"/>
    <w:multiLevelType w:val="multilevel"/>
    <w:tmpl w:val="6296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D30469"/>
    <w:multiLevelType w:val="hybridMultilevel"/>
    <w:tmpl w:val="D8AA8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4"/>
  </w:num>
  <w:num w:numId="5">
    <w:abstractNumId w:val="2"/>
  </w:num>
  <w:num w:numId="6">
    <w:abstractNumId w:val="8"/>
  </w:num>
  <w:num w:numId="7">
    <w:abstractNumId w:val="3"/>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875"/>
    <w:rsid w:val="0006281B"/>
    <w:rsid w:val="000B3773"/>
    <w:rsid w:val="001A32C3"/>
    <w:rsid w:val="00300843"/>
    <w:rsid w:val="006108A9"/>
    <w:rsid w:val="006D53C5"/>
    <w:rsid w:val="006F72A4"/>
    <w:rsid w:val="00733CDC"/>
    <w:rsid w:val="008A27EA"/>
    <w:rsid w:val="009A452D"/>
    <w:rsid w:val="00AF3B5F"/>
    <w:rsid w:val="00AF5875"/>
    <w:rsid w:val="00C23355"/>
    <w:rsid w:val="00C4567C"/>
    <w:rsid w:val="00DA5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3B37C"/>
  <w15:chartTrackingRefBased/>
  <w15:docId w15:val="{9E22C47B-DD3B-4DBE-B5F2-F7F8CA0C6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7EA"/>
  </w:style>
  <w:style w:type="paragraph" w:styleId="Heading1">
    <w:name w:val="heading 1"/>
    <w:basedOn w:val="Normal"/>
    <w:link w:val="Heading1Char"/>
    <w:uiPriority w:val="9"/>
    <w:qFormat/>
    <w:rsid w:val="001A32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2C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A27EA"/>
    <w:rPr>
      <w:color w:val="0563C1" w:themeColor="hyperlink"/>
      <w:u w:val="single"/>
    </w:rPr>
  </w:style>
  <w:style w:type="character" w:styleId="UnresolvedMention">
    <w:name w:val="Unresolved Mention"/>
    <w:basedOn w:val="DefaultParagraphFont"/>
    <w:uiPriority w:val="99"/>
    <w:semiHidden/>
    <w:unhideWhenUsed/>
    <w:rsid w:val="008A27EA"/>
    <w:rPr>
      <w:color w:val="605E5C"/>
      <w:shd w:val="clear" w:color="auto" w:fill="E1DFDD"/>
    </w:rPr>
  </w:style>
  <w:style w:type="paragraph" w:styleId="NormalWeb">
    <w:name w:val="Normal (Web)"/>
    <w:basedOn w:val="Normal"/>
    <w:uiPriority w:val="99"/>
    <w:semiHidden/>
    <w:unhideWhenUsed/>
    <w:rsid w:val="008A27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27EA"/>
    <w:rPr>
      <w:b/>
      <w:bCs/>
    </w:rPr>
  </w:style>
  <w:style w:type="paragraph" w:styleId="ListParagraph">
    <w:name w:val="List Paragraph"/>
    <w:basedOn w:val="Normal"/>
    <w:uiPriority w:val="34"/>
    <w:qFormat/>
    <w:rsid w:val="00300843"/>
    <w:pPr>
      <w:ind w:left="720"/>
      <w:contextualSpacing/>
    </w:pPr>
  </w:style>
  <w:style w:type="paragraph" w:customStyle="1" w:styleId="checklistitem">
    <w:name w:val="checklist__item"/>
    <w:basedOn w:val="Normal"/>
    <w:rsid w:val="00300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ecklistcontent">
    <w:name w:val="checklist__content"/>
    <w:basedOn w:val="DefaultParagraphFont"/>
    <w:rsid w:val="00300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73491">
      <w:bodyDiv w:val="1"/>
      <w:marLeft w:val="0"/>
      <w:marRight w:val="0"/>
      <w:marTop w:val="0"/>
      <w:marBottom w:val="0"/>
      <w:divBdr>
        <w:top w:val="none" w:sz="0" w:space="0" w:color="auto"/>
        <w:left w:val="none" w:sz="0" w:space="0" w:color="auto"/>
        <w:bottom w:val="none" w:sz="0" w:space="0" w:color="auto"/>
        <w:right w:val="none" w:sz="0" w:space="0" w:color="auto"/>
      </w:divBdr>
      <w:divsChild>
        <w:div w:id="716198150">
          <w:marLeft w:val="360"/>
          <w:marRight w:val="0"/>
          <w:marTop w:val="200"/>
          <w:marBottom w:val="0"/>
          <w:divBdr>
            <w:top w:val="none" w:sz="0" w:space="0" w:color="auto"/>
            <w:left w:val="none" w:sz="0" w:space="0" w:color="auto"/>
            <w:bottom w:val="none" w:sz="0" w:space="0" w:color="auto"/>
            <w:right w:val="none" w:sz="0" w:space="0" w:color="auto"/>
          </w:divBdr>
        </w:div>
      </w:divsChild>
    </w:div>
    <w:div w:id="160582738">
      <w:bodyDiv w:val="1"/>
      <w:marLeft w:val="0"/>
      <w:marRight w:val="0"/>
      <w:marTop w:val="0"/>
      <w:marBottom w:val="0"/>
      <w:divBdr>
        <w:top w:val="none" w:sz="0" w:space="0" w:color="auto"/>
        <w:left w:val="none" w:sz="0" w:space="0" w:color="auto"/>
        <w:bottom w:val="none" w:sz="0" w:space="0" w:color="auto"/>
        <w:right w:val="none" w:sz="0" w:space="0" w:color="auto"/>
      </w:divBdr>
      <w:divsChild>
        <w:div w:id="645815954">
          <w:marLeft w:val="360"/>
          <w:marRight w:val="0"/>
          <w:marTop w:val="200"/>
          <w:marBottom w:val="0"/>
          <w:divBdr>
            <w:top w:val="none" w:sz="0" w:space="0" w:color="auto"/>
            <w:left w:val="none" w:sz="0" w:space="0" w:color="auto"/>
            <w:bottom w:val="none" w:sz="0" w:space="0" w:color="auto"/>
            <w:right w:val="none" w:sz="0" w:space="0" w:color="auto"/>
          </w:divBdr>
        </w:div>
        <w:div w:id="1010763565">
          <w:marLeft w:val="360"/>
          <w:marRight w:val="0"/>
          <w:marTop w:val="200"/>
          <w:marBottom w:val="0"/>
          <w:divBdr>
            <w:top w:val="none" w:sz="0" w:space="0" w:color="auto"/>
            <w:left w:val="none" w:sz="0" w:space="0" w:color="auto"/>
            <w:bottom w:val="none" w:sz="0" w:space="0" w:color="auto"/>
            <w:right w:val="none" w:sz="0" w:space="0" w:color="auto"/>
          </w:divBdr>
        </w:div>
        <w:div w:id="1234007137">
          <w:marLeft w:val="360"/>
          <w:marRight w:val="0"/>
          <w:marTop w:val="200"/>
          <w:marBottom w:val="0"/>
          <w:divBdr>
            <w:top w:val="none" w:sz="0" w:space="0" w:color="auto"/>
            <w:left w:val="none" w:sz="0" w:space="0" w:color="auto"/>
            <w:bottom w:val="none" w:sz="0" w:space="0" w:color="auto"/>
            <w:right w:val="none" w:sz="0" w:space="0" w:color="auto"/>
          </w:divBdr>
        </w:div>
        <w:div w:id="1104038301">
          <w:marLeft w:val="360"/>
          <w:marRight w:val="0"/>
          <w:marTop w:val="200"/>
          <w:marBottom w:val="0"/>
          <w:divBdr>
            <w:top w:val="none" w:sz="0" w:space="0" w:color="auto"/>
            <w:left w:val="none" w:sz="0" w:space="0" w:color="auto"/>
            <w:bottom w:val="none" w:sz="0" w:space="0" w:color="auto"/>
            <w:right w:val="none" w:sz="0" w:space="0" w:color="auto"/>
          </w:divBdr>
        </w:div>
        <w:div w:id="552354058">
          <w:marLeft w:val="360"/>
          <w:marRight w:val="0"/>
          <w:marTop w:val="200"/>
          <w:marBottom w:val="0"/>
          <w:divBdr>
            <w:top w:val="none" w:sz="0" w:space="0" w:color="auto"/>
            <w:left w:val="none" w:sz="0" w:space="0" w:color="auto"/>
            <w:bottom w:val="none" w:sz="0" w:space="0" w:color="auto"/>
            <w:right w:val="none" w:sz="0" w:space="0" w:color="auto"/>
          </w:divBdr>
        </w:div>
        <w:div w:id="863295">
          <w:marLeft w:val="360"/>
          <w:marRight w:val="0"/>
          <w:marTop w:val="200"/>
          <w:marBottom w:val="0"/>
          <w:divBdr>
            <w:top w:val="none" w:sz="0" w:space="0" w:color="auto"/>
            <w:left w:val="none" w:sz="0" w:space="0" w:color="auto"/>
            <w:bottom w:val="none" w:sz="0" w:space="0" w:color="auto"/>
            <w:right w:val="none" w:sz="0" w:space="0" w:color="auto"/>
          </w:divBdr>
        </w:div>
        <w:div w:id="1960181795">
          <w:marLeft w:val="360"/>
          <w:marRight w:val="0"/>
          <w:marTop w:val="200"/>
          <w:marBottom w:val="0"/>
          <w:divBdr>
            <w:top w:val="none" w:sz="0" w:space="0" w:color="auto"/>
            <w:left w:val="none" w:sz="0" w:space="0" w:color="auto"/>
            <w:bottom w:val="none" w:sz="0" w:space="0" w:color="auto"/>
            <w:right w:val="none" w:sz="0" w:space="0" w:color="auto"/>
          </w:divBdr>
        </w:div>
        <w:div w:id="2040858933">
          <w:marLeft w:val="360"/>
          <w:marRight w:val="0"/>
          <w:marTop w:val="200"/>
          <w:marBottom w:val="0"/>
          <w:divBdr>
            <w:top w:val="none" w:sz="0" w:space="0" w:color="auto"/>
            <w:left w:val="none" w:sz="0" w:space="0" w:color="auto"/>
            <w:bottom w:val="none" w:sz="0" w:space="0" w:color="auto"/>
            <w:right w:val="none" w:sz="0" w:space="0" w:color="auto"/>
          </w:divBdr>
        </w:div>
        <w:div w:id="827398966">
          <w:marLeft w:val="360"/>
          <w:marRight w:val="0"/>
          <w:marTop w:val="200"/>
          <w:marBottom w:val="0"/>
          <w:divBdr>
            <w:top w:val="none" w:sz="0" w:space="0" w:color="auto"/>
            <w:left w:val="none" w:sz="0" w:space="0" w:color="auto"/>
            <w:bottom w:val="none" w:sz="0" w:space="0" w:color="auto"/>
            <w:right w:val="none" w:sz="0" w:space="0" w:color="auto"/>
          </w:divBdr>
        </w:div>
        <w:div w:id="421487738">
          <w:marLeft w:val="360"/>
          <w:marRight w:val="0"/>
          <w:marTop w:val="200"/>
          <w:marBottom w:val="0"/>
          <w:divBdr>
            <w:top w:val="none" w:sz="0" w:space="0" w:color="auto"/>
            <w:left w:val="none" w:sz="0" w:space="0" w:color="auto"/>
            <w:bottom w:val="none" w:sz="0" w:space="0" w:color="auto"/>
            <w:right w:val="none" w:sz="0" w:space="0" w:color="auto"/>
          </w:divBdr>
        </w:div>
        <w:div w:id="483010226">
          <w:marLeft w:val="360"/>
          <w:marRight w:val="0"/>
          <w:marTop w:val="200"/>
          <w:marBottom w:val="0"/>
          <w:divBdr>
            <w:top w:val="none" w:sz="0" w:space="0" w:color="auto"/>
            <w:left w:val="none" w:sz="0" w:space="0" w:color="auto"/>
            <w:bottom w:val="none" w:sz="0" w:space="0" w:color="auto"/>
            <w:right w:val="none" w:sz="0" w:space="0" w:color="auto"/>
          </w:divBdr>
        </w:div>
      </w:divsChild>
    </w:div>
    <w:div w:id="822159898">
      <w:bodyDiv w:val="1"/>
      <w:marLeft w:val="0"/>
      <w:marRight w:val="0"/>
      <w:marTop w:val="0"/>
      <w:marBottom w:val="0"/>
      <w:divBdr>
        <w:top w:val="none" w:sz="0" w:space="0" w:color="auto"/>
        <w:left w:val="none" w:sz="0" w:space="0" w:color="auto"/>
        <w:bottom w:val="none" w:sz="0" w:space="0" w:color="auto"/>
        <w:right w:val="none" w:sz="0" w:space="0" w:color="auto"/>
      </w:divBdr>
      <w:divsChild>
        <w:div w:id="1305550341">
          <w:marLeft w:val="360"/>
          <w:marRight w:val="0"/>
          <w:marTop w:val="200"/>
          <w:marBottom w:val="0"/>
          <w:divBdr>
            <w:top w:val="none" w:sz="0" w:space="0" w:color="auto"/>
            <w:left w:val="none" w:sz="0" w:space="0" w:color="auto"/>
            <w:bottom w:val="none" w:sz="0" w:space="0" w:color="auto"/>
            <w:right w:val="none" w:sz="0" w:space="0" w:color="auto"/>
          </w:divBdr>
        </w:div>
      </w:divsChild>
    </w:div>
    <w:div w:id="1007051424">
      <w:bodyDiv w:val="1"/>
      <w:marLeft w:val="0"/>
      <w:marRight w:val="0"/>
      <w:marTop w:val="0"/>
      <w:marBottom w:val="0"/>
      <w:divBdr>
        <w:top w:val="none" w:sz="0" w:space="0" w:color="auto"/>
        <w:left w:val="none" w:sz="0" w:space="0" w:color="auto"/>
        <w:bottom w:val="none" w:sz="0" w:space="0" w:color="auto"/>
        <w:right w:val="none" w:sz="0" w:space="0" w:color="auto"/>
      </w:divBdr>
      <w:divsChild>
        <w:div w:id="127283982">
          <w:marLeft w:val="0"/>
          <w:marRight w:val="0"/>
          <w:marTop w:val="0"/>
          <w:marBottom w:val="0"/>
          <w:divBdr>
            <w:top w:val="none" w:sz="0" w:space="0" w:color="auto"/>
            <w:left w:val="none" w:sz="0" w:space="0" w:color="auto"/>
            <w:bottom w:val="none" w:sz="0" w:space="0" w:color="auto"/>
            <w:right w:val="none" w:sz="0" w:space="0" w:color="auto"/>
          </w:divBdr>
          <w:divsChild>
            <w:div w:id="848444250">
              <w:marLeft w:val="0"/>
              <w:marRight w:val="0"/>
              <w:marTop w:val="0"/>
              <w:marBottom w:val="0"/>
              <w:divBdr>
                <w:top w:val="none" w:sz="0" w:space="0" w:color="auto"/>
                <w:left w:val="none" w:sz="0" w:space="0" w:color="auto"/>
                <w:bottom w:val="none" w:sz="0" w:space="0" w:color="auto"/>
                <w:right w:val="none" w:sz="0" w:space="0" w:color="auto"/>
              </w:divBdr>
            </w:div>
          </w:divsChild>
        </w:div>
        <w:div w:id="1898589619">
          <w:marLeft w:val="0"/>
          <w:marRight w:val="0"/>
          <w:marTop w:val="0"/>
          <w:marBottom w:val="0"/>
          <w:divBdr>
            <w:top w:val="none" w:sz="0" w:space="0" w:color="auto"/>
            <w:left w:val="none" w:sz="0" w:space="0" w:color="auto"/>
            <w:bottom w:val="none" w:sz="0" w:space="0" w:color="auto"/>
            <w:right w:val="none" w:sz="0" w:space="0" w:color="auto"/>
          </w:divBdr>
          <w:divsChild>
            <w:div w:id="201433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308652">
      <w:bodyDiv w:val="1"/>
      <w:marLeft w:val="0"/>
      <w:marRight w:val="0"/>
      <w:marTop w:val="0"/>
      <w:marBottom w:val="0"/>
      <w:divBdr>
        <w:top w:val="none" w:sz="0" w:space="0" w:color="auto"/>
        <w:left w:val="none" w:sz="0" w:space="0" w:color="auto"/>
        <w:bottom w:val="none" w:sz="0" w:space="0" w:color="auto"/>
        <w:right w:val="none" w:sz="0" w:space="0" w:color="auto"/>
      </w:divBdr>
    </w:div>
    <w:div w:id="1427656497">
      <w:bodyDiv w:val="1"/>
      <w:marLeft w:val="0"/>
      <w:marRight w:val="0"/>
      <w:marTop w:val="0"/>
      <w:marBottom w:val="0"/>
      <w:divBdr>
        <w:top w:val="none" w:sz="0" w:space="0" w:color="auto"/>
        <w:left w:val="none" w:sz="0" w:space="0" w:color="auto"/>
        <w:bottom w:val="none" w:sz="0" w:space="0" w:color="auto"/>
        <w:right w:val="none" w:sz="0" w:space="0" w:color="auto"/>
      </w:divBdr>
    </w:div>
    <w:div w:id="1480419615">
      <w:bodyDiv w:val="1"/>
      <w:marLeft w:val="0"/>
      <w:marRight w:val="0"/>
      <w:marTop w:val="0"/>
      <w:marBottom w:val="0"/>
      <w:divBdr>
        <w:top w:val="none" w:sz="0" w:space="0" w:color="auto"/>
        <w:left w:val="none" w:sz="0" w:space="0" w:color="auto"/>
        <w:bottom w:val="none" w:sz="0" w:space="0" w:color="auto"/>
        <w:right w:val="none" w:sz="0" w:space="0" w:color="auto"/>
      </w:divBdr>
    </w:div>
    <w:div w:id="1743794887">
      <w:bodyDiv w:val="1"/>
      <w:marLeft w:val="0"/>
      <w:marRight w:val="0"/>
      <w:marTop w:val="0"/>
      <w:marBottom w:val="0"/>
      <w:divBdr>
        <w:top w:val="none" w:sz="0" w:space="0" w:color="auto"/>
        <w:left w:val="none" w:sz="0" w:space="0" w:color="auto"/>
        <w:bottom w:val="none" w:sz="0" w:space="0" w:color="auto"/>
        <w:right w:val="none" w:sz="0" w:space="0" w:color="auto"/>
      </w:divBdr>
    </w:div>
    <w:div w:id="211289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healthservices/moving-handling-equipment.htm" TargetMode="External"/><Relationship Id="rId3" Type="http://schemas.openxmlformats.org/officeDocument/2006/relationships/settings" Target="settings.xml"/><Relationship Id="rId7" Type="http://schemas.openxmlformats.org/officeDocument/2006/relationships/hyperlink" Target="https://www.hse.gov.uk/msd/manual-hand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cn.org.uk/get-help/rcn-advice/moving-and-handling" TargetMode="External"/><Relationship Id="rId11" Type="http://schemas.openxmlformats.org/officeDocument/2006/relationships/theme" Target="theme/theme1.xml"/><Relationship Id="rId5" Type="http://schemas.openxmlformats.org/officeDocument/2006/relationships/hyperlink" Target="https://www.delta-net.com/health-and-safety/manual-handling/faqs/what-is-the-manual-handling-operations-regulations-199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ursingtimes.net/roles/older-people-nurses-roles/manual-handling-1-assisted-stand-16-12-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4</Pages>
  <Words>1133</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dc:creator>
  <cp:keywords/>
  <dc:description/>
  <cp:lastModifiedBy>Katie jones</cp:lastModifiedBy>
  <cp:revision>1</cp:revision>
  <dcterms:created xsi:type="dcterms:W3CDTF">2021-03-26T15:23:00Z</dcterms:created>
  <dcterms:modified xsi:type="dcterms:W3CDTF">2021-03-26T17:32:00Z</dcterms:modified>
</cp:coreProperties>
</file>