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79C92F" w14:textId="4294DFBA" w:rsidR="008432EA" w:rsidRPr="008432EA" w:rsidRDefault="008432EA">
      <w:pPr>
        <w:rPr>
          <w:rFonts w:ascii="Times New Roman" w:hAnsi="Times New Roman" w:cs="Times New Roman"/>
          <w:b/>
          <w:bCs/>
          <w:sz w:val="28"/>
          <w:szCs w:val="28"/>
          <w:u w:val="single"/>
        </w:rPr>
      </w:pPr>
      <w:r w:rsidRPr="008432EA">
        <w:rPr>
          <w:rFonts w:ascii="Times New Roman" w:hAnsi="Times New Roman" w:cs="Times New Roman"/>
          <w:b/>
          <w:bCs/>
          <w:sz w:val="28"/>
          <w:szCs w:val="28"/>
          <w:u w:val="single"/>
        </w:rPr>
        <w:t>MAHENRAJ RAMESH</w:t>
      </w:r>
    </w:p>
    <w:p w14:paraId="6457ABEC" w14:textId="2C4E6DF0" w:rsidR="008432EA" w:rsidRPr="008432EA" w:rsidRDefault="008432EA">
      <w:pPr>
        <w:rPr>
          <w:rFonts w:ascii="Times New Roman" w:hAnsi="Times New Roman" w:cs="Times New Roman"/>
          <w:b/>
          <w:bCs/>
          <w:sz w:val="28"/>
          <w:szCs w:val="28"/>
          <w:u w:val="single"/>
        </w:rPr>
      </w:pPr>
      <w:r w:rsidRPr="008432EA">
        <w:rPr>
          <w:rFonts w:ascii="Times New Roman" w:hAnsi="Times New Roman" w:cs="Times New Roman"/>
          <w:b/>
          <w:bCs/>
          <w:sz w:val="28"/>
          <w:szCs w:val="28"/>
          <w:u w:val="single"/>
        </w:rPr>
        <w:t>2226103</w:t>
      </w:r>
    </w:p>
    <w:p w14:paraId="75B7D48A" w14:textId="77777777" w:rsidR="008432EA" w:rsidRDefault="008432EA">
      <w:pPr>
        <w:rPr>
          <w:rFonts w:ascii="Times New Roman" w:hAnsi="Times New Roman" w:cs="Times New Roman"/>
          <w:b/>
          <w:bCs/>
          <w:sz w:val="26"/>
          <w:szCs w:val="26"/>
          <w:u w:val="single"/>
        </w:rPr>
      </w:pPr>
    </w:p>
    <w:p w14:paraId="477708D6" w14:textId="17280796" w:rsidR="002576D6" w:rsidRPr="00C93973" w:rsidRDefault="007F0D99">
      <w:pPr>
        <w:rPr>
          <w:rFonts w:ascii="Times New Roman" w:hAnsi="Times New Roman" w:cs="Times New Roman"/>
          <w:b/>
          <w:bCs/>
          <w:sz w:val="26"/>
          <w:szCs w:val="26"/>
          <w:u w:val="single"/>
        </w:rPr>
      </w:pPr>
      <w:r w:rsidRPr="00C93973">
        <w:rPr>
          <w:rFonts w:ascii="Times New Roman" w:hAnsi="Times New Roman" w:cs="Times New Roman"/>
          <w:b/>
          <w:bCs/>
          <w:sz w:val="26"/>
          <w:szCs w:val="26"/>
          <w:u w:val="single"/>
        </w:rPr>
        <w:t xml:space="preserve">Introduction </w:t>
      </w:r>
    </w:p>
    <w:p w14:paraId="3C9AD096" w14:textId="471BD597" w:rsidR="007F0D99" w:rsidRPr="00C93973" w:rsidRDefault="007F0D99"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t xml:space="preserve">Contract law is a core area of law, so whether you're studying for a law degree, or begin your holiday scheme or training agreement, you're </w:t>
      </w:r>
      <w:r w:rsidR="007F45E6" w:rsidRPr="00C93973">
        <w:rPr>
          <w:rFonts w:ascii="Times New Roman" w:hAnsi="Times New Roman" w:cs="Times New Roman"/>
          <w:sz w:val="24"/>
          <w:szCs w:val="24"/>
        </w:rPr>
        <w:t>going</w:t>
      </w:r>
      <w:r w:rsidRPr="00C93973">
        <w:rPr>
          <w:rFonts w:ascii="Times New Roman" w:hAnsi="Times New Roman" w:cs="Times New Roman"/>
          <w:sz w:val="24"/>
          <w:szCs w:val="24"/>
        </w:rPr>
        <w:t xml:space="preserve"> to encounter it a lot. This explains why contract law is relevant to so many different areas of the law and gives specific examples of instances in which you might need to know the ins and outs of this area of the law. Making and upholding legal commitments through contracts is the purview of contract law. Contract law is used by anyone who has a company. Contracts are used in a wide variety of business and personal contexts, including the purchase and sale of goods, the licencing of products or operations, the establishment of employment and insurance relationships, and many others</w:t>
      </w:r>
      <w:bookmarkStart w:id="0" w:name="_GoBack"/>
      <w:bookmarkEnd w:id="0"/>
      <w:r w:rsidRPr="00C93973">
        <w:rPr>
          <w:rFonts w:ascii="Times New Roman" w:hAnsi="Times New Roman" w:cs="Times New Roman"/>
          <w:sz w:val="24"/>
          <w:szCs w:val="24"/>
        </w:rPr>
        <w:t>. They foster trust between the involved parties and enable business</w:t>
      </w:r>
      <w:r w:rsidR="007F45E6" w:rsidRPr="00C93973">
        <w:rPr>
          <w:rFonts w:ascii="Times New Roman" w:hAnsi="Times New Roman" w:cs="Times New Roman"/>
          <w:sz w:val="24"/>
          <w:szCs w:val="24"/>
        </w:rPr>
        <w:t>es</w:t>
      </w:r>
      <w:r w:rsidRPr="00C93973">
        <w:rPr>
          <w:rFonts w:ascii="Times New Roman" w:hAnsi="Times New Roman" w:cs="Times New Roman"/>
          <w:sz w:val="24"/>
          <w:szCs w:val="24"/>
        </w:rPr>
        <w:t xml:space="preserve"> to proceed without worry. The participants in a transaction are more likely to have a positive experience if the terms of the payment are laid out in a contract.</w:t>
      </w:r>
    </w:p>
    <w:p w14:paraId="19B83EFE" w14:textId="1257D68E" w:rsidR="007F0D99" w:rsidRPr="00C93973" w:rsidRDefault="007F0D99">
      <w:pPr>
        <w:rPr>
          <w:rFonts w:ascii="Times New Roman" w:hAnsi="Times New Roman" w:cs="Times New Roman"/>
        </w:rPr>
      </w:pPr>
    </w:p>
    <w:p w14:paraId="237D37CD" w14:textId="0CC9D2BD" w:rsidR="00E8566D" w:rsidRPr="00C93973" w:rsidRDefault="00E8566D">
      <w:pPr>
        <w:rPr>
          <w:rFonts w:ascii="Times New Roman" w:hAnsi="Times New Roman" w:cs="Times New Roman"/>
          <w:b/>
          <w:bCs/>
          <w:sz w:val="26"/>
          <w:szCs w:val="26"/>
          <w:u w:val="single"/>
        </w:rPr>
      </w:pPr>
      <w:r w:rsidRPr="00C93973">
        <w:rPr>
          <w:rFonts w:ascii="Times New Roman" w:hAnsi="Times New Roman" w:cs="Times New Roman"/>
          <w:b/>
          <w:bCs/>
          <w:sz w:val="26"/>
          <w:szCs w:val="26"/>
          <w:u w:val="single"/>
        </w:rPr>
        <w:t>Intention To Create Legal Relations</w:t>
      </w:r>
    </w:p>
    <w:p w14:paraId="02DDAFAE" w14:textId="21532CCE" w:rsidR="007F0D99" w:rsidRPr="00C93973" w:rsidRDefault="00E8566D"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t xml:space="preserve">For an agreement to be actionable, the stakeholders must have the "intent to create contractual relationship," which means they intend to conclude a legally binding configuration. Despite how intuitive it may seem, the answer to the question of whether or not the parties to a bargaining had the intention of establishing legal relations depends heavily on the specifics of the case. When two businesses' legislators sit down to discuss an agreement in a formal manufacturing environment, it's safe to assume that they want to enter into a legally binding relationship. Element in a contract is the intent to establish a legal relationship, which is common knowledge. To enter into a legally binding arrangement or contract is to intend to establish a legal relationship. This is due to the fact that the preparedness of a party to accept the legal sequences of entering into an agreement constitutes an attempt to establish a legal relationship. Each party entering into a contract must possess the requisite intent to create contractually enforceable relations in order for the agreement to be enforceable in court. </w:t>
      </w:r>
    </w:p>
    <w:p w14:paraId="68F02C72" w14:textId="60E60241" w:rsidR="00E8566D" w:rsidRPr="00C93973" w:rsidRDefault="00E8566D">
      <w:pPr>
        <w:rPr>
          <w:rFonts w:ascii="Times New Roman" w:hAnsi="Times New Roman" w:cs="Times New Roman"/>
        </w:rPr>
      </w:pPr>
    </w:p>
    <w:p w14:paraId="72F16694" w14:textId="291B3005" w:rsidR="00E8566D" w:rsidRPr="00C93973" w:rsidRDefault="003224CA">
      <w:pPr>
        <w:rPr>
          <w:rFonts w:ascii="Times New Roman" w:hAnsi="Times New Roman" w:cs="Times New Roman"/>
          <w:b/>
          <w:bCs/>
          <w:sz w:val="26"/>
          <w:szCs w:val="26"/>
          <w:u w:val="single"/>
        </w:rPr>
      </w:pPr>
      <w:r w:rsidRPr="00C93973">
        <w:rPr>
          <w:rFonts w:ascii="Times New Roman" w:hAnsi="Times New Roman" w:cs="Times New Roman"/>
          <w:b/>
          <w:bCs/>
          <w:sz w:val="26"/>
          <w:szCs w:val="26"/>
          <w:u w:val="single"/>
        </w:rPr>
        <w:t xml:space="preserve">Agreements </w:t>
      </w:r>
      <w:r w:rsidR="00C93973" w:rsidRPr="00C93973">
        <w:rPr>
          <w:rFonts w:ascii="Times New Roman" w:hAnsi="Times New Roman" w:cs="Times New Roman"/>
          <w:b/>
          <w:bCs/>
          <w:sz w:val="26"/>
          <w:szCs w:val="26"/>
          <w:u w:val="single"/>
        </w:rPr>
        <w:t>Made Within A Social Or Domestic Context</w:t>
      </w:r>
    </w:p>
    <w:p w14:paraId="228663B8" w14:textId="5A4F4D38" w:rsidR="003224CA" w:rsidRPr="00C93973" w:rsidRDefault="00705F0A"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lastRenderedPageBreak/>
        <w:t>In many cases, the participants to a contract do not plan to establish a legally enforceable contract, and the law reflects this reality. Laws distinguish between social and household agreements (where it is presumed there is no purpose to create legal relations) and commercial and business agreements, which require an intention to establish legal relations. In light of these instances, it appears that deals made within households will not be enforced in court. An example of such a case is Jones v. Padavattan (1969), in which Mrs. Jones gave her daughter a monthly stipend in exchange for her leaving her employment in the United States to pursue a barrister's education in England. Mrs. Jones had a hard time finding suitable housing for her family, so she and her daughter moved to London and purchased a home together to hire out. They started fighting, and the mum eventually tried to get back in. The legal system reached this conclusion after concluding that there was no willful attempt to establish formal ties and that all plans were merely incidental to everyday family life. As a result, the mother was released from the support arrangement and was entitled to the property. The dispute in Balfour v. Balfour (1919) centred on a husband's pledge to provide his wife with a stipend while he was stationed overseas. When his marriage ended, he stopped paying the bills. Wife filed suit, but court ruled that agreements made between husband and wife are not contracts because they are not meant to be. According to the judge, she had shown no appreciation for her husband's pledge. According to the presumption of completeness in evidence law, the printed paper is assumed to be an accurate reflection of the parties' accord. This is only a presumption, however, and any party may challenge it by presenting evidence that the written instrument was not intended to constitute the entire contract between the parties, as in Errington v. Errington Woods (1952), where there was an intent to establish legal links despite the fact that the arrangement was between relatives.</w:t>
      </w:r>
    </w:p>
    <w:p w14:paraId="2F523696" w14:textId="0004D8C9" w:rsidR="00705F0A" w:rsidRPr="00C93973" w:rsidRDefault="00705F0A">
      <w:pPr>
        <w:rPr>
          <w:rFonts w:ascii="Times New Roman" w:hAnsi="Times New Roman" w:cs="Times New Roman"/>
        </w:rPr>
      </w:pPr>
    </w:p>
    <w:p w14:paraId="54FD44A6" w14:textId="5623C174" w:rsidR="00705F0A" w:rsidRPr="00C93973" w:rsidRDefault="00705F0A">
      <w:pPr>
        <w:rPr>
          <w:rFonts w:ascii="Times New Roman" w:hAnsi="Times New Roman" w:cs="Times New Roman"/>
          <w:b/>
          <w:bCs/>
          <w:sz w:val="26"/>
          <w:szCs w:val="26"/>
          <w:u w:val="single"/>
        </w:rPr>
      </w:pPr>
      <w:r w:rsidRPr="00C93973">
        <w:rPr>
          <w:rFonts w:ascii="Times New Roman" w:hAnsi="Times New Roman" w:cs="Times New Roman"/>
          <w:b/>
          <w:bCs/>
          <w:sz w:val="26"/>
          <w:szCs w:val="26"/>
          <w:u w:val="single"/>
        </w:rPr>
        <w:t xml:space="preserve">Agreements </w:t>
      </w:r>
      <w:r w:rsidR="00C93973" w:rsidRPr="00C93973">
        <w:rPr>
          <w:rFonts w:ascii="Times New Roman" w:hAnsi="Times New Roman" w:cs="Times New Roman"/>
          <w:b/>
          <w:bCs/>
          <w:sz w:val="26"/>
          <w:szCs w:val="26"/>
          <w:u w:val="single"/>
        </w:rPr>
        <w:t>Made Within A Commercial/Business Context</w:t>
      </w:r>
    </w:p>
    <w:p w14:paraId="206EEA18" w14:textId="77777777" w:rsidR="006F41E2" w:rsidRPr="00C93973" w:rsidRDefault="006F41E2"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t xml:space="preserve">Any set of terms and conditions agreed upon by two or more people in the context of commerce or business activity. The law presumes that the parties to a business contract intend to create legal relations between themselves through the terms of the contract when the contract is signed. An examination of the case Esso Petroleum Ltd v Commissioners of Customs and Excise (1976) reveals that Esso ran a promotion whereby customers who purchased four litres of fuel received a free coin from their collection commemorating the World Cup. According to Esso, the coins were distributed exclusively as a free promotional item, with no plans for later sale or legal ramifications. The pieces were made available for purchase, which raises the </w:t>
      </w:r>
      <w:r w:rsidRPr="00C93973">
        <w:rPr>
          <w:rFonts w:ascii="Times New Roman" w:hAnsi="Times New Roman" w:cs="Times New Roman"/>
          <w:sz w:val="24"/>
          <w:szCs w:val="24"/>
        </w:rPr>
        <w:lastRenderedPageBreak/>
        <w:t>possibility that they were meant to be locked in some fashion. However, the coins' lack of redeemable value prevented them from being resold. Evidence that the generation of legal purpose is not desired.</w:t>
      </w:r>
    </w:p>
    <w:p w14:paraId="4B05C700" w14:textId="5B2D0BBB" w:rsidR="006F41E2" w:rsidRPr="00C93973" w:rsidRDefault="006F41E2"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t xml:space="preserve">In Rose &amp; Frank v. Crompton Bros. (1925), for example, the parties agreed that the claimant could act as the defendant's sole agent by placing orders for goods from the defendant and reselling them. Even in business or commercial settings, there may be evidence to disprove the agreement. At the one-year mark, the sides agreed to prolong the deal for another three years. The respondent refused to fulfil the claimant's instructions and instead terminated the contract suddenly. After the complainant sued for violation of contract, the parties asked the court to decide on whether the contract was valid and binding. </w:t>
      </w:r>
    </w:p>
    <w:p w14:paraId="6169B132" w14:textId="77777777" w:rsidR="006F41E2" w:rsidRPr="00C93973" w:rsidRDefault="006F41E2"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t>On the other hand, in Kleinwort Benson Ltd v Malaysia Mining Company Berhad (1989), the Malaysian company issued the bank a "comfort letter" expressing the policy to guarantee the subsidiary company is able to satisfy its obligations to the bank. Merchant bankers were using these letters to demand payment from the parent company for debts incurred by the bankrupt subsidiary. The Malaysian firm claimed that it and the other party had no intention of creating binding legal obligations through the letters. In the court's view, no legal relations relating to the payment were intended to be created, and this absence of an express intent was fatal. Taking the form of a legally binding agreement, it merely stated the current "policy" of the bank and did not constitute a promise that it would remain unchanged in the future. Furthermore, the allegation fails to show intent to create a legal responsibility for future action when considered alongside the letter and bank paperwork.</w:t>
      </w:r>
    </w:p>
    <w:p w14:paraId="796D2A13" w14:textId="42FAC4FB" w:rsidR="006F41E2" w:rsidRPr="00C93973" w:rsidRDefault="006F41E2"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t>The boundaries between personal, family, and professional responsibilities are porous at best. Two case studies from 1963, Coward v. Motor Insurance Bureau and Albert v. Motor Insurance Bureau, were compared (1971). Coward v. Motor Insurance Bureau (1963) argues that such an arrangement did not constitute an employment contract because it was a private, family matter that did not involve the creation of any legal obligations. Therefore, the widow was not qualified for benefits. Since he had supplied lifts to multiple people over time, the lifts in Albert v. Motor Insurance Bureau (1971) were provided in the course of his business. Therefore, an agreement that could stand up in court was sought after.</w:t>
      </w:r>
    </w:p>
    <w:p w14:paraId="2963AE19" w14:textId="128FA2F6" w:rsidR="006F41E2" w:rsidRPr="00C93973" w:rsidRDefault="006F41E2" w:rsidP="006F41E2">
      <w:pPr>
        <w:rPr>
          <w:rFonts w:ascii="Times New Roman" w:hAnsi="Times New Roman" w:cs="Times New Roman"/>
        </w:rPr>
      </w:pPr>
    </w:p>
    <w:p w14:paraId="2B6B74BC" w14:textId="2CFCEF2A" w:rsidR="00C93973" w:rsidRPr="00C93973" w:rsidRDefault="00C93973" w:rsidP="006F41E2">
      <w:pPr>
        <w:rPr>
          <w:rFonts w:ascii="Times New Roman" w:hAnsi="Times New Roman" w:cs="Times New Roman"/>
          <w:b/>
          <w:bCs/>
          <w:sz w:val="26"/>
          <w:szCs w:val="26"/>
          <w:u w:val="single"/>
        </w:rPr>
      </w:pPr>
      <w:r w:rsidRPr="00C93973">
        <w:rPr>
          <w:rFonts w:ascii="Times New Roman" w:hAnsi="Times New Roman" w:cs="Times New Roman"/>
          <w:b/>
          <w:bCs/>
          <w:sz w:val="26"/>
          <w:szCs w:val="26"/>
          <w:u w:val="single"/>
        </w:rPr>
        <w:t>Agreements Made With Public Bodies Or Those Which Affect Public Interest</w:t>
      </w:r>
    </w:p>
    <w:p w14:paraId="2C098278" w14:textId="77777777" w:rsidR="00C93973" w:rsidRPr="00C93973" w:rsidRDefault="00C93973"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lastRenderedPageBreak/>
        <w:t>Officially established and receiving public funding to carry out a public or governmental duty other than as a cabinet agency, as defined by the Cabinet Office of the United Kingdom. All levels of government, as well as municipal administrations, health officials, police, and judges, are subject to public law. Some government organisations rely entirely on user fees and charges rather than regular tax dollars. Many government agencies, for instance, have their own board of directors and chief executive officer; some of these are even tasked with overseeing and challenging the government when required. The government can provide assistance in attracting and training the kind of specialised knowledge that might be lost in a more generalised agency.</w:t>
      </w:r>
    </w:p>
    <w:p w14:paraId="1B55158E" w14:textId="77777777" w:rsidR="00C93973" w:rsidRPr="00C93973" w:rsidRDefault="00C93973"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t>A number of these cases, like Willmore v. South Eastern Energy Board, have been created in conjunction with public bodies or are of general importance (1957). When this lawsuit started, the plaintiffs were infrared incubator poultry producers, and the respondent agreed to supply electricity. The defendant's failure to do so resulted in catastrophic financial losses for the claimants. Given that the promises were not made with the intention of being legally binding, there was no contract between the parties. As the claimants have failed to produce evidence of a valid contract, it follows that they are not entitled to any penalties for violation of contract.</w:t>
      </w:r>
    </w:p>
    <w:p w14:paraId="43D6B47B" w14:textId="77777777" w:rsidR="00C93973" w:rsidRPr="00C93973" w:rsidRDefault="00C93973"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t>Similar to Robinson v. HM Customs and Excise, other cases have held that only certain parts of an arrangement are intended to be legally enforceable, while the rest are not (2000). The applicant was cooperating with Customs and Excise as an agent. Later, he tried to argue that he was obligated to pay a charge and court expenses as per the terms of the deal. The court found that there was no need to create legal ties under these facts. Reasons of public policy dictate that a choice be made.</w:t>
      </w:r>
    </w:p>
    <w:p w14:paraId="1ED6AC86" w14:textId="5FBAF015" w:rsidR="00C93973" w:rsidRPr="00C93973" w:rsidRDefault="00C93973" w:rsidP="00C93973">
      <w:pPr>
        <w:rPr>
          <w:rFonts w:ascii="Times New Roman" w:hAnsi="Times New Roman" w:cs="Times New Roman"/>
        </w:rPr>
      </w:pPr>
    </w:p>
    <w:p w14:paraId="21994A38" w14:textId="2E61E141" w:rsidR="00C93973" w:rsidRPr="00C93973" w:rsidRDefault="00C93973" w:rsidP="00C93973">
      <w:pPr>
        <w:rPr>
          <w:rFonts w:ascii="Times New Roman" w:hAnsi="Times New Roman" w:cs="Times New Roman"/>
          <w:b/>
          <w:bCs/>
          <w:sz w:val="26"/>
          <w:szCs w:val="26"/>
          <w:u w:val="single"/>
        </w:rPr>
      </w:pPr>
      <w:r w:rsidRPr="00C93973">
        <w:rPr>
          <w:rFonts w:ascii="Times New Roman" w:hAnsi="Times New Roman" w:cs="Times New Roman"/>
          <w:b/>
          <w:bCs/>
          <w:sz w:val="26"/>
          <w:szCs w:val="26"/>
          <w:u w:val="single"/>
        </w:rPr>
        <w:t>Conclusion</w:t>
      </w:r>
    </w:p>
    <w:p w14:paraId="56F83ADC" w14:textId="6A27F7CC" w:rsidR="00C93973" w:rsidRDefault="00C93973" w:rsidP="00C93973">
      <w:pPr>
        <w:spacing w:line="360" w:lineRule="auto"/>
        <w:jc w:val="both"/>
        <w:rPr>
          <w:rFonts w:ascii="Times New Roman" w:hAnsi="Times New Roman" w:cs="Times New Roman"/>
          <w:sz w:val="24"/>
          <w:szCs w:val="24"/>
        </w:rPr>
      </w:pPr>
      <w:r w:rsidRPr="00C93973">
        <w:rPr>
          <w:rFonts w:ascii="Times New Roman" w:hAnsi="Times New Roman" w:cs="Times New Roman"/>
          <w:sz w:val="24"/>
          <w:szCs w:val="24"/>
        </w:rPr>
        <w:t xml:space="preserve">In sum, the intention to establish formal connections is central to the contract's design, which seeks to exempt deals between acquaintances and relatives from the purview of the courts. All that's needed for a valid agreement to form are the three essential elements of an offer, approval, and thought. In the normal routine of our everyday activities, we are continually entering into deals. To ensure that justice is served, it is essential that the judicial system be able to determine the parties' true intentions when entering into contracts and implement appropriate policy factors. As a prerequisite, the plaintiff's and defendant's intended meanings must be in harmony after communication has taken place. The formation of formal connections between the parties </w:t>
      </w:r>
      <w:r w:rsidRPr="00C93973">
        <w:rPr>
          <w:rFonts w:ascii="Times New Roman" w:hAnsi="Times New Roman" w:cs="Times New Roman"/>
          <w:sz w:val="24"/>
          <w:szCs w:val="24"/>
        </w:rPr>
        <w:lastRenderedPageBreak/>
        <w:t>depends on their original purpose under contract law. Those cases that make it past the initial cut will be subjected to further policy analysis. After that, the judges will investigate the parties' real purpose in forming the pertinent legal contacts before rendering a final decision. Nonetheless, the court's ultimate judgement is highly context-dependent and can vary widely depending on the specifics of each case. For this reason, it is commonly held that a consensus decision can be made by the judge provided that the judge strikes an appropriate equilibrium between the parties' stated intentions and relevant policy concerns.</w:t>
      </w:r>
    </w:p>
    <w:p w14:paraId="170E7033" w14:textId="1FF31A4A" w:rsidR="00740F2E" w:rsidRDefault="00740F2E" w:rsidP="00C93973">
      <w:pPr>
        <w:spacing w:line="360" w:lineRule="auto"/>
        <w:jc w:val="both"/>
        <w:rPr>
          <w:rFonts w:ascii="Times New Roman" w:hAnsi="Times New Roman" w:cs="Times New Roman"/>
          <w:sz w:val="24"/>
          <w:szCs w:val="24"/>
        </w:rPr>
      </w:pPr>
    </w:p>
    <w:p w14:paraId="4C44407B" w14:textId="02BB7D80" w:rsidR="00740F2E" w:rsidRPr="005420A9" w:rsidRDefault="00740F2E" w:rsidP="00260B79">
      <w:pPr>
        <w:spacing w:line="360" w:lineRule="auto"/>
        <w:jc w:val="both"/>
        <w:rPr>
          <w:rFonts w:ascii="Times New Roman" w:hAnsi="Times New Roman" w:cs="Times New Roman"/>
          <w:sz w:val="24"/>
          <w:szCs w:val="24"/>
          <w:u w:val="single"/>
        </w:rPr>
      </w:pPr>
      <w:r w:rsidRPr="005420A9">
        <w:rPr>
          <w:rFonts w:ascii="Times New Roman" w:hAnsi="Times New Roman" w:cs="Times New Roman"/>
          <w:sz w:val="24"/>
          <w:szCs w:val="24"/>
          <w:u w:val="single"/>
        </w:rPr>
        <w:t>Ref</w:t>
      </w:r>
      <w:r w:rsidR="00FB5D35" w:rsidRPr="005420A9">
        <w:rPr>
          <w:rFonts w:ascii="Times New Roman" w:hAnsi="Times New Roman" w:cs="Times New Roman"/>
          <w:sz w:val="24"/>
          <w:szCs w:val="24"/>
          <w:u w:val="single"/>
        </w:rPr>
        <w:t>e</w:t>
      </w:r>
      <w:r w:rsidRPr="005420A9">
        <w:rPr>
          <w:rFonts w:ascii="Times New Roman" w:hAnsi="Times New Roman" w:cs="Times New Roman"/>
          <w:sz w:val="24"/>
          <w:szCs w:val="24"/>
          <w:u w:val="single"/>
        </w:rPr>
        <w:t>rences</w:t>
      </w:r>
      <w:r w:rsidR="00FB5D35" w:rsidRPr="005420A9">
        <w:rPr>
          <w:rFonts w:ascii="Times New Roman" w:hAnsi="Times New Roman" w:cs="Times New Roman"/>
          <w:sz w:val="24"/>
          <w:szCs w:val="24"/>
          <w:u w:val="single"/>
        </w:rPr>
        <w:t>:</w:t>
      </w:r>
    </w:p>
    <w:p w14:paraId="004B0331" w14:textId="77777777" w:rsidR="00FB5D35" w:rsidRPr="00260B79" w:rsidRDefault="00FB5D35" w:rsidP="00260B79">
      <w:pPr>
        <w:pStyle w:val="NormalWeb"/>
        <w:numPr>
          <w:ilvl w:val="0"/>
          <w:numId w:val="1"/>
        </w:numPr>
        <w:spacing w:line="360" w:lineRule="auto"/>
        <w:jc w:val="both"/>
      </w:pPr>
      <w:r w:rsidRPr="00260B79">
        <w:t xml:space="preserve">Ltd, A.A. (2022) </w:t>
      </w:r>
      <w:r w:rsidRPr="00260B79">
        <w:rPr>
          <w:i/>
          <w:iCs/>
        </w:rPr>
        <w:t>Intention in an agreement enforceable by law</w:t>
      </w:r>
      <w:r w:rsidRPr="00260B79">
        <w:t xml:space="preserve">, </w:t>
      </w:r>
      <w:r w:rsidRPr="00260B79">
        <w:rPr>
          <w:i/>
          <w:iCs/>
        </w:rPr>
        <w:t>Law Teacher</w:t>
      </w:r>
      <w:r w:rsidRPr="00260B79">
        <w:t xml:space="preserve">. LawTeacher. Available at: https://www.lawteacher.net/free-law-essays/contract-law/elements-of-a-valid-legal-agreement-which-is-enforceable-by-law-contract-law-essay.php (Accessed: March 10, 2023). </w:t>
      </w:r>
    </w:p>
    <w:p w14:paraId="058D1E15" w14:textId="77777777" w:rsidR="00FB5D35" w:rsidRPr="00260B79" w:rsidRDefault="00FB5D35" w:rsidP="00260B79">
      <w:pPr>
        <w:pStyle w:val="NormalWeb"/>
        <w:numPr>
          <w:ilvl w:val="0"/>
          <w:numId w:val="1"/>
        </w:numPr>
        <w:spacing w:line="360" w:lineRule="auto"/>
        <w:jc w:val="both"/>
      </w:pPr>
      <w:r w:rsidRPr="00260B79">
        <w:rPr>
          <w:i/>
          <w:iCs/>
        </w:rPr>
        <w:t>The availability of judicial review against bodies exercising "public functions": Public law blog: Kingsley Napley: Independent Law Firm of the year</w:t>
      </w:r>
      <w:r w:rsidRPr="00260B79">
        <w:t xml:space="preserve"> (no date) </w:t>
      </w:r>
      <w:r w:rsidRPr="00260B79">
        <w:rPr>
          <w:i/>
          <w:iCs/>
        </w:rPr>
        <w:t>Public Law Blog | Kingsley Napley | Independent Law Firm of the Year</w:t>
      </w:r>
      <w:r w:rsidRPr="00260B79">
        <w:t xml:space="preserve">. Available at: https://www.kingsleynapley.co.uk/insights/blogs/public-law-blog/the-availability-of-judicial-review-against-bodies-exercising-public-functions (Accessed: March 10, 2023). </w:t>
      </w:r>
    </w:p>
    <w:p w14:paraId="7478A7FE" w14:textId="77777777" w:rsidR="00965048" w:rsidRPr="00260B79" w:rsidRDefault="00965048" w:rsidP="00260B79">
      <w:pPr>
        <w:pStyle w:val="NormalWeb"/>
        <w:numPr>
          <w:ilvl w:val="0"/>
          <w:numId w:val="1"/>
        </w:numPr>
        <w:spacing w:before="0" w:beforeAutospacing="0" w:after="0" w:afterAutospacing="0" w:line="360" w:lineRule="auto"/>
        <w:jc w:val="both"/>
      </w:pPr>
      <w:r w:rsidRPr="00260B79">
        <w:t xml:space="preserve">Ltd, A. A. (2022, July 27). </w:t>
      </w:r>
      <w:r w:rsidRPr="00260B79">
        <w:rPr>
          <w:i/>
          <w:iCs/>
        </w:rPr>
        <w:t>Intention to Create Legal Relations</w:t>
      </w:r>
      <w:r w:rsidRPr="00260B79">
        <w:t>. https://www.lawteacher.net/free-law-essays/contract-law/intention-to-create-legal-relations.php</w:t>
      </w:r>
    </w:p>
    <w:p w14:paraId="6AE948B5" w14:textId="77777777" w:rsidR="00965048" w:rsidRPr="00260B79" w:rsidRDefault="00965048" w:rsidP="00260B79">
      <w:pPr>
        <w:pStyle w:val="NormalWeb"/>
        <w:numPr>
          <w:ilvl w:val="0"/>
          <w:numId w:val="1"/>
        </w:numPr>
        <w:spacing w:before="0" w:beforeAutospacing="0" w:after="0" w:afterAutospacing="0" w:line="360" w:lineRule="auto"/>
        <w:jc w:val="both"/>
      </w:pPr>
      <w:r w:rsidRPr="00260B79">
        <w:t xml:space="preserve">Solicitors, L. (2022, May 26). </w:t>
      </w:r>
      <w:r w:rsidRPr="00260B79">
        <w:rPr>
          <w:i/>
          <w:iCs/>
        </w:rPr>
        <w:t>Formation of contract: Intention to create legal relations</w:t>
      </w:r>
      <w:r w:rsidRPr="00260B79">
        <w:t>. Levi Solicitors LLP. https://levisolicitors.co.uk/news/intention-create-legal-relations/</w:t>
      </w:r>
    </w:p>
    <w:p w14:paraId="65489266" w14:textId="77777777" w:rsidR="00965048" w:rsidRPr="00260B79" w:rsidRDefault="00965048" w:rsidP="00260B79">
      <w:pPr>
        <w:pStyle w:val="NormalWeb"/>
        <w:numPr>
          <w:ilvl w:val="0"/>
          <w:numId w:val="1"/>
        </w:numPr>
        <w:spacing w:line="360" w:lineRule="auto"/>
        <w:jc w:val="both"/>
      </w:pPr>
      <w:r w:rsidRPr="00260B79">
        <w:t>Understanding Commercial Contracts - Commercial Contract Law. 2022. Available at: https://harperjames.co.uk/article/commercial-contracts-faqs/.</w:t>
      </w:r>
    </w:p>
    <w:p w14:paraId="2BB370AC" w14:textId="77777777" w:rsidR="00965048" w:rsidRPr="00260B79" w:rsidRDefault="00965048" w:rsidP="00260B79">
      <w:pPr>
        <w:pStyle w:val="NormalWeb"/>
        <w:numPr>
          <w:ilvl w:val="0"/>
          <w:numId w:val="1"/>
        </w:numPr>
        <w:spacing w:line="360" w:lineRule="auto"/>
        <w:jc w:val="both"/>
      </w:pPr>
      <w:r w:rsidRPr="00260B79">
        <w:t>Solicitors, L., Rushforth, C., Lancaster, A. and Horner, G. 2017. Formation of contract: Intention to create legal relations. Available at: https://levisolicitors.co.uk/news/intention-create-legal-relations/.</w:t>
      </w:r>
    </w:p>
    <w:p w14:paraId="0869ABE5" w14:textId="77777777" w:rsidR="00965048" w:rsidRPr="00260B79" w:rsidRDefault="00965048" w:rsidP="00260B79">
      <w:pPr>
        <w:pStyle w:val="ListParagraph"/>
        <w:numPr>
          <w:ilvl w:val="0"/>
          <w:numId w:val="1"/>
        </w:numPr>
        <w:spacing w:line="360" w:lineRule="auto"/>
        <w:jc w:val="both"/>
        <w:rPr>
          <w:rFonts w:ascii="Times New Roman" w:hAnsi="Times New Roman" w:cs="Times New Roman"/>
          <w:sz w:val="24"/>
          <w:szCs w:val="24"/>
        </w:rPr>
      </w:pPr>
      <w:r w:rsidRPr="00260B79">
        <w:rPr>
          <w:rFonts w:ascii="Times New Roman" w:hAnsi="Times New Roman" w:cs="Times New Roman"/>
          <w:sz w:val="24"/>
          <w:szCs w:val="24"/>
        </w:rPr>
        <w:t>Chappell, D. (2008). Parris's Standard Form of Building Contract: JCT 98. Germany: Wiley.</w:t>
      </w:r>
    </w:p>
    <w:p w14:paraId="58A54566" w14:textId="77777777" w:rsidR="00965048" w:rsidRPr="00260B79" w:rsidRDefault="00965048" w:rsidP="00260B79">
      <w:pPr>
        <w:pStyle w:val="NormalWeb"/>
        <w:numPr>
          <w:ilvl w:val="0"/>
          <w:numId w:val="1"/>
        </w:numPr>
        <w:spacing w:line="360" w:lineRule="auto"/>
        <w:jc w:val="both"/>
      </w:pPr>
      <w:r w:rsidRPr="00260B79">
        <w:lastRenderedPageBreak/>
        <w:t>Turner, C. [2013]. Unlocking Contract Law. 3rd ed. United Kingdom: Taylor &amp; Francis. Available at: https://www.google.co.uk/books/edition/Unlocking_Contract_Law_Third_Edition/4TuYAAAAQBAJ?hl=en&amp;gbpv=0.</w:t>
      </w:r>
    </w:p>
    <w:p w14:paraId="4D43AA79" w14:textId="77777777" w:rsidR="00957A8B" w:rsidRPr="00260B79" w:rsidRDefault="00957A8B" w:rsidP="00260B79">
      <w:pPr>
        <w:pStyle w:val="NormalWeb"/>
        <w:numPr>
          <w:ilvl w:val="0"/>
          <w:numId w:val="1"/>
        </w:numPr>
        <w:spacing w:before="0" w:beforeAutospacing="0" w:after="0" w:afterAutospacing="0" w:line="360" w:lineRule="auto"/>
        <w:jc w:val="both"/>
      </w:pPr>
      <w:r w:rsidRPr="00260B79">
        <w:rPr>
          <w:i/>
          <w:iCs/>
        </w:rPr>
        <w:t>Assignments: The Basic Law | Stimmel Law</w:t>
      </w:r>
      <w:r w:rsidRPr="00260B79">
        <w:t>. (n.d.). https://www.stimmel-law.com/en/articles/assignments-basic-law</w:t>
      </w:r>
    </w:p>
    <w:p w14:paraId="5289AC47" w14:textId="77777777" w:rsidR="00957A8B" w:rsidRPr="00260B79" w:rsidRDefault="00957A8B" w:rsidP="00260B79">
      <w:pPr>
        <w:pStyle w:val="NormalWeb"/>
        <w:numPr>
          <w:ilvl w:val="0"/>
          <w:numId w:val="1"/>
        </w:numPr>
        <w:spacing w:before="0" w:beforeAutospacing="0" w:after="0" w:afterAutospacing="0" w:line="360" w:lineRule="auto"/>
        <w:jc w:val="both"/>
      </w:pPr>
      <w:r w:rsidRPr="00260B79">
        <w:rPr>
          <w:i/>
          <w:iCs/>
        </w:rPr>
        <w:t>27. Costs | Civil Procedure (Volume 11 (2020), paras 1–496; Volume 12 (2020), paras 497–1206; Volume 12A (2020), paras 1207–1740) | LexisNexis</w:t>
      </w:r>
      <w:r w:rsidRPr="00260B79">
        <w:t>. (n.d.). https://www.lexisnexis.co.uk/legal/commentary/halsburys-laws-of-england/civil-procedure/27-costs</w:t>
      </w:r>
    </w:p>
    <w:p w14:paraId="6252CB2B" w14:textId="16FD1560" w:rsidR="00260B79" w:rsidRPr="00260B79" w:rsidRDefault="00957A8B" w:rsidP="00260B79">
      <w:pPr>
        <w:pStyle w:val="NormalWeb"/>
        <w:numPr>
          <w:ilvl w:val="0"/>
          <w:numId w:val="1"/>
        </w:numPr>
        <w:spacing w:before="0" w:beforeAutospacing="0" w:after="0" w:afterAutospacing="0" w:line="360" w:lineRule="auto"/>
        <w:jc w:val="both"/>
      </w:pPr>
      <w:r w:rsidRPr="00260B79">
        <w:rPr>
          <w:i/>
          <w:iCs/>
        </w:rPr>
        <w:t>PRACTICE DIRECTION 40B – JUDGMENTS AND ORDERS - Civil Procedure Rules</w:t>
      </w:r>
      <w:r w:rsidRPr="00260B79">
        <w:t xml:space="preserve">. (n.d.). </w:t>
      </w:r>
      <w:hyperlink r:id="rId5" w:history="1">
        <w:r w:rsidR="00260B79" w:rsidRPr="00260B79">
          <w:rPr>
            <w:rStyle w:val="Hyperlink"/>
          </w:rPr>
          <w:t>https://www.justice.gov.uk/courts/procedure-rules/civil/rules/part40/pd_part40</w:t>
        </w:r>
      </w:hyperlink>
    </w:p>
    <w:p w14:paraId="6DCA4D25" w14:textId="0A523AB1" w:rsidR="00FB5D35" w:rsidRPr="00260B79" w:rsidRDefault="00260B79" w:rsidP="00260B79">
      <w:pPr>
        <w:pStyle w:val="ListParagraph"/>
        <w:numPr>
          <w:ilvl w:val="0"/>
          <w:numId w:val="1"/>
        </w:numPr>
        <w:spacing w:line="360" w:lineRule="auto"/>
        <w:jc w:val="both"/>
        <w:rPr>
          <w:rFonts w:ascii="Times New Roman" w:hAnsi="Times New Roman" w:cs="Times New Roman"/>
          <w:sz w:val="24"/>
          <w:szCs w:val="24"/>
        </w:rPr>
      </w:pPr>
      <w:r w:rsidRPr="00260B79">
        <w:rPr>
          <w:rFonts w:ascii="Times New Roman" w:hAnsi="Times New Roman" w:cs="Times New Roman"/>
          <w:sz w:val="24"/>
          <w:szCs w:val="24"/>
        </w:rPr>
        <w:t xml:space="preserve">What is Contract Law? | Become a Contract Lawyer. (2018, April 17). </w:t>
      </w:r>
      <w:hyperlink r:id="rId6" w:history="1">
        <w:r w:rsidRPr="00260B79">
          <w:rPr>
            <w:rStyle w:val="Hyperlink"/>
            <w:rFonts w:ascii="Times New Roman" w:hAnsi="Times New Roman" w:cs="Times New Roman"/>
            <w:sz w:val="24"/>
            <w:szCs w:val="24"/>
          </w:rPr>
          <w:t>https://legalcareerpath.com/what-is-contract-law/</w:t>
        </w:r>
      </w:hyperlink>
    </w:p>
    <w:p w14:paraId="25981BC6" w14:textId="77777777" w:rsidR="00260B79" w:rsidRPr="00260B79" w:rsidRDefault="00260B79" w:rsidP="00260B79">
      <w:pPr>
        <w:pStyle w:val="NormalWeb"/>
        <w:numPr>
          <w:ilvl w:val="0"/>
          <w:numId w:val="1"/>
        </w:numPr>
        <w:spacing w:before="0" w:beforeAutospacing="0" w:after="0" w:afterAutospacing="0" w:line="360" w:lineRule="auto"/>
        <w:jc w:val="both"/>
      </w:pPr>
      <w:r w:rsidRPr="00260B79">
        <w:t xml:space="preserve">A. (2018, February 11). </w:t>
      </w:r>
      <w:r w:rsidRPr="00260B79">
        <w:rPr>
          <w:i/>
          <w:iCs/>
        </w:rPr>
        <w:t>Contract Law  | AllAboutLaw</w:t>
      </w:r>
      <w:r w:rsidRPr="00260B79">
        <w:t>. https://www.allaboutlaw.co.uk/stage/areas-of-law/contract-law</w:t>
      </w:r>
    </w:p>
    <w:p w14:paraId="377168DF" w14:textId="77777777" w:rsidR="00260B79" w:rsidRPr="00260B79" w:rsidRDefault="00260B79" w:rsidP="00260B79">
      <w:pPr>
        <w:pStyle w:val="NormalWeb"/>
        <w:numPr>
          <w:ilvl w:val="0"/>
          <w:numId w:val="1"/>
        </w:numPr>
        <w:spacing w:before="0" w:beforeAutospacing="0" w:after="0" w:afterAutospacing="0" w:line="360" w:lineRule="auto"/>
        <w:jc w:val="both"/>
      </w:pPr>
      <w:r w:rsidRPr="00260B79">
        <w:t xml:space="preserve">Von Mehren, A. T. (1998, July 20). </w:t>
      </w:r>
      <w:r w:rsidRPr="00260B79">
        <w:rPr>
          <w:i/>
          <w:iCs/>
        </w:rPr>
        <w:t>Contract | Definition, History, &amp; Facts</w:t>
      </w:r>
      <w:r w:rsidRPr="00260B79">
        <w:t>. Encyclopedia Britannica. https://www.britannica.com/topic/contract-law</w:t>
      </w:r>
    </w:p>
    <w:p w14:paraId="5E5CF849" w14:textId="77777777" w:rsidR="00FB5D35" w:rsidRPr="00C93973" w:rsidRDefault="00FB5D35" w:rsidP="00C93973">
      <w:pPr>
        <w:spacing w:line="360" w:lineRule="auto"/>
        <w:jc w:val="both"/>
        <w:rPr>
          <w:rFonts w:ascii="Times New Roman" w:hAnsi="Times New Roman" w:cs="Times New Roman"/>
          <w:sz w:val="24"/>
          <w:szCs w:val="24"/>
        </w:rPr>
      </w:pPr>
    </w:p>
    <w:p w14:paraId="798D9406" w14:textId="77777777" w:rsidR="00705F0A" w:rsidRDefault="00705F0A"/>
    <w:sectPr w:rsidR="00705F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B8519F"/>
    <w:multiLevelType w:val="hybridMultilevel"/>
    <w:tmpl w:val="448C36EC"/>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D99"/>
    <w:rsid w:val="002576D6"/>
    <w:rsid w:val="00260B79"/>
    <w:rsid w:val="002C48D8"/>
    <w:rsid w:val="003224CA"/>
    <w:rsid w:val="003E6B24"/>
    <w:rsid w:val="005420A9"/>
    <w:rsid w:val="006A47D7"/>
    <w:rsid w:val="006F41E2"/>
    <w:rsid w:val="00705F0A"/>
    <w:rsid w:val="00740F2E"/>
    <w:rsid w:val="007F0D99"/>
    <w:rsid w:val="007F45E6"/>
    <w:rsid w:val="008432EA"/>
    <w:rsid w:val="00957A8B"/>
    <w:rsid w:val="00965048"/>
    <w:rsid w:val="00AE0FF7"/>
    <w:rsid w:val="00C93973"/>
    <w:rsid w:val="00E6080A"/>
    <w:rsid w:val="00E8566D"/>
    <w:rsid w:val="00FB5D35"/>
    <w:rsid w:val="00FD265A"/>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A5796"/>
  <w15:chartTrackingRefBased/>
  <w15:docId w15:val="{AEE3F84F-60AE-4574-829A-888047692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qFormat/>
    <w:rsid w:val="006A47D7"/>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4">
    <w:name w:val="heading 4"/>
    <w:basedOn w:val="Normal"/>
    <w:next w:val="Normal"/>
    <w:link w:val="Heading4Char"/>
    <w:qFormat/>
    <w:rsid w:val="006A47D7"/>
    <w:pPr>
      <w:keepNext/>
      <w:spacing w:before="120" w:after="120" w:line="240" w:lineRule="auto"/>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A47D7"/>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6A47D7"/>
    <w:rPr>
      <w:rFonts w:ascii="Times New Roman" w:eastAsia="Times New Roman" w:hAnsi="Times New Roman" w:cs="Times New Roman"/>
      <w:sz w:val="40"/>
      <w:szCs w:val="20"/>
      <w:lang w:val="en-GB" w:eastAsia="en-GB"/>
    </w:rPr>
  </w:style>
  <w:style w:type="paragraph" w:styleId="Header">
    <w:name w:val="header"/>
    <w:basedOn w:val="Normal"/>
    <w:link w:val="HeaderChar"/>
    <w:rsid w:val="006A47D7"/>
    <w:pPr>
      <w:tabs>
        <w:tab w:val="center" w:pos="4153"/>
        <w:tab w:val="right" w:pos="8306"/>
      </w:tabs>
      <w:spacing w:after="0" w:line="240" w:lineRule="auto"/>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6A47D7"/>
    <w:rPr>
      <w:rFonts w:ascii="Times New Roman" w:eastAsia="Times New Roman" w:hAnsi="Times New Roman" w:cs="Times New Roman"/>
      <w:sz w:val="20"/>
      <w:szCs w:val="20"/>
      <w:lang w:val="en-GB" w:eastAsia="en-GB"/>
    </w:rPr>
  </w:style>
  <w:style w:type="paragraph" w:styleId="ListParagraph">
    <w:name w:val="List Paragraph"/>
    <w:basedOn w:val="Normal"/>
    <w:uiPriority w:val="34"/>
    <w:qFormat/>
    <w:rsid w:val="00FB5D35"/>
    <w:pPr>
      <w:ind w:left="720"/>
      <w:contextualSpacing/>
    </w:pPr>
  </w:style>
  <w:style w:type="paragraph" w:styleId="NormalWeb">
    <w:name w:val="Normal (Web)"/>
    <w:basedOn w:val="Normal"/>
    <w:uiPriority w:val="99"/>
    <w:unhideWhenUsed/>
    <w:rsid w:val="00FB5D35"/>
    <w:pPr>
      <w:spacing w:before="100" w:beforeAutospacing="1" w:after="100" w:afterAutospacing="1" w:line="240" w:lineRule="auto"/>
    </w:pPr>
    <w:rPr>
      <w:rFonts w:ascii="Times New Roman" w:eastAsia="Times New Roman" w:hAnsi="Times New Roman" w:cs="Times New Roman"/>
      <w:sz w:val="24"/>
      <w:szCs w:val="24"/>
      <w:lang w:eastAsia="en-MY"/>
    </w:rPr>
  </w:style>
  <w:style w:type="character" w:styleId="Hyperlink">
    <w:name w:val="Hyperlink"/>
    <w:basedOn w:val="DefaultParagraphFont"/>
    <w:uiPriority w:val="99"/>
    <w:unhideWhenUsed/>
    <w:rsid w:val="00260B79"/>
    <w:rPr>
      <w:color w:val="0563C1" w:themeColor="hyperlink"/>
      <w:u w:val="single"/>
    </w:rPr>
  </w:style>
  <w:style w:type="character" w:styleId="UnresolvedMention">
    <w:name w:val="Unresolved Mention"/>
    <w:basedOn w:val="DefaultParagraphFont"/>
    <w:uiPriority w:val="99"/>
    <w:semiHidden/>
    <w:unhideWhenUsed/>
    <w:rsid w:val="00260B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18935">
      <w:bodyDiv w:val="1"/>
      <w:marLeft w:val="0"/>
      <w:marRight w:val="0"/>
      <w:marTop w:val="0"/>
      <w:marBottom w:val="0"/>
      <w:divBdr>
        <w:top w:val="none" w:sz="0" w:space="0" w:color="auto"/>
        <w:left w:val="none" w:sz="0" w:space="0" w:color="auto"/>
        <w:bottom w:val="none" w:sz="0" w:space="0" w:color="auto"/>
        <w:right w:val="none" w:sz="0" w:space="0" w:color="auto"/>
      </w:divBdr>
    </w:div>
    <w:div w:id="166600631">
      <w:bodyDiv w:val="1"/>
      <w:marLeft w:val="0"/>
      <w:marRight w:val="0"/>
      <w:marTop w:val="0"/>
      <w:marBottom w:val="0"/>
      <w:divBdr>
        <w:top w:val="none" w:sz="0" w:space="0" w:color="auto"/>
        <w:left w:val="none" w:sz="0" w:space="0" w:color="auto"/>
        <w:bottom w:val="none" w:sz="0" w:space="0" w:color="auto"/>
        <w:right w:val="none" w:sz="0" w:space="0" w:color="auto"/>
      </w:divBdr>
    </w:div>
    <w:div w:id="518785745">
      <w:bodyDiv w:val="1"/>
      <w:marLeft w:val="0"/>
      <w:marRight w:val="0"/>
      <w:marTop w:val="0"/>
      <w:marBottom w:val="0"/>
      <w:divBdr>
        <w:top w:val="none" w:sz="0" w:space="0" w:color="auto"/>
        <w:left w:val="none" w:sz="0" w:space="0" w:color="auto"/>
        <w:bottom w:val="none" w:sz="0" w:space="0" w:color="auto"/>
        <w:right w:val="none" w:sz="0" w:space="0" w:color="auto"/>
      </w:divBdr>
    </w:div>
    <w:div w:id="933054641">
      <w:bodyDiv w:val="1"/>
      <w:marLeft w:val="0"/>
      <w:marRight w:val="0"/>
      <w:marTop w:val="0"/>
      <w:marBottom w:val="0"/>
      <w:divBdr>
        <w:top w:val="none" w:sz="0" w:space="0" w:color="auto"/>
        <w:left w:val="none" w:sz="0" w:space="0" w:color="auto"/>
        <w:bottom w:val="none" w:sz="0" w:space="0" w:color="auto"/>
        <w:right w:val="none" w:sz="0" w:space="0" w:color="auto"/>
      </w:divBdr>
    </w:div>
    <w:div w:id="1113743243">
      <w:bodyDiv w:val="1"/>
      <w:marLeft w:val="0"/>
      <w:marRight w:val="0"/>
      <w:marTop w:val="0"/>
      <w:marBottom w:val="0"/>
      <w:divBdr>
        <w:top w:val="none" w:sz="0" w:space="0" w:color="auto"/>
        <w:left w:val="none" w:sz="0" w:space="0" w:color="auto"/>
        <w:bottom w:val="none" w:sz="0" w:space="0" w:color="auto"/>
        <w:right w:val="none" w:sz="0" w:space="0" w:color="auto"/>
      </w:divBdr>
    </w:div>
    <w:div w:id="1469932309">
      <w:bodyDiv w:val="1"/>
      <w:marLeft w:val="0"/>
      <w:marRight w:val="0"/>
      <w:marTop w:val="0"/>
      <w:marBottom w:val="0"/>
      <w:divBdr>
        <w:top w:val="none" w:sz="0" w:space="0" w:color="auto"/>
        <w:left w:val="none" w:sz="0" w:space="0" w:color="auto"/>
        <w:bottom w:val="none" w:sz="0" w:space="0" w:color="auto"/>
        <w:right w:val="none" w:sz="0" w:space="0" w:color="auto"/>
      </w:divBdr>
    </w:div>
    <w:div w:id="1618022944">
      <w:bodyDiv w:val="1"/>
      <w:marLeft w:val="0"/>
      <w:marRight w:val="0"/>
      <w:marTop w:val="0"/>
      <w:marBottom w:val="0"/>
      <w:divBdr>
        <w:top w:val="none" w:sz="0" w:space="0" w:color="auto"/>
        <w:left w:val="none" w:sz="0" w:space="0" w:color="auto"/>
        <w:bottom w:val="none" w:sz="0" w:space="0" w:color="auto"/>
        <w:right w:val="none" w:sz="0" w:space="0" w:color="auto"/>
      </w:divBdr>
    </w:div>
    <w:div w:id="1850943634">
      <w:bodyDiv w:val="1"/>
      <w:marLeft w:val="0"/>
      <w:marRight w:val="0"/>
      <w:marTop w:val="0"/>
      <w:marBottom w:val="0"/>
      <w:divBdr>
        <w:top w:val="none" w:sz="0" w:space="0" w:color="auto"/>
        <w:left w:val="none" w:sz="0" w:space="0" w:color="auto"/>
        <w:bottom w:val="none" w:sz="0" w:space="0" w:color="auto"/>
        <w:right w:val="none" w:sz="0" w:space="0" w:color="auto"/>
      </w:divBdr>
    </w:div>
    <w:div w:id="1897282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egalcareerpath.com/what-is-contract-law/" TargetMode="External"/><Relationship Id="rId5" Type="http://schemas.openxmlformats.org/officeDocument/2006/relationships/hyperlink" Target="https://www.justice.gov.uk/courts/procedure-rules/civil/rules/part40/pd_part4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6</Pages>
  <Words>2055</Words>
  <Characters>11717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MAHEN RAJ</dc:creator>
  <cp:keywords/>
  <dc:description/>
  <cp:lastModifiedBy>MAHEN RAJ</cp:lastModifiedBy>
  <cp:revision>5</cp:revision>
  <dcterms:created xsi:type="dcterms:W3CDTF">2023-03-10T21:03:00Z</dcterms:created>
  <dcterms:modified xsi:type="dcterms:W3CDTF">2023-03-10T21:15:00Z</dcterms:modified>
</cp:coreProperties>
</file>