
<file path=[Content_Types].xml><?xml version="1.0" encoding="utf-8"?>
<Types xmlns="http://schemas.openxmlformats.org/package/2006/content-types">
  <Default Extension="xml" ContentType="application/xml"/>
  <Default Extension="wmf" ContentType="image/x-wm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xmlns:wp14="http://schemas.microsoft.com/office/word/2010/wordml" w14:paraId="3D900AF2" wp14:textId="77777777">
      <w:pPr>
        <w:jc w:val="center"/>
      </w:pPr>
      <w:r>
        <w:rPr>
          <w:rFonts w:ascii="Arial" w:hAnsi="Arial"/>
          <w:b/>
          <w:sz w:val="28"/>
        </w:rPr>
        <w:t>BSc (Hons) Health and Social Care</w:t>
      </w:r>
    </w:p>
    <w:p xmlns:wp14="http://schemas.microsoft.com/office/word/2010/wordml" w14:paraId="6F75B4CB" wp14:textId="77777777">
      <w:pPr>
        <w:jc w:val="center"/>
      </w:pPr>
      <w:r w:rsidRPr="7CC6F314" w:rsidR="7CC6F314">
        <w:rPr>
          <w:rFonts w:ascii="Arial" w:hAnsi="Arial"/>
          <w:sz w:val="24"/>
          <w:szCs w:val="24"/>
        </w:rPr>
        <w:t>Module: Digital Transformation in the Health and Care Professions</w:t>
      </w:r>
    </w:p>
    <w:p w:rsidR="15C77765" w:rsidP="7CC6F314" w:rsidRDefault="15C77765" w14:paraId="3BDC0DE1" w14:textId="767DE984">
      <w:pPr>
        <w:jc w:val="center"/>
      </w:pPr>
      <w:r w:rsidRPr="7CC6F314" w:rsidR="15C77765">
        <w:rPr>
          <w:rFonts w:ascii="Arial" w:hAnsi="Arial"/>
          <w:sz w:val="24"/>
          <w:szCs w:val="24"/>
        </w:rPr>
        <w:t>Student name: Ayesha mehmood</w:t>
      </w:r>
    </w:p>
    <w:p w:rsidR="15C77765" w:rsidP="7CC6F314" w:rsidRDefault="15C77765" w14:paraId="6C6DBF55" w14:textId="0956B702">
      <w:pPr>
        <w:jc w:val="center"/>
      </w:pPr>
      <w:r w:rsidRPr="7CC6F314" w:rsidR="15C77765">
        <w:rPr>
          <w:rFonts w:ascii="Arial" w:hAnsi="Arial"/>
          <w:sz w:val="24"/>
          <w:szCs w:val="24"/>
        </w:rPr>
        <w:t>Student number: 2329624</w:t>
      </w:r>
    </w:p>
    <w:p xmlns:wp14="http://schemas.microsoft.com/office/word/2010/wordml" w14:paraId="2CADC5FD" wp14:textId="77777777">
      <w:pPr>
        <w:jc w:val="center"/>
      </w:pPr>
      <w:r>
        <w:rPr>
          <w:rFonts w:ascii="Arial" w:hAnsi="Arial"/>
          <w:sz w:val="24"/>
        </w:rPr>
        <w:t>Module Code: BMHP6026</w:t>
      </w:r>
    </w:p>
    <w:p xmlns:wp14="http://schemas.microsoft.com/office/word/2010/wordml" w14:paraId="268DF6FD" wp14:textId="19A884D5">
      <w:pPr>
        <w:jc w:val="center"/>
      </w:pPr>
      <w:r w:rsidRPr="7CC6F314" w:rsidR="7CC6F314">
        <w:rPr>
          <w:rFonts w:ascii="Arial" w:hAnsi="Arial"/>
          <w:sz w:val="24"/>
          <w:szCs w:val="24"/>
        </w:rPr>
        <w:t>Component</w:t>
      </w:r>
      <w:r w:rsidRPr="7CC6F314" w:rsidR="7CC6F314">
        <w:rPr>
          <w:rFonts w:ascii="Arial" w:hAnsi="Arial"/>
          <w:sz w:val="24"/>
          <w:szCs w:val="24"/>
        </w:rPr>
        <w:t xml:space="preserve"> 1: Written Report</w:t>
      </w:r>
    </w:p>
    <w:p w:rsidR="7CC6F314" w:rsidP="7CC6F314" w:rsidRDefault="7CC6F314" w14:paraId="4AFCC562" w14:textId="782CE1A3">
      <w:pPr>
        <w:jc w:val="center"/>
      </w:pPr>
    </w:p>
    <w:p w:rsidR="7CC6F314" w:rsidP="7CC6F314" w:rsidRDefault="7CC6F314" w14:paraId="5ACA9A34" w14:textId="3F082653">
      <w:pPr>
        <w:jc w:val="center"/>
      </w:pPr>
    </w:p>
    <w:p w:rsidR="7CC6F314" w:rsidP="7CC6F314" w:rsidRDefault="7CC6F314" w14:paraId="3C6F4BAF" w14:textId="4276A0F5">
      <w:pPr>
        <w:jc w:val="center"/>
      </w:pPr>
    </w:p>
    <w:p w:rsidR="7CC6F314" w:rsidP="7CC6F314" w:rsidRDefault="7CC6F314" w14:paraId="6A2C6851" w14:textId="28BF8425">
      <w:pPr>
        <w:jc w:val="center"/>
      </w:pPr>
    </w:p>
    <w:p xmlns:wp14="http://schemas.microsoft.com/office/word/2010/wordml" w14:paraId="73C4B2EC" wp14:textId="77777777">
      <w:pPr>
        <w:jc w:val="center"/>
      </w:pPr>
      <w:r>
        <w:rPr>
          <w:rFonts w:ascii="Arial" w:hAnsi="Arial"/>
          <w:b/>
          <w:sz w:val="24"/>
        </w:rPr>
        <w:t>Assignment Title:</w:t>
      </w:r>
    </w:p>
    <w:p xmlns:wp14="http://schemas.microsoft.com/office/word/2010/wordml" w14:paraId="680E4909" wp14:textId="77777777">
      <w:pPr>
        <w:jc w:val="center"/>
      </w:pPr>
      <w:r>
        <w:rPr>
          <w:rFonts w:ascii="Arial" w:hAnsi="Arial"/>
          <w:b/>
          <w:sz w:val="28"/>
        </w:rPr>
        <w:t>Critical Evaluation of the NHS App as a Digital Transformation in Health and Social Care in England</w:t>
      </w:r>
    </w:p>
    <w:p xmlns:wp14="http://schemas.microsoft.com/office/word/2010/wordml" w14:paraId="2373BB4D" wp14:textId="77777777"/>
    <w:p xmlns:wp14="http://schemas.microsoft.com/office/word/2010/wordml" w14:paraId="4B7B950E" wp14:textId="77777777"/>
    <w:p xmlns:wp14="http://schemas.microsoft.com/office/word/2010/wordml" w14:paraId="3F1C25C3" wp14:textId="77777777"/>
    <w:p xmlns:wp14="http://schemas.microsoft.com/office/word/2010/wordml" w14:paraId="220707CC" wp14:textId="77777777"/>
    <w:p xmlns:wp14="http://schemas.microsoft.com/office/word/2010/wordml" w14:paraId="71F40299" wp14:textId="77777777">
      <w:r>
        <w:br w:type="page"/>
      </w:r>
    </w:p>
    <w:p xmlns:wp14="http://schemas.microsoft.com/office/word/2010/wordml" w14:paraId="6B978076" wp14:textId="77777777">
      <w:pPr>
        <w:pStyle w:val="2"/>
        <w:jc w:val="center"/>
      </w:pPr>
      <w:r>
        <w:rPr>
          <w:rFonts w:hint="default" w:ascii="Arial" w:hAnsi="Arial" w:cs="Arial"/>
        </w:rPr>
        <w:t>Critical Evaluation of the NHS App as a Digital Transformation in Health and Social Care in England</w:t>
      </w:r>
    </w:p>
    <w:p xmlns:wp14="http://schemas.microsoft.com/office/word/2010/wordml" w14:paraId="57EC2D69" wp14:textId="77777777">
      <w:pPr>
        <w:pStyle w:val="3"/>
        <w:spacing w:line="360" w:lineRule="auto"/>
        <w:jc w:val="both"/>
        <w:rPr>
          <w:rFonts w:hint="default" w:ascii="Arial" w:hAnsi="Arial" w:cs="Arial"/>
          <w:sz w:val="22"/>
          <w:szCs w:val="22"/>
        </w:rPr>
      </w:pPr>
      <w:r>
        <w:rPr>
          <w:rFonts w:hint="default" w:ascii="Arial" w:hAnsi="Arial" w:cs="Arial"/>
          <w:sz w:val="22"/>
          <w:szCs w:val="22"/>
        </w:rPr>
        <w:t>1. Introduction</w:t>
      </w:r>
    </w:p>
    <w:p xmlns:wp14="http://schemas.microsoft.com/office/word/2010/wordml" w14:paraId="5F04BDA9" wp14:textId="77777777">
      <w:pPr>
        <w:spacing w:line="360" w:lineRule="auto"/>
        <w:ind w:firstLine="720" w:firstLineChars="0"/>
        <w:jc w:val="both"/>
        <w:rPr>
          <w:rFonts w:hint="default" w:ascii="Arial" w:hAnsi="Arial" w:cs="Arial"/>
          <w:sz w:val="22"/>
          <w:szCs w:val="22"/>
        </w:rPr>
      </w:pPr>
      <w:r>
        <w:rPr>
          <w:rFonts w:hint="default" w:ascii="Arial" w:hAnsi="Arial" w:cs="Arial"/>
          <w:sz w:val="22"/>
          <w:szCs w:val="22"/>
        </w:rPr>
        <w:t>In England, digital transformation has become a fundamental element of health and social care. It's more than just switching from paper to screens. It transforms working practice, the way services are organised, the way patients can access services and how communities can participate in decision making about health. This report critically analyses the NHS App as one digital innovation that has been successfully implemented in the past decade in the UK health and care system. In England the NHS App was rolled out nationally in 2019 as a digital front door to the NHS with capabilities including repeat prescriptions, managing appointments, accessing records, NHS messages and links to online NHS consultation services (Reidy et al., 2025; Greaves et al., 2026). It is a very large scale, so it is a good case to use as it is not a small pilot. It is a national public service platform which is used throughout primary and secondary care. There were 41 million people registered and 14.87 million different users who logged in during April 2026 (NHS England, 2026a; NHS England Digital, 2026a). But, success can only be measured by registration numbers. A Level 6 evaluation should seek to understand what gains are made for who, what tasks are delegated to staff and patients, and whether digital access actually enhances care or primarily masks broader pressures in the system.</w:t>
      </w:r>
    </w:p>
    <w:p xmlns:wp14="http://schemas.microsoft.com/office/word/2010/wordml" w14:paraId="61F3EAA9" wp14:textId="77777777">
      <w:pPr>
        <w:spacing w:line="360" w:lineRule="auto"/>
        <w:jc w:val="both"/>
        <w:rPr>
          <w:rFonts w:hint="default" w:ascii="Arial" w:hAnsi="Arial" w:cs="Arial"/>
          <w:b/>
          <w:bCs/>
          <w:sz w:val="22"/>
          <w:szCs w:val="22"/>
        </w:rPr>
      </w:pPr>
      <w:r>
        <w:rPr>
          <w:rFonts w:hint="default" w:ascii="Arial" w:hAnsi="Arial" w:cs="Arial"/>
          <w:b/>
          <w:bCs/>
          <w:sz w:val="22"/>
          <w:szCs w:val="22"/>
        </w:rPr>
        <w:t>2. Overview of the Innovation and Implementation</w:t>
      </w:r>
    </w:p>
    <w:p xmlns:wp14="http://schemas.microsoft.com/office/word/2010/wordml" w14:paraId="2429B082" wp14:textId="77777777">
      <w:pPr>
        <w:spacing w:line="360" w:lineRule="auto"/>
        <w:ind w:firstLine="720" w:firstLineChars="0"/>
        <w:jc w:val="both"/>
        <w:rPr>
          <w:rFonts w:hint="default" w:ascii="Arial" w:hAnsi="Arial" w:cs="Arial"/>
          <w:sz w:val="22"/>
          <w:szCs w:val="22"/>
        </w:rPr>
      </w:pPr>
      <w:r>
        <w:rPr>
          <w:rFonts w:hint="default" w:ascii="Arial" w:hAnsi="Arial" w:cs="Arial"/>
          <w:sz w:val="22"/>
          <w:szCs w:val="22"/>
        </w:rPr>
        <w:t>The NHS App bundles multiple services together in one app for patients. People are able to order repeat prescriptions, access their GP records, view test results, book appointments, receive messages and use linked services using NHS login (NHS, 2026). The app was placed at the heart of digital health and social care due to its ability to improve the speed, personalisation, and accessibility of services (DHSC, 2022). National level implementation with local systems delivery. For instance, GP practices and hospital trusts will need to link their own records, appointment systems and messaging to the app. This presents a conflict between an idealized promise of one front door at a national level and the variability in what the patient can do at the local level. Greaves et al. (2026) identified the changing features of the app, local infrastructure, staff capacity, patient effort and policy context as influencing the implementation. This is not just a technical product, it's the NHS App. A socio-technical change programme. It relies on the digital infrastructure, training of staff, information governance, patient trust and other options for those who cannot use the app.</w:t>
      </w:r>
    </w:p>
    <w:p xmlns:wp14="http://schemas.microsoft.com/office/word/2010/wordml" w14:paraId="29112F45" wp14:textId="77777777">
      <w:pPr>
        <w:spacing w:line="360" w:lineRule="auto"/>
        <w:jc w:val="both"/>
        <w:rPr>
          <w:rFonts w:hint="default" w:ascii="Arial" w:hAnsi="Arial" w:cs="Arial"/>
          <w:b/>
          <w:bCs/>
          <w:sz w:val="22"/>
          <w:szCs w:val="22"/>
        </w:rPr>
      </w:pPr>
      <w:r>
        <w:rPr>
          <w:rFonts w:hint="default" w:ascii="Arial" w:hAnsi="Arial" w:cs="Arial"/>
          <w:b/>
          <w:bCs/>
          <w:sz w:val="22"/>
          <w:szCs w:val="22"/>
        </w:rPr>
        <w:t>3. Workforce Impact</w:t>
      </w:r>
    </w:p>
    <w:p xmlns:wp14="http://schemas.microsoft.com/office/word/2010/wordml" w14:paraId="48A42425" wp14:textId="77777777">
      <w:pPr>
        <w:spacing w:line="360" w:lineRule="auto"/>
        <w:ind w:firstLine="720" w:firstLineChars="0"/>
        <w:jc w:val="both"/>
        <w:rPr>
          <w:rFonts w:hint="default" w:ascii="Arial" w:hAnsi="Arial" w:cs="Arial"/>
          <w:sz w:val="22"/>
          <w:szCs w:val="22"/>
        </w:rPr>
      </w:pPr>
      <w:r>
        <w:rPr>
          <w:rFonts w:hint="default" w:ascii="Arial" w:hAnsi="Arial" w:cs="Arial"/>
          <w:sz w:val="22"/>
          <w:szCs w:val="22"/>
        </w:rPr>
        <w:t>The NHS App has transformed the way people work in GP practices, hospitals, pharmacies and digital support teams. The benefit is that some of the low value administrative tasks are reduced. NHS England Digital (2026b) report that digital repeat prescription requests result in a saving of approximately 3 minutes of GP surgery time in comparison to analogue. This is important at the national level. More than 7.02 million repeat prescriptions were ordered via the app in April 2026 (NHS England Digital, 2026a). Reception staff can reduce the number of calls they receive regarding appointments, test results, and prescriptions when patients can access this themselves. Digital access to records also enables staff to save time due to patients being able to view vaccination records, medicines and test results directly (NHS England Digital, 2026c). But this benefit does not come free of charge. Digital work may result in new tasks, including assisting patients with registration, correcting record inaccuracies, providing access to records for proxies, addressing patient questions about their records in the context of the app, reviewing confidential information prior to releasing it to patients and explaining findings that patients may view before a clinician reaches them. Therefore, staff should not only be clinically and administratively adept, but also digitally literate and knowledgeable about information governance and safeguarding awareness. This alters role competency. Receptionists/care navigators can become digital access supporters, as can clinicians, who need to write notes that can be read by patients. This can enhance clarity but can also raise professional anxiety and workload if personnel have to adopt a new documentation format without sufficient time and training. Staff capacity and local support were found to impact implementation (Reidy et al., 2025). This highlights the fact a digital transformation can only help the workforce if the organisation provides appropriate training, protected time and workflows. Otherwise it may push people from waiting in line on the phone to waiting on line in the digital world.</w:t>
      </w:r>
    </w:p>
    <w:p xmlns:wp14="http://schemas.microsoft.com/office/word/2010/wordml" w14:paraId="2738B442" wp14:textId="77777777">
      <w:pPr>
        <w:spacing w:line="360" w:lineRule="auto"/>
        <w:jc w:val="both"/>
        <w:rPr>
          <w:rFonts w:hint="default" w:ascii="Arial" w:hAnsi="Arial" w:cs="Arial"/>
          <w:b/>
          <w:bCs/>
          <w:sz w:val="22"/>
          <w:szCs w:val="22"/>
        </w:rPr>
      </w:pPr>
      <w:r>
        <w:rPr>
          <w:rFonts w:hint="default" w:ascii="Arial" w:hAnsi="Arial" w:cs="Arial"/>
          <w:b/>
          <w:bCs/>
          <w:sz w:val="22"/>
          <w:szCs w:val="22"/>
        </w:rPr>
        <w:t>4. Service Delivery Impact</w:t>
      </w:r>
    </w:p>
    <w:p xmlns:wp14="http://schemas.microsoft.com/office/word/2010/wordml" w14:paraId="5701C4F2" wp14:textId="77777777">
      <w:pPr>
        <w:spacing w:line="360" w:lineRule="auto"/>
        <w:ind w:firstLine="720" w:firstLineChars="0"/>
        <w:jc w:val="both"/>
        <w:rPr>
          <w:rFonts w:hint="default" w:ascii="Arial" w:hAnsi="Arial" w:cs="Arial"/>
          <w:sz w:val="22"/>
          <w:szCs w:val="22"/>
        </w:rPr>
      </w:pPr>
      <w:r>
        <w:rPr>
          <w:rFonts w:hint="default" w:ascii="Arial" w:hAnsi="Arial" w:cs="Arial"/>
          <w:sz w:val="22"/>
          <w:szCs w:val="22"/>
        </w:rPr>
        <w:t>The move to digital self-service has transformed daily service delivery, replacing many of the routine interactions that would otherwise be made by phone or paper letter and face-to-face requests. The NHS App roadmap predicted that around 15 million people would view secondary care appointments details and over 400,000 GP appointments would be booked or cancelled per month via the app in 2026 (NHS England Digital, 2026b). This can enhance the efficiency of the service. Patients can access information anytime, outside of office hours, have easier access to cancel appointments, and receive digital messages rather than waiting for letters. Clarified appointment details and reminders can also help to minimize missed appointments. The national data for April 2026 also reveals that logins and prescriptions are increasing quickly, indicating that the platform is becoming a part of normal service delivery (NHS England Digital, 2026a). The impact on access, however, is variable. Digital access can be of benefit if it avoids unnecessary friction, but it can be harmful if it is the only practical access to care. The Health and Social Care Committee (2023a) stated that whilst the NHS App could help reduce inequalities, it was also important that other methods were still available. There are also fears that the delivery of digital services might seem streamlined on the surface but services are not actually improved in the clinical realm. For instance, a GP booking or a GP requesting a GP appointment does not result in additional GP appointments, clinicians or capacity in the hospital. It can change only in the location of demand. The NHS App should therefore be considered as a coordination and access tool rather than a substitute for the lack of workforces, waiting lists or underfunding. A neutral view is that the app adds convenience and administrative efficiency without affecting the service, unless it is integrated with the real clinical capacity, and safe alternative non-digital ways.</w:t>
      </w:r>
    </w:p>
    <w:p xmlns:wp14="http://schemas.microsoft.com/office/word/2010/wordml" w14:paraId="7D16EDF2" wp14:textId="77777777">
      <w:pPr>
        <w:numPr>
          <w:ilvl w:val="0"/>
          <w:numId w:val="7"/>
        </w:numPr>
        <w:spacing w:line="360" w:lineRule="auto"/>
        <w:jc w:val="both"/>
        <w:rPr>
          <w:rFonts w:hint="default" w:ascii="Arial" w:hAnsi="Arial" w:cs="Arial"/>
          <w:b/>
          <w:bCs/>
          <w:sz w:val="22"/>
          <w:szCs w:val="22"/>
        </w:rPr>
      </w:pPr>
      <w:r>
        <w:rPr>
          <w:rFonts w:hint="default" w:ascii="Arial" w:hAnsi="Arial" w:cs="Arial"/>
          <w:b/>
          <w:bCs/>
          <w:sz w:val="22"/>
          <w:szCs w:val="22"/>
        </w:rPr>
        <w:t>Patient and Service User Impact</w:t>
      </w:r>
    </w:p>
    <w:p xmlns:wp14="http://schemas.microsoft.com/office/word/2010/wordml" w14:paraId="4DCCC93E" wp14:textId="77777777">
      <w:pPr>
        <w:numPr>
          <w:ilvl w:val="0"/>
          <w:numId w:val="0"/>
        </w:numPr>
        <w:spacing w:line="360" w:lineRule="auto"/>
        <w:ind w:firstLine="720" w:firstLineChars="0"/>
        <w:jc w:val="both"/>
        <w:rPr>
          <w:rFonts w:hint="default" w:ascii="Arial" w:hAnsi="Arial" w:eastAsia="Geist Fallback" w:cs="Arial"/>
          <w:b w:val="0"/>
          <w:bCs w:val="0"/>
          <w:i w:val="0"/>
          <w:iCs w:val="0"/>
          <w:caps w:val="0"/>
          <w:spacing w:val="0"/>
          <w:sz w:val="22"/>
          <w:szCs w:val="22"/>
        </w:rPr>
      </w:pPr>
      <w:r>
        <w:rPr>
          <w:rFonts w:hint="default" w:ascii="Arial" w:hAnsi="Arial" w:eastAsia="Geist Fallback" w:cs="Arial"/>
          <w:b w:val="0"/>
          <w:bCs w:val="0"/>
          <w:i w:val="0"/>
          <w:iCs w:val="0"/>
          <w:caps w:val="0"/>
          <w:spacing w:val="0"/>
          <w:sz w:val="22"/>
          <w:szCs w:val="22"/>
        </w:rPr>
        <w:t>The NHS App helps many patients to achieve better control and convenience. It enables them to handle repeat prescriptions, view test results, view messages and view parts of their record without calling the practice. This may help to promote independence particularly for people with long-term conditions who require frequent medicines or monitoring. The app can also be used to help carers with linked profiles and proxy access, but this can be tightly managed (NHS, 2026). Patient portals can enhance engagement since individuals have better access to their data and may feel more at ease asking questions regarding treatment (KC et al., 2024). Rather, patient experience is inconsistent. In some patients, the high-speed availability of results is appreciated, while for others, the results may be disturbing because they do not receive sufficient explanation or read medical jargon or sensitive remarks. NHS England Digital (2026c) acknowledges that sometimes patients may receive benefits without their doctor or nurse discussing these with them, and that if concerned, patients should contact their GP. This demonstrates a lack of design in the digital access: information access is not equal to understanding. There are also privacy and safeguarding issues. The NHS App privacy policy states that technical audit data is recorded on the NHS number and can be retained for up to 8 years (NHS, 2026). Access guidance also indicates that the presence of sensitive information may cause vulnerable adults to be harmed in circumstances of coercive control (NHS England Digital, 2026c). Patient empowerment must thus be considered alongside health literacy and emotional safety, and confidentiality. The app works best when it provides clear, timely and understandable information. It makes a lot of assumptions that all patients are the same and that they have the same skills, devices, privacy in their homes, and confidence in their ability to act on digital information.</w:t>
      </w:r>
    </w:p>
    <w:p xmlns:wp14="http://schemas.microsoft.com/office/word/2010/wordml" w14:paraId="7FF7FC2F" wp14:textId="77777777">
      <w:pPr>
        <w:numPr>
          <w:ilvl w:val="0"/>
          <w:numId w:val="7"/>
        </w:numPr>
        <w:spacing w:line="360" w:lineRule="auto"/>
        <w:ind w:left="0" w:leftChars="0" w:firstLine="0" w:firstLineChars="0"/>
        <w:jc w:val="both"/>
        <w:rPr>
          <w:rFonts w:hint="default" w:ascii="Arial" w:hAnsi="Arial" w:cs="Arial"/>
          <w:b/>
          <w:bCs/>
          <w:sz w:val="22"/>
          <w:szCs w:val="22"/>
        </w:rPr>
      </w:pPr>
      <w:r>
        <w:rPr>
          <w:rFonts w:hint="default" w:ascii="Arial" w:hAnsi="Arial" w:cs="Arial"/>
          <w:b/>
          <w:bCs/>
          <w:sz w:val="22"/>
          <w:szCs w:val="22"/>
        </w:rPr>
        <w:t>Community and Population Impact</w:t>
      </w:r>
    </w:p>
    <w:p xmlns:wp14="http://schemas.microsoft.com/office/word/2010/wordml" w14:paraId="1A940397" wp14:textId="77777777">
      <w:pPr>
        <w:numPr>
          <w:ilvl w:val="0"/>
          <w:numId w:val="0"/>
        </w:numPr>
        <w:spacing w:line="360" w:lineRule="auto"/>
        <w:ind w:leftChars="0" w:firstLine="720" w:firstLineChars="0"/>
        <w:jc w:val="both"/>
        <w:rPr>
          <w:rFonts w:hint="default" w:ascii="Arial" w:hAnsi="Arial" w:cs="Arial"/>
          <w:sz w:val="22"/>
          <w:szCs w:val="22"/>
        </w:rPr>
      </w:pPr>
      <w:r>
        <w:rPr>
          <w:rFonts w:hint="default" w:ascii="Arial" w:hAnsi="Arial" w:eastAsia="Geist Fallback" w:cs="Arial"/>
          <w:i w:val="0"/>
          <w:iCs w:val="0"/>
          <w:caps w:val="0"/>
          <w:spacing w:val="0"/>
          <w:sz w:val="22"/>
          <w:szCs w:val="22"/>
        </w:rPr>
        <w:t>The NHS App can help public health at community level by providing increased access to vaccination information, screening messages, prevention guidance and local services. This also allows for care at home as patients and carers can access some aspects of care without visiting their GP surgery or hospital. This is significant for those with mobility difficulties, unpaid carers and those living in rural or busy urban areas. In addition, digital messaging can aid families in coordinating care where appropriate for proxy access. But digital exclusion means a limited impact on the community. According to Good Things Foundation (2024), 53% of older people (aged 75 and over) have foundation-level digital skills, while 33% of people who are offline struggle to access NHS services. Similarly, in 2025, Age UK found that approximately 19% of those aged 65 and above (or 2.4 million people) access the internet less than once a month. These figures are significant as older people are also well users of health and care services. In more deprived GP practices, KC et al. (2024) noted lower registrations (34% less), logins (34.9% less) and appointment bookings (39.7% less) compared to less deprived practices. This could cause the app to exacerbate health inequity if it is used predominantly by those who already have greater access, confidence and digital skills. NHS England's digital inclusion framework makes the case for inclusive and complementary digital services alongside non-digital support (NHS England, 2023). This is the right principle. In the real world, local systems require digital champions, local support from libraries and voluntary groups, translated guidance, accessible design and ongoing telephone or face-to-face routes</w:t>
      </w:r>
      <w:r>
        <w:rPr>
          <w:rFonts w:hint="default" w:ascii="Arial" w:hAnsi="Arial" w:cs="Arial"/>
          <w:sz w:val="22"/>
          <w:szCs w:val="22"/>
        </w:rPr>
        <w:t>.</w:t>
      </w:r>
    </w:p>
    <w:p xmlns:wp14="http://schemas.microsoft.com/office/word/2010/wordml" w14:paraId="123F7C79" wp14:textId="77777777">
      <w:pPr>
        <w:spacing w:line="360" w:lineRule="auto"/>
        <w:jc w:val="both"/>
        <w:rPr>
          <w:rFonts w:hint="default" w:ascii="Arial" w:hAnsi="Arial" w:cs="Arial"/>
          <w:sz w:val="22"/>
          <w:szCs w:val="22"/>
        </w:rPr>
      </w:pPr>
      <w:r>
        <w:rPr>
          <w:rFonts w:hint="default" w:ascii="Arial" w:hAnsi="Arial" w:cs="Arial"/>
          <w:b/>
          <w:sz w:val="22"/>
          <w:szCs w:val="22"/>
        </w:rPr>
        <w:t>Table 1: Critical Summary of Positive and Negative Outcomes of the NHS App</w:t>
      </w:r>
    </w:p>
    <w:tbl>
      <w:tblPr>
        <w:tblStyle w:val="3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20"/>
        <w:gridCol w:w="3120"/>
        <w:gridCol w:w="3120"/>
      </w:tblGrid>
      <w:tr xmlns:wp14="http://schemas.microsoft.com/office/word/2010/wordml" w14:paraId="38B57AA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120" w:type="dxa"/>
            <w:shd w:val="clear" w:color="auto" w:fill="D9EAF7"/>
            <w:vAlign w:val="center"/>
          </w:tcPr>
          <w:p w14:paraId="6D9B45CC" wp14:textId="77777777">
            <w:pPr>
              <w:spacing w:line="360" w:lineRule="auto"/>
              <w:jc w:val="both"/>
              <w:rPr>
                <w:rFonts w:hint="default" w:ascii="Arial" w:hAnsi="Arial" w:cs="Arial"/>
                <w:sz w:val="22"/>
                <w:szCs w:val="22"/>
              </w:rPr>
            </w:pPr>
            <w:r>
              <w:rPr>
                <w:rFonts w:hint="default" w:ascii="Arial" w:hAnsi="Arial" w:cs="Arial"/>
                <w:b/>
                <w:sz w:val="22"/>
                <w:szCs w:val="22"/>
              </w:rPr>
              <w:t>Area</w:t>
            </w:r>
          </w:p>
        </w:tc>
        <w:tc>
          <w:tcPr>
            <w:tcW w:w="3120" w:type="dxa"/>
            <w:shd w:val="clear" w:color="auto" w:fill="D9EAF7"/>
            <w:vAlign w:val="center"/>
          </w:tcPr>
          <w:p w14:paraId="4B9D5F2D" wp14:textId="77777777">
            <w:pPr>
              <w:spacing w:line="360" w:lineRule="auto"/>
              <w:jc w:val="both"/>
              <w:rPr>
                <w:rFonts w:hint="default" w:ascii="Arial" w:hAnsi="Arial" w:cs="Arial"/>
                <w:sz w:val="22"/>
                <w:szCs w:val="22"/>
              </w:rPr>
            </w:pPr>
            <w:r>
              <w:rPr>
                <w:rFonts w:hint="default" w:ascii="Arial" w:hAnsi="Arial" w:cs="Arial"/>
                <w:b/>
                <w:sz w:val="22"/>
                <w:szCs w:val="22"/>
              </w:rPr>
              <w:t>Positive outcomes</w:t>
            </w:r>
          </w:p>
        </w:tc>
        <w:tc>
          <w:tcPr>
            <w:tcW w:w="3120" w:type="dxa"/>
            <w:shd w:val="clear" w:color="auto" w:fill="D9EAF7"/>
            <w:vAlign w:val="center"/>
          </w:tcPr>
          <w:p w14:paraId="6F768145" wp14:textId="77777777">
            <w:pPr>
              <w:spacing w:line="360" w:lineRule="auto"/>
              <w:jc w:val="both"/>
              <w:rPr>
                <w:rFonts w:hint="default" w:ascii="Arial" w:hAnsi="Arial" w:cs="Arial"/>
                <w:sz w:val="22"/>
                <w:szCs w:val="22"/>
              </w:rPr>
            </w:pPr>
            <w:r>
              <w:rPr>
                <w:rFonts w:hint="default" w:ascii="Arial" w:hAnsi="Arial" w:cs="Arial"/>
                <w:b/>
                <w:sz w:val="22"/>
                <w:szCs w:val="22"/>
              </w:rPr>
              <w:t>Negative or risk outcomes</w:t>
            </w:r>
          </w:p>
        </w:tc>
      </w:tr>
      <w:tr xmlns:wp14="http://schemas.microsoft.com/office/word/2010/wordml" w14:paraId="18070B3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120" w:type="dxa"/>
            <w:vAlign w:val="center"/>
          </w:tcPr>
          <w:p w14:paraId="5EB31932" wp14:textId="77777777">
            <w:pPr>
              <w:spacing w:line="360" w:lineRule="auto"/>
              <w:jc w:val="both"/>
              <w:rPr>
                <w:rFonts w:hint="default" w:ascii="Arial" w:hAnsi="Arial" w:cs="Arial"/>
                <w:sz w:val="22"/>
                <w:szCs w:val="22"/>
              </w:rPr>
            </w:pPr>
            <w:r>
              <w:rPr>
                <w:rFonts w:hint="default" w:ascii="Arial" w:hAnsi="Arial" w:cs="Arial"/>
                <w:b w:val="0"/>
                <w:sz w:val="22"/>
                <w:szCs w:val="22"/>
              </w:rPr>
              <w:t>Workforce</w:t>
            </w:r>
          </w:p>
        </w:tc>
        <w:tc>
          <w:tcPr>
            <w:tcW w:w="3120" w:type="dxa"/>
            <w:vAlign w:val="center"/>
          </w:tcPr>
          <w:p w14:paraId="7BEB10AE" wp14:textId="77777777">
            <w:pPr>
              <w:spacing w:line="360" w:lineRule="auto"/>
              <w:jc w:val="both"/>
              <w:rPr>
                <w:rFonts w:hint="default" w:ascii="Arial" w:hAnsi="Arial" w:cs="Arial"/>
                <w:sz w:val="22"/>
                <w:szCs w:val="22"/>
              </w:rPr>
            </w:pPr>
            <w:r>
              <w:rPr>
                <w:rFonts w:hint="default" w:ascii="Arial" w:hAnsi="Arial" w:cs="Arial"/>
                <w:b w:val="0"/>
                <w:sz w:val="22"/>
                <w:szCs w:val="22"/>
              </w:rPr>
              <w:t>Less routine telephone and paperwork pressure for prescriptions, records and appointment details.</w:t>
            </w:r>
          </w:p>
        </w:tc>
        <w:tc>
          <w:tcPr>
            <w:tcW w:w="3120" w:type="dxa"/>
            <w:vAlign w:val="center"/>
          </w:tcPr>
          <w:p w14:paraId="5430F100" wp14:textId="77777777">
            <w:pPr>
              <w:spacing w:line="360" w:lineRule="auto"/>
              <w:jc w:val="both"/>
              <w:rPr>
                <w:rFonts w:hint="default" w:ascii="Arial" w:hAnsi="Arial" w:cs="Arial"/>
                <w:sz w:val="22"/>
                <w:szCs w:val="22"/>
              </w:rPr>
            </w:pPr>
            <w:r>
              <w:rPr>
                <w:rFonts w:hint="default" w:ascii="Arial" w:hAnsi="Arial" w:cs="Arial"/>
                <w:b w:val="0"/>
                <w:sz w:val="22"/>
                <w:szCs w:val="22"/>
              </w:rPr>
              <w:t>New workload for digital support, record checking, safeguarding, proxy access and patient queries.</w:t>
            </w:r>
          </w:p>
        </w:tc>
      </w:tr>
      <w:tr xmlns:wp14="http://schemas.microsoft.com/office/word/2010/wordml" w14:paraId="1611C3E2"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120" w:type="dxa"/>
            <w:vAlign w:val="center"/>
          </w:tcPr>
          <w:p w14:paraId="478683DC" wp14:textId="77777777">
            <w:pPr>
              <w:spacing w:line="360" w:lineRule="auto"/>
              <w:jc w:val="both"/>
              <w:rPr>
                <w:rFonts w:hint="default" w:ascii="Arial" w:hAnsi="Arial" w:cs="Arial"/>
                <w:sz w:val="22"/>
                <w:szCs w:val="22"/>
              </w:rPr>
            </w:pPr>
            <w:r>
              <w:rPr>
                <w:rFonts w:hint="default" w:ascii="Arial" w:hAnsi="Arial" w:cs="Arial"/>
                <w:b w:val="0"/>
                <w:sz w:val="22"/>
                <w:szCs w:val="22"/>
              </w:rPr>
              <w:t>Service delivery</w:t>
            </w:r>
          </w:p>
        </w:tc>
        <w:tc>
          <w:tcPr>
            <w:tcW w:w="3120" w:type="dxa"/>
            <w:vAlign w:val="center"/>
          </w:tcPr>
          <w:p w14:paraId="0455AC6F" wp14:textId="77777777">
            <w:pPr>
              <w:spacing w:line="360" w:lineRule="auto"/>
              <w:jc w:val="both"/>
              <w:rPr>
                <w:rFonts w:hint="default" w:ascii="Arial" w:hAnsi="Arial" w:cs="Arial"/>
                <w:sz w:val="22"/>
                <w:szCs w:val="22"/>
              </w:rPr>
            </w:pPr>
            <w:r>
              <w:rPr>
                <w:rFonts w:hint="default" w:ascii="Arial" w:hAnsi="Arial" w:cs="Arial"/>
                <w:b w:val="0"/>
                <w:sz w:val="22"/>
                <w:szCs w:val="22"/>
              </w:rPr>
              <w:t>More self-service, faster access to information, digital messaging and appointment management.</w:t>
            </w:r>
          </w:p>
        </w:tc>
        <w:tc>
          <w:tcPr>
            <w:tcW w:w="3120" w:type="dxa"/>
            <w:vAlign w:val="center"/>
          </w:tcPr>
          <w:p w14:paraId="2C2FF9E7" wp14:textId="77777777">
            <w:pPr>
              <w:spacing w:line="360" w:lineRule="auto"/>
              <w:jc w:val="both"/>
              <w:rPr>
                <w:rFonts w:hint="default" w:ascii="Arial" w:hAnsi="Arial" w:cs="Arial"/>
                <w:sz w:val="22"/>
                <w:szCs w:val="22"/>
              </w:rPr>
            </w:pPr>
            <w:r>
              <w:rPr>
                <w:rFonts w:hint="default" w:ascii="Arial" w:hAnsi="Arial" w:cs="Arial"/>
                <w:b w:val="0"/>
                <w:sz w:val="22"/>
                <w:szCs w:val="22"/>
              </w:rPr>
              <w:t>Does not create more clinical capacity; local system variation affects what patients can use.</w:t>
            </w:r>
          </w:p>
        </w:tc>
      </w:tr>
      <w:tr xmlns:wp14="http://schemas.microsoft.com/office/word/2010/wordml" w14:paraId="6E55AD52"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120" w:type="dxa"/>
            <w:vAlign w:val="center"/>
          </w:tcPr>
          <w:p w14:paraId="1BF7F244" wp14:textId="77777777">
            <w:pPr>
              <w:spacing w:line="360" w:lineRule="auto"/>
              <w:jc w:val="both"/>
              <w:rPr>
                <w:rFonts w:hint="default" w:ascii="Arial" w:hAnsi="Arial" w:cs="Arial"/>
                <w:sz w:val="22"/>
                <w:szCs w:val="22"/>
              </w:rPr>
            </w:pPr>
            <w:r>
              <w:rPr>
                <w:rFonts w:hint="default" w:ascii="Arial" w:hAnsi="Arial" w:cs="Arial"/>
                <w:b w:val="0"/>
                <w:sz w:val="22"/>
                <w:szCs w:val="22"/>
              </w:rPr>
              <w:t>Patient/service user</w:t>
            </w:r>
          </w:p>
        </w:tc>
        <w:tc>
          <w:tcPr>
            <w:tcW w:w="3120" w:type="dxa"/>
            <w:vAlign w:val="center"/>
          </w:tcPr>
          <w:p w14:paraId="021D8836" wp14:textId="77777777">
            <w:pPr>
              <w:spacing w:line="360" w:lineRule="auto"/>
              <w:jc w:val="both"/>
              <w:rPr>
                <w:rFonts w:hint="default" w:ascii="Arial" w:hAnsi="Arial" w:cs="Arial"/>
                <w:sz w:val="22"/>
                <w:szCs w:val="22"/>
              </w:rPr>
            </w:pPr>
            <w:r>
              <w:rPr>
                <w:rFonts w:hint="default" w:ascii="Arial" w:hAnsi="Arial" w:cs="Arial"/>
                <w:b w:val="0"/>
                <w:sz w:val="22"/>
                <w:szCs w:val="22"/>
              </w:rPr>
              <w:t>More control, visibility and convenience for many patients and carers.</w:t>
            </w:r>
          </w:p>
        </w:tc>
        <w:tc>
          <w:tcPr>
            <w:tcW w:w="3120" w:type="dxa"/>
            <w:vAlign w:val="center"/>
          </w:tcPr>
          <w:p w14:paraId="33B19190" wp14:textId="77777777">
            <w:pPr>
              <w:spacing w:line="360" w:lineRule="auto"/>
              <w:jc w:val="both"/>
              <w:rPr>
                <w:rFonts w:hint="default" w:ascii="Arial" w:hAnsi="Arial" w:cs="Arial"/>
                <w:sz w:val="22"/>
                <w:szCs w:val="22"/>
              </w:rPr>
            </w:pPr>
            <w:r>
              <w:rPr>
                <w:rFonts w:hint="default" w:ascii="Arial" w:hAnsi="Arial" w:cs="Arial"/>
                <w:b w:val="0"/>
                <w:sz w:val="22"/>
                <w:szCs w:val="22"/>
              </w:rPr>
              <w:t>Health literacy, anxiety, privacy and coercive control risks remain.</w:t>
            </w:r>
          </w:p>
        </w:tc>
      </w:tr>
      <w:tr xmlns:wp14="http://schemas.microsoft.com/office/word/2010/wordml" w14:paraId="7B18E27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120" w:type="dxa"/>
            <w:vAlign w:val="center"/>
          </w:tcPr>
          <w:p w14:paraId="5FA1CD02" wp14:textId="77777777">
            <w:pPr>
              <w:spacing w:line="360" w:lineRule="auto"/>
              <w:jc w:val="both"/>
              <w:rPr>
                <w:rFonts w:hint="default" w:ascii="Arial" w:hAnsi="Arial" w:cs="Arial"/>
                <w:sz w:val="22"/>
                <w:szCs w:val="22"/>
              </w:rPr>
            </w:pPr>
            <w:r>
              <w:rPr>
                <w:rFonts w:hint="default" w:ascii="Arial" w:hAnsi="Arial" w:cs="Arial"/>
                <w:b w:val="0"/>
                <w:sz w:val="22"/>
                <w:szCs w:val="22"/>
              </w:rPr>
              <w:t>Community</w:t>
            </w:r>
          </w:p>
        </w:tc>
        <w:tc>
          <w:tcPr>
            <w:tcW w:w="3120" w:type="dxa"/>
            <w:vAlign w:val="center"/>
          </w:tcPr>
          <w:p w14:paraId="34B686ED" wp14:textId="77777777">
            <w:pPr>
              <w:spacing w:line="360" w:lineRule="auto"/>
              <w:jc w:val="both"/>
              <w:rPr>
                <w:rFonts w:hint="default" w:ascii="Arial" w:hAnsi="Arial" w:cs="Arial"/>
                <w:sz w:val="22"/>
                <w:szCs w:val="22"/>
              </w:rPr>
            </w:pPr>
            <w:r>
              <w:rPr>
                <w:rFonts w:hint="default" w:ascii="Arial" w:hAnsi="Arial" w:cs="Arial"/>
                <w:b w:val="0"/>
                <w:sz w:val="22"/>
                <w:szCs w:val="22"/>
              </w:rPr>
              <w:t>Can support care at home, public health messaging and carer involvement.</w:t>
            </w:r>
          </w:p>
        </w:tc>
        <w:tc>
          <w:tcPr>
            <w:tcW w:w="3120" w:type="dxa"/>
            <w:vAlign w:val="center"/>
          </w:tcPr>
          <w:p w14:paraId="29D959E3" wp14:textId="77777777">
            <w:pPr>
              <w:spacing w:line="360" w:lineRule="auto"/>
              <w:jc w:val="both"/>
              <w:rPr>
                <w:rFonts w:hint="default" w:ascii="Arial" w:hAnsi="Arial" w:cs="Arial"/>
                <w:sz w:val="22"/>
                <w:szCs w:val="22"/>
              </w:rPr>
            </w:pPr>
            <w:r>
              <w:rPr>
                <w:rFonts w:hint="default" w:ascii="Arial" w:hAnsi="Arial" w:cs="Arial"/>
                <w:b w:val="0"/>
                <w:sz w:val="22"/>
                <w:szCs w:val="22"/>
              </w:rPr>
              <w:t>Digital exclusion may disadvantage older, poorer, disabled and less digitally confident groups.</w:t>
            </w:r>
          </w:p>
        </w:tc>
      </w:tr>
    </w:tbl>
    <w:p xmlns:wp14="http://schemas.microsoft.com/office/word/2010/wordml" w14:paraId="0F07C95A" wp14:textId="77777777">
      <w:pPr>
        <w:pStyle w:val="3"/>
        <w:spacing w:line="360" w:lineRule="auto"/>
        <w:jc w:val="both"/>
        <w:rPr>
          <w:rFonts w:hint="default" w:ascii="Arial" w:hAnsi="Arial" w:cs="Arial"/>
          <w:sz w:val="22"/>
          <w:szCs w:val="22"/>
        </w:rPr>
      </w:pPr>
      <w:r>
        <w:rPr>
          <w:rFonts w:hint="default" w:ascii="Arial" w:hAnsi="Arial" w:cs="Arial"/>
          <w:sz w:val="22"/>
          <w:szCs w:val="22"/>
        </w:rPr>
        <w:t>7. Overall Critical Evaluation and Recommendations</w:t>
      </w:r>
    </w:p>
    <w:p xmlns:wp14="http://schemas.microsoft.com/office/word/2010/wordml" w14:paraId="54090183" wp14:textId="77777777">
      <w:pPr>
        <w:spacing w:line="360" w:lineRule="auto"/>
        <w:ind w:firstLine="720" w:firstLineChars="0"/>
        <w:jc w:val="both"/>
        <w:rPr>
          <w:rFonts w:hint="default" w:ascii="Arial" w:hAnsi="Arial" w:eastAsia="Geist Fallback" w:cs="Arial"/>
          <w:i w:val="0"/>
          <w:iCs w:val="0"/>
          <w:caps w:val="0"/>
          <w:spacing w:val="0"/>
          <w:sz w:val="22"/>
          <w:szCs w:val="22"/>
        </w:rPr>
      </w:pPr>
      <w:r>
        <w:rPr>
          <w:rFonts w:hint="default" w:ascii="Arial" w:hAnsi="Arial" w:eastAsia="Geist Fallback" w:cs="Arial"/>
          <w:i w:val="0"/>
          <w:iCs w:val="0"/>
          <w:caps w:val="0"/>
          <w:spacing w:val="0"/>
          <w:sz w:val="22"/>
          <w:szCs w:val="22"/>
          <w:lang w:val="en-US"/>
        </w:rPr>
        <w:t>T</w:t>
      </w:r>
      <w:r>
        <w:rPr>
          <w:rFonts w:hint="default" w:ascii="Arial" w:hAnsi="Arial" w:eastAsia="Geist Fallback" w:cs="Arial"/>
          <w:i w:val="0"/>
          <w:iCs w:val="0"/>
          <w:caps w:val="0"/>
          <w:spacing w:val="0"/>
          <w:sz w:val="22"/>
          <w:szCs w:val="22"/>
        </w:rPr>
        <w:t>he NHS App is a successful digital innovation, in that it has progressed from public rollout to mass adoption and has already reached millions of users per month, and is clearly gaining in popularity. It has modernised some aspects of service delivery and has the potential to decrease administrative burden. It is also aligned with national policy agendas which seek to move care from hospital to community, analogue to digital and passive patients to more active service users. However, it has conditions of success. The app is suitable for repeat prescriptions, viewing of appointments, and basic messages, which are transactions that require little risk. It is less effective as a one-off solution for complex needs, safeguarding scenarios, low levels of digital literacy, language barriers, or individuals that do not have access to a private device. The NHS should thus not be judged primarily on the number of registrations. More appropriate would be cuts in avoidable calls, levels of satisfaction by deprived groups, safe use by carers, outcomes around access, changes of missed appointments, workload for clinical staff and understanding of records by patients. There are three practical suggestions below. First, all of the ICBs should have a digital inclusion policy which is linked to NHS App uptake and local deprivation, and published digitally. Second, practical training for staff should be provided in patient facing records, safeguarding and digital support. Third, non-digital access must be considered a safety pathway and not seen as a failure of transformation. These measures will make the application more ethical and more effective.</w:t>
      </w:r>
    </w:p>
    <w:p xmlns:wp14="http://schemas.microsoft.com/office/word/2010/wordml" w14:paraId="7A1D4452" wp14:textId="77777777">
      <w:pPr>
        <w:numPr>
          <w:ilvl w:val="0"/>
          <w:numId w:val="8"/>
        </w:numPr>
        <w:spacing w:line="360" w:lineRule="auto"/>
        <w:jc w:val="both"/>
        <w:rPr>
          <w:rFonts w:hint="default" w:ascii="Arial" w:hAnsi="Arial" w:eastAsia="Geist Fallback" w:cs="Arial"/>
          <w:b/>
          <w:bCs/>
          <w:i w:val="0"/>
          <w:iCs w:val="0"/>
          <w:caps w:val="0"/>
          <w:spacing w:val="0"/>
          <w:sz w:val="22"/>
          <w:szCs w:val="22"/>
        </w:rPr>
      </w:pPr>
      <w:r>
        <w:rPr>
          <w:rFonts w:hint="default" w:ascii="Arial" w:hAnsi="Arial" w:eastAsia="Geist Fallback" w:cs="Arial"/>
          <w:b/>
          <w:bCs/>
          <w:i w:val="0"/>
          <w:iCs w:val="0"/>
          <w:caps w:val="0"/>
          <w:spacing w:val="0"/>
          <w:sz w:val="22"/>
          <w:szCs w:val="22"/>
        </w:rPr>
        <w:t>Conclusion</w:t>
      </w:r>
    </w:p>
    <w:p xmlns:wp14="http://schemas.microsoft.com/office/word/2010/wordml" w14:paraId="7798DD0C" wp14:textId="77777777">
      <w:pPr>
        <w:numPr>
          <w:ilvl w:val="0"/>
          <w:numId w:val="0"/>
        </w:numPr>
        <w:spacing w:line="360" w:lineRule="auto"/>
        <w:ind w:firstLine="720" w:firstLineChars="0"/>
        <w:jc w:val="both"/>
        <w:rPr>
          <w:rFonts w:hint="default" w:ascii="Arial" w:hAnsi="Arial" w:cs="Arial"/>
          <w:sz w:val="22"/>
          <w:szCs w:val="22"/>
        </w:rPr>
      </w:pPr>
      <w:r>
        <w:rPr>
          <w:rFonts w:hint="default" w:ascii="Arial" w:hAnsi="Arial" w:eastAsia="Geist Fallback" w:cs="Arial"/>
          <w:i w:val="0"/>
          <w:iCs w:val="0"/>
          <w:caps w:val="0"/>
          <w:spacing w:val="0"/>
          <w:sz w:val="22"/>
          <w:szCs w:val="22"/>
        </w:rPr>
        <w:t>The NHS App demonstrates the way digital transformation can transform health and social care in England. Convenience, self-service and can save staff time, particularly in the realms of prescriptions, appointments, records and messaging. It also brings about new challenges for the workforce, patient safety and inequality on the community level. The best opinion cannot be that the NHS App is merely good or bad. It is a valuable national platform that will only be effective if it is implemented inclusively, well supported by staff, has adequate information governance and retains a non-digital element. The main takeaway for health and social care professionals is that the innovation of digital technology has to be around the person, not technology. Other doors need to be open in a successful digital front door.</w:t>
      </w:r>
    </w:p>
    <w:p xmlns:wp14="http://schemas.microsoft.com/office/word/2010/wordml" w14:paraId="593244C9" wp14:textId="77777777">
      <w:r>
        <w:br w:type="page"/>
      </w:r>
      <w:bookmarkStart w:name="_GoBack" w:id="0"/>
      <w:bookmarkEnd w:id="0"/>
    </w:p>
    <w:p xmlns:wp14="http://schemas.microsoft.com/office/word/2010/wordml" w14:paraId="1002A953" wp14:textId="77777777">
      <w:pPr>
        <w:pStyle w:val="2"/>
        <w:keepNext w:val="0"/>
        <w:keepLines w:val="0"/>
        <w:widowControl/>
        <w:suppressLineNumbers w:val="0"/>
        <w:spacing w:before="0" w:beforeAutospacing="0" w:after="210" w:afterAutospacing="0" w:line="360" w:lineRule="auto"/>
        <w:jc w:val="left"/>
        <w:rPr>
          <w:rFonts w:hint="default" w:ascii="Times New Roman" w:hAnsi="Times New Roman" w:cs="Times New Roman"/>
          <w:sz w:val="36"/>
          <w:szCs w:val="36"/>
        </w:rPr>
      </w:pPr>
      <w:r>
        <w:rPr>
          <w:rFonts w:hint="default" w:ascii="Times New Roman" w:hAnsi="Times New Roman" w:cs="Times New Roman"/>
          <w:sz w:val="36"/>
          <w:szCs w:val="36"/>
        </w:rPr>
        <w:t>Reference list</w:t>
      </w:r>
    </w:p>
    <w:p xmlns:wp14="http://schemas.microsoft.com/office/word/2010/wordml" w14:paraId="0E19186A" wp14:textId="77777777">
      <w:pPr>
        <w:pStyle w:val="34"/>
        <w:keepNext w:val="0"/>
        <w:keepLines w:val="0"/>
        <w:widowControl/>
        <w:suppressLineNumbers w:val="0"/>
        <w:spacing w:before="0" w:beforeAutospacing="0" w:after="210" w:afterAutospacing="0" w:line="360" w:lineRule="auto"/>
      </w:pPr>
      <w:r>
        <w:t xml:space="preserve">Age UK (2025) </w:t>
      </w:r>
      <w:r>
        <w:rPr>
          <w:rStyle w:val="17"/>
        </w:rPr>
        <w:t>Facts and figures about digital inclusion and older people</w:t>
      </w:r>
      <w:r>
        <w:t xml:space="preserve">. Available at: </w:t>
      </w:r>
      <w:r>
        <w:fldChar w:fldCharType="begin"/>
      </w:r>
      <w:r>
        <w:instrText xml:space="preserve"> HYPERLINK "https://www.ageuk.org.uk/siteassets/documents/reports-and-publications/reports-and-briefings/active-communities/internet-use-statistics-july-2025-1.pdf?utm_source=chatgpt.com" \t "_new" </w:instrText>
      </w:r>
      <w:r>
        <w:fldChar w:fldCharType="separate"/>
      </w:r>
      <w:r>
        <w:rPr>
          <w:rStyle w:val="20"/>
        </w:rPr>
        <w:t>https://www.ageuk.org.uk/siteassets/documents/reports-and-publications/reports-and-briefings/active-communities/internet-use-statistics-july-2025-1.pdf</w:t>
      </w:r>
      <w:r>
        <w:fldChar w:fldCharType="end"/>
      </w:r>
      <w:r>
        <w:t xml:space="preserve"> (Accessed: 4 June 2026).</w:t>
      </w:r>
    </w:p>
    <w:p xmlns:wp14="http://schemas.microsoft.com/office/word/2010/wordml" w14:paraId="2465D9BE" wp14:textId="77777777">
      <w:pPr>
        <w:pStyle w:val="34"/>
        <w:keepNext w:val="0"/>
        <w:keepLines w:val="0"/>
        <w:widowControl/>
        <w:suppressLineNumbers w:val="0"/>
        <w:spacing w:before="0" w:beforeAutospacing="0" w:after="210" w:afterAutospacing="0" w:line="360" w:lineRule="auto"/>
      </w:pPr>
      <w:r>
        <w:t xml:space="preserve">Department of Health and Social Care (DHSC) (2022) </w:t>
      </w:r>
      <w:r>
        <w:rPr>
          <w:rStyle w:val="17"/>
        </w:rPr>
        <w:t>A plan for digital health and social care</w:t>
      </w:r>
      <w:r>
        <w:t xml:space="preserve">. Available at: </w:t>
      </w:r>
      <w:r>
        <w:fldChar w:fldCharType="begin"/>
      </w:r>
      <w:r>
        <w:instrText xml:space="preserve"> HYPERLINK "https://www.gov.uk/government/publications/a-plan-for-digital-health-and-social-care/a-plan-for-digital-health-and-social-care?utm_source=chatgpt.com" \t "_new" </w:instrText>
      </w:r>
      <w:r>
        <w:fldChar w:fldCharType="separate"/>
      </w:r>
      <w:r>
        <w:rPr>
          <w:rStyle w:val="20"/>
        </w:rPr>
        <w:t>https://www.gov.uk/government/publications/a-plan-for-digital-health-and-social-care/a-plan-for-digital-health-and-social-care</w:t>
      </w:r>
      <w:r>
        <w:fldChar w:fldCharType="end"/>
      </w:r>
      <w:r>
        <w:t xml:space="preserve"> (Accessed: 4 June 2026).</w:t>
      </w:r>
    </w:p>
    <w:p xmlns:wp14="http://schemas.microsoft.com/office/word/2010/wordml" w14:paraId="50E8DC44" wp14:textId="77777777">
      <w:pPr>
        <w:pStyle w:val="34"/>
        <w:keepNext w:val="0"/>
        <w:keepLines w:val="0"/>
        <w:widowControl/>
        <w:suppressLineNumbers w:val="0"/>
        <w:spacing w:before="0" w:beforeAutospacing="0" w:after="210" w:afterAutospacing="0" w:line="360" w:lineRule="auto"/>
      </w:pPr>
      <w:r>
        <w:t xml:space="preserve">Good Things Foundation (2024) </w:t>
      </w:r>
      <w:r>
        <w:rPr>
          <w:rStyle w:val="17"/>
        </w:rPr>
        <w:t>Digital inclusion and health: summary of key statistics</w:t>
      </w:r>
      <w:r>
        <w:t xml:space="preserve">. Available at: </w:t>
      </w:r>
      <w:r>
        <w:fldChar w:fldCharType="begin"/>
      </w:r>
      <w:r>
        <w:instrText xml:space="preserve"> HYPERLINK "https://www.goodthingsfoundation.org/discover/digital-inclusion-insights/digital-inclusion-insights-2024/digital-inclusion-and-health?utm_source=chatgpt.com" \t "_new" </w:instrText>
      </w:r>
      <w:r>
        <w:fldChar w:fldCharType="separate"/>
      </w:r>
      <w:r>
        <w:rPr>
          <w:rStyle w:val="20"/>
        </w:rPr>
        <w:t>https://www.goodthingsfoundation.org/discover/digital-inclusion-insights/digital-inclusion-insights-2024/digital-inclusion-and-health</w:t>
      </w:r>
      <w:r>
        <w:fldChar w:fldCharType="end"/>
      </w:r>
      <w:r>
        <w:t xml:space="preserve"> (Accessed: 4 June 2026).</w:t>
      </w:r>
    </w:p>
    <w:p xmlns:wp14="http://schemas.microsoft.com/office/word/2010/wordml" w14:paraId="7FAEC424" wp14:textId="77777777">
      <w:pPr>
        <w:pStyle w:val="34"/>
        <w:keepNext w:val="0"/>
        <w:keepLines w:val="0"/>
        <w:widowControl/>
        <w:suppressLineNumbers w:val="0"/>
        <w:spacing w:before="0" w:beforeAutospacing="0" w:after="210" w:afterAutospacing="0" w:line="360" w:lineRule="auto"/>
      </w:pPr>
      <w:r>
        <w:t xml:space="preserve">Greaves, F., Papoutsi, C., KC, S. </w:t>
      </w:r>
      <w:r>
        <w:rPr>
          <w:rStyle w:val="17"/>
        </w:rPr>
        <w:t>et al.</w:t>
      </w:r>
      <w:r>
        <w:t xml:space="preserve"> (2026) ‘Evaluating the national rollout of the NHS App in England using qualitative and quantitative methods’, </w:t>
      </w:r>
      <w:r>
        <w:rPr>
          <w:rStyle w:val="17"/>
        </w:rPr>
        <w:t>Health and Social Care Delivery Research</w:t>
      </w:r>
      <w:r>
        <w:t xml:space="preserve">, 14(15). Available at: </w:t>
      </w:r>
      <w:r>
        <w:fldChar w:fldCharType="begin"/>
      </w:r>
      <w:r>
        <w:instrText xml:space="preserve"> HYPERLINK "https://www.journalslibrary.nihr.ac.uk/hsdr/XYRV6485?utm_source=chatgpt.com" \t "_new" </w:instrText>
      </w:r>
      <w:r>
        <w:fldChar w:fldCharType="separate"/>
      </w:r>
      <w:r>
        <w:rPr>
          <w:rStyle w:val="20"/>
        </w:rPr>
        <w:t>https://www.journalslibrary.nihr.ac.uk/hsdr/XYRV6485</w:t>
      </w:r>
      <w:r>
        <w:fldChar w:fldCharType="end"/>
      </w:r>
      <w:r>
        <w:t xml:space="preserve"> (Accessed: 4 June 2026).</w:t>
      </w:r>
    </w:p>
    <w:p xmlns:wp14="http://schemas.microsoft.com/office/word/2010/wordml" w14:paraId="778C9303" wp14:textId="77777777">
      <w:pPr>
        <w:pStyle w:val="34"/>
        <w:keepNext w:val="0"/>
        <w:keepLines w:val="0"/>
        <w:widowControl/>
        <w:suppressLineNumbers w:val="0"/>
        <w:spacing w:before="0" w:beforeAutospacing="0" w:after="210" w:afterAutospacing="0" w:line="360" w:lineRule="auto"/>
      </w:pPr>
      <w:r>
        <w:t xml:space="preserve">Health and Social Care Committee (2023a) </w:t>
      </w:r>
      <w:r>
        <w:rPr>
          <w:rStyle w:val="17"/>
        </w:rPr>
        <w:t>Evaluation of Government commitments made on the digitisation of the NHS</w:t>
      </w:r>
      <w:r>
        <w:t xml:space="preserve">. Available at: </w:t>
      </w:r>
      <w:r>
        <w:fldChar w:fldCharType="begin"/>
      </w:r>
      <w:r>
        <w:instrText xml:space="preserve"> HYPERLINK "https://publications.parliament.uk/pa/cm5803/cmselect/cmhealth/780/report.html?utm_source=chatgpt.com" \t "_new" </w:instrText>
      </w:r>
      <w:r>
        <w:fldChar w:fldCharType="separate"/>
      </w:r>
      <w:r>
        <w:rPr>
          <w:rStyle w:val="20"/>
        </w:rPr>
        <w:t>https://publications.parliament.uk/pa/cm5803/cmselect/cmhealth/780/report.html</w:t>
      </w:r>
      <w:r>
        <w:fldChar w:fldCharType="end"/>
      </w:r>
      <w:r>
        <w:t xml:space="preserve"> (Accessed: 4 June 2026).</w:t>
      </w:r>
    </w:p>
    <w:p xmlns:wp14="http://schemas.microsoft.com/office/word/2010/wordml" w14:paraId="0FEEA36B" wp14:textId="77777777">
      <w:pPr>
        <w:pStyle w:val="34"/>
        <w:keepNext w:val="0"/>
        <w:keepLines w:val="0"/>
        <w:widowControl/>
        <w:suppressLineNumbers w:val="0"/>
        <w:spacing w:before="0" w:beforeAutospacing="0" w:after="210" w:afterAutospacing="0" w:line="360" w:lineRule="auto"/>
      </w:pPr>
      <w:r>
        <w:t xml:space="preserve">Health and Social Care Committee (2023b) </w:t>
      </w:r>
      <w:r>
        <w:rPr>
          <w:rStyle w:val="17"/>
        </w:rPr>
        <w:t>Digital transformation in the NHS</w:t>
      </w:r>
      <w:r>
        <w:t xml:space="preserve">. Available at: </w:t>
      </w:r>
      <w:r>
        <w:fldChar w:fldCharType="begin"/>
      </w:r>
      <w:r>
        <w:instrText xml:space="preserve"> HYPERLINK "https://publications.parliament.uk/pa/cm5803/cmselect/cmhealth/223/report.html?utm_source=chatgpt.com" \t "_new" </w:instrText>
      </w:r>
      <w:r>
        <w:fldChar w:fldCharType="separate"/>
      </w:r>
      <w:r>
        <w:rPr>
          <w:rStyle w:val="20"/>
        </w:rPr>
        <w:t>https://publications.parliament.uk/pa/cm5803/cmselect/cmhealth/223/report.html</w:t>
      </w:r>
      <w:r>
        <w:fldChar w:fldCharType="end"/>
      </w:r>
      <w:r>
        <w:t xml:space="preserve"> (Accessed: 4 June 2026).</w:t>
      </w:r>
    </w:p>
    <w:p xmlns:wp14="http://schemas.microsoft.com/office/word/2010/wordml" w14:paraId="53241AA1" wp14:textId="77777777">
      <w:pPr>
        <w:pStyle w:val="34"/>
        <w:keepNext w:val="0"/>
        <w:keepLines w:val="0"/>
        <w:widowControl/>
        <w:suppressLineNumbers w:val="0"/>
        <w:spacing w:before="0" w:beforeAutospacing="0" w:after="210" w:afterAutospacing="0" w:line="360" w:lineRule="auto"/>
      </w:pPr>
      <w:r>
        <w:t xml:space="preserve">KC, S., Papoutsi, C., Reidy, C. </w:t>
      </w:r>
      <w:r>
        <w:rPr>
          <w:rStyle w:val="17"/>
        </w:rPr>
        <w:t>et al.</w:t>
      </w:r>
      <w:r>
        <w:t xml:space="preserve"> (2024) ‘Differences in use of a patient portal across sociodemographic groups: observational study of the NHS App in England’, </w:t>
      </w:r>
      <w:r>
        <w:rPr>
          <w:rStyle w:val="17"/>
        </w:rPr>
        <w:t>Journal of Medical Internet Research</w:t>
      </w:r>
      <w:r>
        <w:t xml:space="preserve">, 26, e56320. Available at: </w:t>
      </w:r>
      <w:r>
        <w:fldChar w:fldCharType="begin"/>
      </w:r>
      <w:r>
        <w:instrText xml:space="preserve"> HYPERLINK "https://doi.org/10.2196/56320" \t "_new" </w:instrText>
      </w:r>
      <w:r>
        <w:fldChar w:fldCharType="separate"/>
      </w:r>
      <w:r>
        <w:rPr>
          <w:rStyle w:val="20"/>
        </w:rPr>
        <w:t>https://doi.org/10.2196/56320</w:t>
      </w:r>
      <w:r>
        <w:fldChar w:fldCharType="end"/>
      </w:r>
      <w:r>
        <w:t xml:space="preserve"> (Accessed: 4 June 2026).</w:t>
      </w:r>
    </w:p>
    <w:p xmlns:wp14="http://schemas.microsoft.com/office/word/2010/wordml" w14:paraId="3E551EF9" wp14:textId="77777777">
      <w:pPr>
        <w:pStyle w:val="34"/>
        <w:keepNext w:val="0"/>
        <w:keepLines w:val="0"/>
        <w:widowControl/>
        <w:suppressLineNumbers w:val="0"/>
        <w:spacing w:before="0" w:beforeAutospacing="0" w:after="210" w:afterAutospacing="0" w:line="360" w:lineRule="auto"/>
      </w:pPr>
      <w:r>
        <w:t xml:space="preserve">KC, S., Papoutsi, C., Reidy, C. </w:t>
      </w:r>
      <w:r>
        <w:rPr>
          <w:rStyle w:val="17"/>
        </w:rPr>
        <w:t>et al.</w:t>
      </w:r>
      <w:r>
        <w:t xml:space="preserve"> (2025) ‘Ease of access to general practice, patient experience and use of the NHS App: an ecological analysis of English data’, </w:t>
      </w:r>
      <w:r>
        <w:rPr>
          <w:rStyle w:val="17"/>
        </w:rPr>
        <w:t>JRSM Open</w:t>
      </w:r>
      <w:r>
        <w:t xml:space="preserve">. Available at: </w:t>
      </w:r>
      <w:r>
        <w:fldChar w:fldCharType="begin"/>
      </w:r>
      <w:r>
        <w:instrText xml:space="preserve"> HYPERLINK "https://doi.org/10.1177/20542704251398918" \t "_new" </w:instrText>
      </w:r>
      <w:r>
        <w:fldChar w:fldCharType="separate"/>
      </w:r>
      <w:r>
        <w:rPr>
          <w:rStyle w:val="20"/>
        </w:rPr>
        <w:t>https://doi.org/10.1177/20542704251398918</w:t>
      </w:r>
      <w:r>
        <w:fldChar w:fldCharType="end"/>
      </w:r>
      <w:r>
        <w:t xml:space="preserve"> (Accessed: 4 June 2026).</w:t>
      </w:r>
    </w:p>
    <w:p xmlns:wp14="http://schemas.microsoft.com/office/word/2010/wordml" w14:paraId="4BB37A4C" wp14:textId="77777777">
      <w:pPr>
        <w:pStyle w:val="34"/>
        <w:keepNext w:val="0"/>
        <w:keepLines w:val="0"/>
        <w:widowControl/>
        <w:suppressLineNumbers w:val="0"/>
        <w:spacing w:before="0" w:beforeAutospacing="0" w:after="210" w:afterAutospacing="0" w:line="360" w:lineRule="auto"/>
      </w:pPr>
      <w:r>
        <w:t xml:space="preserve">NHS (2026) </w:t>
      </w:r>
      <w:r>
        <w:rPr>
          <w:rStyle w:val="17"/>
        </w:rPr>
        <w:t>NHS App privacy policy</w:t>
      </w:r>
      <w:r>
        <w:t xml:space="preserve">. Available at: </w:t>
      </w:r>
      <w:r>
        <w:fldChar w:fldCharType="begin"/>
      </w:r>
      <w:r>
        <w:instrText xml:space="preserve"> HYPERLINK "https://www.nhs.uk/nhs-app/about/nhs-app-legal-and-cookies/nhs-app-privacy-policy/privacy-policy/?utm_source=chatgpt.com" \t "_new" </w:instrText>
      </w:r>
      <w:r>
        <w:fldChar w:fldCharType="separate"/>
      </w:r>
      <w:r>
        <w:rPr>
          <w:rStyle w:val="20"/>
        </w:rPr>
        <w:t>https://www.nhs.uk/nhs-app/about/nhs-app-legal-and-cookies/nhs-app-privacy-policy/privacy-policy/</w:t>
      </w:r>
      <w:r>
        <w:fldChar w:fldCharType="end"/>
      </w:r>
      <w:r>
        <w:t xml:space="preserve"> (Accessed: 4 June 2026).</w:t>
      </w:r>
    </w:p>
    <w:p xmlns:wp14="http://schemas.microsoft.com/office/word/2010/wordml" w14:paraId="6CDEDC1F" wp14:textId="77777777">
      <w:pPr>
        <w:pStyle w:val="34"/>
        <w:keepNext w:val="0"/>
        <w:keepLines w:val="0"/>
        <w:widowControl/>
        <w:suppressLineNumbers w:val="0"/>
        <w:spacing w:before="0" w:beforeAutospacing="0" w:after="210" w:afterAutospacing="0" w:line="360" w:lineRule="auto"/>
      </w:pPr>
      <w:r>
        <w:t xml:space="preserve">NHS England (2023) </w:t>
      </w:r>
      <w:r>
        <w:rPr>
          <w:rStyle w:val="17"/>
        </w:rPr>
        <w:t>Inclusive digital healthcare: a framework for NHS action on digital inclusion</w:t>
      </w:r>
      <w:r>
        <w:t xml:space="preserve">. Available at: </w:t>
      </w:r>
      <w:r>
        <w:fldChar w:fldCharType="begin"/>
      </w:r>
      <w:r>
        <w:instrText xml:space="preserve"> HYPERLINK "https://www.england.nhs.uk/long-read/inclusive-digital-healthcare-a-framework-for-nhs-action-on-digital-inclusion/?utm_source=chatgpt.com" \t "_new" </w:instrText>
      </w:r>
      <w:r>
        <w:fldChar w:fldCharType="separate"/>
      </w:r>
      <w:r>
        <w:rPr>
          <w:rStyle w:val="20"/>
        </w:rPr>
        <w:t>https://www.england.nhs.uk/long-read/inclusive-digital-healthcare-a-framework-for-nhs-action-on-digital-inclusion/</w:t>
      </w:r>
      <w:r>
        <w:fldChar w:fldCharType="end"/>
      </w:r>
      <w:r>
        <w:t xml:space="preserve"> (Accessed: 4 June 2026).</w:t>
      </w:r>
    </w:p>
    <w:p xmlns:wp14="http://schemas.microsoft.com/office/word/2010/wordml" w14:paraId="1F4F0DBE" wp14:textId="77777777">
      <w:pPr>
        <w:pStyle w:val="34"/>
        <w:keepNext w:val="0"/>
        <w:keepLines w:val="0"/>
        <w:widowControl/>
        <w:suppressLineNumbers w:val="0"/>
        <w:spacing w:before="0" w:beforeAutospacing="0" w:after="210" w:afterAutospacing="0" w:line="360" w:lineRule="auto"/>
      </w:pPr>
      <w:r>
        <w:t xml:space="preserve">NHS England (2026) </w:t>
      </w:r>
      <w:r>
        <w:rPr>
          <w:rStyle w:val="17"/>
        </w:rPr>
        <w:t>Hospital patients can now check appointments in the NHS App</w:t>
      </w:r>
      <w:r>
        <w:t xml:space="preserve">. Available at: </w:t>
      </w:r>
      <w:r>
        <w:fldChar w:fldCharType="begin"/>
      </w:r>
      <w:r>
        <w:instrText xml:space="preserve"> HYPERLINK "https://www.england.nhs.uk/2026/04/hospital-patients-can-now-check-appointments-in-the-nhs-app/?utm_source=chatgpt.com" \t "_new" </w:instrText>
      </w:r>
      <w:r>
        <w:fldChar w:fldCharType="separate"/>
      </w:r>
      <w:r>
        <w:rPr>
          <w:rStyle w:val="20"/>
        </w:rPr>
        <w:t>https://www.england.nhs.uk/2026/04/hospital-patients-can-now-check-appointments-in-the-nhs-app/</w:t>
      </w:r>
      <w:r>
        <w:fldChar w:fldCharType="end"/>
      </w:r>
      <w:r>
        <w:t xml:space="preserve"> (Accessed: 4 June 2026).</w:t>
      </w:r>
    </w:p>
    <w:p xmlns:wp14="http://schemas.microsoft.com/office/word/2010/wordml" w14:paraId="46F8E600" wp14:textId="77777777">
      <w:pPr>
        <w:pStyle w:val="34"/>
        <w:keepNext w:val="0"/>
        <w:keepLines w:val="0"/>
        <w:widowControl/>
        <w:suppressLineNumbers w:val="0"/>
        <w:spacing w:before="0" w:beforeAutospacing="0" w:after="210" w:afterAutospacing="0" w:line="360" w:lineRule="auto"/>
      </w:pPr>
      <w:r>
        <w:t xml:space="preserve">NHS England Digital (2026a) </w:t>
      </w:r>
      <w:r>
        <w:rPr>
          <w:rStyle w:val="17"/>
        </w:rPr>
        <w:t>NHS App Management Information – April 2026</w:t>
      </w:r>
      <w:r>
        <w:t xml:space="preserve">. Available at: </w:t>
      </w:r>
      <w:r>
        <w:fldChar w:fldCharType="begin"/>
      </w:r>
      <w:r>
        <w:instrText xml:space="preserve"> HYPERLINK "https://digital.nhs.uk/data-and-information/publications/statistical/nhs-app-statistics/april-2026?utm_source=chatgpt.com" \t "_new" </w:instrText>
      </w:r>
      <w:r>
        <w:fldChar w:fldCharType="separate"/>
      </w:r>
      <w:r>
        <w:rPr>
          <w:rStyle w:val="20"/>
        </w:rPr>
        <w:t>https://digital.nhs.uk/data-and-information/publications/statistical/nhs-app-statistics/april-2026</w:t>
      </w:r>
      <w:r>
        <w:fldChar w:fldCharType="end"/>
      </w:r>
      <w:r>
        <w:t xml:space="preserve"> (Accessed: 4 June 2026).</w:t>
      </w:r>
    </w:p>
    <w:p xmlns:wp14="http://schemas.microsoft.com/office/word/2010/wordml" w14:paraId="05DC74C4" wp14:textId="77777777">
      <w:pPr>
        <w:pStyle w:val="34"/>
        <w:keepNext w:val="0"/>
        <w:keepLines w:val="0"/>
        <w:widowControl/>
        <w:suppressLineNumbers w:val="0"/>
        <w:spacing w:before="0" w:beforeAutospacing="0" w:after="210" w:afterAutospacing="0" w:line="360" w:lineRule="auto"/>
      </w:pPr>
      <w:r>
        <w:t xml:space="preserve">NHS England Digital (2026b) </w:t>
      </w:r>
      <w:r>
        <w:rPr>
          <w:rStyle w:val="17"/>
        </w:rPr>
        <w:t>NHS App Roadmap</w:t>
      </w:r>
      <w:r>
        <w:t xml:space="preserve">. Available at: </w:t>
      </w:r>
      <w:r>
        <w:fldChar w:fldCharType="begin"/>
      </w:r>
      <w:r>
        <w:instrText xml:space="preserve"> HYPERLINK "https://digital.nhs.uk/services/nhs-app/roadmap?utm_source=chatgpt.com" \t "_new" </w:instrText>
      </w:r>
      <w:r>
        <w:fldChar w:fldCharType="separate"/>
      </w:r>
      <w:r>
        <w:rPr>
          <w:rStyle w:val="20"/>
        </w:rPr>
        <w:t>https://digital.nhs.uk/services/nhs-app/roadmap</w:t>
      </w:r>
      <w:r>
        <w:fldChar w:fldCharType="end"/>
      </w:r>
      <w:r>
        <w:t xml:space="preserve"> (Accessed: 4 June 2026).</w:t>
      </w:r>
    </w:p>
    <w:p xmlns:wp14="http://schemas.microsoft.com/office/word/2010/wordml" w14:paraId="5295F736" wp14:textId="77777777">
      <w:pPr>
        <w:pStyle w:val="34"/>
        <w:keepNext w:val="0"/>
        <w:keepLines w:val="0"/>
        <w:widowControl/>
        <w:suppressLineNumbers w:val="0"/>
        <w:spacing w:before="0" w:beforeAutospacing="0" w:after="210" w:afterAutospacing="0" w:line="360" w:lineRule="auto"/>
      </w:pPr>
      <w:r>
        <w:t xml:space="preserve">NHS England Digital (2026c) </w:t>
      </w:r>
      <w:r>
        <w:rPr>
          <w:rStyle w:val="17"/>
        </w:rPr>
        <w:t>GP health records in the App</w:t>
      </w:r>
      <w:r>
        <w:t xml:space="preserve">. Available at: </w:t>
      </w:r>
      <w:r>
        <w:fldChar w:fldCharType="begin"/>
      </w:r>
      <w:r>
        <w:instrText xml:space="preserve"> HYPERLINK "https://digital.nhs.uk/services/nhs-app/nhs-app-features/gp-health-records-in-the-app?utm_source=chatgpt.com" \t "_new" </w:instrText>
      </w:r>
      <w:r>
        <w:fldChar w:fldCharType="separate"/>
      </w:r>
      <w:r>
        <w:rPr>
          <w:rStyle w:val="20"/>
        </w:rPr>
        <w:t>https://digital.nhs.uk/services/nhs-app/nhs-app-features/gp-health-records-in-the-app</w:t>
      </w:r>
      <w:r>
        <w:fldChar w:fldCharType="end"/>
      </w:r>
      <w:r>
        <w:t xml:space="preserve"> (Accessed: 4 June 2026).</w:t>
      </w:r>
    </w:p>
    <w:p xmlns:wp14="http://schemas.microsoft.com/office/word/2010/wordml" w14:paraId="3AA82C88" wp14:textId="77777777">
      <w:pPr>
        <w:pStyle w:val="34"/>
        <w:keepNext w:val="0"/>
        <w:keepLines w:val="0"/>
        <w:widowControl/>
        <w:suppressLineNumbers w:val="0"/>
        <w:spacing w:before="0" w:beforeAutospacing="0" w:after="210" w:afterAutospacing="0" w:line="360" w:lineRule="auto"/>
      </w:pPr>
      <w:r>
        <w:t xml:space="preserve">Reidy, C., Papoutsi, C., KC, S. </w:t>
      </w:r>
      <w:r>
        <w:rPr>
          <w:rStyle w:val="17"/>
        </w:rPr>
        <w:t>et al.</w:t>
      </w:r>
      <w:r>
        <w:t xml:space="preserve"> (2025) ‘Qualitative evaluation of the implementation and national roll-out of the NHS App in England’, </w:t>
      </w:r>
      <w:r>
        <w:rPr>
          <w:rStyle w:val="17"/>
        </w:rPr>
        <w:t>BMC Medicine</w:t>
      </w:r>
      <w:r>
        <w:t xml:space="preserve">, 23, article 20. Available at: </w:t>
      </w:r>
      <w:r>
        <w:fldChar w:fldCharType="begin"/>
      </w:r>
      <w:r>
        <w:instrText xml:space="preserve"> HYPERLINK "https://doi.org/10.1186/s12916-024-03842-w" \t "_new" </w:instrText>
      </w:r>
      <w:r>
        <w:fldChar w:fldCharType="separate"/>
      </w:r>
      <w:r>
        <w:rPr>
          <w:rStyle w:val="20"/>
        </w:rPr>
        <w:t>https://doi.org/10.1186/s12916-024-03842-w</w:t>
      </w:r>
      <w:r>
        <w:fldChar w:fldCharType="end"/>
      </w:r>
      <w:r>
        <w:t xml:space="preserve"> (Accessed: 4 June 2026).</w:t>
      </w:r>
    </w:p>
    <w:p xmlns:wp14="http://schemas.microsoft.com/office/word/2010/wordml" w14:paraId="3AFA83CC" wp14:textId="77777777">
      <w:pPr>
        <w:pStyle w:val="34"/>
        <w:keepNext w:val="0"/>
        <w:keepLines w:val="0"/>
        <w:widowControl/>
        <w:suppressLineNumbers w:val="0"/>
        <w:spacing w:before="0" w:beforeAutospacing="0" w:after="210" w:afterAutospacing="0" w:line="360" w:lineRule="auto"/>
      </w:pPr>
      <w:r>
        <w:t xml:space="preserve">Sheikh, A., Anderson, M., Albala, S. </w:t>
      </w:r>
      <w:r>
        <w:rPr>
          <w:rStyle w:val="17"/>
        </w:rPr>
        <w:t>et al.</w:t>
      </w:r>
      <w:r>
        <w:t xml:space="preserve"> (2021) ‘Health information technology and digital innovation for national learning health and care systems’, </w:t>
      </w:r>
      <w:r>
        <w:rPr>
          <w:rStyle w:val="17"/>
        </w:rPr>
        <w:t>The Lancet Digital Health</w:t>
      </w:r>
      <w:r>
        <w:t xml:space="preserve">, 3(6), pp. e383–e396. Available at: </w:t>
      </w:r>
      <w:r>
        <w:fldChar w:fldCharType="begin"/>
      </w:r>
      <w:r>
        <w:instrText xml:space="preserve"> HYPERLINK "https://doi.org/10.1016/S2589-7500(21)00005-4" \t "_new" </w:instrText>
      </w:r>
      <w:r>
        <w:fldChar w:fldCharType="separate"/>
      </w:r>
      <w:r>
        <w:rPr>
          <w:rStyle w:val="20"/>
        </w:rPr>
        <w:t>https://doi.org/10.1016/S2589-7500(21)00005-4</w:t>
      </w:r>
      <w:r>
        <w:fldChar w:fldCharType="end"/>
      </w:r>
      <w:r>
        <w:t xml:space="preserve"> (Accessed: 4 June 2026).</w:t>
      </w:r>
    </w:p>
    <w:p xmlns:wp14="http://schemas.microsoft.com/office/word/2010/wordml" w14:paraId="46602B1F" wp14:textId="77777777">
      <w:pPr>
        <w:spacing w:line="360" w:lineRule="auto"/>
        <w:ind w:left="360" w:hanging="360"/>
        <w:jc w:val="left"/>
      </w:pPr>
    </w:p>
    <w:sectPr>
      <w:headerReference w:type="default" r:id="rId5"/>
      <w:footerReference w:type="default" r:id="rId6"/>
      <w:pgSz w:w="12240" w:h="15840" w:orient="portrait"/>
      <w:pgMar w:top="1440" w:right="1440" w:bottom="1440" w:left="1440" w:header="720" w:footer="720" w:gutter="0"/>
      <w:pgNumType w:fmt="decimal"/>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xmlns:wp14="http://schemas.microsoft.com/office/word/2010/wordml" w14:paraId="672A6659" wp14:textId="77777777">
      <w:pPr>
        <w:spacing w:line="240" w:lineRule="auto"/>
      </w:pPr>
      <w:r>
        <w:separator/>
      </w:r>
    </w:p>
  </w:endnote>
  <w:endnote w:type="continuationSeparator" w:id="1">
    <w:p xmlns:wp14="http://schemas.microsoft.com/office/word/2010/wordml" w14:paraId="0A37501D"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S Gothic">
    <w:panose1 w:val="020B0609070205080204"/>
    <w:charset w:val="80"/>
    <w:family w:val="auto"/>
    <w:pitch w:val="default"/>
    <w:sig w:usb0="E00002FF" w:usb1="6AC7FDFB" w:usb2="08000012" w:usb3="00000000" w:csb0="4002009F" w:csb1="DFD70000"/>
  </w:font>
  <w:font w:name="Symbol">
    <w:panose1 w:val="05050102010706020507"/>
    <w:charset w:val="02"/>
    <w:family w:val="auto"/>
    <w:pitch w:val="default"/>
    <w:sig w:usb0="00000000" w:usb1="00000000" w:usb2="00000000" w:usb3="00000000" w:csb0="80000000" w:csb1="00000000"/>
  </w:font>
  <w:font w:name="Courier">
    <w:altName w:val="Courier New"/>
    <w:panose1 w:val="02000500000000000000"/>
    <w:charset w:val="00"/>
    <w:family w:val="auto"/>
    <w:pitch w:val="default"/>
    <w:sig w:usb0="00000000" w:usb1="00000000" w:usb2="00000000" w:usb3="00000000" w:csb0="00000001" w:csb1="00000000"/>
  </w:font>
  <w:font w:name="ＭＳ 明朝">
    <w:altName w:val="Yu Gothic"/>
    <w:panose1 w:val="00000000000000000000"/>
    <w:charset w:val="80"/>
    <w:family w:val="roman"/>
    <w:pitch w:val="default"/>
    <w:sig w:usb0="00000000" w:usb1="00000000" w:usb2="00000010" w:usb3="00000000" w:csb0="00020000" w:csb1="00000000"/>
  </w:font>
  <w:font w:name="Yu Gothic">
    <w:panose1 w:val="020B0400000000000000"/>
    <w:charset w:val="80"/>
    <w:family w:val="auto"/>
    <w:pitch w:val="default"/>
    <w:sig w:usb0="E00002FF" w:usb1="2AC7FDFF" w:usb2="00000016" w:usb3="00000000" w:csb0="2002009F" w:csb1="00000000"/>
  </w:font>
  <w:font w:name="Cambria">
    <w:panose1 w:val="02040503050406030204"/>
    <w:charset w:val="00"/>
    <w:family w:val="auto"/>
    <w:pitch w:val="default"/>
    <w:sig w:usb0="E00006FF" w:usb1="420024FF" w:usb2="02000000" w:usb3="00000000" w:csb0="2000019F" w:csb1="00000000"/>
  </w:font>
  <w:font w:name="Geist Fallback">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xmlns:wp14="http://schemas.microsoft.com/office/word/2010/wordml" w14:paraId="6C4F8521" wp14:textId="77777777">
    <w:pPr>
      <w:pStyle w:val="18"/>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xmlns:wp14="http://schemas.microsoft.com/office/word/2010/wordml" w14:paraId="5DAB6C7B" wp14:textId="77777777">
      <w:pPr>
        <w:spacing w:before="0" w:after="0" w:line="360" w:lineRule="auto"/>
      </w:pPr>
      <w:r>
        <w:separator/>
      </w:r>
    </w:p>
  </w:footnote>
  <w:footnote w:type="continuationSeparator" w:id="1">
    <w:p xmlns:wp14="http://schemas.microsoft.com/office/word/2010/wordml" w14:paraId="02EB378F" wp14:textId="77777777">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xmlns:a="http://schemas.openxmlformats.org/drawingml/2006/main" mc:Ignorable="w14 w15 wp14">
  <w:p xmlns:wp14="http://schemas.microsoft.com/office/word/2010/wordml" w14:paraId="2EF24BBB" wp14:textId="77777777">
    <w:pPr>
      <w:pStyle w:val="19"/>
    </w:pPr>
    <w:r>
      <w:rPr>
        <w:sz w:val="22"/>
      </w:rPr>
      <mc:AlternateContent>
        <mc:Choice Requires="wps">
          <w:drawing>
            <wp:anchor xmlns:wp14="http://schemas.microsoft.com/office/word/2010/wordprocessingDrawing" distT="0" distB="0" distL="114300" distR="114300" simplePos="0" relativeHeight="251659264" behindDoc="0" locked="0" layoutInCell="1" allowOverlap="1" wp14:anchorId="1B6BDC63" wp14:editId="7777777">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xmlns:wp14="http://schemas.microsoft.com/office/word/2010/wordml" w14:paraId="71CAF5E9" wp14:textId="77777777">
                          <w:pPr>
                            <w:pStyle w:val="19"/>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w14:anchorId="7D048F0B">
            <v:shape id="_x0000_s1026" style="position:absolute;left:0pt;margin-top:0pt;height:144pt;width:144pt;mso-position-horizontal:right;mso-position-horizontal-relative:margin;mso-wrap-style:none;z-index:251659264;mso-width-relative:page;mso-height-relative:page;" coordsize="21600,21600" o:spid="_x0000_s1026" filled="f" stroked="f" o:spt="202" type="#_x0000_t202"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zSVju0AAAAAUBAAAP&#10;AAAAAAAAAAEAIAAAACIAAABkcnMvZG93bnJldi54bWxQSwECFAAUAAAACACHTuJAXC3l+iACAABg&#10;BAAADgAAAAAAAAABACAAAAAfAQAAZHJzL2Uyb0RvYy54bWxQSwUGAAAAAAYABgBZAQAAsQUAAAAA&#10;">
              <v:fill on="f" focussize="0,0"/>
              <v:stroke on="f" weight="0.5pt"/>
              <v:imagedata o:title=""/>
              <o:lock v:ext="edit" aspectratio="f"/>
              <v:textbox style="mso-fit-shape-to-text:t;" inset="0mm,0mm,0mm,0mm">
                <w:txbxContent>
                  <w:p w14:paraId="074D1F29" wp14:textId="77777777">
                    <w:pPr>
                      <w:pStyle w:val="19"/>
                    </w:pPr>
                    <w:r>
                      <w:fldChar w:fldCharType="begin"/>
                    </w:r>
                    <w:r>
                      <w:instrText xml:space="preserve"> PAGE  \* MERGEFORMAT </w:instrText>
                    </w:r>
                    <w:r>
                      <w:fldChar w:fldCharType="separate"/>
                    </w:r>
                    <w:r>
                      <w:t>1</w:t>
                    </w:r>
                    <w:r>
                      <w:fldChar w:fldCharType="end"/>
                    </w:r>
                  </w:p>
                </w:txbxContent>
              </v:textbox>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E832433"/>
    <w:multiLevelType w:val="singleLevel"/>
    <w:tmpl w:val="FE832433"/>
    <w:lvl w:ilvl="0" w:tentative="0">
      <w:start w:val="5"/>
      <w:numFmt w:val="decimal"/>
      <w:suff w:val="space"/>
      <w:lvlText w:val="%1."/>
      <w:lvlJc w:val="left"/>
    </w:lvl>
  </w:abstractNum>
  <w:abstractNum w:abstractNumId="1">
    <w:nsid w:val="FFFFFF7E"/>
    <w:multiLevelType w:val="singleLevel"/>
    <w:tmpl w:val="FFFFFF7E"/>
    <w:lvl w:ilvl="0" w:tentative="0">
      <w:start w:val="1"/>
      <w:numFmt w:val="decimal"/>
      <w:pStyle w:val="32"/>
      <w:lvlText w:val="%1."/>
      <w:lvlJc w:val="left"/>
      <w:pPr>
        <w:tabs>
          <w:tab w:val="left" w:pos="1080"/>
        </w:tabs>
        <w:ind w:left="1080" w:hanging="360"/>
      </w:pPr>
    </w:lvl>
  </w:abstractNum>
  <w:abstractNum w:abstractNumId="2">
    <w:nsid w:val="FFFFFF7F"/>
    <w:multiLevelType w:val="singleLevel"/>
    <w:tmpl w:val="FFFFFF7F"/>
    <w:lvl w:ilvl="0" w:tentative="0">
      <w:start w:val="1"/>
      <w:numFmt w:val="decimal"/>
      <w:pStyle w:val="31"/>
      <w:lvlText w:val="%1."/>
      <w:lvlJc w:val="left"/>
      <w:pPr>
        <w:tabs>
          <w:tab w:val="left" w:pos="720"/>
        </w:tabs>
        <w:ind w:left="720" w:hanging="360"/>
      </w:pPr>
    </w:lvl>
  </w:abstractNum>
  <w:abstractNum w:abstractNumId="3">
    <w:nsid w:val="FFFFFF82"/>
    <w:multiLevelType w:val="singleLevel"/>
    <w:tmpl w:val="FFFFFF82"/>
    <w:lvl w:ilvl="0" w:tentative="0">
      <w:start w:val="1"/>
      <w:numFmt w:val="bullet"/>
      <w:pStyle w:val="26"/>
      <w:lvlText w:val=""/>
      <w:lvlJc w:val="left"/>
      <w:pPr>
        <w:tabs>
          <w:tab w:val="left" w:pos="1080"/>
        </w:tabs>
        <w:ind w:left="1080" w:hanging="360"/>
      </w:pPr>
      <w:rPr>
        <w:rFonts w:hint="default" w:ascii="Symbol" w:hAnsi="Symbol"/>
      </w:rPr>
    </w:lvl>
  </w:abstractNum>
  <w:abstractNum w:abstractNumId="4">
    <w:nsid w:val="FFFFFF83"/>
    <w:multiLevelType w:val="singleLevel"/>
    <w:tmpl w:val="FFFFFF83"/>
    <w:lvl w:ilvl="0" w:tentative="0">
      <w:start w:val="1"/>
      <w:numFmt w:val="bullet"/>
      <w:pStyle w:val="25"/>
      <w:lvlText w:val=""/>
      <w:lvlJc w:val="left"/>
      <w:pPr>
        <w:tabs>
          <w:tab w:val="left" w:pos="720"/>
        </w:tabs>
        <w:ind w:left="720" w:hanging="360"/>
      </w:pPr>
      <w:rPr>
        <w:rFonts w:hint="default" w:ascii="Symbol" w:hAnsi="Symbol"/>
      </w:rPr>
    </w:lvl>
  </w:abstractNum>
  <w:abstractNum w:abstractNumId="5">
    <w:nsid w:val="FFFFFF88"/>
    <w:multiLevelType w:val="singleLevel"/>
    <w:tmpl w:val="FFFFFF88"/>
    <w:lvl w:ilvl="0" w:tentative="0">
      <w:start w:val="1"/>
      <w:numFmt w:val="decimal"/>
      <w:pStyle w:val="30"/>
      <w:lvlText w:val="%1."/>
      <w:lvlJc w:val="left"/>
      <w:pPr>
        <w:tabs>
          <w:tab w:val="left" w:pos="360"/>
        </w:tabs>
        <w:ind w:left="360" w:hanging="360"/>
      </w:pPr>
    </w:lvl>
  </w:abstractNum>
  <w:abstractNum w:abstractNumId="6">
    <w:nsid w:val="FFFFFF89"/>
    <w:multiLevelType w:val="singleLevel"/>
    <w:tmpl w:val="FFFFFF89"/>
    <w:lvl w:ilvl="0" w:tentative="0">
      <w:start w:val="1"/>
      <w:numFmt w:val="bullet"/>
      <w:pStyle w:val="24"/>
      <w:lvlText w:val=""/>
      <w:lvlJc w:val="left"/>
      <w:pPr>
        <w:tabs>
          <w:tab w:val="left" w:pos="360"/>
        </w:tabs>
        <w:ind w:left="360" w:hanging="360"/>
      </w:pPr>
      <w:rPr>
        <w:rFonts w:hint="default" w:ascii="Symbol" w:hAnsi="Symbol"/>
      </w:rPr>
    </w:lvl>
  </w:abstractNum>
  <w:abstractNum w:abstractNumId="7">
    <w:nsid w:val="14DE1E48"/>
    <w:multiLevelType w:val="singleLevel"/>
    <w:tmpl w:val="14DE1E48"/>
    <w:lvl w:ilvl="0" w:tentative="0">
      <w:start w:val="8"/>
      <w:numFmt w:val="decimal"/>
      <w:suff w:val="space"/>
      <w:lvlText w:val="%1."/>
      <w:lvlJc w:val="left"/>
    </w:lvl>
  </w:abstractNum>
  <w:num w:numId="1">
    <w:abstractNumId w:val="6"/>
  </w:num>
  <w:num w:numId="2">
    <w:abstractNumId w:val="4"/>
  </w:num>
  <w:num w:numId="3">
    <w:abstractNumId w:val="3"/>
  </w:num>
  <w:num w:numId="4">
    <w:abstractNumId w:val="5"/>
  </w:num>
  <w:num w:numId="5">
    <w:abstractNumId w:val="2"/>
  </w:num>
  <w:num w:numId="6">
    <w:abstractNumId w:val="1"/>
  </w:num>
  <w:num w:numId="7">
    <w:abstractNumId w:val="0"/>
  </w:num>
  <w:num w:numId="8">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xmlns:w15="http://schemas.microsoft.com/office/word/2012/wordml" mc:Ignorable="w14 wp14 w15">
  <w:zoom w:percent="79"/>
  <w:bordersDoNotSurroundHeader w:val="0"/>
  <w:bordersDoNotSurroundFooter w:val="0"/>
  <w:trackRevisions w:val="false"/>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15C77765"/>
    <w:rsid w:val="1AB73371"/>
    <w:rsid w:val="50066C03"/>
    <w:rsid w:val="796A03FF"/>
    <w:rsid w:val="7CC6F314"/>
    <w:rsid w:val="7F8365B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14:docId w14:val="1F0778BD"/>
  <w14:defaultImageDpi w14:val="300"/>
  <w15:docId w15:val="{877F3D83-0309-463D-8A34-96CFB6E2D8BD}"/>
  <mc:AlternateContent>
    <mc:Choice Requires="wpsCustomData">
      <wpsCustomData:typoFeatureVersion val="1"/>
    </mc:Choice>
  </mc:AlternateContent>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p14">
  <w:docDefaults>
    <w:rPrDefault>
      <w:rPr>
        <w:rFonts w:ascii="Times New Roman" w:hAnsi="Times New Roman" w:eastAsia="SimSun" w:cs="Times New Roman"/>
      </w:rPr>
    </w:rPrDefault>
    <w:pPrDefault/>
  </w:docDefaults>
  <w:latentStyles w:defLockedState="0" w:defUIPriority="99" w:defSemiHidden="1" w:defUnhideWhenUsed="1" w:defQFormat="0" w:count="260">
    <w:lsdException w:name="Normal" w:uiPriority="0" w:semiHidden="0" w:unhideWhenUsed="0" w:qFormat="1"/>
    <w:lsdException w:name="heading 1" w:uiPriority="9" w:semiHidden="0" w:unhideWhenUsed="0" w:qFormat="1"/>
    <w:lsdException w:name="heading 2" w:uiPriority="9" w:semiHidden="0" w:qFormat="1"/>
    <w:lsdException w:name="heading 3" w:uiPriority="9" w:semiHidden="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uiPriority="99"/>
    <w:lsdException w:name="index 2" w:uiPriority="99"/>
    <w:lsdException w:name="index 3" w:uiPriority="99"/>
    <w:lsdException w:name="index 4" w:uiPriority="99"/>
    <w:lsdException w:name="index 5" w:uiPriority="99"/>
    <w:lsdException w:name="index 6" w:uiPriority="99"/>
    <w:lsdException w:name="index 7" w:uiPriority="99"/>
    <w:lsdException w:name="index 8" w:uiPriority="99"/>
    <w:lsdException w:name="index 9" w:uiPriority="9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uiPriority="99"/>
    <w:lsdException w:name="footnote text" w:uiPriority="99"/>
    <w:lsdException w:name="annotation text" w:uiPriority="99"/>
    <w:lsdException w:name="header" w:uiPriority="99" w:semiHidden="0" w:qFormat="1"/>
    <w:lsdException w:name="footer" w:uiPriority="99" w:semiHidden="0" w:qFormat="1"/>
    <w:lsdException w:name="index heading" w:uiPriority="99"/>
    <w:lsdException w:name="caption" w:uiPriority="35" w:qFormat="1"/>
    <w:lsdException w:name="table of figures" w:uiPriority="99"/>
    <w:lsdException w:name="envelope address" w:uiPriority="99"/>
    <w:lsdException w:name="envelope return" w:uiPriority="99"/>
    <w:lsdException w:name="footnote reference" w:uiPriority="99"/>
    <w:lsdException w:name="annotation reference" w:uiPriority="99"/>
    <w:lsdException w:name="line number" w:uiPriority="99"/>
    <w:lsdException w:name="page number" w:uiPriority="99"/>
    <w:lsdException w:name="endnote reference" w:uiPriority="99"/>
    <w:lsdException w:name="endnote text" w:uiPriority="99"/>
    <w:lsdException w:name="table of authorities" w:uiPriority="99"/>
    <w:lsdException w:name="macro" w:uiPriority="99" w:semiHidden="0" w:qFormat="1"/>
    <w:lsdException w:name="toa heading" w:uiPriority="99"/>
    <w:lsdException w:name="List" w:uiPriority="99" w:semiHidden="0" w:qFormat="1"/>
    <w:lsdException w:name="List Bullet" w:uiPriority="99" w:semiHidden="0" w:qFormat="1"/>
    <w:lsdException w:name="List Number" w:uiPriority="99" w:semiHidden="0" w:qFormat="1"/>
    <w:lsdException w:name="List 2" w:uiPriority="99" w:semiHidden="0" w:qFormat="1"/>
    <w:lsdException w:name="List 3" w:uiPriority="99" w:semiHidden="0"/>
    <w:lsdException w:name="List 4" w:uiPriority="99"/>
    <w:lsdException w:name="List 5" w:uiPriority="99"/>
    <w:lsdException w:name="List Bullet 2" w:uiPriority="99" w:semiHidden="0" w:qFormat="1"/>
    <w:lsdException w:name="List Bullet 3" w:uiPriority="99" w:semiHidden="0" w:qFormat="1"/>
    <w:lsdException w:name="List Bullet 4" w:uiPriority="99"/>
    <w:lsdException w:name="List Bullet 5" w:uiPriority="99"/>
    <w:lsdException w:name="List Number 2" w:uiPriority="99" w:semiHidden="0" w:qFormat="1"/>
    <w:lsdException w:name="List Number 3" w:uiPriority="99" w:semiHidden="0" w:qFormat="1"/>
    <w:lsdException w:name="List Number 4" w:uiPriority="99"/>
    <w:lsdException w:name="List Number 5" w:uiPriority="99"/>
    <w:lsdException w:name="Title" w:uiPriority="10" w:semiHidden="0" w:unhideWhenUsed="0" w:qFormat="1"/>
    <w:lsdException w:name="Closing" w:uiPriority="99"/>
    <w:lsdException w:name="Signature" w:uiPriority="99"/>
    <w:lsdException w:name="Default Paragraph Font" w:uiPriority="1" w:qFormat="1"/>
    <w:lsdException w:name="Body Text" w:uiPriority="99" w:semiHidden="0" w:qFormat="1"/>
    <w:lsdException w:name="Body Text Indent" w:uiPriority="99"/>
    <w:lsdException w:name="List Continue" w:uiPriority="99" w:semiHidden="0" w:qFormat="1"/>
    <w:lsdException w:name="List Continue 2" w:uiPriority="99" w:semiHidden="0" w:qFormat="1"/>
    <w:lsdException w:name="List Continue 3" w:uiPriority="99" w:semiHidden="0" w:qFormat="1"/>
    <w:lsdException w:name="List Continue 4" w:uiPriority="99"/>
    <w:lsdException w:name="List Continue 5" w:uiPriority="99"/>
    <w:lsdException w:name="Message Header" w:uiPriority="99"/>
    <w:lsdException w:name="Subtitle" w:uiPriority="11" w:semiHidden="0" w:unhideWhenUsed="0" w:qFormat="1"/>
    <w:lsdException w:name="Salutation" w:uiPriority="99"/>
    <w:lsdException w:name="Date" w:uiPriority="99"/>
    <w:lsdException w:name="Body Text First Indent" w:uiPriority="99"/>
    <w:lsdException w:name="Body Text First Indent 2" w:uiPriority="99"/>
    <w:lsdException w:name="Note Heading" w:uiPriority="99"/>
    <w:lsdException w:name="Body Text 2" w:uiPriority="99" w:semiHidden="0" w:qFormat="1"/>
    <w:lsdException w:name="Body Text 3" w:uiPriority="99" w:semiHidden="0" w:qFormat="1"/>
    <w:lsdException w:name="Body Text Indent 2" w:uiPriority="99"/>
    <w:lsdException w:name="Body Text Indent 3" w:uiPriority="99"/>
    <w:lsdException w:name="Block Text" w:uiPriority="99"/>
    <w:lsdException w:name="Hyperlink" w:uiPriority="99" w:qFormat="1"/>
    <w:lsdException w:name="FollowedHyperlink" w:uiPriority="99"/>
    <w:lsdException w:name="Strong" w:uiPriority="22" w:semiHidden="0" w:unhideWhenUsed="0" w:qFormat="1"/>
    <w:lsdException w:name="Emphasis" w:uiPriority="20" w:semiHidden="0" w:unhideWhenUsed="0" w:qFormat="1"/>
    <w:lsdException w:name="Document Map" w:uiPriority="99"/>
    <w:lsdException w:name="Plain Text" w:uiPriority="99"/>
    <w:lsdException w:name="E-mail Signature" w:uiPriority="99"/>
    <w:lsdException w:name="Normal (Web)" w:uiPriority="99" w:qFormat="1"/>
    <w:lsdException w:name="HTML Acronym" w:uiPriority="99"/>
    <w:lsdException w:name="HTML Address" w:uiPriority="99"/>
    <w:lsdException w:name="HTML Cite" w:uiPriority="99"/>
    <w:lsdException w:name="HTML Code" w:uiPriority="99"/>
    <w:lsdException w:name="HTML Definition" w:uiPriority="99"/>
    <w:lsdException w:name="HTML Keyboard" w:uiPriority="99"/>
    <w:lsdException w:name="HTML Preformatted" w:uiPriority="99"/>
    <w:lsdException w:name="HTML Sample" w:uiPriority="99"/>
    <w:lsdException w:name="HTML Typewriter" w:uiPriority="99"/>
    <w:lsdException w:name="HTML Variable" w:uiPriority="99"/>
    <w:lsdException w:name="Normal Table" w:uiPriority="99" w:qFormat="1"/>
    <w:lsdException w:name="annotation subject" w:uiPriority="99"/>
    <w:lsdException w:name="Table Simple 1" w:uiPriority="99"/>
    <w:lsdException w:name="Table Simple 2" w:uiPriority="99"/>
    <w:lsdException w:name="Table Simple 3" w:uiPriority="99"/>
    <w:lsdException w:name="Table Classic 1" w:uiPriority="99"/>
    <w:lsdException w:name="Table Classic 2" w:uiPriority="99"/>
    <w:lsdException w:name="Table Classic 3" w:uiPriority="99"/>
    <w:lsdException w:name="Table Classic 4" w:uiPriority="99"/>
    <w:lsdException w:name="Table Colorful 1" w:uiPriority="99"/>
    <w:lsdException w:name="Table Colorful 2" w:uiPriority="99"/>
    <w:lsdException w:name="Table Colorful 3" w:uiPriority="99"/>
    <w:lsdException w:name="Table Columns 1" w:uiPriority="99"/>
    <w:lsdException w:name="Table Columns 2" w:uiPriority="99"/>
    <w:lsdException w:name="Table Columns 3" w:uiPriority="99"/>
    <w:lsdException w:name="Table Columns 4" w:uiPriority="99"/>
    <w:lsdException w:name="Table Columns 5" w:uiPriority="99"/>
    <w:lsdException w:name="Table Grid 1" w:uiPriority="99"/>
    <w:lsdException w:name="Table Grid 2" w:uiPriority="99"/>
    <w:lsdException w:name="Table Grid 3" w:uiPriority="99"/>
    <w:lsdException w:name="Table Grid 4" w:uiPriority="99"/>
    <w:lsdException w:name="Table Grid 5" w:uiPriority="99"/>
    <w:lsdException w:name="Table Grid 6" w:uiPriority="99"/>
    <w:lsdException w:name="Table Grid 7" w:uiPriority="99"/>
    <w:lsdException w:name="Table Grid 8" w:uiPriority="99"/>
    <w:lsdException w:name="Table List 1" w:uiPriority="99"/>
    <w:lsdException w:name="Table List 2" w:uiPriority="99"/>
    <w:lsdException w:name="Table List 3" w:uiPriority="99"/>
    <w:lsdException w:name="Table List 4" w:uiPriority="99"/>
    <w:lsdException w:name="Table List 5" w:uiPriority="99"/>
    <w:lsdException w:name="Table List 6" w:uiPriority="99"/>
    <w:lsdException w:name="Table List 7" w:uiPriority="99"/>
    <w:lsdException w:name="Table List 8" w:uiPriority="99"/>
    <w:lsdException w:name="Table 3D effects 1" w:uiPriority="99"/>
    <w:lsdException w:name="Table 3D effects 2" w:uiPriority="99"/>
    <w:lsdException w:name="Table 3D effects 3" w:uiPriority="99"/>
    <w:lsdException w:name="Table Contemporary" w:uiPriority="99"/>
    <w:lsdException w:name="Table Elegant" w:uiPriority="99"/>
    <w:lsdException w:name="Table Professional" w:uiPriority="99"/>
    <w:lsdException w:name="Table Subtle 1" w:uiPriority="99"/>
    <w:lsdException w:name="Table Subtle 2" w:uiPriority="99"/>
    <w:lsdException w:name="Table Web 1" w:uiPriority="99"/>
    <w:lsdException w:name="Table Web 2" w:uiPriority="99"/>
    <w:lsdException w:name="Table Web 3" w:uiPriority="99"/>
    <w:lsdException w:name="Balloon Text" w:uiPriority="99"/>
    <w:lsdException w:name="Table Grid" w:uiPriority="59" w:semiHidden="0" w:unhideWhenUsed="0" w:qFormat="1"/>
    <w:lsdException w:name="Table Theme" w:uiPriority="99"/>
    <w:lsdException w:name="No Spacing" w:uiPriority="1" w:semiHidden="0" w:unhideWhenUsed="0" w:qFormat="1"/>
    <w:lsdException w:name="Light Shading" w:uiPriority="60" w:semiHidden="0" w:unhideWhenUsed="0" w:qFormat="1"/>
    <w:lsdException w:name="Light List" w:uiPriority="61" w:semiHidden="0" w:unhideWhenUsed="0" w:qFormat="1"/>
    <w:lsdException w:name="Light Grid" w:uiPriority="62" w:semiHidden="0" w:unhideWhenUsed="0" w:qFormat="1"/>
    <w:lsdException w:name="Medium Shading 1" w:uiPriority="63" w:semiHidden="0" w:unhideWhenUsed="0" w:qFormat="1"/>
    <w:lsdException w:name="Medium Shading 2" w:uiPriority="64" w:semiHidden="0" w:unhideWhenUsed="0" w:qFormat="1"/>
    <w:lsdException w:name="Medium List 1" w:uiPriority="65" w:semiHidden="0" w:unhideWhenUsed="0" w:qFormat="1"/>
    <w:lsdException w:name="Medium List 2" w:uiPriority="66" w:semiHidden="0" w:unhideWhenUsed="0"/>
    <w:lsdException w:name="Medium Grid 1" w:uiPriority="67" w:semiHidden="0" w:unhideWhenUsed="0" w:qFormat="1"/>
    <w:lsdException w:name="Medium Grid 2" w:uiPriority="68" w:semiHidden="0" w:unhideWhenUsed="0" w:qFormat="1"/>
    <w:lsdException w:name="Medium Grid 3" w:uiPriority="69" w:semiHidden="0" w:unhideWhenUsed="0" w:qFormat="1"/>
    <w:lsdException w:name="Dark List" w:uiPriority="70" w:semiHidden="0" w:unhideWhenUsed="0" w:qFormat="1"/>
    <w:lsdException w:name="Colorful Shading" w:uiPriority="71" w:semiHidden="0" w:unhideWhenUsed="0" w:qFormat="1"/>
    <w:lsdException w:name="Colorful List" w:uiPriority="72" w:semiHidden="0" w:unhideWhenUsed="0" w:qFormat="1"/>
    <w:lsdException w:name="Colorful Grid" w:uiPriority="73" w:semiHidden="0" w:unhideWhenUsed="0" w:qFormat="1"/>
    <w:lsdException w:name="Light Shading Accent 1" w:uiPriority="60" w:semiHidden="0" w:unhideWhenUsed="0" w:qFormat="1"/>
    <w:lsdException w:name="Light List Accent 1" w:uiPriority="61" w:semiHidden="0" w:unhideWhenUsed="0" w:qFormat="1"/>
    <w:lsdException w:name="Light Grid Accent 1" w:uiPriority="62" w:semiHidden="0" w:unhideWhenUsed="0" w:qFormat="1"/>
    <w:lsdException w:name="Medium Shading 1 Accent 1" w:uiPriority="63" w:semiHidden="0" w:unhideWhenUsed="0" w:qFormat="1"/>
    <w:lsdException w:name="Medium Shading 2 Accent 1" w:uiPriority="64" w:semiHidden="0" w:unhideWhenUsed="0" w:qFormat="1"/>
    <w:lsdException w:name="Medium List 1 Accent 1" w:uiPriority="65" w:semiHidden="0" w:unhideWhenUsed="0" w:qFormat="1"/>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qFormat="1"/>
    <w:lsdException w:name="Medium Grid 1 Accent 1" w:uiPriority="67" w:semiHidden="0" w:unhideWhenUsed="0" w:qFormat="1"/>
    <w:lsdException w:name="Medium Grid 2 Accent 1" w:uiPriority="68" w:semiHidden="0" w:unhideWhenUsed="0" w:qFormat="1"/>
    <w:lsdException w:name="Medium Grid 3 Accent 1" w:uiPriority="69" w:semiHidden="0" w:unhideWhenUsed="0" w:qFormat="1"/>
    <w:lsdException w:name="Dark List Accent 1" w:uiPriority="70" w:semiHidden="0" w:unhideWhenUsed="0" w:qFormat="1"/>
    <w:lsdException w:name="Colorful Shading Accent 1" w:uiPriority="71" w:semiHidden="0" w:unhideWhenUsed="0"/>
    <w:lsdException w:name="Colorful List Accent 1" w:uiPriority="72" w:semiHidden="0" w:unhideWhenUsed="0" w:qFormat="1"/>
    <w:lsdException w:name="Colorful Grid Accent 1" w:uiPriority="73" w:semiHidden="0" w:unhideWhenUsed="0"/>
    <w:lsdException w:name="Light Shading Accent 2" w:uiPriority="60" w:semiHidden="0" w:unhideWhenUsed="0" w:qFormat="1"/>
    <w:lsdException w:name="Light List Accent 2" w:uiPriority="61" w:semiHidden="0" w:unhideWhenUsed="0" w:qFormat="1"/>
    <w:lsdException w:name="Light Grid Accent 2" w:uiPriority="62" w:semiHidden="0" w:unhideWhenUsed="0" w:qFormat="1"/>
    <w:lsdException w:name="Medium Shading 1 Accent 2" w:uiPriority="63" w:semiHidden="0" w:unhideWhenUsed="0" w:qFormat="1"/>
    <w:lsdException w:name="Medium Shading 2 Accent 2" w:uiPriority="64" w:semiHidden="0" w:unhideWhenUsed="0" w:qFormat="1"/>
    <w:lsdException w:name="Medium List 1 Accent 2" w:uiPriority="65" w:semiHidden="0" w:unhideWhenUsed="0" w:qFormat="1"/>
    <w:lsdException w:name="Medium List 2 Accent 2" w:uiPriority="66" w:semiHidden="0" w:unhideWhenUsed="0" w:qFormat="1"/>
    <w:lsdException w:name="Medium Grid 1 Accent 2" w:uiPriority="67" w:semiHidden="0" w:unhideWhenUsed="0" w:qFormat="1"/>
    <w:lsdException w:name="Medium Grid 2 Accent 2" w:uiPriority="68" w:semiHidden="0" w:unhideWhenUsed="0" w:qFormat="1"/>
    <w:lsdException w:name="Medium Grid 3 Accent 2" w:uiPriority="69" w:semiHidden="0" w:unhideWhenUsed="0" w:qFormat="1"/>
    <w:lsdException w:name="Dark List Accent 2" w:uiPriority="70" w:semiHidden="0" w:unhideWhenUsed="0" w:qFormat="1"/>
    <w:lsdException w:name="Colorful Shading Accent 2" w:uiPriority="71" w:semiHidden="0" w:unhideWhenUsed="0" w:qFormat="1"/>
    <w:lsdException w:name="Colorful List Accent 2" w:uiPriority="72" w:semiHidden="0" w:unhideWhenUsed="0" w:qFormat="1"/>
    <w:lsdException w:name="Colorful Grid Accent 2" w:uiPriority="73" w:semiHidden="0" w:unhideWhenUsed="0" w:qFormat="1"/>
    <w:lsdException w:name="Light Shading Accent 3" w:uiPriority="60" w:semiHidden="0" w:unhideWhenUsed="0" w:qFormat="1"/>
    <w:lsdException w:name="Light List Accent 3" w:uiPriority="61" w:semiHidden="0" w:unhideWhenUsed="0" w:qFormat="1"/>
    <w:lsdException w:name="Light Grid Accent 3" w:uiPriority="62" w:semiHidden="0" w:unhideWhenUsed="0" w:qFormat="1"/>
    <w:lsdException w:name="Medium Shading 1 Accent 3" w:uiPriority="63" w:semiHidden="0" w:unhideWhenUsed="0" w:qFormat="1"/>
    <w:lsdException w:name="Medium Shading 2 Accent 3" w:uiPriority="64" w:semiHidden="0" w:unhideWhenUsed="0" w:qFormat="1"/>
    <w:lsdException w:name="Medium List 1 Accent 3" w:uiPriority="65" w:semiHidden="0" w:unhideWhenUsed="0" w:qFormat="1"/>
    <w:lsdException w:name="Medium List 2 Accent 3" w:uiPriority="66" w:semiHidden="0" w:unhideWhenUsed="0" w:qFormat="1"/>
    <w:lsdException w:name="Medium Grid 1 Accent 3" w:uiPriority="67" w:semiHidden="0" w:unhideWhenUsed="0" w:qFormat="1"/>
    <w:lsdException w:name="Medium Grid 2 Accent 3" w:uiPriority="68" w:semiHidden="0" w:unhideWhenUsed="0" w:qFormat="1"/>
    <w:lsdException w:name="Medium Grid 3 Accent 3" w:uiPriority="69" w:semiHidden="0" w:unhideWhenUsed="0" w:qFormat="1"/>
    <w:lsdException w:name="Dark List Accent 3" w:uiPriority="70" w:semiHidden="0" w:unhideWhenUsed="0" w:qFormat="1"/>
    <w:lsdException w:name="Colorful Shading Accent 3" w:uiPriority="71" w:semiHidden="0" w:unhideWhenUsed="0" w:qFormat="1"/>
    <w:lsdException w:name="Colorful List Accent 3" w:uiPriority="72" w:semiHidden="0" w:unhideWhenUsed="0"/>
    <w:lsdException w:name="Colorful Grid Accent 3" w:uiPriority="73" w:semiHidden="0" w:unhideWhenUsed="0" w:qFormat="1"/>
    <w:lsdException w:name="Light Shading Accent 4" w:uiPriority="60" w:semiHidden="0" w:unhideWhenUsed="0" w:qFormat="1"/>
    <w:lsdException w:name="Light List Accent 4" w:uiPriority="61" w:semiHidden="0" w:unhideWhenUsed="0" w:qFormat="1"/>
    <w:lsdException w:name="Light Grid Accent 4" w:uiPriority="62" w:semiHidden="0" w:unhideWhenUsed="0" w:qFormat="1"/>
    <w:lsdException w:name="Medium Shading 1 Accent 4" w:uiPriority="63" w:semiHidden="0" w:unhideWhenUsed="0" w:qFormat="1"/>
    <w:lsdException w:name="Medium Shading 2 Accent 4" w:uiPriority="64" w:semiHidden="0" w:unhideWhenUsed="0" w:qFormat="1"/>
    <w:lsdException w:name="Medium List 1 Accent 4" w:uiPriority="65" w:semiHidden="0" w:unhideWhenUsed="0" w:qFormat="1"/>
    <w:lsdException w:name="Medium List 2 Accent 4" w:uiPriority="66" w:semiHidden="0" w:unhideWhenUsed="0"/>
    <w:lsdException w:name="Medium Grid 1 Accent 4" w:uiPriority="67" w:semiHidden="0" w:unhideWhenUsed="0" w:qFormat="1"/>
    <w:lsdException w:name="Medium Grid 2 Accent 4" w:uiPriority="68" w:semiHidden="0" w:unhideWhenUsed="0" w:qFormat="1"/>
    <w:lsdException w:name="Medium Grid 3 Accent 4" w:uiPriority="69" w:semiHidden="0" w:unhideWhenUsed="0" w:qFormat="1"/>
    <w:lsdException w:name="Dark List Accent 4" w:uiPriority="70" w:semiHidden="0" w:unhideWhenUsed="0" w:qFormat="1"/>
    <w:lsdException w:name="Colorful Shading Accent 4" w:uiPriority="71" w:semiHidden="0" w:unhideWhenUsed="0" w:qFormat="1"/>
    <w:lsdException w:name="Colorful List Accent 4" w:uiPriority="72" w:semiHidden="0" w:unhideWhenUsed="0" w:qFormat="1"/>
    <w:lsdException w:name="Colorful Grid Accent 4" w:uiPriority="73" w:semiHidden="0" w:unhideWhenUsed="0"/>
    <w:lsdException w:name="Light Shading Accent 5" w:uiPriority="60" w:semiHidden="0" w:unhideWhenUsed="0"/>
    <w:lsdException w:name="Light List Accent 5" w:uiPriority="61" w:semiHidden="0" w:unhideWhenUsed="0" w:qFormat="1"/>
    <w:lsdException w:name="Light Grid Accent 5" w:uiPriority="62" w:semiHidden="0" w:unhideWhenUsed="0" w:qFormat="1"/>
    <w:lsdException w:name="Medium Shading 1 Accent 5" w:uiPriority="63" w:semiHidden="0" w:unhideWhenUsed="0" w:qFormat="1"/>
    <w:lsdException w:name="Medium Shading 2 Accent 5" w:uiPriority="64" w:semiHidden="0" w:unhideWhenUsed="0" w:qFormat="1"/>
    <w:lsdException w:name="Medium List 1 Accent 5" w:uiPriority="65" w:semiHidden="0" w:unhideWhenUsed="0" w:qFormat="1"/>
    <w:lsdException w:name="Medium List 2 Accent 5" w:uiPriority="66" w:semiHidden="0" w:unhideWhenUsed="0" w:qFormat="1"/>
    <w:lsdException w:name="Medium Grid 1 Accent 5" w:uiPriority="67" w:semiHidden="0" w:unhideWhenUsed="0" w:qFormat="1"/>
    <w:lsdException w:name="Medium Grid 2 Accent 5" w:uiPriority="68" w:semiHidden="0" w:unhideWhenUsed="0" w:qFormat="1"/>
    <w:lsdException w:name="Medium Grid 3 Accent 5" w:uiPriority="69" w:semiHidden="0" w:unhideWhenUsed="0" w:qFormat="1"/>
    <w:lsdException w:name="Dark List Accent 5" w:uiPriority="70" w:semiHidden="0" w:unhideWhenUsed="0" w:qFormat="1"/>
    <w:lsdException w:name="Colorful Shading Accent 5" w:uiPriority="71" w:semiHidden="0" w:unhideWhenUsed="0" w:qFormat="1"/>
    <w:lsdException w:name="Colorful List Accent 5" w:uiPriority="72" w:semiHidden="0" w:unhideWhenUsed="0" w:qFormat="1"/>
    <w:lsdException w:name="Colorful Grid Accent 5" w:uiPriority="73" w:semiHidden="0" w:unhideWhenUsed="0" w:qFormat="1"/>
    <w:lsdException w:name="Light Shading Accent 6" w:uiPriority="60" w:semiHidden="0" w:unhideWhenUsed="0" w:qFormat="1"/>
    <w:lsdException w:name="Light List Accent 6" w:uiPriority="61" w:semiHidden="0" w:unhideWhenUsed="0" w:qFormat="1"/>
    <w:lsdException w:name="Light Grid Accent 6" w:uiPriority="62" w:semiHidden="0" w:unhideWhenUsed="0" w:qFormat="1"/>
    <w:lsdException w:name="Medium Shading 1 Accent 6" w:uiPriority="63" w:semiHidden="0" w:unhideWhenUsed="0" w:qFormat="1"/>
    <w:lsdException w:name="Medium Shading 2 Accent 6" w:uiPriority="64" w:semiHidden="0" w:unhideWhenUsed="0"/>
    <w:lsdException w:name="Medium List 1 Accent 6" w:uiPriority="65" w:semiHidden="0" w:unhideWhenUsed="0" w:qFormat="1"/>
    <w:lsdException w:name="Medium List 2 Accent 6" w:uiPriority="66" w:semiHidden="0" w:unhideWhenUsed="0" w:qFormat="1"/>
    <w:lsdException w:name="Medium Grid 1 Accent 6" w:uiPriority="67" w:semiHidden="0" w:unhideWhenUsed="0" w:qFormat="1"/>
    <w:lsdException w:name="Medium Grid 2 Accent 6" w:uiPriority="68" w:semiHidden="0" w:unhideWhenUsed="0" w:qFormat="1"/>
    <w:lsdException w:name="Medium Grid 3 Accent 6" w:uiPriority="69" w:semiHidden="0" w:unhideWhenUsed="0" w:qFormat="1"/>
    <w:lsdException w:name="Dark List Accent 6" w:uiPriority="70" w:semiHidden="0" w:unhideWhenUsed="0"/>
    <w:lsdException w:name="Colorful Shading Accent 6" w:uiPriority="71" w:semiHidden="0" w:unhideWhenUsed="0" w:qFormat="1"/>
    <w:lsdException w:name="Colorful List Accent 6" w:uiPriority="72" w:semiHidden="0" w:unhideWhenUsed="0"/>
    <w:lsdException w:name="Colorful Grid Accent 6" w:uiPriority="73" w:semiHidden="0" w:unhideWhenUsed="0"/>
  </w:latentStyles>
  <w:style w:type="paragraph" w:styleId="1" w:default="1">
    <w:name w:val="Normal"/>
    <w:qFormat/>
    <w:uiPriority w:val="0"/>
    <w:pPr>
      <w:spacing w:after="120" w:line="360" w:lineRule="auto"/>
      <w:jc w:val="both"/>
    </w:pPr>
    <w:rPr>
      <w:rFonts w:ascii="Arial" w:hAnsi="Arial" w:eastAsia="Arial" w:cstheme="minorBidi"/>
      <w:sz w:val="22"/>
      <w:szCs w:val="22"/>
      <w:lang w:val="en-US" w:eastAsia="en-US" w:bidi="ar-SA"/>
    </w:rPr>
  </w:style>
  <w:style w:type="paragraph" w:styleId="2">
    <w:name w:val="heading 1"/>
    <w:basedOn w:val="1"/>
    <w:next w:val="1"/>
    <w:link w:val="140"/>
    <w:qFormat/>
    <w:uiPriority w:val="9"/>
    <w:pPr>
      <w:keepNext/>
      <w:keepLines/>
      <w:spacing w:before="240" w:after="120" w:line="360" w:lineRule="auto"/>
      <w:outlineLvl w:val="0"/>
    </w:pPr>
    <w:rPr>
      <w:rFonts w:asciiTheme="majorHAnsi" w:hAnsiTheme="majorHAnsi" w:eastAsiaTheme="majorEastAsia" w:cstheme="majorBidi"/>
      <w:b/>
      <w:bCs/>
      <w:color w:val="000000"/>
      <w:sz w:val="28"/>
      <w:szCs w:val="28"/>
    </w:rPr>
  </w:style>
  <w:style w:type="paragraph" w:styleId="3">
    <w:name w:val="heading 2"/>
    <w:basedOn w:val="1"/>
    <w:next w:val="1"/>
    <w:link w:val="141"/>
    <w:unhideWhenUsed/>
    <w:qFormat/>
    <w:uiPriority w:val="9"/>
    <w:pPr>
      <w:keepNext/>
      <w:keepLines/>
      <w:spacing w:before="240" w:after="120" w:line="360" w:lineRule="auto"/>
      <w:outlineLvl w:val="1"/>
    </w:pPr>
    <w:rPr>
      <w:rFonts w:asciiTheme="majorHAnsi" w:hAnsiTheme="majorHAnsi" w:eastAsiaTheme="majorEastAsia" w:cstheme="majorBidi"/>
      <w:b/>
      <w:bCs/>
      <w:color w:val="000000"/>
      <w:sz w:val="24"/>
      <w:szCs w:val="26"/>
    </w:rPr>
  </w:style>
  <w:style w:type="paragraph" w:styleId="4">
    <w:name w:val="heading 3"/>
    <w:basedOn w:val="1"/>
    <w:next w:val="1"/>
    <w:link w:val="142"/>
    <w:unhideWhenUsed/>
    <w:qFormat/>
    <w:uiPriority w:val="9"/>
    <w:pPr>
      <w:keepNext/>
      <w:keepLines/>
      <w:spacing w:before="200" w:after="0"/>
      <w:outlineLvl w:val="2"/>
    </w:pPr>
    <w:rPr>
      <w:rFonts w:asciiTheme="majorHAnsi" w:hAnsiTheme="majorHAnsi" w:eastAsiaTheme="majorEastAsia" w:cstheme="majorBidi"/>
      <w:b/>
      <w:bCs/>
      <w:color w:val="4F81BD" w:themeColor="accent1"/>
      <w14:textFill>
        <w14:solidFill>
          <w14:schemeClr w14:val="accent1"/>
        </w14:solidFill>
      </w14:textFill>
    </w:rPr>
  </w:style>
  <w:style w:type="paragraph" w:styleId="5">
    <w:name w:val="heading 4"/>
    <w:basedOn w:val="1"/>
    <w:next w:val="1"/>
    <w:link w:val="152"/>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6">
    <w:name w:val="heading 5"/>
    <w:basedOn w:val="1"/>
    <w:next w:val="1"/>
    <w:link w:val="153"/>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7">
    <w:name w:val="heading 6"/>
    <w:basedOn w:val="1"/>
    <w:next w:val="1"/>
    <w:link w:val="154"/>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8">
    <w:name w:val="heading 7"/>
    <w:basedOn w:val="1"/>
    <w:next w:val="1"/>
    <w:link w:val="155"/>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9">
    <w:name w:val="heading 8"/>
    <w:basedOn w:val="1"/>
    <w:next w:val="1"/>
    <w:link w:val="156"/>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0">
    <w:name w:val="heading 9"/>
    <w:basedOn w:val="1"/>
    <w:next w:val="1"/>
    <w:link w:val="157"/>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styleId="11" w:default="1">
    <w:name w:val="Default Paragraph Font"/>
    <w:semiHidden/>
    <w:unhideWhenUsed/>
    <w:qFormat/>
    <w:uiPriority w:val="1"/>
  </w:style>
  <w:style w:type="table" w:styleId="12" w:default="1">
    <w:name w:val="Normal Table"/>
    <w:semiHidden/>
    <w:unhideWhenUsed/>
    <w:qFormat/>
    <w:uiPriority w:val="99"/>
    <w:tblPr>
      <w:tblCellMar>
        <w:top w:w="0" w:type="dxa"/>
        <w:left w:w="108" w:type="dxa"/>
        <w:bottom w:w="0" w:type="dxa"/>
        <w:right w:w="108" w:type="dxa"/>
      </w:tblCellMar>
    </w:tblPr>
  </w:style>
  <w:style w:type="paragraph" w:styleId="13">
    <w:name w:val="Body Text"/>
    <w:basedOn w:val="1"/>
    <w:link w:val="146"/>
    <w:unhideWhenUsed/>
    <w:qFormat/>
    <w:uiPriority w:val="99"/>
    <w:pPr>
      <w:spacing w:after="120"/>
    </w:pPr>
  </w:style>
  <w:style w:type="paragraph" w:styleId="14">
    <w:name w:val="Body Text 2"/>
    <w:basedOn w:val="1"/>
    <w:link w:val="147"/>
    <w:unhideWhenUsed/>
    <w:qFormat/>
    <w:uiPriority w:val="99"/>
    <w:pPr>
      <w:spacing w:after="120" w:line="480" w:lineRule="auto"/>
    </w:pPr>
  </w:style>
  <w:style w:type="paragraph" w:styleId="15">
    <w:name w:val="Body Text 3"/>
    <w:basedOn w:val="1"/>
    <w:link w:val="148"/>
    <w:unhideWhenUsed/>
    <w:qFormat/>
    <w:uiPriority w:val="99"/>
    <w:pPr>
      <w:spacing w:after="120"/>
    </w:pPr>
    <w:rPr>
      <w:sz w:val="16"/>
      <w:szCs w:val="16"/>
    </w:rPr>
  </w:style>
  <w:style w:type="paragraph" w:styleId="16">
    <w:name w:val="caption"/>
    <w:basedOn w:val="1"/>
    <w:next w:val="1"/>
    <w:semiHidden/>
    <w:unhideWhenUsed/>
    <w:qFormat/>
    <w:uiPriority w:val="35"/>
    <w:pPr>
      <w:spacing w:line="240" w:lineRule="auto"/>
    </w:pPr>
    <w:rPr>
      <w:b/>
      <w:bCs/>
      <w:color w:val="4F81BD" w:themeColor="accent1"/>
      <w:sz w:val="18"/>
      <w:szCs w:val="18"/>
      <w14:textFill>
        <w14:solidFill>
          <w14:schemeClr w14:val="accent1"/>
        </w14:solidFill>
      </w14:textFill>
    </w:rPr>
  </w:style>
  <w:style w:type="character" w:styleId="17">
    <w:name w:val="Emphasis"/>
    <w:basedOn w:val="11"/>
    <w:qFormat/>
    <w:uiPriority w:val="20"/>
    <w:rPr>
      <w:i/>
      <w:iCs/>
    </w:rPr>
  </w:style>
  <w:style w:type="paragraph" w:styleId="18">
    <w:name w:val="footer"/>
    <w:basedOn w:val="1"/>
    <w:link w:val="138"/>
    <w:unhideWhenUsed/>
    <w:qFormat/>
    <w:uiPriority w:val="99"/>
    <w:pPr>
      <w:tabs>
        <w:tab w:val="center" w:pos="4680"/>
        <w:tab w:val="right" w:pos="9360"/>
      </w:tabs>
      <w:spacing w:after="0" w:line="240" w:lineRule="auto"/>
    </w:pPr>
  </w:style>
  <w:style w:type="paragraph" w:styleId="19">
    <w:name w:val="header"/>
    <w:basedOn w:val="1"/>
    <w:link w:val="137"/>
    <w:unhideWhenUsed/>
    <w:qFormat/>
    <w:uiPriority w:val="99"/>
    <w:pPr>
      <w:tabs>
        <w:tab w:val="center" w:pos="4680"/>
        <w:tab w:val="right" w:pos="9360"/>
      </w:tabs>
      <w:spacing w:after="0" w:line="240" w:lineRule="auto"/>
    </w:pPr>
  </w:style>
  <w:style w:type="character" w:styleId="20">
    <w:name w:val="Hyperlink"/>
    <w:basedOn w:val="11"/>
    <w:semiHidden/>
    <w:unhideWhenUsed/>
    <w:qFormat/>
    <w:uiPriority w:val="99"/>
    <w:rPr>
      <w:color w:val="0000FF"/>
      <w:u w:val="single"/>
    </w:rPr>
  </w:style>
  <w:style w:type="paragraph" w:styleId="21">
    <w:name w:val="List"/>
    <w:basedOn w:val="1"/>
    <w:unhideWhenUsed/>
    <w:qFormat/>
    <w:uiPriority w:val="99"/>
    <w:pPr>
      <w:ind w:left="360" w:hanging="360"/>
      <w:contextualSpacing/>
    </w:pPr>
  </w:style>
  <w:style w:type="paragraph" w:styleId="22">
    <w:name w:val="List 2"/>
    <w:basedOn w:val="1"/>
    <w:unhideWhenUsed/>
    <w:qFormat/>
    <w:uiPriority w:val="99"/>
    <w:pPr>
      <w:ind w:left="720" w:hanging="360"/>
      <w:contextualSpacing/>
    </w:pPr>
  </w:style>
  <w:style w:type="paragraph" w:styleId="23">
    <w:name w:val="List 3"/>
    <w:basedOn w:val="1"/>
    <w:unhideWhenUsed/>
    <w:uiPriority w:val="99"/>
    <w:pPr>
      <w:ind w:left="1080" w:hanging="360"/>
      <w:contextualSpacing/>
    </w:pPr>
  </w:style>
  <w:style w:type="paragraph" w:styleId="24">
    <w:name w:val="List Bullet"/>
    <w:basedOn w:val="1"/>
    <w:unhideWhenUsed/>
    <w:qFormat/>
    <w:uiPriority w:val="99"/>
    <w:pPr>
      <w:numPr>
        <w:ilvl w:val="0"/>
        <w:numId w:val="1"/>
      </w:numPr>
      <w:contextualSpacing/>
    </w:pPr>
  </w:style>
  <w:style w:type="paragraph" w:styleId="25">
    <w:name w:val="List Bullet 2"/>
    <w:basedOn w:val="1"/>
    <w:unhideWhenUsed/>
    <w:qFormat/>
    <w:uiPriority w:val="99"/>
    <w:pPr>
      <w:numPr>
        <w:ilvl w:val="0"/>
        <w:numId w:val="2"/>
      </w:numPr>
      <w:contextualSpacing/>
    </w:pPr>
  </w:style>
  <w:style w:type="paragraph" w:styleId="26">
    <w:name w:val="List Bullet 3"/>
    <w:basedOn w:val="1"/>
    <w:unhideWhenUsed/>
    <w:qFormat/>
    <w:uiPriority w:val="99"/>
    <w:pPr>
      <w:numPr>
        <w:ilvl w:val="0"/>
        <w:numId w:val="3"/>
      </w:numPr>
      <w:contextualSpacing/>
    </w:pPr>
  </w:style>
  <w:style w:type="paragraph" w:styleId="27">
    <w:name w:val="List Continue"/>
    <w:basedOn w:val="1"/>
    <w:unhideWhenUsed/>
    <w:qFormat/>
    <w:uiPriority w:val="99"/>
    <w:pPr>
      <w:spacing w:after="120"/>
      <w:ind w:left="360"/>
      <w:contextualSpacing/>
    </w:pPr>
  </w:style>
  <w:style w:type="paragraph" w:styleId="28">
    <w:name w:val="List Continue 2"/>
    <w:basedOn w:val="1"/>
    <w:unhideWhenUsed/>
    <w:qFormat/>
    <w:uiPriority w:val="99"/>
    <w:pPr>
      <w:spacing w:after="120"/>
      <w:ind w:left="720"/>
      <w:contextualSpacing/>
    </w:pPr>
  </w:style>
  <w:style w:type="paragraph" w:styleId="29">
    <w:name w:val="List Continue 3"/>
    <w:basedOn w:val="1"/>
    <w:unhideWhenUsed/>
    <w:qFormat/>
    <w:uiPriority w:val="99"/>
    <w:pPr>
      <w:spacing w:after="120"/>
      <w:ind w:left="1080"/>
      <w:contextualSpacing/>
    </w:pPr>
  </w:style>
  <w:style w:type="paragraph" w:styleId="30">
    <w:name w:val="List Number"/>
    <w:basedOn w:val="1"/>
    <w:unhideWhenUsed/>
    <w:qFormat/>
    <w:uiPriority w:val="99"/>
    <w:pPr>
      <w:numPr>
        <w:ilvl w:val="0"/>
        <w:numId w:val="4"/>
      </w:numPr>
      <w:contextualSpacing/>
    </w:pPr>
  </w:style>
  <w:style w:type="paragraph" w:styleId="31">
    <w:name w:val="List Number 2"/>
    <w:basedOn w:val="1"/>
    <w:unhideWhenUsed/>
    <w:qFormat/>
    <w:uiPriority w:val="99"/>
    <w:pPr>
      <w:numPr>
        <w:ilvl w:val="0"/>
        <w:numId w:val="5"/>
      </w:numPr>
      <w:contextualSpacing/>
    </w:pPr>
  </w:style>
  <w:style w:type="paragraph" w:styleId="32">
    <w:name w:val="List Number 3"/>
    <w:basedOn w:val="1"/>
    <w:unhideWhenUsed/>
    <w:qFormat/>
    <w:uiPriority w:val="99"/>
    <w:pPr>
      <w:numPr>
        <w:ilvl w:val="0"/>
        <w:numId w:val="6"/>
      </w:numPr>
      <w:contextualSpacing/>
    </w:pPr>
  </w:style>
  <w:style w:type="paragraph" w:styleId="33">
    <w:name w:val="macro"/>
    <w:link w:val="149"/>
    <w:unhideWhenUsed/>
    <w:qFormat/>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paragraph" w:styleId="34">
    <w:name w:val="Normal (Web)"/>
    <w:semiHidden/>
    <w:unhideWhenUsed/>
    <w:qFormat/>
    <w:uiPriority w:val="99"/>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35">
    <w:name w:val="Strong"/>
    <w:basedOn w:val="11"/>
    <w:qFormat/>
    <w:uiPriority w:val="22"/>
    <w:rPr>
      <w:b/>
      <w:bCs/>
    </w:rPr>
  </w:style>
  <w:style w:type="paragraph" w:styleId="36">
    <w:name w:val="Subtitle"/>
    <w:basedOn w:val="1"/>
    <w:next w:val="1"/>
    <w:link w:val="144"/>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table" w:styleId="37">
    <w:name w:val="Table Grid"/>
    <w:basedOn w:val="12"/>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38">
    <w:name w:val="Title"/>
    <w:basedOn w:val="1"/>
    <w:next w:val="1"/>
    <w:link w:val="143"/>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color w:val="17375E" w:themeColor="text2" w:themeShade="BF"/>
      <w:spacing w:val="5"/>
      <w:kern w:val="28"/>
      <w:sz w:val="52"/>
      <w:szCs w:val="52"/>
    </w:rPr>
  </w:style>
  <w:style w:type="table" w:styleId="39">
    <w:name w:val="Light Shading"/>
    <w:basedOn w:val="12"/>
    <w:qFormat/>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40">
    <w:name w:val="Light Shading Accent 1"/>
    <w:basedOn w:val="12"/>
    <w:qFormat/>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41">
    <w:name w:val="Light Shading Accent 2"/>
    <w:basedOn w:val="12"/>
    <w:qFormat/>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42">
    <w:name w:val="Light Shading Accent 3"/>
    <w:basedOn w:val="12"/>
    <w:qFormat/>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3">
    <w:name w:val="Light Shading Accent 4"/>
    <w:basedOn w:val="12"/>
    <w:qFormat/>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44">
    <w:name w:val="Light Shading Accent 5"/>
    <w:basedOn w:val="12"/>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5">
    <w:name w:val="Light Shading Accent 6"/>
    <w:basedOn w:val="12"/>
    <w:qFormat/>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6">
    <w:name w:val="Light List"/>
    <w:basedOn w:val="12"/>
    <w:qFormat/>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7">
    <w:name w:val="Light List Accent 1"/>
    <w:basedOn w:val="12"/>
    <w:qFormat/>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8">
    <w:name w:val="Light List Accent 2"/>
    <w:basedOn w:val="12"/>
    <w:qFormat/>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49">
    <w:name w:val="Light List Accent 3"/>
    <w:basedOn w:val="12"/>
    <w:qFormat/>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50">
    <w:name w:val="Light List Accent 4"/>
    <w:basedOn w:val="12"/>
    <w:qFormat/>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51">
    <w:name w:val="Light List Accent 5"/>
    <w:basedOn w:val="12"/>
    <w:qFormat/>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52">
    <w:name w:val="Light List Accent 6"/>
    <w:basedOn w:val="12"/>
    <w:qFormat/>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53">
    <w:name w:val="Light Grid"/>
    <w:basedOn w:val="12"/>
    <w:qFormat/>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54">
    <w:name w:val="Light Grid Accent 1"/>
    <w:basedOn w:val="12"/>
    <w:qFormat/>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5">
    <w:name w:val="Light Grid Accent 2"/>
    <w:basedOn w:val="12"/>
    <w:qFormat/>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6">
    <w:name w:val="Light Grid Accent 3"/>
    <w:basedOn w:val="12"/>
    <w:qFormat/>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7">
    <w:name w:val="Light Grid Accent 4"/>
    <w:basedOn w:val="12"/>
    <w:qFormat/>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8">
    <w:name w:val="Light Grid Accent 5"/>
    <w:basedOn w:val="12"/>
    <w:qFormat/>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59">
    <w:name w:val="Light Grid Accent 6"/>
    <w:basedOn w:val="12"/>
    <w:qFormat/>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60">
    <w:name w:val="Medium Shading 1"/>
    <w:basedOn w:val="12"/>
    <w:qFormat/>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61">
    <w:name w:val="Medium Shading 1 Accent 1"/>
    <w:basedOn w:val="12"/>
    <w:qFormat/>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62">
    <w:name w:val="Medium Shading 1 Accent 2"/>
    <w:basedOn w:val="12"/>
    <w:qFormat/>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63">
    <w:name w:val="Medium Shading 1 Accent 3"/>
    <w:basedOn w:val="12"/>
    <w:qFormat/>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64">
    <w:name w:val="Medium Shading 1 Accent 4"/>
    <w:basedOn w:val="12"/>
    <w:qFormat/>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5">
    <w:name w:val="Medium Shading 1 Accent 5"/>
    <w:basedOn w:val="12"/>
    <w:qFormat/>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6">
    <w:name w:val="Medium Shading 1 Accent 6"/>
    <w:basedOn w:val="12"/>
    <w:qFormat/>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7">
    <w:name w:val="Medium Shading 2"/>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8">
    <w:name w:val="Medium Shading 2 Accent 1"/>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Shading 2 Accent 2"/>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0">
    <w:name w:val="Medium Shading 2 Accent 3"/>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1">
    <w:name w:val="Medium Shading 2 Accent 4"/>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2">
    <w:name w:val="Medium Shading 2 Accent 5"/>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3">
    <w:name w:val="Medium Shading 2 Accent 6"/>
    <w:basedOn w:val="1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4">
    <w:name w:val="Medium List 1"/>
    <w:basedOn w:val="12"/>
    <w:qFormat/>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5">
    <w:name w:val="Medium List 1 Accent 1"/>
    <w:basedOn w:val="12"/>
    <w:qFormat/>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6">
    <w:name w:val="Medium List 1 Accent 2"/>
    <w:basedOn w:val="12"/>
    <w:qFormat/>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7">
    <w:name w:val="Medium List 1 Accent 3"/>
    <w:basedOn w:val="12"/>
    <w:qFormat/>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8">
    <w:name w:val="Medium List 1 Accent 4"/>
    <w:basedOn w:val="12"/>
    <w:qFormat/>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79">
    <w:name w:val="Medium List 1 Accent 5"/>
    <w:basedOn w:val="12"/>
    <w:qFormat/>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80">
    <w:name w:val="Medium List 1 Accent 6"/>
    <w:basedOn w:val="12"/>
    <w:qFormat/>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81">
    <w:name w:val="Medium List 2"/>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82">
    <w:name w:val="Medium List 2 Accent 1"/>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List 2 Accent 2"/>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84">
    <w:name w:val="Medium List 2 Accent 3"/>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5">
    <w:name w:val="Medium List 2 Accent 4"/>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6">
    <w:name w:val="Medium List 2 Accent 5"/>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7">
    <w:name w:val="Medium List 2 Accent 6"/>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8">
    <w:name w:val="Medium Grid 1"/>
    <w:basedOn w:val="12"/>
    <w:qFormat/>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CellMar>
        <w:top w:w="0" w:type="dxa"/>
        <w:left w:w="108" w:type="dxa"/>
        <w:bottom w:w="0" w:type="dxa"/>
        <w:right w:w="108" w:type="dxa"/>
      </w:tblCellMar>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89">
    <w:name w:val="Medium Grid 1 Accent 1"/>
    <w:basedOn w:val="12"/>
    <w:qFormat/>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90">
    <w:name w:val="Medium Grid 1 Accent 2"/>
    <w:basedOn w:val="12"/>
    <w:qFormat/>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91">
    <w:name w:val="Medium Grid 1 Accent 3"/>
    <w:basedOn w:val="12"/>
    <w:qFormat/>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92">
    <w:name w:val="Medium Grid 1 Accent 4"/>
    <w:basedOn w:val="12"/>
    <w:qFormat/>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93">
    <w:name w:val="Medium Grid 1 Accent 5"/>
    <w:basedOn w:val="12"/>
    <w:qFormat/>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94">
    <w:name w:val="Medium Grid 1 Accent 6"/>
    <w:basedOn w:val="12"/>
    <w:qFormat/>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5">
    <w:name w:val="Medium Grid 2"/>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6">
    <w:name w:val="Medium Grid 2 Accent 1"/>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7">
    <w:name w:val="Medium Grid 2 Accent 2"/>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8">
    <w:name w:val="Medium Grid 2 Accent 3"/>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99">
    <w:name w:val="Medium Grid 2 Accent 4"/>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100">
    <w:name w:val="Medium Grid 2 Accent 5"/>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101">
    <w:name w:val="Medium Grid 2 Accent 6"/>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102">
    <w:name w:val="Medium Grid 3"/>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103">
    <w:name w:val="Medium Grid 3 Accent 1"/>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104">
    <w:name w:val="Medium Grid 3 Accent 2"/>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5">
    <w:name w:val="Medium Grid 3 Accent 3"/>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6">
    <w:name w:val="Medium Grid 3 Accent 4"/>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7">
    <w:name w:val="Medium Grid 3 Accent 5"/>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8">
    <w:name w:val="Medium Grid 3 Accent 6"/>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09">
    <w:name w:val="Dark List"/>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10">
    <w:name w:val="Dark List Accent 1"/>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11">
    <w:name w:val="Dark List Accent 2"/>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12">
    <w:name w:val="Dark List Accent 3"/>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13">
    <w:name w:val="Dark List Accent 4"/>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14">
    <w:name w:val="Dark List Accent 5"/>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5">
    <w:name w:val="Dark List Accent 6"/>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6">
    <w:name w:val="Colorful Shading"/>
    <w:basedOn w:val="1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7">
    <w:name w:val="Colorful Shading Accent 1"/>
    <w:basedOn w:val="1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8">
    <w:name w:val="Colorful Shading Accent 2"/>
    <w:basedOn w:val="1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9">
    <w:name w:val="Colorful Shading Accent 3"/>
    <w:basedOn w:val="12"/>
    <w:qFormat/>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20">
    <w:name w:val="Colorful Shading Accent 4"/>
    <w:basedOn w:val="12"/>
    <w:qFormat/>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1">
    <w:name w:val="Colorful Shading Accent 5"/>
    <w:basedOn w:val="12"/>
    <w:qFormat/>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2">
    <w:name w:val="Colorful Shading Accent 6"/>
    <w:basedOn w:val="12"/>
    <w:qFormat/>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3">
    <w:name w:val="Colorful List"/>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24">
    <w:name w:val="Colorful List Accent 1"/>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5">
    <w:name w:val="Colorful List Accent 2"/>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6">
    <w:name w:val="Colorful List Accent 3"/>
    <w:basedOn w:val="1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7">
    <w:name w:val="Colorful List Accent 4"/>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8">
    <w:name w:val="Colorful List Accent 5"/>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29">
    <w:name w:val="Colorful List Accent 6"/>
    <w:basedOn w:val="1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30">
    <w:name w:val="Colorful Grid"/>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31">
    <w:name w:val="Colorful Grid Accent 1"/>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32">
    <w:name w:val="Colorful Grid Accent 2"/>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3">
    <w:name w:val="Colorful Grid Accent 3"/>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34">
    <w:name w:val="Colorful Grid Accent 4"/>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5">
    <w:name w:val="Colorful Grid Accent 5"/>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6">
    <w:name w:val="Colorful Grid Accent 6"/>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137" w:customStyle="1">
    <w:name w:val="Header Char"/>
    <w:basedOn w:val="11"/>
    <w:link w:val="19"/>
    <w:qFormat/>
    <w:uiPriority w:val="99"/>
  </w:style>
  <w:style w:type="character" w:styleId="138" w:customStyle="1">
    <w:name w:val="Footer Char"/>
    <w:basedOn w:val="11"/>
    <w:link w:val="18"/>
    <w:qFormat/>
    <w:uiPriority w:val="99"/>
  </w:style>
  <w:style w:type="paragraph" w:styleId="139">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styleId="140" w:customStyle="1">
    <w:name w:val="Heading 1 Char"/>
    <w:basedOn w:val="11"/>
    <w:link w:val="2"/>
    <w:uiPriority w:val="9"/>
    <w:rPr>
      <w:rFonts w:asciiTheme="majorHAnsi" w:hAnsiTheme="majorHAnsi" w:eastAsiaTheme="majorEastAsia" w:cstheme="majorBidi"/>
      <w:b/>
      <w:bCs/>
      <w:color w:val="376092" w:themeColor="accent1" w:themeShade="BF"/>
      <w:sz w:val="28"/>
      <w:szCs w:val="28"/>
    </w:rPr>
  </w:style>
  <w:style w:type="character" w:styleId="141" w:customStyle="1">
    <w:name w:val="Heading 2 Char"/>
    <w:basedOn w:val="11"/>
    <w:link w:val="3"/>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styleId="142" w:customStyle="1">
    <w:name w:val="Heading 3 Char"/>
    <w:basedOn w:val="11"/>
    <w:link w:val="4"/>
    <w:qFormat/>
    <w:uiPriority w:val="9"/>
    <w:rPr>
      <w:rFonts w:asciiTheme="majorHAnsi" w:hAnsiTheme="majorHAnsi" w:eastAsiaTheme="majorEastAsia" w:cstheme="majorBidi"/>
      <w:b/>
      <w:bCs/>
      <w:color w:val="4F81BD" w:themeColor="accent1"/>
      <w14:textFill>
        <w14:solidFill>
          <w14:schemeClr w14:val="accent1"/>
        </w14:solidFill>
      </w14:textFill>
    </w:rPr>
  </w:style>
  <w:style w:type="character" w:styleId="143" w:customStyle="1">
    <w:name w:val="Title Char"/>
    <w:basedOn w:val="11"/>
    <w:link w:val="38"/>
    <w:qFormat/>
    <w:uiPriority w:val="10"/>
    <w:rPr>
      <w:rFonts w:asciiTheme="majorHAnsi" w:hAnsiTheme="majorHAnsi" w:eastAsiaTheme="majorEastAsia" w:cstheme="majorBidi"/>
      <w:color w:val="17375E" w:themeColor="text2" w:themeShade="BF"/>
      <w:spacing w:val="5"/>
      <w:kern w:val="28"/>
      <w:sz w:val="52"/>
      <w:szCs w:val="52"/>
    </w:rPr>
  </w:style>
  <w:style w:type="character" w:styleId="144" w:customStyle="1">
    <w:name w:val="Subtitle Char"/>
    <w:basedOn w:val="11"/>
    <w:link w:val="36"/>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5">
    <w:name w:val="List Paragraph"/>
    <w:basedOn w:val="1"/>
    <w:qFormat/>
    <w:uiPriority w:val="34"/>
    <w:pPr>
      <w:ind w:left="720"/>
      <w:contextualSpacing/>
    </w:pPr>
  </w:style>
  <w:style w:type="character" w:styleId="146" w:customStyle="1">
    <w:name w:val="Body Text Char"/>
    <w:basedOn w:val="11"/>
    <w:link w:val="13"/>
    <w:qFormat/>
    <w:uiPriority w:val="99"/>
  </w:style>
  <w:style w:type="character" w:styleId="147" w:customStyle="1">
    <w:name w:val="Body Text 2 Char"/>
    <w:basedOn w:val="11"/>
    <w:link w:val="14"/>
    <w:qFormat/>
    <w:uiPriority w:val="99"/>
  </w:style>
  <w:style w:type="character" w:styleId="148" w:customStyle="1">
    <w:name w:val="Body Text 3 Char"/>
    <w:basedOn w:val="11"/>
    <w:link w:val="15"/>
    <w:qFormat/>
    <w:uiPriority w:val="99"/>
    <w:rPr>
      <w:sz w:val="16"/>
      <w:szCs w:val="16"/>
    </w:rPr>
  </w:style>
  <w:style w:type="character" w:styleId="149" w:customStyle="1">
    <w:name w:val="Macro Text Char"/>
    <w:basedOn w:val="11"/>
    <w:link w:val="33"/>
    <w:qFormat/>
    <w:uiPriority w:val="99"/>
    <w:rPr>
      <w:rFonts w:ascii="Courier" w:hAnsi="Courier"/>
      <w:sz w:val="20"/>
      <w:szCs w:val="20"/>
    </w:rPr>
  </w:style>
  <w:style w:type="paragraph" w:styleId="150">
    <w:name w:val="Quote"/>
    <w:basedOn w:val="1"/>
    <w:next w:val="1"/>
    <w:link w:val="151"/>
    <w:qFormat/>
    <w:uiPriority w:val="29"/>
    <w:rPr>
      <w:i/>
      <w:iCs/>
      <w:color w:val="000000" w:themeColor="text1"/>
      <w14:textFill>
        <w14:solidFill>
          <w14:schemeClr w14:val="tx1"/>
        </w14:solidFill>
      </w14:textFill>
    </w:rPr>
  </w:style>
  <w:style w:type="character" w:styleId="151" w:customStyle="1">
    <w:name w:val="Quote Char"/>
    <w:basedOn w:val="11"/>
    <w:link w:val="150"/>
    <w:qFormat/>
    <w:uiPriority w:val="29"/>
    <w:rPr>
      <w:i/>
      <w:iCs/>
      <w:color w:val="000000" w:themeColor="text1"/>
      <w14:textFill>
        <w14:solidFill>
          <w14:schemeClr w14:val="tx1"/>
        </w14:solidFill>
      </w14:textFill>
    </w:rPr>
  </w:style>
  <w:style w:type="character" w:styleId="152" w:customStyle="1">
    <w:name w:val="Heading 4 Char"/>
    <w:basedOn w:val="11"/>
    <w:link w:val="5"/>
    <w:semiHidden/>
    <w:qFormat/>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styleId="153" w:customStyle="1">
    <w:name w:val="Heading 5 Char"/>
    <w:basedOn w:val="11"/>
    <w:link w:val="6"/>
    <w:semiHidden/>
    <w:qFormat/>
    <w:uiPriority w:val="9"/>
    <w:rPr>
      <w:rFonts w:asciiTheme="majorHAnsi" w:hAnsiTheme="majorHAnsi" w:eastAsiaTheme="majorEastAsia" w:cstheme="majorBidi"/>
      <w:color w:val="254061" w:themeColor="accent1" w:themeShade="80"/>
    </w:rPr>
  </w:style>
  <w:style w:type="character" w:styleId="154" w:customStyle="1">
    <w:name w:val="Heading 6 Char"/>
    <w:basedOn w:val="11"/>
    <w:link w:val="7"/>
    <w:semiHidden/>
    <w:qFormat/>
    <w:uiPriority w:val="9"/>
    <w:rPr>
      <w:rFonts w:asciiTheme="majorHAnsi" w:hAnsiTheme="majorHAnsi" w:eastAsiaTheme="majorEastAsia" w:cstheme="majorBidi"/>
      <w:i/>
      <w:iCs/>
      <w:color w:val="254061" w:themeColor="accent1" w:themeShade="80"/>
    </w:rPr>
  </w:style>
  <w:style w:type="character" w:styleId="155" w:customStyle="1">
    <w:name w:val="Heading 7 Char"/>
    <w:basedOn w:val="11"/>
    <w:link w:val="8"/>
    <w:semiHidden/>
    <w:qFormat/>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styleId="156" w:customStyle="1">
    <w:name w:val="Heading 8 Char"/>
    <w:basedOn w:val="11"/>
    <w:link w:val="9"/>
    <w:semiHidden/>
    <w:qFormat/>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styleId="157" w:customStyle="1">
    <w:name w:val="Heading 9 Char"/>
    <w:basedOn w:val="11"/>
    <w:link w:val="10"/>
    <w:semiHidden/>
    <w:qFormat/>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8">
    <w:name w:val="Intense Quote"/>
    <w:basedOn w:val="1"/>
    <w:next w:val="1"/>
    <w:link w:val="159"/>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styleId="159" w:customStyle="1">
    <w:name w:val="Intense Quote Char"/>
    <w:basedOn w:val="11"/>
    <w:link w:val="158"/>
    <w:qFormat/>
    <w:uiPriority w:val="30"/>
    <w:rPr>
      <w:b/>
      <w:bCs/>
      <w:i/>
      <w:iCs/>
      <w:color w:val="4F81BD" w:themeColor="accent1"/>
      <w14:textFill>
        <w14:solidFill>
          <w14:schemeClr w14:val="accent1"/>
        </w14:solidFill>
      </w14:textFill>
    </w:rPr>
  </w:style>
  <w:style w:type="character" w:styleId="160" w:customStyle="1">
    <w:name w:val="Subtle Emphasis"/>
    <w:basedOn w:val="11"/>
    <w:qFormat/>
    <w:uiPriority w:val="19"/>
    <w:rPr>
      <w:i/>
      <w:iCs/>
      <w:color w:val="808080" w:themeColor="text1" w:themeTint="80"/>
      <w14:textFill>
        <w14:solidFill>
          <w14:schemeClr w14:val="tx1">
            <w14:lumMod w14:val="50000"/>
            <w14:lumOff w14:val="50000"/>
          </w14:schemeClr>
        </w14:solidFill>
      </w14:textFill>
    </w:rPr>
  </w:style>
  <w:style w:type="character" w:styleId="161" w:customStyle="1">
    <w:name w:val="Intense Emphasis"/>
    <w:basedOn w:val="11"/>
    <w:qFormat/>
    <w:uiPriority w:val="21"/>
    <w:rPr>
      <w:b/>
      <w:bCs/>
      <w:i/>
      <w:iCs/>
      <w:color w:val="4F81BD" w:themeColor="accent1"/>
      <w14:textFill>
        <w14:solidFill>
          <w14:schemeClr w14:val="accent1"/>
        </w14:solidFill>
      </w14:textFill>
    </w:rPr>
  </w:style>
  <w:style w:type="character" w:styleId="162" w:customStyle="1">
    <w:name w:val="Subtle Reference"/>
    <w:basedOn w:val="11"/>
    <w:qFormat/>
    <w:uiPriority w:val="31"/>
    <w:rPr>
      <w:smallCaps/>
      <w:color w:val="C0504D" w:themeColor="accent2"/>
      <w:u w:val="single"/>
      <w14:textFill>
        <w14:solidFill>
          <w14:schemeClr w14:val="accent2"/>
        </w14:solidFill>
      </w14:textFill>
    </w:rPr>
  </w:style>
  <w:style w:type="character" w:styleId="163" w:customStyle="1">
    <w:name w:val="Intense Reference"/>
    <w:basedOn w:val="11"/>
    <w:qFormat/>
    <w:uiPriority w:val="32"/>
    <w:rPr>
      <w:b/>
      <w:bCs/>
      <w:smallCaps/>
      <w:color w:val="C0504D" w:themeColor="accent2"/>
      <w:spacing w:val="5"/>
      <w:u w:val="single"/>
      <w14:textFill>
        <w14:solidFill>
          <w14:schemeClr w14:val="accent2"/>
        </w14:solidFill>
      </w14:textFill>
    </w:rPr>
  </w:style>
  <w:style w:type="character" w:styleId="164" w:customStyle="1">
    <w:name w:val="Book Title"/>
    <w:basedOn w:val="11"/>
    <w:qFormat/>
    <w:uiPriority w:val="33"/>
    <w:rPr>
      <w:b/>
      <w:bCs/>
      <w:smallCaps/>
      <w:spacing w:val="5"/>
    </w:rPr>
  </w:style>
  <w:style w:type="paragraph" w:styleId="165" w:customStyle="1">
    <w:name w:val="TOC Heading"/>
    <w:basedOn w:val="2"/>
    <w:next w:val="1"/>
    <w:semiHidden/>
    <w:unhideWhenUsed/>
    <w:qFormat/>
    <w:uiPriority w:val="39"/>
    <w:pPr>
      <w:outlineLvl w:val="9"/>
    </w:pPr>
  </w:style>
</w:styles>
</file>

<file path=word/_rels/document.xml.rels>&#65279;<?xml version="1.0" encoding="utf-8"?><Relationships xmlns="http://schemas.openxmlformats.org/package/2006/relationships"><Relationship Type="http://schemas.openxmlformats.org/officeDocument/2006/relationships/numbering" Target="numbering.xml" Id="rId9" /><Relationship Type="http://schemas.openxmlformats.org/officeDocument/2006/relationships/customXml" Target="../customXml/item1.xml" Id="rId8" /><Relationship Type="http://schemas.openxmlformats.org/officeDocument/2006/relationships/theme" Target="theme/theme1.xml" Id="rId7" /><Relationship Type="http://schemas.openxmlformats.org/officeDocument/2006/relationships/footer" Target="footer1.xml" Id="rId6" /><Relationship Type="http://schemas.openxmlformats.org/officeDocument/2006/relationships/header" Target="header1.xml" Id="rId5" /><Relationship Type="http://schemas.openxmlformats.org/officeDocument/2006/relationships/endnotes" Target="endnotes.xml" Id="rId4" /><Relationship Type="http://schemas.openxmlformats.org/officeDocument/2006/relationships/footnotes" Target="footnotes.xml" Id="rId3" /><Relationship Type="http://schemas.openxmlformats.org/officeDocument/2006/relationships/settings" Target="settings.xml" Id="rId2" /><Relationship Type="http://schemas.openxmlformats.org/officeDocument/2006/relationships/fontTable" Target="fontTable.xml" Id="rId11" /><Relationship Type="http://schemas.openxmlformats.org/officeDocument/2006/relationships/customXml" Target="../customXml/item2.xml" Id="rId10" /><Relationship Type="http://schemas.openxmlformats.org/officeDocument/2006/relationships/styles" Target="styles.xml" Id="rId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F278816-EC6F-A645-907D-7F25AECB1D4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ScaleCrop>false</ap:ScaleCrop>
  <ap:Application>Microsoft Word for the web</ap:Application>
  <ap:DocSecurity>0</ap:DocSecurity>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2013-12-23T23:15:00.0000000Z</dcterms:created>
  <dc:creator>Hifza Kanwal</dc:creator>
  <dc:description>generated by python-docx</dc:description>
  <keywords>BMHP6026, NHS App, Digital Transformation, Health and Social Care</keywords>
  <lastModifiedBy>Ayesha Mehmood (2329624)</lastModifiedBy>
  <dcterms:modified xsi:type="dcterms:W3CDTF">2026-06-27T07:55:23.1012287Z</dcterms:modified>
  <dc:subject>Digital Transformation in the Health and Care Professions</dc:subject>
  <dc:title>BMHP6026 NHS App Digital Transformation Report</dc:title>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eyJoZGlkIjoiMjU5ODBiNzI1YmJjYzI4YWI3ODJiZjk2N2QxODg3MzgiLCJ1c2VySWQiOiIxOTQyMDU5MDg4MTUzIn0=</vt:lpwstr>
  </property>
  <property fmtid="{D5CDD505-2E9C-101B-9397-08002B2CF9AE}" pid="3" name="KSOProductBuildVer">
    <vt:lpwstr>1033-12.1.0.26880</vt:lpwstr>
  </property>
  <property fmtid="{D5CDD505-2E9C-101B-9397-08002B2CF9AE}" pid="4" name="ICV">
    <vt:lpwstr>BC0A7725729D4AF18D4CD5BA62995DBB_13</vt:lpwstr>
  </property>
</Properties>
</file>