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92F39D" w14:textId="77777777" w:rsidR="00393A68" w:rsidRDefault="00393A68" w:rsidP="00393A68"/>
    <w:p w14:paraId="0998CA0C" w14:textId="77777777" w:rsidR="00393A68" w:rsidRDefault="00393A68" w:rsidP="00393A68">
      <w:r>
        <w:t xml:space="preserve"> </w:t>
      </w:r>
    </w:p>
    <w:p w14:paraId="458BEA14" w14:textId="77777777" w:rsidR="00393A68" w:rsidRDefault="00393A68" w:rsidP="00393A68">
      <w:r>
        <w:t xml:space="preserve"> </w:t>
      </w:r>
    </w:p>
    <w:p w14:paraId="239FD231" w14:textId="77777777" w:rsidR="00393A68" w:rsidRDefault="00393A68" w:rsidP="00393A68">
      <w:r>
        <w:t xml:space="preserve"> </w:t>
      </w:r>
    </w:p>
    <w:p w14:paraId="454F5BDF" w14:textId="77777777" w:rsidR="00393A68" w:rsidRDefault="00393A68" w:rsidP="00393A68">
      <w:r>
        <w:t xml:space="preserve"> </w:t>
      </w:r>
    </w:p>
    <w:p w14:paraId="10844B16" w14:textId="77777777" w:rsidR="00393A68" w:rsidRDefault="00393A68" w:rsidP="00393A68">
      <w:r>
        <w:t xml:space="preserve"> </w:t>
      </w:r>
    </w:p>
    <w:p w14:paraId="3E415300" w14:textId="77777777" w:rsidR="00393A68" w:rsidRPr="00006EF6" w:rsidRDefault="00393A68" w:rsidP="00393A68">
      <w:pPr>
        <w:rPr>
          <w:sz w:val="36"/>
          <w:szCs w:val="36"/>
        </w:rPr>
      </w:pPr>
      <w:r>
        <w:t xml:space="preserve"> </w:t>
      </w:r>
    </w:p>
    <w:p w14:paraId="6B19EFD4" w14:textId="77777777" w:rsidR="00AD0524" w:rsidRPr="00006EF6" w:rsidRDefault="00AD0524" w:rsidP="00F722E9">
      <w:pPr>
        <w:rPr>
          <w:sz w:val="36"/>
          <w:szCs w:val="36"/>
        </w:rPr>
      </w:pPr>
      <w:r w:rsidRPr="00006EF6">
        <w:rPr>
          <w:sz w:val="36"/>
          <w:szCs w:val="36"/>
        </w:rPr>
        <w:t xml:space="preserve">Student name : Denisa Vonet </w:t>
      </w:r>
    </w:p>
    <w:p w14:paraId="5D128722" w14:textId="149284AC" w:rsidR="0080032D" w:rsidRPr="00006EF6" w:rsidRDefault="00AD0524" w:rsidP="00F722E9">
      <w:pPr>
        <w:rPr>
          <w:sz w:val="36"/>
          <w:szCs w:val="36"/>
        </w:rPr>
      </w:pPr>
      <w:r w:rsidRPr="00006EF6">
        <w:rPr>
          <w:sz w:val="36"/>
          <w:szCs w:val="36"/>
        </w:rPr>
        <w:t xml:space="preserve">Student No : </w:t>
      </w:r>
      <w:r w:rsidR="0080032D" w:rsidRPr="00006EF6">
        <w:rPr>
          <w:sz w:val="36"/>
          <w:szCs w:val="36"/>
        </w:rPr>
        <w:t xml:space="preserve">1908353 </w:t>
      </w:r>
    </w:p>
    <w:p w14:paraId="53F86AD0" w14:textId="48A88B69" w:rsidR="00AC350C" w:rsidRPr="00006EF6" w:rsidRDefault="00AC350C" w:rsidP="00F722E9">
      <w:pPr>
        <w:rPr>
          <w:sz w:val="36"/>
          <w:szCs w:val="36"/>
        </w:rPr>
      </w:pPr>
      <w:r w:rsidRPr="00006EF6">
        <w:rPr>
          <w:sz w:val="36"/>
          <w:szCs w:val="36"/>
        </w:rPr>
        <w:t xml:space="preserve">Module title : Health, Well-being and Sustainable Development </w:t>
      </w:r>
    </w:p>
    <w:p w14:paraId="04F9180F" w14:textId="372ECAA5" w:rsidR="00AC350C" w:rsidRPr="00006EF6" w:rsidRDefault="00AC350C" w:rsidP="00F722E9">
      <w:pPr>
        <w:rPr>
          <w:sz w:val="36"/>
          <w:szCs w:val="36"/>
        </w:rPr>
      </w:pPr>
      <w:r w:rsidRPr="00006EF6">
        <w:rPr>
          <w:sz w:val="36"/>
          <w:szCs w:val="36"/>
        </w:rPr>
        <w:t xml:space="preserve">Module code: </w:t>
      </w:r>
      <w:r w:rsidR="00CE5341" w:rsidRPr="00006EF6">
        <w:rPr>
          <w:sz w:val="36"/>
          <w:szCs w:val="36"/>
        </w:rPr>
        <w:t>BMHP</w:t>
      </w:r>
      <w:r w:rsidR="00091EA3" w:rsidRPr="00006EF6">
        <w:rPr>
          <w:sz w:val="36"/>
          <w:szCs w:val="36"/>
        </w:rPr>
        <w:t>6021</w:t>
      </w:r>
    </w:p>
    <w:p w14:paraId="2AD70B94" w14:textId="28ED07FF" w:rsidR="00F722E9" w:rsidRPr="00006EF6" w:rsidRDefault="00091EA3" w:rsidP="00F722E9">
      <w:pPr>
        <w:rPr>
          <w:sz w:val="36"/>
          <w:szCs w:val="36"/>
        </w:rPr>
      </w:pPr>
      <w:r w:rsidRPr="00006EF6">
        <w:rPr>
          <w:sz w:val="36"/>
          <w:szCs w:val="36"/>
        </w:rPr>
        <w:t xml:space="preserve">Lecturer name : </w:t>
      </w:r>
      <w:proofErr w:type="spellStart"/>
      <w:r w:rsidR="00AA49B6" w:rsidRPr="00006EF6">
        <w:rPr>
          <w:sz w:val="36"/>
          <w:szCs w:val="36"/>
        </w:rPr>
        <w:t>Diola</w:t>
      </w:r>
      <w:proofErr w:type="spellEnd"/>
      <w:r w:rsidR="00AA49B6" w:rsidRPr="00006EF6">
        <w:rPr>
          <w:sz w:val="36"/>
          <w:szCs w:val="36"/>
        </w:rPr>
        <w:t xml:space="preserve"> </w:t>
      </w:r>
      <w:proofErr w:type="spellStart"/>
      <w:r w:rsidR="005E0A7B" w:rsidRPr="00006EF6">
        <w:rPr>
          <w:sz w:val="36"/>
          <w:szCs w:val="36"/>
        </w:rPr>
        <w:t>Bijlhout</w:t>
      </w:r>
      <w:proofErr w:type="spellEnd"/>
    </w:p>
    <w:p w14:paraId="285899FB" w14:textId="6A17EB94" w:rsidR="00006EF6" w:rsidRPr="00006EF6" w:rsidRDefault="00006EF6" w:rsidP="00F722E9">
      <w:pPr>
        <w:rPr>
          <w:sz w:val="36"/>
          <w:szCs w:val="36"/>
        </w:rPr>
      </w:pPr>
    </w:p>
    <w:p w14:paraId="32B56BDA" w14:textId="74F750ED" w:rsidR="00006EF6" w:rsidRPr="00006EF6" w:rsidRDefault="00006EF6" w:rsidP="00F722E9">
      <w:pPr>
        <w:rPr>
          <w:sz w:val="36"/>
          <w:szCs w:val="36"/>
        </w:rPr>
      </w:pPr>
    </w:p>
    <w:p w14:paraId="4EE87FEB" w14:textId="488042E5" w:rsidR="00006EF6" w:rsidRPr="00006EF6" w:rsidRDefault="00006EF6" w:rsidP="00F722E9">
      <w:pPr>
        <w:rPr>
          <w:sz w:val="36"/>
          <w:szCs w:val="36"/>
        </w:rPr>
      </w:pPr>
    </w:p>
    <w:p w14:paraId="7B9333F0" w14:textId="593C7BD7" w:rsidR="00006EF6" w:rsidRDefault="00006EF6" w:rsidP="00F722E9"/>
    <w:p w14:paraId="0067D87A" w14:textId="2AE86CFB" w:rsidR="00006EF6" w:rsidRDefault="00006EF6" w:rsidP="00F722E9"/>
    <w:p w14:paraId="31A9968D" w14:textId="52017E61" w:rsidR="00006EF6" w:rsidRDefault="00006EF6" w:rsidP="00F722E9"/>
    <w:p w14:paraId="1E5A434E" w14:textId="07D4C8AD" w:rsidR="00006EF6" w:rsidRDefault="00006EF6" w:rsidP="00F722E9"/>
    <w:p w14:paraId="09235750" w14:textId="2BD94FF6" w:rsidR="00006EF6" w:rsidRDefault="00006EF6" w:rsidP="00F722E9"/>
    <w:p w14:paraId="4ADD572D" w14:textId="286625C7" w:rsidR="00006EF6" w:rsidRDefault="00006EF6" w:rsidP="00F722E9"/>
    <w:p w14:paraId="71C40142" w14:textId="07712323" w:rsidR="00006EF6" w:rsidRDefault="00006EF6" w:rsidP="00F722E9"/>
    <w:p w14:paraId="1A5DA765" w14:textId="15EB9194" w:rsidR="00006EF6" w:rsidRDefault="00006EF6" w:rsidP="00F722E9"/>
    <w:p w14:paraId="093CA3F9" w14:textId="766B4CB0" w:rsidR="00006EF6" w:rsidRDefault="00006EF6" w:rsidP="00F722E9"/>
    <w:p w14:paraId="0D69F5D9" w14:textId="35094DB0" w:rsidR="00006EF6" w:rsidRDefault="00006EF6" w:rsidP="00F722E9"/>
    <w:p w14:paraId="40F63A32" w14:textId="41236129" w:rsidR="00006EF6" w:rsidRDefault="00006EF6" w:rsidP="00F722E9"/>
    <w:p w14:paraId="0553494D" w14:textId="672FB58F" w:rsidR="00006EF6" w:rsidRDefault="00006EF6" w:rsidP="00F722E9"/>
    <w:p w14:paraId="2C551DB2" w14:textId="5860FAF9" w:rsidR="00006EF6" w:rsidRDefault="00006EF6" w:rsidP="00F722E9"/>
    <w:p w14:paraId="1B88FCF9" w14:textId="715DA01D" w:rsidR="00006EF6" w:rsidRDefault="00006EF6" w:rsidP="00F722E9"/>
    <w:p w14:paraId="2FD47990" w14:textId="05485B10" w:rsidR="00006EF6" w:rsidRDefault="00006EF6" w:rsidP="00F722E9"/>
    <w:p w14:paraId="43DA2ECF" w14:textId="2442854E" w:rsidR="00006EF6" w:rsidRDefault="00006EF6" w:rsidP="00F722E9"/>
    <w:p w14:paraId="2700CD77" w14:textId="64D716AF" w:rsidR="00006EF6" w:rsidRDefault="00006EF6" w:rsidP="00F722E9"/>
    <w:p w14:paraId="2A8E2A37" w14:textId="2AF65660" w:rsidR="00006EF6" w:rsidRDefault="00006EF6" w:rsidP="00F722E9"/>
    <w:p w14:paraId="475C64E9" w14:textId="3E9815C9" w:rsidR="00006EF6" w:rsidRDefault="00006EF6" w:rsidP="00F722E9"/>
    <w:p w14:paraId="6B88A35F" w14:textId="73F06E2B" w:rsidR="00006EF6" w:rsidRDefault="00006EF6" w:rsidP="00F722E9"/>
    <w:p w14:paraId="69BF4ECC" w14:textId="6B3EC697" w:rsidR="00006EF6" w:rsidRDefault="00006EF6" w:rsidP="00F722E9"/>
    <w:p w14:paraId="625590EE" w14:textId="07A5E0E4" w:rsidR="00006EF6" w:rsidRDefault="00006EF6" w:rsidP="00F722E9"/>
    <w:p w14:paraId="01B149EC" w14:textId="096D93F7" w:rsidR="00006EF6" w:rsidRDefault="00006EF6" w:rsidP="00F722E9"/>
    <w:p w14:paraId="4BD22B2C" w14:textId="58CF098B" w:rsidR="00006EF6" w:rsidRDefault="00006EF6" w:rsidP="00F722E9"/>
    <w:p w14:paraId="19AE10DC" w14:textId="45C988F6" w:rsidR="00006EF6" w:rsidRDefault="00006EF6" w:rsidP="00F722E9"/>
    <w:p w14:paraId="5F981251" w14:textId="68039C2B" w:rsidR="00006EF6" w:rsidRDefault="00006EF6" w:rsidP="00F722E9"/>
    <w:p w14:paraId="6D8B094A" w14:textId="09F05CC3" w:rsidR="00006EF6" w:rsidRDefault="00006EF6" w:rsidP="00F722E9"/>
    <w:p w14:paraId="65236880" w14:textId="1A6CD12A" w:rsidR="00006EF6" w:rsidRDefault="00006EF6" w:rsidP="00F722E9"/>
    <w:p w14:paraId="5BA109DA" w14:textId="4C03E8FB" w:rsidR="00006EF6" w:rsidRDefault="00006EF6" w:rsidP="00F722E9"/>
    <w:p w14:paraId="4D0DB788" w14:textId="2246A7C9" w:rsidR="00006EF6" w:rsidRDefault="00006EF6" w:rsidP="00F722E9"/>
    <w:p w14:paraId="0B9F9986" w14:textId="04D15272" w:rsidR="00006EF6" w:rsidRDefault="00006EF6" w:rsidP="00F722E9"/>
    <w:p w14:paraId="6D548BB2" w14:textId="5F8012EA" w:rsidR="00006EF6" w:rsidRDefault="00006EF6" w:rsidP="00F722E9"/>
    <w:p w14:paraId="4F628089" w14:textId="10E9E655" w:rsidR="00006EF6" w:rsidRDefault="00006EF6" w:rsidP="00F722E9"/>
    <w:p w14:paraId="78360731" w14:textId="77777777" w:rsidR="00006EF6" w:rsidRDefault="00006EF6" w:rsidP="00F722E9"/>
    <w:p w14:paraId="45B38F70" w14:textId="77777777" w:rsidR="00AC350C" w:rsidRPr="00F722E9" w:rsidRDefault="00AC350C" w:rsidP="00F722E9"/>
    <w:p w14:paraId="16E3F9A5" w14:textId="77777777" w:rsidR="005A3847" w:rsidRPr="005A3847" w:rsidRDefault="005A3847" w:rsidP="004D0A0A">
      <w:pPr>
        <w:pStyle w:val="Heading1"/>
      </w:pPr>
      <w:r>
        <w:t xml:space="preserve"> </w:t>
      </w:r>
      <w:r w:rsidRPr="005A3847">
        <w:t>Health, Wellbeing and Sustainable Development</w:t>
      </w:r>
    </w:p>
    <w:p w14:paraId="42ECF05B" w14:textId="77777777" w:rsidR="005A3847" w:rsidRPr="005A3847" w:rsidRDefault="005A3847" w:rsidP="005A3847"/>
    <w:p w14:paraId="16CD9C7E" w14:textId="77777777" w:rsidR="005A3847" w:rsidRDefault="005A3847" w:rsidP="00393A68"/>
    <w:p w14:paraId="68F9418C" w14:textId="77777777" w:rsidR="005A3847" w:rsidRDefault="005A3847" w:rsidP="00393A68"/>
    <w:p w14:paraId="3D548568" w14:textId="77777777" w:rsidR="005A3847" w:rsidRDefault="005A3847" w:rsidP="00393A68"/>
    <w:p w14:paraId="6E8EAFAF" w14:textId="77777777" w:rsidR="005A3847" w:rsidRDefault="005A3847" w:rsidP="00393A68"/>
    <w:p w14:paraId="72F6C2A9" w14:textId="77777777" w:rsidR="005A3847" w:rsidRDefault="005A3847" w:rsidP="00393A68"/>
    <w:p w14:paraId="7F96B16C" w14:textId="77777777" w:rsidR="005A3847" w:rsidRDefault="005A3847" w:rsidP="00393A68"/>
    <w:p w14:paraId="532168F4" w14:textId="77777777" w:rsidR="005A3847" w:rsidRDefault="005A3847" w:rsidP="00393A68"/>
    <w:p w14:paraId="43C4480F" w14:textId="77777777" w:rsidR="005A3847" w:rsidRDefault="005A3847" w:rsidP="00393A68"/>
    <w:p w14:paraId="5C0D451C" w14:textId="77777777" w:rsidR="005A3847" w:rsidRDefault="005A3847" w:rsidP="00393A68"/>
    <w:p w14:paraId="04211EF7" w14:textId="77777777" w:rsidR="00393A68" w:rsidRDefault="00393A68" w:rsidP="00393A68">
      <w:r>
        <w:t>Introduction​</w:t>
      </w:r>
      <w:r w:rsidR="005A3847">
        <w:t>………………………………………………………………………………3</w:t>
      </w:r>
    </w:p>
    <w:p w14:paraId="05AD8A67" w14:textId="77777777" w:rsidR="00393A68" w:rsidRDefault="00393A68" w:rsidP="00393A68">
      <w:r>
        <w:t>The 17 Sustainable Development Goals: A Brief Introduction</w:t>
      </w:r>
      <w:r w:rsidR="005A3847">
        <w:t>……</w:t>
      </w:r>
      <w:r>
        <w:t>​3</w:t>
      </w:r>
    </w:p>
    <w:p w14:paraId="6DA34C62" w14:textId="77777777" w:rsidR="00393A68" w:rsidRDefault="00393A68" w:rsidP="00393A68">
      <w:r>
        <w:t>Relevant legislation</w:t>
      </w:r>
      <w:r w:rsidR="00631301">
        <w:t>…………………………………………………………………..</w:t>
      </w:r>
      <w:r>
        <w:t>​6</w:t>
      </w:r>
    </w:p>
    <w:p w14:paraId="2CB649EF" w14:textId="77777777" w:rsidR="00393A68" w:rsidRDefault="00393A68" w:rsidP="00393A68">
      <w:r>
        <w:t>The London Borough of Lewisham​</w:t>
      </w:r>
      <w:r w:rsidR="00631301">
        <w:t>…………………………………………….</w:t>
      </w:r>
      <w:r>
        <w:t>7</w:t>
      </w:r>
    </w:p>
    <w:p w14:paraId="683F12E3" w14:textId="77777777" w:rsidR="00393A68" w:rsidRDefault="00393A68" w:rsidP="00393A68">
      <w:r>
        <w:t>Recommendations​</w:t>
      </w:r>
      <w:r w:rsidR="009B3E5D">
        <w:t>…………………………………………………………………..</w:t>
      </w:r>
      <w:r>
        <w:t>10</w:t>
      </w:r>
    </w:p>
    <w:p w14:paraId="56C49017" w14:textId="77777777" w:rsidR="00393A68" w:rsidRDefault="00393A68" w:rsidP="00393A68">
      <w:r>
        <w:t>Conclusions</w:t>
      </w:r>
      <w:r w:rsidR="009B3E5D">
        <w:t>……………………………………………………………………………..</w:t>
      </w:r>
      <w:r>
        <w:t>​11</w:t>
      </w:r>
    </w:p>
    <w:p w14:paraId="4DD8A556" w14:textId="77777777" w:rsidR="00393A68" w:rsidRDefault="00393A68" w:rsidP="00393A68">
      <w:r>
        <w:t>References:​</w:t>
      </w:r>
      <w:r w:rsidR="009B3E5D">
        <w:t>……………………………………………………………………………..</w:t>
      </w:r>
      <w:r>
        <w:t>12</w:t>
      </w:r>
    </w:p>
    <w:p w14:paraId="0B4BAC10" w14:textId="77777777" w:rsidR="00393A68" w:rsidRDefault="00393A68" w:rsidP="00393A68">
      <w:r>
        <w:br w:type="page"/>
      </w:r>
    </w:p>
    <w:p w14:paraId="711490CA" w14:textId="77777777" w:rsidR="00393A68" w:rsidRDefault="00393A68" w:rsidP="00393A68">
      <w:r>
        <w:lastRenderedPageBreak/>
        <w:t>Introduction</w:t>
      </w:r>
    </w:p>
    <w:p w14:paraId="3D039151" w14:textId="77777777" w:rsidR="00393A68" w:rsidRDefault="00393A68" w:rsidP="00393A68">
      <w:r>
        <w:t xml:space="preserve"> </w:t>
      </w:r>
    </w:p>
    <w:p w14:paraId="4CEA94AF" w14:textId="77777777" w:rsidR="00393A68" w:rsidRDefault="00393A68" w:rsidP="00393A68">
      <w:r>
        <w:t xml:space="preserve"> </w:t>
      </w:r>
    </w:p>
    <w:p w14:paraId="5E56E99F" w14:textId="07BFE59B" w:rsidR="00393A68" w:rsidRDefault="00393A68" w:rsidP="00393A68">
      <w:r>
        <w:t>The following report is dedicated to</w:t>
      </w:r>
      <w:r w:rsidR="001502C9">
        <w:t xml:space="preserve"> </w:t>
      </w:r>
      <w:r w:rsidR="001F0CC2" w:rsidRPr="001F0CC2">
        <w:t>critically examine the current situation of health, wellbeing, and sustainable development within present health care sectors in the</w:t>
      </w:r>
      <w:r w:rsidR="001F0CC2">
        <w:t xml:space="preserve"> </w:t>
      </w:r>
      <w:r w:rsidR="000640C1">
        <w:t>UK.</w:t>
      </w:r>
      <w:r>
        <w:t xml:space="preserve">The first part of the report provides a brief presentation of the </w:t>
      </w:r>
      <w:r w:rsidR="00531E78">
        <w:t xml:space="preserve">reasons </w:t>
      </w:r>
      <w:r>
        <w:t xml:space="preserve">behind the 17 goals, followed by a wider overview of Goals 3, 4, and 17. The second part of the report analyses </w:t>
      </w:r>
      <w:r w:rsidR="00C511A5">
        <w:t xml:space="preserve">legislations </w:t>
      </w:r>
      <w:r>
        <w:t xml:space="preserve">which highlight the statutory adaptation of the three goals. The third part of the report </w:t>
      </w:r>
      <w:r w:rsidR="00FD63F9">
        <w:t xml:space="preserve">inspects </w:t>
      </w:r>
      <w:r>
        <w:t xml:space="preserve"> the implementation of the three goals on a council level. The report is completed through a set of four recommendations designed to be implemented through a joint effort between the private and public sectors.</w:t>
      </w:r>
    </w:p>
    <w:p w14:paraId="474D4FC1" w14:textId="77777777" w:rsidR="00393A68" w:rsidRDefault="00393A68" w:rsidP="00393A68">
      <w:r>
        <w:t xml:space="preserve"> </w:t>
      </w:r>
    </w:p>
    <w:p w14:paraId="7BF97487" w14:textId="77777777" w:rsidR="00393A68" w:rsidRDefault="00393A68" w:rsidP="00393A68">
      <w:r>
        <w:t xml:space="preserve"> </w:t>
      </w:r>
    </w:p>
    <w:p w14:paraId="2BF861F2" w14:textId="77777777" w:rsidR="00393A68" w:rsidRDefault="00393A68" w:rsidP="00393A68">
      <w:r>
        <w:t>The 17 Sustainable Development Goals: A Brief Introduction</w:t>
      </w:r>
    </w:p>
    <w:p w14:paraId="72D240FA" w14:textId="77777777" w:rsidR="00393A68" w:rsidRDefault="00393A68" w:rsidP="00393A68">
      <w:r>
        <w:t xml:space="preserve"> </w:t>
      </w:r>
    </w:p>
    <w:p w14:paraId="07139C47" w14:textId="77777777" w:rsidR="00393A68" w:rsidRDefault="00393A68" w:rsidP="00393A68">
      <w:r>
        <w:t xml:space="preserve">The United Nations’ Organisation defines sustainability as a </w:t>
      </w:r>
      <w:r w:rsidR="00E67C27">
        <w:t xml:space="preserve">model </w:t>
      </w:r>
      <w:r>
        <w:t xml:space="preserve"> for resource exploitation and consumption based on safeguarding their availability for the future generation. The mere understanding of sustainability under the UN interpretation coverages towards a multi-stakeholder approach which acknowledges not only the future generations, not also ecosystems, and the planet itself.</w:t>
      </w:r>
    </w:p>
    <w:p w14:paraId="165F012C" w14:textId="77777777" w:rsidR="00393A68" w:rsidRDefault="00393A68" w:rsidP="00393A68">
      <w:r>
        <w:t xml:space="preserve">The three components translate the multiple dimensions of the concept of capital which can be both </w:t>
      </w:r>
      <w:r w:rsidR="0091382A">
        <w:t>human-made</w:t>
      </w:r>
      <w:r>
        <w:t xml:space="preserve"> (ex: infrastructure), as well as natural (ex: biodiversity), human (ex: education) or social (ex: trust) (</w:t>
      </w:r>
      <w:proofErr w:type="spellStart"/>
      <w:r>
        <w:t>Podger</w:t>
      </w:r>
      <w:proofErr w:type="spellEnd"/>
      <w:r>
        <w:t xml:space="preserve"> &amp; </w:t>
      </w:r>
      <w:proofErr w:type="spellStart"/>
      <w:r>
        <w:t>Trewin</w:t>
      </w:r>
      <w:proofErr w:type="spellEnd"/>
      <w:r>
        <w:t>, 2014, p.218).</w:t>
      </w:r>
    </w:p>
    <w:p w14:paraId="55BCC35C" w14:textId="77777777" w:rsidR="00393A68" w:rsidRDefault="00393A68" w:rsidP="00393A68">
      <w:r>
        <w:t>The social component predominates most of the goals focusing efforts towards, good health and well-being</w:t>
      </w:r>
      <w:r w:rsidR="00CE03A8">
        <w:t>,</w:t>
      </w:r>
      <w:r>
        <w:t>quality education</w:t>
      </w:r>
      <w:r w:rsidR="00CE03A8">
        <w:t>,</w:t>
      </w:r>
      <w:r>
        <w:t xml:space="preserve"> gender equality</w:t>
      </w:r>
      <w:r w:rsidR="00CE03A8">
        <w:t>,</w:t>
      </w:r>
      <w:r>
        <w:t>as well as peace, justice, and strong institutions</w:t>
      </w:r>
      <w:r w:rsidR="00AF1A14">
        <w:t>.</w:t>
      </w:r>
      <w:r>
        <w:t xml:space="preserve">  The economic component converges towards decent work and economic growth</w:t>
      </w:r>
      <w:r w:rsidR="00AF1A14">
        <w:t>,</w:t>
      </w:r>
      <w:r>
        <w:t>industry, innovation and infrastructure and sustainable cities and communities</w:t>
      </w:r>
      <w:r w:rsidR="00D47728">
        <w:t>.</w:t>
      </w:r>
      <w:r>
        <w:t xml:space="preserve">The environmental component can be detected in the appeal towards climate action </w:t>
      </w:r>
      <w:r w:rsidR="00D47728">
        <w:t>,</w:t>
      </w:r>
      <w:r>
        <w:t xml:space="preserve">life below water and life on land </w:t>
      </w:r>
      <w:r w:rsidR="00D47728">
        <w:t>.</w:t>
      </w:r>
      <w:r>
        <w:t xml:space="preserve">The economic dimension is reflected in the national income, national wealth, productivity, household economic wellbeing, and housing. The social dimension </w:t>
      </w:r>
      <w:r w:rsidR="00C87BE3">
        <w:t xml:space="preserve">gathers </w:t>
      </w:r>
      <w:r>
        <w:t xml:space="preserve"> health, education, labour, safety (or crime rate), community cohesion, governance, democracy, and citizenship. The environmental dimension </w:t>
      </w:r>
      <w:r w:rsidR="00C66A28">
        <w:t xml:space="preserve">gathers </w:t>
      </w:r>
      <w:r>
        <w:t>biodiversity, atmosphere, land, inland waters, oceans and estuaries, as well as waste (</w:t>
      </w:r>
      <w:proofErr w:type="spellStart"/>
      <w:r>
        <w:t>Podger</w:t>
      </w:r>
      <w:proofErr w:type="spellEnd"/>
      <w:r>
        <w:t xml:space="preserve"> &amp; </w:t>
      </w:r>
      <w:proofErr w:type="spellStart"/>
      <w:r>
        <w:t>Trewin</w:t>
      </w:r>
      <w:proofErr w:type="spellEnd"/>
      <w:r>
        <w:t>, 2014, p.200)</w:t>
      </w:r>
    </w:p>
    <w:p w14:paraId="459F7A1C" w14:textId="57D128C1" w:rsidR="00393A68" w:rsidRDefault="00393A68" w:rsidP="00393A68">
      <w:r>
        <w:t>Goals such as no poverty</w:t>
      </w:r>
      <w:r w:rsidR="00FC6DBD">
        <w:t xml:space="preserve"> ,</w:t>
      </w:r>
      <w:r>
        <w:t>zero hunger</w:t>
      </w:r>
      <w:r w:rsidR="00FC6DBD">
        <w:t>,</w:t>
      </w:r>
      <w:r>
        <w:t>clean water and sanitation</w:t>
      </w:r>
      <w:r w:rsidR="00FC6DBD">
        <w:t>,</w:t>
      </w:r>
      <w:r>
        <w:t>affordable and clean energy</w:t>
      </w:r>
      <w:r w:rsidR="00FC6DBD">
        <w:t>,</w:t>
      </w:r>
      <w:r>
        <w:t xml:space="preserve"> reduced inequalities</w:t>
      </w:r>
      <w:r w:rsidR="00FC6DBD">
        <w:t xml:space="preserve"> or </w:t>
      </w:r>
      <w:r>
        <w:t xml:space="preserve"> responsible consumption and production  could rather be regarded as intersectional</w:t>
      </w:r>
      <w:r w:rsidR="00FB1586">
        <w:t xml:space="preserve"> </w:t>
      </w:r>
      <w:r>
        <w:t xml:space="preserve"> being formulated upon the confluence of at least two, if not three dimensions. Intersectionalities are introduced as a reminder on how none of the three dimensions can be achieved isolated from the other two. From an economic perspective, progress cannot be achieved by neglecting the impact causes on the environment, as damages caused a chaotic use of resource and an unregulated waste disposal </w:t>
      </w:r>
      <w:r w:rsidR="004D7E9C">
        <w:t>model</w:t>
      </w:r>
      <w:r>
        <w:t xml:space="preserve"> would create both shortages that would inevitably limit the long term prospects, while also reconfigure priorities around health on both potential consumers, as well as </w:t>
      </w:r>
      <w:r w:rsidR="00C41378">
        <w:t xml:space="preserve">legislators </w:t>
      </w:r>
      <w:r>
        <w:t>. Overlooking the moral obligation of ensuring a positive social climate reduces consumption markets, while</w:t>
      </w:r>
      <w:r w:rsidR="003368DA">
        <w:t xml:space="preserve"> obstructing </w:t>
      </w:r>
      <w:r>
        <w:t>development which allows access to talents and productivity. From a social perspective, disregarding the environment may even lead to a decrease in life expectancy, whereas not acknowledging the importance of economy could maintain communities in a stagnation with low prospects for development. From an environmental perspective, ecosystems can exclusively be protected through responsible business models which can be implemented on a certain level of development present in both policies, as well as technologies. Furthermore, when striving towards environmental protection, both corporate values, as well as consumer militancy can only be affirmed within communities who are offered premises bot equality, education, and development (</w:t>
      </w:r>
      <w:proofErr w:type="spellStart"/>
      <w:r>
        <w:t>Al-Delaimy</w:t>
      </w:r>
      <w:proofErr w:type="spellEnd"/>
      <w:r>
        <w:t xml:space="preserve"> et al, 2020, p. 391-394).</w:t>
      </w:r>
    </w:p>
    <w:p w14:paraId="121C6E46" w14:textId="509098CA" w:rsidR="00393A68" w:rsidRDefault="00393A68" w:rsidP="00393A68">
      <w:r>
        <w:lastRenderedPageBreak/>
        <w:t xml:space="preserve">Focused on partnerships for the goals, the last of the 17 goals signals the importance of the regulatory framework and the </w:t>
      </w:r>
      <w:r w:rsidR="00CF3F8D">
        <w:t xml:space="preserve">factors </w:t>
      </w:r>
      <w:r>
        <w:t xml:space="preserve"> needed to effectively address them. Indeed, the 17 Sustainable Development Goals have been formulated to be attained through a global cooperation which unites the regulatory powers of public bodies with new </w:t>
      </w:r>
      <w:r w:rsidR="0052087A">
        <w:t xml:space="preserve">samples </w:t>
      </w:r>
      <w:r>
        <w:t xml:space="preserve">for the exploitation of resources which are advanced by both the private sector, as well the average citizen. Each goal is further developed in several targets which highlight both urgencies, areas for improvement, as well as pipelines for effective action. The 17 Sustainable Development Goals have been </w:t>
      </w:r>
      <w:r w:rsidR="006F2EEF">
        <w:t xml:space="preserve">pictured </w:t>
      </w:r>
      <w:r>
        <w:t xml:space="preserve"> as challenges to be fulfilled up until 2030</w:t>
      </w:r>
      <w:r w:rsidR="00376713">
        <w:t xml:space="preserve"> (United Nation</w:t>
      </w:r>
      <w:r w:rsidR="00DB53D5">
        <w:t>,ND).</w:t>
      </w:r>
    </w:p>
    <w:p w14:paraId="5482E33F" w14:textId="77777777" w:rsidR="00D05338" w:rsidRDefault="00D05338" w:rsidP="00393A68"/>
    <w:p w14:paraId="465665A9" w14:textId="77777777" w:rsidR="00393A68" w:rsidRDefault="00393A68" w:rsidP="00393A68">
      <w:r>
        <w:t>Overview of policies</w:t>
      </w:r>
    </w:p>
    <w:p w14:paraId="7B86D337" w14:textId="77777777" w:rsidR="00393A68" w:rsidRDefault="00393A68" w:rsidP="00393A68">
      <w:r>
        <w:t xml:space="preserve"> </w:t>
      </w:r>
    </w:p>
    <w:p w14:paraId="7E61E87A" w14:textId="77777777" w:rsidR="00393A68" w:rsidRDefault="00393A68" w:rsidP="00393A68">
      <w:r>
        <w:t>Goal 3 Good Health and Wellbeing</w:t>
      </w:r>
    </w:p>
    <w:p w14:paraId="0D208822" w14:textId="77777777" w:rsidR="00393A68" w:rsidRDefault="00393A68" w:rsidP="00393A68">
      <w:r>
        <w:t xml:space="preserve"> </w:t>
      </w:r>
    </w:p>
    <w:p w14:paraId="341344E9" w14:textId="0D9DF297" w:rsidR="00393A68" w:rsidRDefault="00393A68" w:rsidP="00393A68">
      <w:r>
        <w:t xml:space="preserve">Striving towards universal health coverage, Goal 3 is </w:t>
      </w:r>
      <w:r w:rsidR="00960FE7">
        <w:t xml:space="preserve">visualised </w:t>
      </w:r>
      <w:r>
        <w:t xml:space="preserve">through 13 targets expanding from prevention and treatment, to the support for research. The same focus is directed towards both communicable, as well as non-communicable diseases. Risk management represents a key pilar of the Goal through a higher focus on prevention by addressing various environmental, ambiance, or lifestyle factors such as pollution, hazardous chemicals, road accidents, tobacco or substance abuse. The prevention strategy also </w:t>
      </w:r>
      <w:r w:rsidR="00751DA1">
        <w:t xml:space="preserve">encourages </w:t>
      </w:r>
      <w:r>
        <w:t xml:space="preserve">an increased universal access to medicines and vaccine. When it comes to neonatal health, the Goal is focused on reducing maternal mortality, as well as on </w:t>
      </w:r>
      <w:r w:rsidR="00BB272E">
        <w:t xml:space="preserve">addressing </w:t>
      </w:r>
      <w:r>
        <w:t>preventable deaths of newborns and children under 5 years of age. Another dimension of risk management is reflected in the sexual health education, family planning, as well as in the universal access to sexual and reproduction care. The goal has been formulated to be implemented in conjunction with various international agreements. Citizens can contribute to the goal’s fulfilment by donating blood, registering for organs and tissue donations and nevertheless, by vaccinating themselves to prevent the spread of diseases.</w:t>
      </w:r>
    </w:p>
    <w:p w14:paraId="62478033" w14:textId="3F1931E3" w:rsidR="00393A68" w:rsidRDefault="00393A68" w:rsidP="00393A68">
      <w:r>
        <w:t xml:space="preserve">As a </w:t>
      </w:r>
      <w:r w:rsidR="00C167CC">
        <w:t xml:space="preserve">key </w:t>
      </w:r>
      <w:r>
        <w:t>component of the goal, wellbeing can be measured by assessing the availability, distribution, and sustainability of opportunities dedicated to individuals, the degree and extent of risks they face within a society, as well as the complexity of choices they benefit of within their community (</w:t>
      </w:r>
      <w:proofErr w:type="spellStart"/>
      <w:r>
        <w:t>Podger</w:t>
      </w:r>
      <w:proofErr w:type="spellEnd"/>
      <w:r>
        <w:t xml:space="preserve"> &amp; </w:t>
      </w:r>
      <w:proofErr w:type="spellStart"/>
      <w:r>
        <w:t>Trewin</w:t>
      </w:r>
      <w:proofErr w:type="spellEnd"/>
      <w:r>
        <w:t xml:space="preserve">, 2014, p.214) The concept of well-being is highly dependent of wealth, which, by taking the format of stock, differs from income which should be envisioned as a flow. On a society level, wealth accounts not only resources, but also </w:t>
      </w:r>
      <w:r w:rsidR="00027F1D">
        <w:t xml:space="preserve">contributions </w:t>
      </w:r>
      <w:r>
        <w:t>(such as infrastructure) to capitalise them and the opportunities which guarantee their value within time (</w:t>
      </w:r>
      <w:proofErr w:type="spellStart"/>
      <w:r>
        <w:t>Al-Delaimy</w:t>
      </w:r>
      <w:proofErr w:type="spellEnd"/>
      <w:r>
        <w:t xml:space="preserve"> et al, 2020, p. 41)</w:t>
      </w:r>
    </w:p>
    <w:p w14:paraId="6C0E1165" w14:textId="77777777" w:rsidR="00393A68" w:rsidRDefault="00393A68" w:rsidP="00393A68">
      <w:r>
        <w:t xml:space="preserve"> </w:t>
      </w:r>
    </w:p>
    <w:p w14:paraId="72BE4CF8" w14:textId="77777777" w:rsidR="00393A68" w:rsidRDefault="00393A68" w:rsidP="00393A68">
      <w:r>
        <w:t>Health and Social Care Act 2012</w:t>
      </w:r>
    </w:p>
    <w:p w14:paraId="099BBAE9" w14:textId="77777777" w:rsidR="00393A68" w:rsidRDefault="00393A68" w:rsidP="00393A68">
      <w:r>
        <w:t xml:space="preserve"> </w:t>
      </w:r>
    </w:p>
    <w:p w14:paraId="365E3704" w14:textId="30F47B19" w:rsidR="00393A68" w:rsidRDefault="00393A68" w:rsidP="00393A68">
      <w:r>
        <w:t xml:space="preserve">Beyond updates in the provision of medical care, the Health and Social Care Act 2012 established bodies for monitoring the accomplishment of strategic objectives. The Act separated duties and responsibilities between health sectors bodies invested with policymaking privileges, </w:t>
      </w:r>
      <w:r w:rsidR="008E34DA">
        <w:t xml:space="preserve">raising </w:t>
      </w:r>
      <w:r w:rsidR="00D12DF2">
        <w:t xml:space="preserve">standard </w:t>
      </w:r>
      <w:r>
        <w:t xml:space="preserve">effectiveness by setting out the premises for inter-agency cooperation with local authorities which are </w:t>
      </w:r>
      <w:r w:rsidR="00FE1887">
        <w:t>supported</w:t>
      </w:r>
      <w:r>
        <w:t xml:space="preserve"> with community services including sexual health or substance misuse. Reforms have also expanded the role of National Institute for Health and Care Excellence to also ensure guidelines in regards to therapies and medicines.</w:t>
      </w:r>
    </w:p>
    <w:p w14:paraId="57715B09" w14:textId="77777777" w:rsidR="00393A68" w:rsidRDefault="00393A68" w:rsidP="00393A68">
      <w:r>
        <w:t xml:space="preserve"> </w:t>
      </w:r>
    </w:p>
    <w:p w14:paraId="32BE4628" w14:textId="77777777" w:rsidR="00D62D15" w:rsidRDefault="00D62D15" w:rsidP="00393A68"/>
    <w:p w14:paraId="489636DC" w14:textId="77777777" w:rsidR="00393A68" w:rsidRDefault="00393A68" w:rsidP="00393A68">
      <w:r>
        <w:t>The Public Health (Control of Disease) Act 1984</w:t>
      </w:r>
    </w:p>
    <w:p w14:paraId="45C376F4" w14:textId="77777777" w:rsidR="00393A68" w:rsidRDefault="00393A68" w:rsidP="00393A68">
      <w:r>
        <w:t xml:space="preserve"> </w:t>
      </w:r>
    </w:p>
    <w:p w14:paraId="76B75118" w14:textId="11247AA7" w:rsidR="00393A68" w:rsidRDefault="00393A68" w:rsidP="00393A68">
      <w:r>
        <w:t xml:space="preserve">The Act established the obligation of physicians to inform local authorities over every individual case diagnosed with what the law has established as a notifiable disease. The Act also authorises physicians to impose mandatory isolation for each diagnosis. However, the Act does not impose </w:t>
      </w:r>
      <w:r>
        <w:lastRenderedPageBreak/>
        <w:t xml:space="preserve">mandatory vaccination or treatment. The law is applied in </w:t>
      </w:r>
      <w:r w:rsidR="00E4237C">
        <w:t xml:space="preserve">connection </w:t>
      </w:r>
      <w:r>
        <w:t>with The Public Health (Infectious Diseases) Regulations 1988 which was originally developed around historical conditions such as plague or cholera, to also include highly infectious diseases such typhus, relapsing fever, or smallpox, as well as risky manifestations such as food poisoning. The law has further compiled the a list of 24 additional conditions which qualify acc notifiable diseases.</w:t>
      </w:r>
    </w:p>
    <w:p w14:paraId="71AEF97B" w14:textId="77777777" w:rsidR="00393A68" w:rsidRDefault="00393A68" w:rsidP="00393A68">
      <w:r>
        <w:t xml:space="preserve"> </w:t>
      </w:r>
    </w:p>
    <w:p w14:paraId="60A5D5F3" w14:textId="77777777" w:rsidR="00393A68" w:rsidRDefault="00393A68" w:rsidP="00393A68">
      <w:r>
        <w:t xml:space="preserve"> </w:t>
      </w:r>
    </w:p>
    <w:p w14:paraId="550DA544" w14:textId="77777777" w:rsidR="00393A68" w:rsidRDefault="00393A68" w:rsidP="00393A68">
      <w:r>
        <w:t>Goal 4 Quality Education</w:t>
      </w:r>
    </w:p>
    <w:p w14:paraId="078A0151" w14:textId="77777777" w:rsidR="00393A68" w:rsidRDefault="00393A68" w:rsidP="00393A68">
      <w:r>
        <w:t xml:space="preserve"> </w:t>
      </w:r>
    </w:p>
    <w:p w14:paraId="54612B35" w14:textId="2606BB65" w:rsidR="00393A68" w:rsidRDefault="00393A68" w:rsidP="00393A68">
      <w:r>
        <w:t xml:space="preserve">The Goal has been formulated under the belief that education provides the foundation towards development opportunities on both an a society, as well as on an individual level. The quality attribute is interpreted through equity, inclusiveness and a lifelong approach to both the use of knowledge, as well as to the opportunity of learning. Ten targets have been developed as key areas to address in order to </w:t>
      </w:r>
      <w:r w:rsidR="00BA74ED">
        <w:t>fulfil</w:t>
      </w:r>
      <w:r>
        <w:t xml:space="preserve"> the goal. Spreading literacy and numeracy amongst all represents the key priority which is achieved by </w:t>
      </w:r>
      <w:r w:rsidR="00966062">
        <w:t>granting</w:t>
      </w:r>
      <w:r>
        <w:t xml:space="preserve"> free access to primary and secondary education. The lifelong benefits of learning are also ensured by an increased access to higher education through scholarships. The implementation stage is highlighted through targets focused on human capital represented by qualified teachers. Citizens can contribute by promoting the circulation of books as knowledge resources, as well as by ensuring access to school supplies. Education is understood not only in relationship to formal settings, but also through mentorship and the promotion of self teaching. </w:t>
      </w:r>
    </w:p>
    <w:p w14:paraId="2EC38598" w14:textId="77777777" w:rsidR="00393A68" w:rsidRDefault="00393A68" w:rsidP="00393A68">
      <w:r>
        <w:t xml:space="preserve"> </w:t>
      </w:r>
    </w:p>
    <w:p w14:paraId="1DE8DCEE" w14:textId="77777777" w:rsidR="00393A68" w:rsidRDefault="00393A68" w:rsidP="00393A68">
      <w:r>
        <w:t>The Education Act 2011</w:t>
      </w:r>
    </w:p>
    <w:p w14:paraId="09705F98" w14:textId="77777777" w:rsidR="00393A68" w:rsidRDefault="00393A68" w:rsidP="00393A68">
      <w:r>
        <w:t xml:space="preserve"> </w:t>
      </w:r>
    </w:p>
    <w:p w14:paraId="3710087C" w14:textId="77777777" w:rsidR="00393A68" w:rsidRDefault="00393A68" w:rsidP="00393A68">
      <w:r>
        <w:t xml:space="preserve">Englobing all formal learning providers from schools to higher education, including vocational apprenticeships, the Education Act 2011 brings key provisions regarding the institutional settings in which teaching shall be conducted. The profession of teaching is regulated by establishing the mandatory procedure of an induction, as well as stipulating both the qualifications, as well as the pedagogical standards required. The Act also </w:t>
      </w:r>
      <w:r w:rsidR="00A57A60">
        <w:t xml:space="preserve">provides </w:t>
      </w:r>
      <w:r>
        <w:t xml:space="preserve">15 hours of free early years learning for children qualifying as disadvantaged under the statutory parameters indicated by tax reports submitted by their families or custodians. </w:t>
      </w:r>
    </w:p>
    <w:p w14:paraId="7D2254B6" w14:textId="77777777" w:rsidR="00393A68" w:rsidRDefault="00393A68" w:rsidP="00393A68">
      <w:r>
        <w:t xml:space="preserve">The commitment towards a quality education is particularly reflected within the concern towards personal development and further opportunities, as the Act assigns schools with the duty of potential career advices, while also stipulating the obligation of securing apprenticeships for given groups of students. Nevertheless, quality education is understood through the schools obligation to provide a safe and disruption-free environment. On such grounds, the Act establishes searches for reasons of safety, as well as temporary or permanent exclusion as normative instruments available for school staff to discipline pupils. </w:t>
      </w:r>
    </w:p>
    <w:p w14:paraId="2918B7E4" w14:textId="77777777" w:rsidR="00393A68" w:rsidRDefault="00393A68" w:rsidP="00393A68">
      <w:r>
        <w:t>Within the spirit of the law, inter-agency cooperation is also introduced for an administrative purpose, since the law enacts the direct payment route for local authorities to purchase goods and services demanded for providing learning opportunities for SEN or EHC pupils. In the same administrative area, the Act expands the State’s authority in setting the interest rates for the student loans.</w:t>
      </w:r>
    </w:p>
    <w:p w14:paraId="34535D5A" w14:textId="77777777" w:rsidR="00492C78" w:rsidRDefault="00492C78" w:rsidP="00393A68"/>
    <w:p w14:paraId="7D311005" w14:textId="77777777" w:rsidR="00492C78" w:rsidRDefault="00492C78" w:rsidP="00393A68"/>
    <w:p w14:paraId="5E409736" w14:textId="77777777" w:rsidR="00492C78" w:rsidRDefault="00492C78" w:rsidP="00393A68"/>
    <w:p w14:paraId="6EF5D525" w14:textId="77777777" w:rsidR="00E31D19" w:rsidRDefault="00E31D19" w:rsidP="00E31D19">
      <w:r>
        <w:t>Higher Education and Research Act 2017</w:t>
      </w:r>
    </w:p>
    <w:p w14:paraId="67FEE72C" w14:textId="77777777" w:rsidR="00E31D19" w:rsidRDefault="00E31D19" w:rsidP="00E31D19">
      <w:r>
        <w:t xml:space="preserve"> </w:t>
      </w:r>
    </w:p>
    <w:p w14:paraId="38F77134" w14:textId="77777777" w:rsidR="00E31D19" w:rsidRDefault="00E31D19" w:rsidP="00E31D19">
      <w:r>
        <w:t xml:space="preserve">Aimed to set a reform of the statutory background for higher education, the Act has been developed to guarantee students a qualification opportunities matching the value of their tuition fee. The Act has been conceived to stimulate a competitive environment in which higher education institutions </w:t>
      </w:r>
      <w:r>
        <w:lastRenderedPageBreak/>
        <w:t>provide relevant and up-to-date curricula designed to facilitate performance. Research funding represents an additional pillar of the Act.</w:t>
      </w:r>
    </w:p>
    <w:p w14:paraId="07BEB927" w14:textId="77777777" w:rsidR="00E31D19" w:rsidRDefault="00E31D19" w:rsidP="00E31D19">
      <w:r>
        <w:t xml:space="preserve"> </w:t>
      </w:r>
    </w:p>
    <w:p w14:paraId="3AD1B7CE" w14:textId="77777777" w:rsidR="00E31D19" w:rsidRDefault="00E31D19" w:rsidP="00E31D19">
      <w:r>
        <w:t>Special Educational Needs and Disability Act 2001</w:t>
      </w:r>
    </w:p>
    <w:p w14:paraId="1A851AE0" w14:textId="77777777" w:rsidR="00E31D19" w:rsidRDefault="00E31D19" w:rsidP="00E31D19">
      <w:r>
        <w:t xml:space="preserve"> </w:t>
      </w:r>
    </w:p>
    <w:p w14:paraId="7F64D053" w14:textId="77777777" w:rsidR="00E31D19" w:rsidRDefault="00E31D19" w:rsidP="00E31D19">
      <w:r>
        <w:t xml:space="preserve">The law updates the Disability Discrimination Act 1995 which did not include any provisions on education. Outside exceptional cases accompanied by lawfully accepted justification, the previous legislation guaranteed equal access to goods and services for all people beyond abilities. The Act of 2001 imposed every educational services provider, including local authorities and you service to introduce reasonable adjustments which would ensure disabled or special needs students the same learning opportunities. Adjustments are conducted both upon assessments, as well as anticipations following reviews of practice. The Act defines discrimination both through the failure of providing the reasonable interventions, as well when exhibiting a less favourable treatment to special needs or disabled students. The Act also applies to non-educational services, as well as for procedures which complement learning such as assessments, examinations, or access to libraries or other resource facilities. Making educational institutions accessible to special needs students implies revisions of policies and practices, curriculum, teaching methods or formats, physical adjustments, as well as the recruitment of interpreters. The multi stakeholder approach within the Act determines that the adjustments consider factors such as the resources of the institution, the services provided, feasibility matters, health and safety specifications, costs, the impact all measures could have of disabled students, and the relevant interests of other parties. The term ‘reasonable’ shall be decided by the court. </w:t>
      </w:r>
    </w:p>
    <w:p w14:paraId="5998EEE5" w14:textId="77777777" w:rsidR="00E31D19" w:rsidRDefault="00E31D19" w:rsidP="00E31D19">
      <w:r>
        <w:t xml:space="preserve"> </w:t>
      </w:r>
    </w:p>
    <w:p w14:paraId="5B11B303" w14:textId="77777777" w:rsidR="00E31D19" w:rsidRDefault="00E31D19" w:rsidP="00E31D19">
      <w:r>
        <w:t>Goal 17: Partnership to achieve the Goals</w:t>
      </w:r>
    </w:p>
    <w:p w14:paraId="510D628A" w14:textId="77777777" w:rsidR="00E31D19" w:rsidRDefault="00E31D19" w:rsidP="00E31D19">
      <w:r>
        <w:t xml:space="preserve"> </w:t>
      </w:r>
    </w:p>
    <w:p w14:paraId="098A29EB" w14:textId="77777777" w:rsidR="00E31D19" w:rsidRDefault="00E31D19" w:rsidP="00E31D19">
      <w:r>
        <w:t>Goal 17 targets instrumentalities such as policies ensuring equal opportunities (ex: market access) and sanction unethical behaviours (ex: unfair competition or abuse against consumer rights). Though dedicated to developing countries, Goal 17 can be applied within any society, regardless of the economic advancement it has attained.  Some of the 19 targets through which Goal 17 can be fulfilled highlight such universal applicability which can be understood to the smallest administrative units, from a society level to that of a community. These pipelines include an effective revenue collection, the mobilisation of financial resources, assistance towards development and debt sustainability, prioritising the least developed areas within investment strategies, knowledge sharing through an expanded access towards science, technology, and innovation (reliable data included), promoting sustainable technologies,  and, nevertheless, designing methodologies for assessing progress.</w:t>
      </w:r>
    </w:p>
    <w:p w14:paraId="1476D16C" w14:textId="77777777" w:rsidR="00E31D19" w:rsidRDefault="00E31D19" w:rsidP="00E31D19">
      <w:r>
        <w:t xml:space="preserve"> </w:t>
      </w:r>
    </w:p>
    <w:p w14:paraId="2D4CE6CA" w14:textId="77777777" w:rsidR="00E31D19" w:rsidRDefault="00E31D19" w:rsidP="00E31D19">
      <w:r>
        <w:t>Relevant legislation</w:t>
      </w:r>
    </w:p>
    <w:p w14:paraId="7A3EA2F4" w14:textId="77777777" w:rsidR="00E31D19" w:rsidRDefault="00E31D19" w:rsidP="00E31D19">
      <w:r>
        <w:t xml:space="preserve"> </w:t>
      </w:r>
    </w:p>
    <w:p w14:paraId="4FFE6719" w14:textId="77777777" w:rsidR="00E31D19" w:rsidRDefault="00E31D19" w:rsidP="00E31D19">
      <w:r>
        <w:t>Well-being of Future Generations (Wales)</w:t>
      </w:r>
    </w:p>
    <w:p w14:paraId="6DC5F8AE" w14:textId="77777777" w:rsidR="00E31D19" w:rsidRDefault="00E31D19" w:rsidP="00E31D19">
      <w:r>
        <w:t xml:space="preserve"> </w:t>
      </w:r>
    </w:p>
    <w:p w14:paraId="5EE219CE" w14:textId="77777777" w:rsidR="00E31D19" w:rsidRDefault="00E31D19" w:rsidP="00E31D19">
      <w:r>
        <w:t xml:space="preserve">The well-being of future generations has been for the first time ever bestowed within a piece of legislation in Wales. Passed in 2015, the Well-being of Future Generations (Wales) Act was issued two years before the UN’s 17 Sustainable Development Goals Agenda which had been elaborated as a discretionary manifesto addressed to both Governments, as well as to organisations. - Accountability over the long term implications of policymaking represents the core value of the Act which has been formulated with the mission of facilitating prosperity, resilience, equality, health, communities cohesion, global responsibility, and the safeguarding of Welsh culture, language included.Acknowledging well-being as descending from four dimensions -economic, social, environmental, and cultural-, the innovative statutory premiere is enforced through the Future </w:t>
      </w:r>
      <w:r>
        <w:lastRenderedPageBreak/>
        <w:t>Generations Commissioner, whose attributions revolve around overseeing, reviewing the long term effect transpiring from the works of various public bodies (Davies, 2015)</w:t>
      </w:r>
    </w:p>
    <w:p w14:paraId="2304D193" w14:textId="77777777" w:rsidR="00E31D19" w:rsidRDefault="00E31D19" w:rsidP="00E31D19">
      <w:r>
        <w:t xml:space="preserve"> </w:t>
      </w:r>
    </w:p>
    <w:p w14:paraId="0AE8B0CC" w14:textId="77777777" w:rsidR="00E31D19" w:rsidRDefault="00E31D19" w:rsidP="00E31D19">
      <w:r>
        <w:t>Social Value Act 2012</w:t>
      </w:r>
    </w:p>
    <w:p w14:paraId="1BD34506" w14:textId="77777777" w:rsidR="00E31D19" w:rsidRDefault="00E31D19" w:rsidP="00E31D19">
      <w:r>
        <w:t xml:space="preserve"> </w:t>
      </w:r>
    </w:p>
    <w:p w14:paraId="130BB287" w14:textId="77777777" w:rsidR="00E31D19" w:rsidRDefault="00E31D19" w:rsidP="00E31D19">
      <w:r>
        <w:t xml:space="preserve">Establishing the framework and accountability for commonwealth investments, the Social Value Act 2012 sets the premises for decision making within the procurement of services or contracts. The Social Value Act 2012 stipulates the duty of any public sector commissioner to assess the economic, social, and environmental implications of the respective acquisitions. According to the Act, a minimum 10% importance within decision making shall be attributed to social value. Public sector commissioners shall assess both the utility of the acquisition, as well as the providers, and the benefits it shall bring the all stakeholders. The rationale behind the Act is that of complementing problem solving and provide instrumentalities for communities to ensure upgraded services. The Act applies to all roles within the public sector, including the local administration and health sector bodies. The duty of evaluating service providers is fulfilled within the spirit of equality of chances for all bidders, by prioritising quality, and not their size or the manufacture scale to which they can operate (Department of Education, </w:t>
      </w:r>
      <w:proofErr w:type="spellStart"/>
      <w:r>
        <w:t>Kantar</w:t>
      </w:r>
      <w:proofErr w:type="spellEnd"/>
      <w:r>
        <w:t xml:space="preserve"> Public, 2021).</w:t>
      </w:r>
    </w:p>
    <w:p w14:paraId="42CC9320" w14:textId="77777777" w:rsidR="00E31D19" w:rsidRDefault="00E31D19" w:rsidP="00E31D19">
      <w:r>
        <w:t xml:space="preserve"> </w:t>
      </w:r>
    </w:p>
    <w:p w14:paraId="3D35014D" w14:textId="77777777" w:rsidR="00E31D19" w:rsidRDefault="00E31D19" w:rsidP="00E31D19">
      <w:r>
        <w:t>Children and Social Work Act 2017</w:t>
      </w:r>
    </w:p>
    <w:p w14:paraId="357FB62C" w14:textId="77777777" w:rsidR="00E31D19" w:rsidRDefault="00E31D19" w:rsidP="00E31D19">
      <w:r>
        <w:t xml:space="preserve"> </w:t>
      </w:r>
    </w:p>
    <w:p w14:paraId="7F7C8F98" w14:textId="77777777" w:rsidR="00E31D19" w:rsidRDefault="00E31D19" w:rsidP="00E31D19">
      <w:r>
        <w:t>The Act sets the statutory framework for interagency partnerships designed to safeguard the welfare of children. Public sector bodies developing the relevant arrangements under the Act’s articles include local authorities, law enforcement, and healthcare providers. Interagency cooperation is regulated through a clear demarcation of roles within the principles of equal accountability. The Act also endorses every jurisdiction the prerogative to organise itself according to its resources and objectives. Beyond ensuring the normative background for social worker within the welfare of children, the Act establishes the status of looked after children. One of the key missions of the Act is to collect findings from practice in order to identify areas through which decision making within the welfare of children could be improved on both a local, as well as on a national level. The Act also regulates Relationships and Sex Education within schools combining Goals 3 and 4.</w:t>
      </w:r>
    </w:p>
    <w:p w14:paraId="689DC3B6" w14:textId="77777777" w:rsidR="00E31D19" w:rsidRDefault="00E31D19" w:rsidP="00E31D19">
      <w:r>
        <w:t xml:space="preserve"> </w:t>
      </w:r>
    </w:p>
    <w:p w14:paraId="076A02F3" w14:textId="77777777" w:rsidR="00E31D19" w:rsidRDefault="00E31D19" w:rsidP="00E31D19">
      <w:r>
        <w:t>The London Borough of Lewisham</w:t>
      </w:r>
    </w:p>
    <w:p w14:paraId="08FFD1FD" w14:textId="77777777" w:rsidR="00E31D19" w:rsidRDefault="00E31D19" w:rsidP="00E31D19">
      <w:r>
        <w:t xml:space="preserve"> </w:t>
      </w:r>
    </w:p>
    <w:p w14:paraId="592782BE" w14:textId="77777777" w:rsidR="00E31D19" w:rsidRDefault="00E31D19" w:rsidP="00E31D19">
      <w:r>
        <w:t xml:space="preserve">Located in the South-Easter of London, the Borough of Lewisham is composed following neighbourhoods: Bellingham, Blackheath, </w:t>
      </w:r>
      <w:proofErr w:type="spellStart"/>
      <w:r>
        <w:t>Brockley</w:t>
      </w:r>
      <w:proofErr w:type="spellEnd"/>
      <w:r>
        <w:t xml:space="preserve">, </w:t>
      </w:r>
      <w:proofErr w:type="spellStart"/>
      <w:r>
        <w:t>Catford</w:t>
      </w:r>
      <w:proofErr w:type="spellEnd"/>
      <w:r>
        <w:t xml:space="preserve">, </w:t>
      </w:r>
      <w:proofErr w:type="spellStart"/>
      <w:r>
        <w:t>Crofton</w:t>
      </w:r>
      <w:proofErr w:type="spellEnd"/>
      <w:r>
        <w:t xml:space="preserve"> Park, </w:t>
      </w:r>
      <w:proofErr w:type="spellStart"/>
      <w:r>
        <w:t>Deptford</w:t>
      </w:r>
      <w:proofErr w:type="spellEnd"/>
      <w:r>
        <w:t xml:space="preserve">, </w:t>
      </w:r>
      <w:proofErr w:type="spellStart"/>
      <w:r>
        <w:t>Downham</w:t>
      </w:r>
      <w:proofErr w:type="spellEnd"/>
      <w:r>
        <w:t xml:space="preserve"> and </w:t>
      </w:r>
      <w:proofErr w:type="spellStart"/>
      <w:r>
        <w:t>Whitefoot</w:t>
      </w:r>
      <w:proofErr w:type="spellEnd"/>
      <w:r>
        <w:t xml:space="preserve">, Forest Hill, Grove Park, Hither Green, </w:t>
      </w:r>
      <w:proofErr w:type="spellStart"/>
      <w:r>
        <w:t>Honor</w:t>
      </w:r>
      <w:proofErr w:type="spellEnd"/>
      <w:r>
        <w:t xml:space="preserve"> Oak Park, </w:t>
      </w:r>
      <w:proofErr w:type="spellStart"/>
      <w:r>
        <w:t>Ladywell</w:t>
      </w:r>
      <w:proofErr w:type="spellEnd"/>
      <w:r>
        <w:t>, Lee, Lewisham, New Cross, Sydenham, and Telegraph Hill. Lewisham is considered to be the third largest borough within inner London.Connectivity to the rest of the Greater London region is ensured through 28 bus routes, DLR, Overground, and South Eastern rail services. Lewisham residents rely on 4 police stations and 4 fire stations for safety. Lewisham demographics account 80.4% of the population born in the UK (above the figures reported for London of 78.2%, but below the national average of 90.3%) and 19.6% outside national borders.The total projected population for housing in Lewisham (2020) is of 305,309 (151,147 male and 154,162 female). One family households account 51.3% of the borough's demographics, followed by one person households (34%), and other types of households 14%. From an ethnicity perspective, 37% of the borough's population is White British, 48% account as BAME, 12% states any other white background, whereas the rest affirms any other heritage.</w:t>
      </w:r>
    </w:p>
    <w:p w14:paraId="5BCF96D4" w14:textId="77777777" w:rsidR="00E31D19" w:rsidRDefault="00E31D19" w:rsidP="00E31D19">
      <w:r>
        <w:t xml:space="preserve"> </w:t>
      </w:r>
    </w:p>
    <w:p w14:paraId="45DA1AC2" w14:textId="77777777" w:rsidR="00E31D19" w:rsidRDefault="00E31D19" w:rsidP="00E31D19">
      <w:r>
        <w:t>Health in Lewisham</w:t>
      </w:r>
    </w:p>
    <w:p w14:paraId="5B4152DA" w14:textId="77777777" w:rsidR="00E31D19" w:rsidRDefault="00E31D19" w:rsidP="00E31D19">
      <w:r>
        <w:t xml:space="preserve"> </w:t>
      </w:r>
    </w:p>
    <w:p w14:paraId="74144EE2" w14:textId="77777777" w:rsidR="00E31D19" w:rsidRDefault="00E31D19" w:rsidP="00E31D19">
      <w:r>
        <w:t>The Borough accounts 10 hospitals and 35 GP practices for healthcare services.</w:t>
      </w:r>
    </w:p>
    <w:p w14:paraId="4A231E33" w14:textId="77777777" w:rsidR="00E31D19" w:rsidRDefault="00E31D19" w:rsidP="00E31D19">
      <w:r>
        <w:t xml:space="preserve"> </w:t>
      </w:r>
    </w:p>
    <w:p w14:paraId="404A6C29" w14:textId="77777777" w:rsidR="00E31D19" w:rsidRDefault="00E31D19" w:rsidP="00E31D19">
      <w:r>
        <w:lastRenderedPageBreak/>
        <w:t>Sexual health</w:t>
      </w:r>
    </w:p>
    <w:p w14:paraId="02242E60" w14:textId="77777777" w:rsidR="00E31D19" w:rsidRDefault="00E31D19" w:rsidP="00E31D19">
      <w:r>
        <w:t xml:space="preserve"> </w:t>
      </w:r>
    </w:p>
    <w:p w14:paraId="4113C54F" w14:textId="77777777" w:rsidR="00E31D19" w:rsidRDefault="00E31D19" w:rsidP="00E31D19">
      <w:r>
        <w:t>Lewisham partnered with the boroughs of Lambeth and Southwark for a common strategy on sexual health. The three areas are signalled to be amongst the most challenged regions in England in regards the issue, reporting the highest HIV and STI rates in the country. Studies conducted locally indicated inequalities, abusive relationships, and the use of contraception in favour of other methods of protection as one of causes which may also highlight the effect of ivtersectionalities. Attained through commissions partnerships, planning englobes prevention, diagnosis, reproductive health, as well as living with HIV.  Objectives are set on a 5 year basis. When it comes to the main resources for researching sexual health related issues, 43% children and young people mention talks with their parents, 37% specified school curricula, and 17% said mentioned friends.</w:t>
      </w:r>
    </w:p>
    <w:p w14:paraId="2E853687" w14:textId="77777777" w:rsidR="00E31D19" w:rsidRDefault="00E31D19" w:rsidP="00E31D19">
      <w:r>
        <w:t xml:space="preserve"> </w:t>
      </w:r>
    </w:p>
    <w:p w14:paraId="4789A6D2" w14:textId="77777777" w:rsidR="00E31D19" w:rsidRDefault="00E31D19" w:rsidP="00E31D19">
      <w:r>
        <w:t>Special Needs Care</w:t>
      </w:r>
    </w:p>
    <w:p w14:paraId="06D18E99" w14:textId="77777777" w:rsidR="00E31D19" w:rsidRDefault="00E31D19" w:rsidP="00E31D19">
      <w:r>
        <w:t xml:space="preserve"> </w:t>
      </w:r>
    </w:p>
    <w:p w14:paraId="305841EC" w14:textId="77777777" w:rsidR="00E31D19" w:rsidRDefault="00E31D19" w:rsidP="00E31D19">
      <w:r>
        <w:t>Children and youth living with genetic abnormalities or neurological conditions are dedicated Community Physiotherapy Services for various interventions, including assessments and treatments. Special needs nursing is extended up to the age of 19.</w:t>
      </w:r>
    </w:p>
    <w:p w14:paraId="44E5D95E" w14:textId="77777777" w:rsidR="00E31D19" w:rsidRDefault="00E31D19" w:rsidP="00E31D19">
      <w:r>
        <w:t xml:space="preserve"> </w:t>
      </w:r>
    </w:p>
    <w:p w14:paraId="40D0D4CC" w14:textId="77777777" w:rsidR="00E31D19" w:rsidRDefault="00E31D19" w:rsidP="00E31D19">
      <w:r>
        <w:t>Education in Lewisham</w:t>
      </w:r>
    </w:p>
    <w:p w14:paraId="2680744C" w14:textId="77777777" w:rsidR="00E31D19" w:rsidRDefault="00E31D19" w:rsidP="00E31D19">
      <w:r>
        <w:t xml:space="preserve"> </w:t>
      </w:r>
    </w:p>
    <w:p w14:paraId="28FA4773" w14:textId="77777777" w:rsidR="00E31D19" w:rsidRDefault="00E31D19" w:rsidP="00E31D19">
      <w:r>
        <w:t>On a borough level, education and development is delivered trough 83 schools (including 8 colleges), 61 community centres, 15 leisure centres and 14 libraries. The borough received the rating Good by O</w:t>
      </w:r>
      <w:r w:rsidR="008A2DF7">
        <w:t>fsted.</w:t>
      </w:r>
    </w:p>
    <w:p w14:paraId="2493D754" w14:textId="77777777" w:rsidR="00E31D19" w:rsidRDefault="00E31D19" w:rsidP="00E31D19">
      <w:r>
        <w:t xml:space="preserve"> </w:t>
      </w:r>
    </w:p>
    <w:p w14:paraId="56B86F1B" w14:textId="77777777" w:rsidR="00E31D19" w:rsidRDefault="00E31D19" w:rsidP="00E31D19">
      <w:r>
        <w:t>SEND (special educational needs and disabilities)</w:t>
      </w:r>
    </w:p>
    <w:p w14:paraId="7C8B447C" w14:textId="77777777" w:rsidR="00E31D19" w:rsidRDefault="00E31D19" w:rsidP="00E31D19">
      <w:r>
        <w:t xml:space="preserve"> </w:t>
      </w:r>
    </w:p>
    <w:p w14:paraId="05CF358C" w14:textId="77777777" w:rsidR="00E31D19" w:rsidRDefault="00E31D19" w:rsidP="00E31D19">
      <w:r>
        <w:t xml:space="preserve">Covering the 0-25 age groups, the strategy is designed to increase access to universal services to raise resilience and autonomy amongst SEND children and youth, as well their carers. </w:t>
      </w:r>
      <w:r w:rsidR="0044415D">
        <w:t xml:space="preserve">The </w:t>
      </w:r>
      <w:r>
        <w:t xml:space="preserve"> 14 to 25 age group is particularly focused on ensuring a smoother path towards adulthood. A key issue within the strategy is given by the fact that disabilities do not necessarily imply special educational needs. The strategy carries a multidirectional approach covering health, education, and social care. Programs are implemented through the monthly assessment of a specialised multidisciplinary working group accompanied by volunteers. Furthermore, the council also facilitates Ofsted ratings for providers. Activities conceived for engagement are also used to facilitate consultation. Mapping needs identified through consultation highlights areas to work on, while data would help develop services. Early identification represents the top priority as it allows delivering an effective response both in terms of time, as well as expertise. The number of catered children and youth within the borough of Lewisham is of approximately 6,600.</w:t>
      </w:r>
    </w:p>
    <w:p w14:paraId="7945EFEE" w14:textId="77777777" w:rsidR="00E31D19" w:rsidRDefault="00E31D19" w:rsidP="00E31D19">
      <w:r>
        <w:t xml:space="preserve"> </w:t>
      </w:r>
    </w:p>
    <w:p w14:paraId="0B1286E2" w14:textId="77777777" w:rsidR="00E31D19" w:rsidRDefault="00E31D19" w:rsidP="00E31D19">
      <w:r>
        <w:t>Adult learning</w:t>
      </w:r>
    </w:p>
    <w:p w14:paraId="60CD44AC" w14:textId="77777777" w:rsidR="00E31D19" w:rsidRDefault="00E31D19" w:rsidP="00E31D19">
      <w:r>
        <w:t xml:space="preserve"> </w:t>
      </w:r>
    </w:p>
    <w:p w14:paraId="3DD059A5" w14:textId="77777777" w:rsidR="00E31D19" w:rsidRDefault="00E31D19" w:rsidP="00E31D19">
      <w:r>
        <w:t>Dedicated to all learners above the age of 19, the Adult Learning Lewisham (ALL) schemes are completed through a certificate upon a minimum 85% attendance. Covering an exhaustive spectrum of skills and trades, the training programs have been developed with the contribution of the Greater London Authority. Learners are required to provide their National Insurance Number. The training programs may imply additional expenses. A Virtual Learning Environment ensures both communication, as well as resource curation.</w:t>
      </w:r>
    </w:p>
    <w:p w14:paraId="7D0BDCA3" w14:textId="77777777" w:rsidR="00E31D19" w:rsidRDefault="00E31D19" w:rsidP="00E31D19">
      <w:r>
        <w:t xml:space="preserve"> </w:t>
      </w:r>
    </w:p>
    <w:p w14:paraId="4B1C6747" w14:textId="77777777" w:rsidR="00E31D19" w:rsidRDefault="00E31D19" w:rsidP="00E31D19">
      <w:r>
        <w:t>Partnerships</w:t>
      </w:r>
    </w:p>
    <w:p w14:paraId="1BB2F79F" w14:textId="77777777" w:rsidR="00E31D19" w:rsidRDefault="00E31D19" w:rsidP="00E31D19">
      <w:r>
        <w:t xml:space="preserve"> </w:t>
      </w:r>
    </w:p>
    <w:p w14:paraId="3BD246A9" w14:textId="77777777" w:rsidR="00E31D19" w:rsidRDefault="00E31D19" w:rsidP="00E31D19">
      <w:r>
        <w:t>Lewisham digital strategy</w:t>
      </w:r>
    </w:p>
    <w:p w14:paraId="0CED8835" w14:textId="77777777" w:rsidR="00E31D19" w:rsidRDefault="00E31D19" w:rsidP="00E31D19">
      <w:r>
        <w:lastRenderedPageBreak/>
        <w:t xml:space="preserve"> </w:t>
      </w:r>
    </w:p>
    <w:p w14:paraId="0F8EFF52" w14:textId="77777777" w:rsidR="00E31D19" w:rsidRDefault="00E31D19" w:rsidP="00E31D19">
      <w:r>
        <w:t>The borough’s first strategy for creative and digital industries in 2017, anchored on the borough’s outstanding creative heritage, as site for the Goldsmiths University campus which also collaborated with the council for the dEK Growth Programme. The strategy targets both businesses perform on a digital environment -education providers included-, as well as roles developed within the sector, to which IT specialists catering healthcare may qualify. The program is implemented cooperation with local partners, amassing businesses, community groups, and residents.</w:t>
      </w:r>
    </w:p>
    <w:p w14:paraId="7BE5AAC0" w14:textId="77777777" w:rsidR="00E31D19" w:rsidRDefault="00E31D19" w:rsidP="00E31D19">
      <w:r>
        <w:t xml:space="preserve"> </w:t>
      </w:r>
    </w:p>
    <w:p w14:paraId="34D49045" w14:textId="77777777" w:rsidR="00E31D19" w:rsidRDefault="00E31D19" w:rsidP="00E31D19">
      <w:r>
        <w:t>The Adult Integrated Care</w:t>
      </w:r>
    </w:p>
    <w:p w14:paraId="59AF7F1B" w14:textId="77777777" w:rsidR="00E31D19" w:rsidRDefault="00E31D19" w:rsidP="00E31D19">
      <w:r>
        <w:t xml:space="preserve"> </w:t>
      </w:r>
    </w:p>
    <w:p w14:paraId="3CAC190F" w14:textId="77777777" w:rsidR="00E31D19" w:rsidRDefault="00E31D19" w:rsidP="00E31D19">
      <w:r>
        <w:t>Developed by the borough’s council and the NHS Lewisham Clinical Commissioning Group, the program has been set with the objective of coordinated inter-agency expertise on joint approach of health and social care. Decentralising services, such strategy is designed to both facilitate the beneficiary’s access, as guarantee a prompt response. Particularly focused on vulnerable groups and their carers, the program has been conceived with the purpose of ensuring early intervention which would increase autonomy and reduce institutional care. The program succeeds an upgraded quality in both the provided services, as well as in data communication and safety while increasing budgetary efficiency and expanding the operational timetable. Within the borough of Lewisham, the management of health services is grounded on person-centred care. Encouraging autonomy, programs are conceived on prevention and risk management, focusing not only on medical conditions, but also on tackling social isolation. Instruments for delivering the goal are extended to also include housing units as an alternative to long-term residential care and technological solutions for autonomy. Commissioning plans are grounded on local needs, while assessing markets in which providers perform. The management of health services considers stakeholders both beneficiaries, as well as carers. On a borough level, 14.5% of all Lewisham resides are living with a long-term health condition, whereas 8.5% of the population provides unpaid care.</w:t>
      </w:r>
    </w:p>
    <w:p w14:paraId="314A1DA8" w14:textId="77777777" w:rsidR="00E31D19" w:rsidRDefault="00E31D19" w:rsidP="00E31D19">
      <w:r>
        <w:t xml:space="preserve"> </w:t>
      </w:r>
    </w:p>
    <w:p w14:paraId="03607B45" w14:textId="77777777" w:rsidR="00E31D19" w:rsidRDefault="00E31D19" w:rsidP="00E31D19">
      <w:r>
        <w:t>Community health services dedicated to children and younger people</w:t>
      </w:r>
    </w:p>
    <w:p w14:paraId="2765B340" w14:textId="77777777" w:rsidR="00E31D19" w:rsidRDefault="00E31D19" w:rsidP="00E31D19">
      <w:r>
        <w:t xml:space="preserve"> </w:t>
      </w:r>
    </w:p>
    <w:p w14:paraId="039A6609" w14:textId="77777777" w:rsidR="00E31D19" w:rsidRDefault="00E31D19" w:rsidP="00E31D19">
      <w:r>
        <w:t>The School Health Services assess and monitor health parameters such as vision, height, weight, either for particular requirements, such as admissions, or for prevention strategies including immunisation programs. Inter-agency cooperation between the health and educational services is also present within the Children’s Occupational Therapy Team establish to assess, monitor and intervene for an upgraded awareness and cultivation of skills and increased school independence. Educational settings, including schools also integrate services provided by the Children’s Community Nursing Team.</w:t>
      </w:r>
    </w:p>
    <w:p w14:paraId="55491B32" w14:textId="77777777" w:rsidR="00E31D19" w:rsidRDefault="00E31D19" w:rsidP="00E31D19">
      <w:r>
        <w:t xml:space="preserve"> </w:t>
      </w:r>
    </w:p>
    <w:p w14:paraId="70A52248" w14:textId="77777777" w:rsidR="00E31D19" w:rsidRDefault="00E31D19" w:rsidP="00E31D19">
      <w:r>
        <w:t>Recommendations</w:t>
      </w:r>
    </w:p>
    <w:p w14:paraId="0A210B30" w14:textId="77777777" w:rsidR="00E31D19" w:rsidRDefault="00E31D19" w:rsidP="00E31D19">
      <w:r>
        <w:t xml:space="preserve"> </w:t>
      </w:r>
    </w:p>
    <w:p w14:paraId="30B6DAA0" w14:textId="77777777" w:rsidR="00E31D19" w:rsidRDefault="00E31D19" w:rsidP="00E31D19">
      <w:r>
        <w:t>Expand mediation through community groups</w:t>
      </w:r>
    </w:p>
    <w:p w14:paraId="71EDE9B7" w14:textId="77777777" w:rsidR="00E31D19" w:rsidRDefault="00E31D19" w:rsidP="00E31D19">
      <w:r>
        <w:t xml:space="preserve"> </w:t>
      </w:r>
    </w:p>
    <w:p w14:paraId="4F2BF728" w14:textId="75D540B5" w:rsidR="00E31D19" w:rsidRDefault="00E31D19" w:rsidP="00E31D19">
      <w:r>
        <w:t xml:space="preserve">Demographics indicate Lewisham as a multicultural borough accounting not only individuals of a distinctive heritage, but also a proportionate percentage of people born outside the UK. The latter might experience difficulties in communicating outside their communities. However, they and their families have every right to SDGs as any other </w:t>
      </w:r>
      <w:r w:rsidR="00711EDA">
        <w:t>resident</w:t>
      </w:r>
      <w:r>
        <w:t xml:space="preserve">, even though the language and cultural barriers may have them either not acknowledging or reject them. Prevention represents the </w:t>
      </w:r>
      <w:r w:rsidR="00415306">
        <w:t>main</w:t>
      </w:r>
      <w:r>
        <w:t xml:space="preserve"> objective through which the borough delivers Goal 4. In their inter-agency efforts, services could expand mediation pipelines reaching non-English speaking people by raising an appeal to informal community groups as well as established NGOs or religious congregations in order to promote educational opportunities and health practices.</w:t>
      </w:r>
    </w:p>
    <w:p w14:paraId="64B5A61A" w14:textId="77777777" w:rsidR="00E31D19" w:rsidRDefault="00E31D19" w:rsidP="00E31D19">
      <w:r>
        <w:t xml:space="preserve"> </w:t>
      </w:r>
    </w:p>
    <w:p w14:paraId="27B214DB" w14:textId="77777777" w:rsidR="00E31D19" w:rsidRDefault="00E31D19" w:rsidP="00E31D19">
      <w:r>
        <w:lastRenderedPageBreak/>
        <w:t>CSR as a pipeline for private-public alliances</w:t>
      </w:r>
    </w:p>
    <w:p w14:paraId="75D6CE20" w14:textId="77777777" w:rsidR="00E31D19" w:rsidRDefault="00E31D19" w:rsidP="00E31D19">
      <w:r>
        <w:t xml:space="preserve"> </w:t>
      </w:r>
    </w:p>
    <w:p w14:paraId="4CAEA726" w14:textId="77777777" w:rsidR="00E31D19" w:rsidRDefault="00E31D19" w:rsidP="00E31D19">
      <w:r>
        <w:t xml:space="preserve">Commissions represent the pipelines through which the local authorities establish partnerships with the private sector. However, the private sector has implemented CSR initiatives in all educational levels, such as Ocado’s program of promoting coding in primary schools. Furthermore, partnerships facilitating research within the healthcare sector unite the academia with sponsorships from the business environment. However, such input comes from large companies, whereas the law imposes equity on commissions which implies disregarding the potential provider’s size. Therefore, public sector bodies cannot influence such partnerships. Advertising on a community level all the investments fulfilled through CSR within the public sector could attract new inflows, since visibility represents the main motivation for directing such sponsorships. </w:t>
      </w:r>
    </w:p>
    <w:p w14:paraId="634F2AA7" w14:textId="77777777" w:rsidR="00E31D19" w:rsidRDefault="00E31D19" w:rsidP="00E31D19">
      <w:r>
        <w:t xml:space="preserve"> </w:t>
      </w:r>
    </w:p>
    <w:p w14:paraId="6F243E4E" w14:textId="77777777" w:rsidR="00E31D19" w:rsidRDefault="00E31D19" w:rsidP="00E31D19">
      <w:r>
        <w:t>Popular consult</w:t>
      </w:r>
    </w:p>
    <w:p w14:paraId="5C7716EB" w14:textId="77777777" w:rsidR="00E31D19" w:rsidRDefault="00E31D19" w:rsidP="00E31D19">
      <w:r>
        <w:t xml:space="preserve"> </w:t>
      </w:r>
    </w:p>
    <w:p w14:paraId="5FB71474" w14:textId="49A39362" w:rsidR="00E31D19" w:rsidRDefault="00E31D19" w:rsidP="00E31D19">
      <w:r>
        <w:t xml:space="preserve">The </w:t>
      </w:r>
      <w:r w:rsidR="00AB20B8">
        <w:t xml:space="preserve">method </w:t>
      </w:r>
      <w:r>
        <w:t xml:space="preserve">used by social services in performance assessment is grounded on the number of directly supported people and the extent to which autonomy is spread amongst those attended. However, such strategy could be </w:t>
      </w:r>
      <w:r w:rsidR="00E277FF">
        <w:t xml:space="preserve">considered </w:t>
      </w:r>
      <w:r>
        <w:t xml:space="preserve">as limited to only the </w:t>
      </w:r>
      <w:r w:rsidR="002E4F74">
        <w:t xml:space="preserve">perspective </w:t>
      </w:r>
      <w:r>
        <w:t>of institutional care.</w:t>
      </w:r>
      <w:r w:rsidR="00636E21">
        <w:t xml:space="preserve">Assessing </w:t>
      </w:r>
      <w:r>
        <w:t xml:space="preserve"> the service’s performance could expanded towards a more </w:t>
      </w:r>
      <w:r w:rsidR="00AC2C1E">
        <w:t xml:space="preserve">detailed </w:t>
      </w:r>
      <w:r>
        <w:t>understanding of resident needs which can be surveyed and categorised on severity, age groups, and other parameters. Such dialogue may be mediated through transparency-dedicated offices such as the Local Account, which has been established to report on the social care’s department’s activities and expenditure.</w:t>
      </w:r>
    </w:p>
    <w:p w14:paraId="0D98933D" w14:textId="77777777" w:rsidR="00E31D19" w:rsidRDefault="00E31D19" w:rsidP="00E31D19">
      <w:r>
        <w:t xml:space="preserve"> </w:t>
      </w:r>
    </w:p>
    <w:p w14:paraId="3155509F" w14:textId="77777777" w:rsidR="00E31D19" w:rsidRDefault="00E31D19" w:rsidP="00E31D19">
      <w:r>
        <w:t>On the job training</w:t>
      </w:r>
    </w:p>
    <w:p w14:paraId="3102A5DA" w14:textId="77777777" w:rsidR="00E31D19" w:rsidRDefault="00E31D19" w:rsidP="00E31D19">
      <w:r>
        <w:t xml:space="preserve"> </w:t>
      </w:r>
    </w:p>
    <w:p w14:paraId="4DA1579D" w14:textId="2B2FC1ED" w:rsidR="00E31D19" w:rsidRDefault="00E31D19" w:rsidP="00E31D19">
      <w:r>
        <w:t>Businesses could collaborate with the Adult Learning Lewisham (ALL) in order to connect job seekers with the available professional opportunities within the council. Furthermore, businesses could also get involved the curricula and the teaching strategy to provide both tutors, as well as on the job training. The private-public partnership could also fulfil  the learning and development requirement which is prioritised by the business environment to maintain the currency of skills.</w:t>
      </w:r>
    </w:p>
    <w:p w14:paraId="41AAFD73" w14:textId="77777777" w:rsidR="00E31D19" w:rsidRDefault="00E31D19" w:rsidP="00E31D19">
      <w:r>
        <w:t xml:space="preserve"> </w:t>
      </w:r>
    </w:p>
    <w:p w14:paraId="57C9EF54" w14:textId="77777777" w:rsidR="00E31D19" w:rsidRDefault="00E31D19" w:rsidP="00E31D19">
      <w:r>
        <w:t>Conclusions</w:t>
      </w:r>
    </w:p>
    <w:p w14:paraId="78EF5F73" w14:textId="77777777" w:rsidR="00E31D19" w:rsidRDefault="00E31D19" w:rsidP="00E31D19">
      <w:r>
        <w:t xml:space="preserve"> </w:t>
      </w:r>
    </w:p>
    <w:p w14:paraId="122DBB3D" w14:textId="28AC5128" w:rsidR="00F47DE6" w:rsidRDefault="00E31D19" w:rsidP="00F47DE6">
      <w:r>
        <w:t xml:space="preserve">Goals 3, 4, and 17 are the key  goals which can be fulfilled through the direct contribution of social services beyond the expertise of other public sector bodies. Though formulated as recommendations, the SDG have been thoroughly translated within the national legislation in the exact clarity which allows their implementation to the most compact administrative unit within a society. Achieved through </w:t>
      </w:r>
      <w:r w:rsidR="004130F7">
        <w:t xml:space="preserve">multi agency </w:t>
      </w:r>
      <w:r>
        <w:t xml:space="preserve">cooperation, the implementation of the SDG is </w:t>
      </w:r>
      <w:r w:rsidR="00E53A9B">
        <w:t xml:space="preserve">designed </w:t>
      </w:r>
      <w:r>
        <w:t>and deliver in a</w:t>
      </w:r>
      <w:r w:rsidR="003133FC">
        <w:t xml:space="preserve">ll </w:t>
      </w:r>
      <w:r w:rsidR="00A854CA">
        <w:t xml:space="preserve">parties </w:t>
      </w:r>
      <w:r>
        <w:t xml:space="preserve">benefit. On a borough level, the SDG are adapted upon risk assessment to legislative and governance terrains that highlight urgencies, in </w:t>
      </w:r>
      <w:r w:rsidR="00130D1A">
        <w:t xml:space="preserve">order to </w:t>
      </w:r>
      <w:r>
        <w:t xml:space="preserve"> prioritises prevention and early intervention. </w:t>
      </w:r>
      <w:r>
        <w:br w:type="page"/>
      </w:r>
      <w:r w:rsidR="00F47DE6">
        <w:lastRenderedPageBreak/>
        <w:t>References:</w:t>
      </w:r>
    </w:p>
    <w:p w14:paraId="7F74BB65" w14:textId="77777777" w:rsidR="00F47DE6" w:rsidRDefault="00F47DE6" w:rsidP="00F47DE6">
      <w:r>
        <w:t xml:space="preserve"> </w:t>
      </w:r>
    </w:p>
    <w:p w14:paraId="3C460049" w14:textId="2DC703DB" w:rsidR="00F47DE6" w:rsidRDefault="00F47DE6" w:rsidP="00F47DE6">
      <w:r>
        <w:t xml:space="preserve">Adult Learning Lewisham terms and conditions, available at </w:t>
      </w:r>
      <w:hyperlink r:id="rId4" w:history="1">
        <w:r w:rsidR="002B5EAA" w:rsidRPr="00ED730D">
          <w:rPr>
            <w:rStyle w:val="Hyperlink"/>
          </w:rPr>
          <w:t>https://lewisham.gov.uk/myservices/education/adult/adult-learning-lewisham-terms-and-conditions</w:t>
        </w:r>
      </w:hyperlink>
      <w:r w:rsidR="002B5EAA">
        <w:t xml:space="preserve"> (Accessed 15th</w:t>
      </w:r>
      <w:r>
        <w:t xml:space="preserve"> of April 2022</w:t>
      </w:r>
      <w:r w:rsidR="002B5EAA">
        <w:t>).</w:t>
      </w:r>
    </w:p>
    <w:p w14:paraId="6485CE41" w14:textId="77777777" w:rsidR="00F47DE6" w:rsidRDefault="00F47DE6" w:rsidP="00F47DE6">
      <w:r>
        <w:t xml:space="preserve"> </w:t>
      </w:r>
    </w:p>
    <w:p w14:paraId="7C46765E" w14:textId="77777777" w:rsidR="00F47DE6" w:rsidRDefault="00F47DE6" w:rsidP="00F47DE6">
      <w:r>
        <w:t>Davies H. The Well-being of Future Generations (Wales) Act 2015: Duties or aspirations? Environmental Law Review. 2016;18(1):41-56. doi:10.1177/1461452916631889</w:t>
      </w:r>
    </w:p>
    <w:p w14:paraId="3637DD6C" w14:textId="77777777" w:rsidR="00F47DE6" w:rsidRDefault="00F47DE6" w:rsidP="00F47DE6">
      <w:r>
        <w:t xml:space="preserve"> </w:t>
      </w:r>
    </w:p>
    <w:p w14:paraId="18365A05" w14:textId="77777777" w:rsidR="00F47DE6" w:rsidRDefault="00F47DE6" w:rsidP="00F47DE6">
      <w:proofErr w:type="spellStart"/>
      <w:r>
        <w:t>Al-Delaimy</w:t>
      </w:r>
      <w:proofErr w:type="spellEnd"/>
      <w:r>
        <w:t xml:space="preserve"> W, </w:t>
      </w:r>
      <w:proofErr w:type="spellStart"/>
      <w:r>
        <w:t>Ramanathan</w:t>
      </w:r>
      <w:proofErr w:type="spellEnd"/>
      <w:r>
        <w:t xml:space="preserve"> V, Sanchez Coronado M (2021), Health of People, Health of Planet and Our Responsibility, Springer Open: Cham</w:t>
      </w:r>
    </w:p>
    <w:p w14:paraId="782826DD" w14:textId="77777777" w:rsidR="00F47DE6" w:rsidRDefault="00F47DE6" w:rsidP="00F47DE6">
      <w:r>
        <w:t xml:space="preserve"> </w:t>
      </w:r>
    </w:p>
    <w:p w14:paraId="3767DD34" w14:textId="25C1C4A5" w:rsidR="00F47DE6" w:rsidRDefault="00F47DE6" w:rsidP="00F47DE6">
      <w:r>
        <w:t xml:space="preserve">Department of Education, </w:t>
      </w:r>
      <w:proofErr w:type="spellStart"/>
      <w:r>
        <w:t>Kantar</w:t>
      </w:r>
      <w:proofErr w:type="spellEnd"/>
      <w:r>
        <w:t xml:space="preserve"> Public (2021), Multi-agency reform: Key behavioural drivers and barriers Summary report, available at </w:t>
      </w:r>
      <w:hyperlink r:id="rId5" w:history="1">
        <w:r w:rsidR="002B5EAA" w:rsidRPr="00ED730D">
          <w:rPr>
            <w:rStyle w:val="Hyperlink"/>
          </w:rPr>
          <w:t>https://assets.publishing.service.gov.uk/government/uploads/system/uploads/attachment_data/file/1041000/MultiAgencyReform_Kantar_Report.pdf</w:t>
        </w:r>
      </w:hyperlink>
      <w:r w:rsidR="002B5EAA">
        <w:t xml:space="preserve"> (Accessed</w:t>
      </w:r>
      <w:r>
        <w:t xml:space="preserve"> 1</w:t>
      </w:r>
      <w:r w:rsidR="002B5EAA">
        <w:t xml:space="preserve">6th </w:t>
      </w:r>
      <w:r>
        <w:t xml:space="preserve"> April 2022</w:t>
      </w:r>
      <w:r w:rsidR="002B5EAA">
        <w:t>).</w:t>
      </w:r>
    </w:p>
    <w:p w14:paraId="269DE38B" w14:textId="77777777" w:rsidR="00F47DE6" w:rsidRDefault="00F47DE6" w:rsidP="00F47DE6">
      <w:r>
        <w:t xml:space="preserve"> </w:t>
      </w:r>
    </w:p>
    <w:p w14:paraId="0314DD45" w14:textId="22FBC893" w:rsidR="002B5EAA" w:rsidRDefault="00F47DE6" w:rsidP="00F47DE6">
      <w:r>
        <w:t xml:space="preserve">Dynamic map (2022), available at </w:t>
      </w:r>
      <w:hyperlink r:id="rId6" w:history="1">
        <w:r w:rsidR="002B5EAA" w:rsidRPr="00ED730D">
          <w:rPr>
            <w:rStyle w:val="Hyperlink"/>
          </w:rPr>
          <w:t>https://lbl.dynamicmaps.co.uk/MapThatWeb/Default.aspx</w:t>
        </w:r>
      </w:hyperlink>
      <w:r>
        <w:t>,</w:t>
      </w:r>
    </w:p>
    <w:p w14:paraId="122F0232" w14:textId="21C5B89A" w:rsidR="00F47DE6" w:rsidRDefault="002B5EAA" w:rsidP="00F47DE6">
      <w:r>
        <w:t>(</w:t>
      </w:r>
      <w:r w:rsidR="00F47DE6">
        <w:t xml:space="preserve"> </w:t>
      </w:r>
      <w:r>
        <w:t xml:space="preserve">Accessed </w:t>
      </w:r>
      <w:r w:rsidR="00F47DE6">
        <w:t>19th April 2022</w:t>
      </w:r>
      <w:r>
        <w:t>).</w:t>
      </w:r>
    </w:p>
    <w:p w14:paraId="30740292" w14:textId="77777777" w:rsidR="00F47DE6" w:rsidRDefault="00F47DE6" w:rsidP="00F47DE6">
      <w:r>
        <w:t xml:space="preserve"> </w:t>
      </w:r>
    </w:p>
    <w:p w14:paraId="6D935CAC" w14:textId="07631B30" w:rsidR="00F47DE6" w:rsidRDefault="00F47DE6" w:rsidP="00F47DE6">
      <w:r>
        <w:t xml:space="preserve">Good Health and Wellbeing (2017), available at </w:t>
      </w:r>
      <w:hyperlink r:id="rId7" w:history="1">
        <w:r w:rsidR="002B5EAA" w:rsidRPr="00ED730D">
          <w:rPr>
            <w:rStyle w:val="Hyperlink"/>
          </w:rPr>
          <w:t>https://www.globalgoals.org/goals/3-good-health-and-well-being/</w:t>
        </w:r>
      </w:hyperlink>
      <w:r w:rsidR="002B5EAA">
        <w:t xml:space="preserve"> (</w:t>
      </w:r>
      <w:r>
        <w:t xml:space="preserve"> </w:t>
      </w:r>
      <w:r w:rsidR="002B5EAA">
        <w:t xml:space="preserve">Accessed </w:t>
      </w:r>
      <w:r>
        <w:t xml:space="preserve"> 19th April 2022</w:t>
      </w:r>
      <w:r w:rsidR="002B5EAA">
        <w:t>)</w:t>
      </w:r>
    </w:p>
    <w:p w14:paraId="4957372F" w14:textId="77777777" w:rsidR="00F47DE6" w:rsidRDefault="00F47DE6" w:rsidP="00F47DE6">
      <w:r>
        <w:t xml:space="preserve"> </w:t>
      </w:r>
    </w:p>
    <w:p w14:paraId="31ECD3ED" w14:textId="7770A0C9" w:rsidR="00F47DE6" w:rsidRDefault="00F47DE6" w:rsidP="00F47DE6">
      <w:r>
        <w:t xml:space="preserve">Integrating adult health and social care services, available at  </w:t>
      </w:r>
      <w:hyperlink r:id="rId8" w:history="1">
        <w:r w:rsidR="002B5EAA" w:rsidRPr="00ED730D">
          <w:rPr>
            <w:rStyle w:val="Hyperlink"/>
          </w:rPr>
          <w:t>https://lewisham.gov.uk/-/media/files/imported/sexual-and-reproductive-health-strategy/sexualhealthintelligencebriefing20181207.ashx</w:t>
        </w:r>
      </w:hyperlink>
      <w:r w:rsidR="002B5EAA">
        <w:t xml:space="preserve"> (Accessed </w:t>
      </w:r>
      <w:r>
        <w:t xml:space="preserve"> 21st of April 2022</w:t>
      </w:r>
      <w:r w:rsidR="002B5EAA">
        <w:t>).</w:t>
      </w:r>
    </w:p>
    <w:p w14:paraId="658AFA5F" w14:textId="77777777" w:rsidR="00F47DE6" w:rsidRDefault="00F47DE6" w:rsidP="00F47DE6">
      <w:r>
        <w:t xml:space="preserve"> </w:t>
      </w:r>
    </w:p>
    <w:p w14:paraId="1FB3EF19" w14:textId="28F1D12D" w:rsidR="00F47DE6" w:rsidRDefault="00F47DE6" w:rsidP="00F47DE6">
      <w:r>
        <w:t xml:space="preserve">Lambeth, Southwark and Lewisham Sexual and Reproductive Health Strategy 2019–24, available at </w:t>
      </w:r>
      <w:hyperlink r:id="rId9" w:history="1">
        <w:r w:rsidR="002B5EAA" w:rsidRPr="00ED730D">
          <w:rPr>
            <w:rStyle w:val="Hyperlink"/>
          </w:rPr>
          <w:t>https://lewisham.gov.uk/-/media/files/imported/localaccount2016-17.ashx</w:t>
        </w:r>
      </w:hyperlink>
      <w:r w:rsidR="002B5EAA">
        <w:t xml:space="preserve"> (Accessed </w:t>
      </w:r>
      <w:r>
        <w:t>20t</w:t>
      </w:r>
      <w:r w:rsidR="002B5EAA">
        <w:t xml:space="preserve">h </w:t>
      </w:r>
      <w:r>
        <w:t>of April 2022</w:t>
      </w:r>
      <w:r w:rsidR="002B5EAA">
        <w:t>).</w:t>
      </w:r>
    </w:p>
    <w:p w14:paraId="54E84ABA" w14:textId="77777777" w:rsidR="00F47DE6" w:rsidRDefault="00F47DE6" w:rsidP="00F47DE6">
      <w:r>
        <w:t xml:space="preserve"> </w:t>
      </w:r>
    </w:p>
    <w:p w14:paraId="6E87A7B2" w14:textId="38E6477B" w:rsidR="00F47DE6" w:rsidRDefault="00F47DE6" w:rsidP="00F47DE6">
      <w:r>
        <w:t xml:space="preserve">Lewisham London Borough Council, available at </w:t>
      </w:r>
      <w:hyperlink r:id="rId10" w:history="1">
        <w:r w:rsidR="002B5EAA" w:rsidRPr="00ED730D">
          <w:rPr>
            <w:rStyle w:val="Hyperlink"/>
          </w:rPr>
          <w:t>https://reports.ofsted.gov.uk/provider/42/53137</w:t>
        </w:r>
      </w:hyperlink>
      <w:r>
        <w:t>,</w:t>
      </w:r>
      <w:r w:rsidR="002B5EAA">
        <w:t xml:space="preserve"> (Accessed </w:t>
      </w:r>
      <w:r>
        <w:t>20</w:t>
      </w:r>
      <w:r w:rsidRPr="002B5EAA">
        <w:rPr>
          <w:vertAlign w:val="superscript"/>
        </w:rPr>
        <w:t>th</w:t>
      </w:r>
      <w:r w:rsidR="002B5EAA">
        <w:t xml:space="preserve"> </w:t>
      </w:r>
      <w:r>
        <w:t xml:space="preserve"> of April 2022</w:t>
      </w:r>
      <w:r w:rsidR="002B5EAA">
        <w:t>).</w:t>
      </w:r>
    </w:p>
    <w:p w14:paraId="6539479B" w14:textId="77777777" w:rsidR="00F47DE6" w:rsidRDefault="00F47DE6" w:rsidP="00F47DE6">
      <w:r>
        <w:t xml:space="preserve"> </w:t>
      </w:r>
    </w:p>
    <w:p w14:paraId="617CED88" w14:textId="04989A09" w:rsidR="00F47DE6" w:rsidRDefault="00F47DE6" w:rsidP="00F47DE6">
      <w:r>
        <w:t xml:space="preserve">London Borough of Lewisham: Local Account for Adult Social Care 2016/17, available at </w:t>
      </w:r>
      <w:hyperlink r:id="rId11" w:history="1">
        <w:r w:rsidR="002B5EAA" w:rsidRPr="00ED730D">
          <w:rPr>
            <w:rStyle w:val="Hyperlink"/>
          </w:rPr>
          <w:t>https://lewisham.gov.uk/myservices/socialcare/our-approach/integrating-adult-health-and-social-care-service</w:t>
        </w:r>
      </w:hyperlink>
      <w:r w:rsidR="002B5EAA">
        <w:t xml:space="preserve"> (Accessed </w:t>
      </w:r>
      <w:r>
        <w:t xml:space="preserve"> 21</w:t>
      </w:r>
      <w:r w:rsidR="002B5EAA" w:rsidRPr="002B5EAA">
        <w:rPr>
          <w:vertAlign w:val="superscript"/>
        </w:rPr>
        <w:t>st</w:t>
      </w:r>
      <w:r w:rsidR="002B5EAA">
        <w:t xml:space="preserve"> </w:t>
      </w:r>
      <w:r>
        <w:t>of April 2022</w:t>
      </w:r>
      <w:r w:rsidR="002B5EAA">
        <w:t>).</w:t>
      </w:r>
    </w:p>
    <w:p w14:paraId="10B16DA6" w14:textId="77777777" w:rsidR="00F47DE6" w:rsidRDefault="00F47DE6" w:rsidP="00F47DE6">
      <w:r>
        <w:t xml:space="preserve"> </w:t>
      </w:r>
    </w:p>
    <w:p w14:paraId="01C83AB9" w14:textId="4DCEE3D7" w:rsidR="00F47DE6" w:rsidRDefault="00F47DE6" w:rsidP="00F47DE6">
      <w:r>
        <w:t xml:space="preserve">Partnerships for the Goals (2017), available at </w:t>
      </w:r>
      <w:hyperlink r:id="rId12" w:history="1">
        <w:r w:rsidR="002B5EAA" w:rsidRPr="00ED730D">
          <w:rPr>
            <w:rStyle w:val="Hyperlink"/>
          </w:rPr>
          <w:t>https://www.globalgoals.org/goals/17-partnerships-for-the-goals/</w:t>
        </w:r>
      </w:hyperlink>
      <w:r w:rsidR="002B5EAA">
        <w:t xml:space="preserve"> (</w:t>
      </w:r>
      <w:r>
        <w:t>accessed  20th of April 2022</w:t>
      </w:r>
      <w:r w:rsidR="002B5EAA">
        <w:t>).</w:t>
      </w:r>
    </w:p>
    <w:p w14:paraId="79816E45" w14:textId="77777777" w:rsidR="00F47DE6" w:rsidRDefault="00F47DE6" w:rsidP="00F47DE6">
      <w:r>
        <w:t xml:space="preserve"> </w:t>
      </w:r>
    </w:p>
    <w:p w14:paraId="75704D91" w14:textId="090725FF" w:rsidR="00F47DE6" w:rsidRDefault="00F47DE6" w:rsidP="00F47DE6">
      <w:proofErr w:type="spellStart"/>
      <w:r>
        <w:t>Podger</w:t>
      </w:r>
      <w:proofErr w:type="spellEnd"/>
      <w:r>
        <w:t xml:space="preserve">, A., &amp; </w:t>
      </w:r>
      <w:proofErr w:type="spellStart"/>
      <w:r>
        <w:t>Trewin</w:t>
      </w:r>
      <w:proofErr w:type="spellEnd"/>
      <w:r>
        <w:t xml:space="preserve">, D. (Eds.). (2014). Measuring and Promoting Wellbeing: How Important is Economic Growth? ANU Press. </w:t>
      </w:r>
      <w:hyperlink r:id="rId13" w:history="1">
        <w:r w:rsidR="00DB4A55" w:rsidRPr="00ED730D">
          <w:rPr>
            <w:rStyle w:val="Hyperlink"/>
          </w:rPr>
          <w:t>http://www.jstor.org/stable/j.ctt6wp80q</w:t>
        </w:r>
      </w:hyperlink>
      <w:r w:rsidR="002B5EAA">
        <w:t xml:space="preserve"> (Accessed: 16th of April 2022).</w:t>
      </w:r>
    </w:p>
    <w:p w14:paraId="705CB839" w14:textId="77777777" w:rsidR="00F47DE6" w:rsidRDefault="00F47DE6" w:rsidP="00F47DE6">
      <w:r>
        <w:t xml:space="preserve"> </w:t>
      </w:r>
    </w:p>
    <w:p w14:paraId="301448FC" w14:textId="37271E28" w:rsidR="00F47DE6" w:rsidRDefault="00F47DE6" w:rsidP="00F47DE6">
      <w:r>
        <w:t xml:space="preserve">Quality Education (2017), available at </w:t>
      </w:r>
      <w:hyperlink r:id="rId14" w:history="1">
        <w:r w:rsidR="00535F6A" w:rsidRPr="00ED730D">
          <w:rPr>
            <w:rStyle w:val="Hyperlink"/>
          </w:rPr>
          <w:t>https://www.globalgoals.org/goals/4-quality-education/</w:t>
        </w:r>
      </w:hyperlink>
      <w:r w:rsidR="00535F6A">
        <w:t xml:space="preserve"> </w:t>
      </w:r>
      <w:r>
        <w:t xml:space="preserve"> </w:t>
      </w:r>
      <w:r w:rsidR="00535F6A">
        <w:t>(</w:t>
      </w:r>
      <w:r w:rsidR="00DB4A55">
        <w:t>Accessed :</w:t>
      </w:r>
      <w:r>
        <w:t xml:space="preserve"> 20th of April 2022</w:t>
      </w:r>
      <w:r w:rsidR="00535F6A">
        <w:t>).</w:t>
      </w:r>
    </w:p>
    <w:p w14:paraId="1540C324" w14:textId="77777777" w:rsidR="00F47DE6" w:rsidRDefault="00F47DE6" w:rsidP="00F47DE6">
      <w:r>
        <w:t xml:space="preserve"> </w:t>
      </w:r>
    </w:p>
    <w:p w14:paraId="708AFC84" w14:textId="01FEE426" w:rsidR="00F47DE6" w:rsidRDefault="00F47DE6">
      <w:proofErr w:type="spellStart"/>
      <w:r>
        <w:t>Regeneris</w:t>
      </w:r>
      <w:proofErr w:type="spellEnd"/>
      <w:r>
        <w:t xml:space="preserve"> (2017), Lewisham Creative &amp; Digital Industries Strategy, available at </w:t>
      </w:r>
      <w:hyperlink r:id="rId15" w:history="1">
        <w:r w:rsidR="00535F6A" w:rsidRPr="00ED730D">
          <w:rPr>
            <w:rStyle w:val="Hyperlink"/>
          </w:rPr>
          <w:t>https://councilmeetings.lewisham.gov.uk/documents/s67343/06%20Lewisham%20Creative%20and%20Digital%20Strategy%20110919.pdf</w:t>
        </w:r>
      </w:hyperlink>
      <w:r w:rsidR="00535F6A">
        <w:t xml:space="preserve"> (</w:t>
      </w:r>
      <w:r w:rsidR="00DB4A55">
        <w:t>Accessed:</w:t>
      </w:r>
      <w:r>
        <w:t xml:space="preserve"> 20th of April 2022</w:t>
      </w:r>
      <w:r w:rsidR="00535F6A">
        <w:t>).</w:t>
      </w:r>
    </w:p>
    <w:p w14:paraId="0B7FC5A4" w14:textId="11C799EB" w:rsidR="00DA0123" w:rsidRDefault="00DA0123"/>
    <w:p w14:paraId="236B7D9E" w14:textId="751474C9" w:rsidR="00DA3FE3" w:rsidRPr="00C20472" w:rsidRDefault="00DA0123">
      <w:r>
        <w:t xml:space="preserve">United Nation (ND), </w:t>
      </w:r>
      <w:r w:rsidR="00C20472" w:rsidRPr="00C20472">
        <w:rPr>
          <w:i/>
          <w:iCs/>
        </w:rPr>
        <w:t>Department of Economic and Social Affairs</w:t>
      </w:r>
      <w:r w:rsidR="00C20472">
        <w:rPr>
          <w:i/>
          <w:iCs/>
        </w:rPr>
        <w:t xml:space="preserve">, </w:t>
      </w:r>
      <w:r w:rsidR="00C20472">
        <w:t xml:space="preserve">available at : </w:t>
      </w:r>
      <w:hyperlink r:id="rId16" w:history="1">
        <w:r w:rsidR="00DA3FE3" w:rsidRPr="00ED730D">
          <w:rPr>
            <w:rStyle w:val="Hyperlink"/>
          </w:rPr>
          <w:t>https://sdgs.un.org/goals</w:t>
        </w:r>
      </w:hyperlink>
      <w:r w:rsidR="00DA3FE3">
        <w:t xml:space="preserve">  (Accessed</w:t>
      </w:r>
      <w:r w:rsidR="00535F6A">
        <w:t xml:space="preserve">: </w:t>
      </w:r>
      <w:r w:rsidR="002B5EAA">
        <w:t>17</w:t>
      </w:r>
      <w:r w:rsidR="002B5EAA" w:rsidRPr="002B5EAA">
        <w:rPr>
          <w:vertAlign w:val="superscript"/>
        </w:rPr>
        <w:t>th</w:t>
      </w:r>
      <w:r w:rsidR="002B5EAA">
        <w:t xml:space="preserve"> of </w:t>
      </w:r>
      <w:r w:rsidR="00535F6A">
        <w:t>April 2022).</w:t>
      </w:r>
    </w:p>
    <w:sectPr w:rsidR="00DA3FE3" w:rsidRPr="00C204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A68"/>
    <w:rsid w:val="00006EF6"/>
    <w:rsid w:val="00027F1D"/>
    <w:rsid w:val="0005638C"/>
    <w:rsid w:val="00056D2A"/>
    <w:rsid w:val="000640C1"/>
    <w:rsid w:val="00091EA3"/>
    <w:rsid w:val="00117780"/>
    <w:rsid w:val="00130D1A"/>
    <w:rsid w:val="001502C9"/>
    <w:rsid w:val="001E720D"/>
    <w:rsid w:val="001F0CC2"/>
    <w:rsid w:val="002B5EAA"/>
    <w:rsid w:val="002E4F74"/>
    <w:rsid w:val="003133FC"/>
    <w:rsid w:val="003368DA"/>
    <w:rsid w:val="00373892"/>
    <w:rsid w:val="00376713"/>
    <w:rsid w:val="00393A68"/>
    <w:rsid w:val="004130F7"/>
    <w:rsid w:val="00415306"/>
    <w:rsid w:val="0044415D"/>
    <w:rsid w:val="00492C78"/>
    <w:rsid w:val="004D7E9C"/>
    <w:rsid w:val="0052087A"/>
    <w:rsid w:val="00531E78"/>
    <w:rsid w:val="00535F6A"/>
    <w:rsid w:val="00591041"/>
    <w:rsid w:val="005A3847"/>
    <w:rsid w:val="005E0A7B"/>
    <w:rsid w:val="00631301"/>
    <w:rsid w:val="00636E21"/>
    <w:rsid w:val="006F2EEF"/>
    <w:rsid w:val="00711EDA"/>
    <w:rsid w:val="00751DA1"/>
    <w:rsid w:val="0080032D"/>
    <w:rsid w:val="00840321"/>
    <w:rsid w:val="008A2DF7"/>
    <w:rsid w:val="008E25D5"/>
    <w:rsid w:val="008E34DA"/>
    <w:rsid w:val="0091382A"/>
    <w:rsid w:val="00960FE7"/>
    <w:rsid w:val="00966062"/>
    <w:rsid w:val="009B3E5D"/>
    <w:rsid w:val="00A13949"/>
    <w:rsid w:val="00A57A60"/>
    <w:rsid w:val="00A854CA"/>
    <w:rsid w:val="00AA49B6"/>
    <w:rsid w:val="00AB20B8"/>
    <w:rsid w:val="00AB5E85"/>
    <w:rsid w:val="00AC2C1E"/>
    <w:rsid w:val="00AC350C"/>
    <w:rsid w:val="00AD0524"/>
    <w:rsid w:val="00AF1A14"/>
    <w:rsid w:val="00AF6018"/>
    <w:rsid w:val="00BA74ED"/>
    <w:rsid w:val="00BB272E"/>
    <w:rsid w:val="00C167CC"/>
    <w:rsid w:val="00C20472"/>
    <w:rsid w:val="00C41378"/>
    <w:rsid w:val="00C511A5"/>
    <w:rsid w:val="00C66A28"/>
    <w:rsid w:val="00C87BE3"/>
    <w:rsid w:val="00CE03A8"/>
    <w:rsid w:val="00CE5341"/>
    <w:rsid w:val="00CF3F8D"/>
    <w:rsid w:val="00D05338"/>
    <w:rsid w:val="00D1027B"/>
    <w:rsid w:val="00D12DF2"/>
    <w:rsid w:val="00D47728"/>
    <w:rsid w:val="00D555F3"/>
    <w:rsid w:val="00D62D15"/>
    <w:rsid w:val="00D81889"/>
    <w:rsid w:val="00DA0123"/>
    <w:rsid w:val="00DA3FE3"/>
    <w:rsid w:val="00DB4A55"/>
    <w:rsid w:val="00DB53D5"/>
    <w:rsid w:val="00E277FF"/>
    <w:rsid w:val="00E31D19"/>
    <w:rsid w:val="00E4237C"/>
    <w:rsid w:val="00E53A9B"/>
    <w:rsid w:val="00E67C27"/>
    <w:rsid w:val="00EF1791"/>
    <w:rsid w:val="00F47DE6"/>
    <w:rsid w:val="00F722E9"/>
    <w:rsid w:val="00FA75E9"/>
    <w:rsid w:val="00FB1586"/>
    <w:rsid w:val="00FC6DBD"/>
    <w:rsid w:val="00FC7855"/>
    <w:rsid w:val="00FD63F9"/>
    <w:rsid w:val="00FE1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C40C4A7"/>
  <w15:chartTrackingRefBased/>
  <w15:docId w15:val="{10ACA532-0BF5-B348-9BC4-287B3F077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22E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22E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DA3FE3"/>
    <w:rPr>
      <w:color w:val="0563C1" w:themeColor="hyperlink"/>
      <w:u w:val="single"/>
    </w:rPr>
  </w:style>
  <w:style w:type="character" w:styleId="UnresolvedMention">
    <w:name w:val="Unresolved Mention"/>
    <w:basedOn w:val="DefaultParagraphFont"/>
    <w:uiPriority w:val="99"/>
    <w:semiHidden/>
    <w:unhideWhenUsed/>
    <w:rsid w:val="00DA3FE3"/>
    <w:rPr>
      <w:color w:val="605E5C"/>
      <w:shd w:val="clear" w:color="auto" w:fill="E1DFDD"/>
    </w:rPr>
  </w:style>
  <w:style w:type="character" w:styleId="FollowedHyperlink">
    <w:name w:val="FollowedHyperlink"/>
    <w:basedOn w:val="DefaultParagraphFont"/>
    <w:uiPriority w:val="99"/>
    <w:semiHidden/>
    <w:unhideWhenUsed/>
    <w:rsid w:val="008E25D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wisham.gov.uk/-/media/files/imported/sexual-and-reproductive-health-strategy/sexualhealthintelligencebriefing20181207.ashx" TargetMode="External"/><Relationship Id="rId13" Type="http://schemas.openxmlformats.org/officeDocument/2006/relationships/hyperlink" Target="http://www.jstor.org/stable/j.ctt6wp80q"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globalgoals.org/goals/3-good-health-and-well-being/" TargetMode="External"/><Relationship Id="rId12" Type="http://schemas.openxmlformats.org/officeDocument/2006/relationships/hyperlink" Target="https://www.globalgoals.org/goals/17-partnerships-for-the-goals/"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sdgs.un.org/goals" TargetMode="External"/><Relationship Id="rId1" Type="http://schemas.openxmlformats.org/officeDocument/2006/relationships/styles" Target="styles.xml"/><Relationship Id="rId6" Type="http://schemas.openxmlformats.org/officeDocument/2006/relationships/hyperlink" Target="https://lbl.dynamicmaps.co.uk/MapThatWeb/Default.aspx" TargetMode="External"/><Relationship Id="rId11" Type="http://schemas.openxmlformats.org/officeDocument/2006/relationships/hyperlink" Target="https://lewisham.gov.uk/myservices/socialcare/our-approach/integrating-adult-health-and-social-care-service" TargetMode="External"/><Relationship Id="rId5" Type="http://schemas.openxmlformats.org/officeDocument/2006/relationships/hyperlink" Target="https://assets.publishing.service.gov.uk/government/uploads/system/uploads/attachment_data/file/1041000/MultiAgencyReform_Kantar_Report.pdf" TargetMode="External"/><Relationship Id="rId15" Type="http://schemas.openxmlformats.org/officeDocument/2006/relationships/hyperlink" Target="https://councilmeetings.lewisham.gov.uk/documents/s67343/06%20Lewisham%20Creative%20and%20Digital%20Strategy%20110919.pdf" TargetMode="External"/><Relationship Id="rId10" Type="http://schemas.openxmlformats.org/officeDocument/2006/relationships/hyperlink" Target="https://reports.ofsted.gov.uk/provider/42/53137" TargetMode="External"/><Relationship Id="rId4" Type="http://schemas.openxmlformats.org/officeDocument/2006/relationships/hyperlink" Target="https://lewisham.gov.uk/myservices/education/adult/adult-learning-lewisham-terms-and-conditions" TargetMode="External"/><Relationship Id="rId9" Type="http://schemas.openxmlformats.org/officeDocument/2006/relationships/hyperlink" Target="https://lewisham.gov.uk/-/media/files/imported/localaccount2016-17.ashx" TargetMode="External"/><Relationship Id="rId14" Type="http://schemas.openxmlformats.org/officeDocument/2006/relationships/hyperlink" Target="https://www.globalgoals.org/goals/4-quality-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1231</TotalTime>
  <Pages>12</Pages>
  <Words>4913</Words>
  <Characters>28007</Characters>
  <Application>Microsoft Office Word</Application>
  <DocSecurity>0</DocSecurity>
  <Lines>233</Lines>
  <Paragraphs>65</Paragraphs>
  <ScaleCrop>false</ScaleCrop>
  <Company/>
  <LinksUpToDate>false</LinksUpToDate>
  <CharactersWithSpaces>32855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Denisa Vonet (1908353)</dc:creator>
  <cp:keywords/>
  <dc:description/>
  <cp:lastModifiedBy>Denisa Vonet (1908353)</cp:lastModifiedBy>
  <cp:revision>60</cp:revision>
  <dcterms:created xsi:type="dcterms:W3CDTF">2022-04-25T13:09:00Z</dcterms:created>
  <dcterms:modified xsi:type="dcterms:W3CDTF">2022-04-26T11:41:00Z</dcterms:modified>
</cp:coreProperties>
</file>