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EE8DD30" w14:textId="77777777" w:rsidR="00D06DD1" w:rsidRPr="00F1008C" w:rsidRDefault="009E5C34" w:rsidP="00171781">
      <w:pPr>
        <w:spacing w:line="360" w:lineRule="auto"/>
        <w:jc w:val="center"/>
      </w:pPr>
      <w:r w:rsidRPr="00F1008C">
        <w:rPr>
          <w:noProof/>
          <w:lang w:val="en-US" w:bidi="gu-IN"/>
        </w:rPr>
        <w:drawing>
          <wp:inline distT="0" distB="0" distL="0" distR="0" wp14:anchorId="2B65458C" wp14:editId="6729DA75">
            <wp:extent cx="2374900" cy="955040"/>
            <wp:effectExtent l="0" t="0" r="0" b="0"/>
            <wp:docPr id="3" name="image3.png" descr="University of Wales Trinity Saint David - Wikipedia"/>
            <wp:cNvGraphicFramePr/>
            <a:graphic xmlns:a="http://schemas.openxmlformats.org/drawingml/2006/main">
              <a:graphicData uri="http://schemas.openxmlformats.org/drawingml/2006/picture">
                <pic:pic xmlns:pic="http://schemas.openxmlformats.org/drawingml/2006/picture">
                  <pic:nvPicPr>
                    <pic:cNvPr id="0" name="image3.png" descr="University of Wales Trinity Saint David - Wikipedia"/>
                    <pic:cNvPicPr preferRelativeResize="0"/>
                  </pic:nvPicPr>
                  <pic:blipFill>
                    <a:blip r:embed="rId8"/>
                    <a:srcRect/>
                    <a:stretch>
                      <a:fillRect/>
                    </a:stretch>
                  </pic:blipFill>
                  <pic:spPr>
                    <a:xfrm>
                      <a:off x="0" y="0"/>
                      <a:ext cx="2374900" cy="955040"/>
                    </a:xfrm>
                    <a:prstGeom prst="rect">
                      <a:avLst/>
                    </a:prstGeom>
                    <a:ln/>
                  </pic:spPr>
                </pic:pic>
              </a:graphicData>
            </a:graphic>
          </wp:inline>
        </w:drawing>
      </w:r>
    </w:p>
    <w:p w14:paraId="506FBD67" w14:textId="77777777" w:rsidR="00D06DD1" w:rsidRPr="003C054F" w:rsidRDefault="00D06DD1" w:rsidP="003C054F">
      <w:pPr>
        <w:spacing w:line="360" w:lineRule="auto"/>
        <w:jc w:val="center"/>
        <w:rPr>
          <w:b/>
          <w:bCs/>
          <w:sz w:val="32"/>
          <w:szCs w:val="32"/>
        </w:rPr>
      </w:pPr>
    </w:p>
    <w:p w14:paraId="4EA034DB" w14:textId="7622F765" w:rsidR="00D06DD1" w:rsidRPr="003C054F" w:rsidRDefault="003C054F" w:rsidP="003C054F">
      <w:pPr>
        <w:spacing w:line="360" w:lineRule="auto"/>
        <w:jc w:val="center"/>
        <w:rPr>
          <w:b/>
          <w:bCs/>
          <w:sz w:val="32"/>
          <w:szCs w:val="32"/>
        </w:rPr>
      </w:pPr>
      <w:r w:rsidRPr="003C054F">
        <w:rPr>
          <w:b/>
          <w:bCs/>
          <w:sz w:val="32"/>
          <w:szCs w:val="32"/>
        </w:rPr>
        <w:t>Assessment Component 1</w:t>
      </w:r>
      <w:r>
        <w:rPr>
          <w:b/>
          <w:bCs/>
          <w:sz w:val="32"/>
          <w:szCs w:val="32"/>
        </w:rPr>
        <w:t xml:space="preserve">: </w:t>
      </w:r>
      <w:r w:rsidRPr="003C054F">
        <w:rPr>
          <w:b/>
          <w:bCs/>
          <w:sz w:val="32"/>
          <w:szCs w:val="32"/>
        </w:rPr>
        <w:t>Marketing Environment Analysis</w:t>
      </w:r>
    </w:p>
    <w:p w14:paraId="7318A69F" w14:textId="3C8948E6" w:rsidR="00D06DD1" w:rsidRDefault="003C054F" w:rsidP="003C054F">
      <w:pPr>
        <w:spacing w:line="360" w:lineRule="auto"/>
        <w:jc w:val="center"/>
        <w:rPr>
          <w:b/>
          <w:bCs/>
          <w:sz w:val="32"/>
          <w:szCs w:val="32"/>
        </w:rPr>
      </w:pPr>
      <w:r w:rsidRPr="003C054F">
        <w:rPr>
          <w:b/>
          <w:bCs/>
          <w:sz w:val="32"/>
          <w:szCs w:val="32"/>
        </w:rPr>
        <w:t>Programme Name:</w:t>
      </w:r>
      <w:r>
        <w:rPr>
          <w:b/>
          <w:bCs/>
          <w:sz w:val="32"/>
          <w:szCs w:val="32"/>
        </w:rPr>
        <w:t xml:space="preserve"> Master of</w:t>
      </w:r>
      <w:r w:rsidRPr="003C054F">
        <w:rPr>
          <w:b/>
          <w:bCs/>
          <w:sz w:val="32"/>
          <w:szCs w:val="32"/>
        </w:rPr>
        <w:t xml:space="preserve"> Business Administration</w:t>
      </w:r>
      <w:r>
        <w:rPr>
          <w:b/>
          <w:bCs/>
          <w:sz w:val="32"/>
          <w:szCs w:val="32"/>
        </w:rPr>
        <w:t xml:space="preserve"> (MBA)</w:t>
      </w:r>
    </w:p>
    <w:p w14:paraId="76C7E763" w14:textId="77777777" w:rsidR="003C054F" w:rsidRDefault="003C054F" w:rsidP="003C054F">
      <w:pPr>
        <w:spacing w:line="360" w:lineRule="auto"/>
        <w:jc w:val="center"/>
        <w:rPr>
          <w:b/>
          <w:bCs/>
          <w:sz w:val="32"/>
          <w:szCs w:val="32"/>
        </w:rPr>
      </w:pPr>
    </w:p>
    <w:p w14:paraId="6E04CB81" w14:textId="77777777" w:rsidR="003C054F" w:rsidRDefault="003C054F" w:rsidP="003C054F">
      <w:pPr>
        <w:spacing w:line="360" w:lineRule="auto"/>
        <w:jc w:val="center"/>
        <w:rPr>
          <w:b/>
          <w:bCs/>
          <w:sz w:val="32"/>
          <w:szCs w:val="32"/>
        </w:rPr>
      </w:pPr>
    </w:p>
    <w:p w14:paraId="63322F9D" w14:textId="4FAD53CC" w:rsidR="003C054F" w:rsidRPr="003C054F" w:rsidRDefault="003C054F" w:rsidP="003C054F">
      <w:pPr>
        <w:spacing w:line="360" w:lineRule="auto"/>
        <w:jc w:val="center"/>
        <w:rPr>
          <w:b/>
          <w:bCs/>
          <w:sz w:val="32"/>
          <w:szCs w:val="32"/>
        </w:rPr>
      </w:pPr>
      <w:r w:rsidRPr="003C054F">
        <w:rPr>
          <w:b/>
          <w:bCs/>
          <w:sz w:val="32"/>
          <w:szCs w:val="32"/>
        </w:rPr>
        <w:t>Module Name &amp; Code:</w:t>
      </w:r>
      <w:r>
        <w:rPr>
          <w:b/>
          <w:bCs/>
          <w:sz w:val="32"/>
          <w:szCs w:val="32"/>
        </w:rPr>
        <w:t xml:space="preserve"> </w:t>
      </w:r>
      <w:r w:rsidRPr="003C054F">
        <w:rPr>
          <w:b/>
          <w:bCs/>
          <w:sz w:val="32"/>
          <w:szCs w:val="32"/>
        </w:rPr>
        <w:t>Marketing Management</w:t>
      </w:r>
      <w:r>
        <w:rPr>
          <w:b/>
          <w:bCs/>
          <w:sz w:val="32"/>
          <w:szCs w:val="32"/>
        </w:rPr>
        <w:t xml:space="preserve"> (</w:t>
      </w:r>
      <w:r w:rsidRPr="003C054F">
        <w:rPr>
          <w:b/>
          <w:bCs/>
          <w:sz w:val="32"/>
          <w:szCs w:val="32"/>
        </w:rPr>
        <w:t>L</w:t>
      </w:r>
      <w:r>
        <w:rPr>
          <w:b/>
          <w:bCs/>
          <w:sz w:val="32"/>
          <w:szCs w:val="32"/>
        </w:rPr>
        <w:t>CMB</w:t>
      </w:r>
      <w:r w:rsidRPr="003C054F">
        <w:rPr>
          <w:b/>
          <w:bCs/>
          <w:sz w:val="32"/>
          <w:szCs w:val="32"/>
        </w:rPr>
        <w:t>7024</w:t>
      </w:r>
      <w:r>
        <w:rPr>
          <w:b/>
          <w:bCs/>
          <w:sz w:val="32"/>
          <w:szCs w:val="32"/>
        </w:rPr>
        <w:t>)</w:t>
      </w:r>
    </w:p>
    <w:p w14:paraId="13BD25A3" w14:textId="3A251F2E" w:rsidR="00D06DD1" w:rsidRPr="003C054F" w:rsidRDefault="003C054F" w:rsidP="003C054F">
      <w:pPr>
        <w:spacing w:line="360" w:lineRule="auto"/>
        <w:jc w:val="center"/>
        <w:rPr>
          <w:b/>
          <w:bCs/>
          <w:sz w:val="32"/>
          <w:szCs w:val="32"/>
        </w:rPr>
      </w:pPr>
      <w:r w:rsidRPr="003C054F">
        <w:rPr>
          <w:b/>
          <w:bCs/>
          <w:sz w:val="32"/>
          <w:szCs w:val="32"/>
        </w:rPr>
        <w:t>Submission Title:</w:t>
      </w:r>
      <w:r>
        <w:rPr>
          <w:b/>
          <w:bCs/>
          <w:sz w:val="32"/>
          <w:szCs w:val="32"/>
        </w:rPr>
        <w:t xml:space="preserve"> </w:t>
      </w:r>
      <w:r w:rsidRPr="003C054F">
        <w:rPr>
          <w:b/>
          <w:bCs/>
          <w:sz w:val="32"/>
          <w:szCs w:val="32"/>
        </w:rPr>
        <w:t>Marketing Management Broken Hill Propriet</w:t>
      </w:r>
      <w:r>
        <w:rPr>
          <w:b/>
          <w:bCs/>
          <w:sz w:val="32"/>
          <w:szCs w:val="32"/>
        </w:rPr>
        <w:t>ar</w:t>
      </w:r>
      <w:r w:rsidRPr="003C054F">
        <w:rPr>
          <w:b/>
          <w:bCs/>
          <w:sz w:val="32"/>
          <w:szCs w:val="32"/>
        </w:rPr>
        <w:t>y Company Limited</w:t>
      </w:r>
      <w:r>
        <w:rPr>
          <w:b/>
          <w:bCs/>
          <w:sz w:val="32"/>
          <w:szCs w:val="32"/>
        </w:rPr>
        <w:t xml:space="preserve"> (BHP)</w:t>
      </w:r>
    </w:p>
    <w:p w14:paraId="2F98375C" w14:textId="03B37543" w:rsidR="00D06DD1" w:rsidRDefault="003C054F" w:rsidP="003C054F">
      <w:pPr>
        <w:spacing w:line="360" w:lineRule="auto"/>
        <w:jc w:val="center"/>
        <w:rPr>
          <w:b/>
          <w:bCs/>
          <w:sz w:val="32"/>
          <w:szCs w:val="32"/>
        </w:rPr>
      </w:pPr>
      <w:r w:rsidRPr="003C054F">
        <w:rPr>
          <w:b/>
          <w:bCs/>
          <w:sz w:val="32"/>
          <w:szCs w:val="32"/>
        </w:rPr>
        <w:t>Lecturer</w:t>
      </w:r>
      <w:r>
        <w:rPr>
          <w:b/>
          <w:bCs/>
          <w:sz w:val="32"/>
          <w:szCs w:val="32"/>
        </w:rPr>
        <w:t>’s Name</w:t>
      </w:r>
      <w:r w:rsidRPr="003C054F">
        <w:rPr>
          <w:b/>
          <w:bCs/>
          <w:sz w:val="32"/>
          <w:szCs w:val="32"/>
        </w:rPr>
        <w:t xml:space="preserve">:  </w:t>
      </w:r>
      <w:proofErr w:type="spellStart"/>
      <w:r w:rsidRPr="003C054F">
        <w:rPr>
          <w:b/>
          <w:bCs/>
          <w:sz w:val="32"/>
          <w:szCs w:val="32"/>
        </w:rPr>
        <w:t>Taonga</w:t>
      </w:r>
      <w:proofErr w:type="spellEnd"/>
      <w:r w:rsidRPr="003C054F">
        <w:rPr>
          <w:b/>
          <w:bCs/>
          <w:sz w:val="32"/>
          <w:szCs w:val="32"/>
        </w:rPr>
        <w:t xml:space="preserve"> </w:t>
      </w:r>
      <w:proofErr w:type="spellStart"/>
      <w:r w:rsidRPr="003C054F">
        <w:rPr>
          <w:b/>
          <w:bCs/>
          <w:sz w:val="32"/>
          <w:szCs w:val="32"/>
        </w:rPr>
        <w:t>Kaonga</w:t>
      </w:r>
      <w:proofErr w:type="spellEnd"/>
      <w:r w:rsidRPr="003C054F">
        <w:rPr>
          <w:b/>
          <w:bCs/>
          <w:sz w:val="32"/>
          <w:szCs w:val="32"/>
        </w:rPr>
        <w:t xml:space="preserve"> </w:t>
      </w:r>
      <w:proofErr w:type="spellStart"/>
      <w:r w:rsidRPr="003C054F">
        <w:rPr>
          <w:b/>
          <w:bCs/>
          <w:sz w:val="32"/>
          <w:szCs w:val="32"/>
        </w:rPr>
        <w:t>Sobere-Snithers</w:t>
      </w:r>
      <w:proofErr w:type="spellEnd"/>
    </w:p>
    <w:p w14:paraId="230C1F2F" w14:textId="77777777" w:rsidR="003C054F" w:rsidRPr="003C054F" w:rsidRDefault="003C054F" w:rsidP="003C054F">
      <w:pPr>
        <w:spacing w:line="360" w:lineRule="auto"/>
        <w:jc w:val="center"/>
        <w:rPr>
          <w:b/>
          <w:bCs/>
          <w:sz w:val="32"/>
          <w:szCs w:val="32"/>
        </w:rPr>
      </w:pPr>
    </w:p>
    <w:p w14:paraId="7D90A36D" w14:textId="77777777" w:rsidR="00D06DD1" w:rsidRPr="003C054F" w:rsidRDefault="00D06DD1" w:rsidP="003C054F">
      <w:pPr>
        <w:spacing w:line="360" w:lineRule="auto"/>
        <w:jc w:val="center"/>
        <w:rPr>
          <w:b/>
          <w:bCs/>
          <w:sz w:val="32"/>
          <w:szCs w:val="32"/>
        </w:rPr>
      </w:pPr>
    </w:p>
    <w:p w14:paraId="4D2FD102" w14:textId="231522D2" w:rsidR="00D06DD1" w:rsidRPr="003C054F" w:rsidRDefault="003C054F" w:rsidP="003C054F">
      <w:pPr>
        <w:spacing w:line="360" w:lineRule="auto"/>
        <w:jc w:val="center"/>
        <w:rPr>
          <w:b/>
          <w:bCs/>
          <w:sz w:val="32"/>
          <w:szCs w:val="32"/>
        </w:rPr>
      </w:pPr>
      <w:r>
        <w:rPr>
          <w:b/>
          <w:bCs/>
          <w:sz w:val="32"/>
          <w:szCs w:val="32"/>
        </w:rPr>
        <w:t>S</w:t>
      </w:r>
      <w:r w:rsidRPr="003C054F">
        <w:rPr>
          <w:b/>
          <w:bCs/>
          <w:sz w:val="32"/>
          <w:szCs w:val="32"/>
        </w:rPr>
        <w:t>tudent Name:</w:t>
      </w:r>
      <w:r>
        <w:rPr>
          <w:b/>
          <w:bCs/>
          <w:sz w:val="32"/>
          <w:szCs w:val="32"/>
        </w:rPr>
        <w:t xml:space="preserve"> </w:t>
      </w:r>
      <w:proofErr w:type="spellStart"/>
      <w:r w:rsidRPr="003C054F">
        <w:rPr>
          <w:b/>
          <w:bCs/>
          <w:sz w:val="32"/>
          <w:szCs w:val="32"/>
        </w:rPr>
        <w:t>Jaybhai</w:t>
      </w:r>
      <w:proofErr w:type="spellEnd"/>
      <w:r w:rsidRPr="003C054F">
        <w:rPr>
          <w:b/>
          <w:bCs/>
          <w:sz w:val="32"/>
          <w:szCs w:val="32"/>
        </w:rPr>
        <w:t xml:space="preserve"> </w:t>
      </w:r>
      <w:proofErr w:type="spellStart"/>
      <w:r w:rsidRPr="003C054F">
        <w:rPr>
          <w:b/>
          <w:bCs/>
          <w:sz w:val="32"/>
          <w:szCs w:val="32"/>
        </w:rPr>
        <w:t>Rajendrabhai</w:t>
      </w:r>
      <w:proofErr w:type="spellEnd"/>
      <w:r w:rsidRPr="003C054F">
        <w:rPr>
          <w:b/>
          <w:bCs/>
          <w:sz w:val="32"/>
          <w:szCs w:val="32"/>
        </w:rPr>
        <w:t xml:space="preserve"> Joshi</w:t>
      </w:r>
    </w:p>
    <w:p w14:paraId="3E7228C5" w14:textId="43B75A6E" w:rsidR="00D06DD1" w:rsidRDefault="003C054F" w:rsidP="003C054F">
      <w:pPr>
        <w:spacing w:line="360" w:lineRule="auto"/>
        <w:jc w:val="center"/>
        <w:rPr>
          <w:b/>
          <w:bCs/>
          <w:sz w:val="32"/>
          <w:szCs w:val="32"/>
        </w:rPr>
      </w:pPr>
      <w:r w:rsidRPr="003C054F">
        <w:rPr>
          <w:b/>
          <w:bCs/>
          <w:sz w:val="32"/>
          <w:szCs w:val="32"/>
        </w:rPr>
        <w:t>Student Id:</w:t>
      </w:r>
      <w:r>
        <w:rPr>
          <w:b/>
          <w:bCs/>
          <w:sz w:val="32"/>
          <w:szCs w:val="32"/>
        </w:rPr>
        <w:t xml:space="preserve"> </w:t>
      </w:r>
      <w:r w:rsidRPr="003C054F">
        <w:rPr>
          <w:b/>
          <w:bCs/>
          <w:sz w:val="32"/>
          <w:szCs w:val="32"/>
        </w:rPr>
        <w:t>2604116</w:t>
      </w:r>
    </w:p>
    <w:p w14:paraId="0ECA850A" w14:textId="77777777" w:rsidR="003C054F" w:rsidRDefault="003C054F" w:rsidP="003C054F">
      <w:pPr>
        <w:spacing w:line="360" w:lineRule="auto"/>
        <w:jc w:val="center"/>
        <w:rPr>
          <w:b/>
          <w:bCs/>
          <w:sz w:val="32"/>
          <w:szCs w:val="32"/>
        </w:rPr>
      </w:pPr>
    </w:p>
    <w:p w14:paraId="6C151450" w14:textId="0ADF5CEE" w:rsidR="003C054F" w:rsidRDefault="003C054F" w:rsidP="003C054F">
      <w:pPr>
        <w:spacing w:line="360" w:lineRule="auto"/>
        <w:jc w:val="center"/>
        <w:rPr>
          <w:b/>
          <w:bCs/>
          <w:sz w:val="32"/>
          <w:szCs w:val="32"/>
        </w:rPr>
      </w:pPr>
      <w:r>
        <w:rPr>
          <w:b/>
          <w:bCs/>
          <w:sz w:val="32"/>
          <w:szCs w:val="32"/>
        </w:rPr>
        <w:t>Word Count: 2697</w:t>
      </w:r>
    </w:p>
    <w:p w14:paraId="7A512EC1" w14:textId="177BAE88" w:rsidR="003C054F" w:rsidRPr="003C054F" w:rsidRDefault="003C054F" w:rsidP="003C054F">
      <w:pPr>
        <w:spacing w:line="360" w:lineRule="auto"/>
        <w:jc w:val="center"/>
        <w:rPr>
          <w:b/>
          <w:bCs/>
          <w:sz w:val="32"/>
          <w:szCs w:val="32"/>
        </w:rPr>
      </w:pPr>
      <w:r w:rsidRPr="003C054F">
        <w:rPr>
          <w:b/>
          <w:bCs/>
          <w:sz w:val="32"/>
          <w:szCs w:val="32"/>
        </w:rPr>
        <w:t>Submission Date:</w:t>
      </w:r>
      <w:r>
        <w:rPr>
          <w:b/>
          <w:bCs/>
          <w:sz w:val="32"/>
          <w:szCs w:val="32"/>
        </w:rPr>
        <w:t xml:space="preserve"> </w:t>
      </w:r>
      <w:r w:rsidRPr="003C054F">
        <w:rPr>
          <w:b/>
          <w:bCs/>
          <w:sz w:val="32"/>
          <w:szCs w:val="32"/>
        </w:rPr>
        <w:t>22/10/2026</w:t>
      </w:r>
    </w:p>
    <w:p w14:paraId="59CF21D1" w14:textId="77777777" w:rsidR="003C054F" w:rsidRDefault="003C054F" w:rsidP="003C054F">
      <w:pPr>
        <w:spacing w:line="360" w:lineRule="auto"/>
        <w:jc w:val="center"/>
        <w:rPr>
          <w:b/>
          <w:bCs/>
          <w:sz w:val="32"/>
          <w:szCs w:val="32"/>
        </w:rPr>
      </w:pPr>
    </w:p>
    <w:p w14:paraId="795ED21A" w14:textId="77777777" w:rsidR="003C054F" w:rsidRDefault="003C054F" w:rsidP="003C054F">
      <w:pPr>
        <w:spacing w:line="360" w:lineRule="auto"/>
        <w:jc w:val="center"/>
        <w:rPr>
          <w:b/>
          <w:bCs/>
          <w:sz w:val="32"/>
          <w:szCs w:val="32"/>
        </w:rPr>
      </w:pPr>
    </w:p>
    <w:p w14:paraId="45AF1E44" w14:textId="77777777" w:rsidR="003C054F" w:rsidRPr="003C054F" w:rsidRDefault="003C054F" w:rsidP="003C054F">
      <w:pPr>
        <w:spacing w:line="360" w:lineRule="auto"/>
        <w:jc w:val="center"/>
        <w:rPr>
          <w:b/>
          <w:bCs/>
          <w:sz w:val="32"/>
          <w:szCs w:val="32"/>
        </w:rPr>
      </w:pPr>
    </w:p>
    <w:p w14:paraId="3C92EEC0" w14:textId="77777777" w:rsidR="00D06DD1" w:rsidRPr="00F1008C" w:rsidRDefault="009E5C34" w:rsidP="00171781">
      <w:pPr>
        <w:spacing w:line="360" w:lineRule="auto"/>
        <w:jc w:val="center"/>
      </w:pPr>
      <w:r w:rsidRPr="00F1008C">
        <w:br w:type="page"/>
      </w:r>
    </w:p>
    <w:p w14:paraId="6BDE05C7" w14:textId="77777777" w:rsidR="00D06DD1" w:rsidRPr="00F1008C" w:rsidRDefault="00D06DD1" w:rsidP="00171781">
      <w:pPr>
        <w:spacing w:line="360" w:lineRule="auto"/>
      </w:pPr>
    </w:p>
    <w:p w14:paraId="3F908ED1" w14:textId="77777777" w:rsidR="00D06DD1" w:rsidRPr="00F1008C" w:rsidRDefault="009E5C34" w:rsidP="00171781">
      <w:pPr>
        <w:keepNext/>
        <w:keepLines/>
        <w:pBdr>
          <w:top w:val="nil"/>
          <w:left w:val="nil"/>
          <w:bottom w:val="nil"/>
          <w:right w:val="nil"/>
          <w:between w:val="nil"/>
        </w:pBdr>
        <w:spacing w:before="240" w:line="360" w:lineRule="auto"/>
        <w:jc w:val="center"/>
        <w:rPr>
          <w:rFonts w:eastAsia="Calibri"/>
          <w:b/>
          <w:bCs/>
          <w:color w:val="000000"/>
          <w:sz w:val="32"/>
          <w:szCs w:val="32"/>
        </w:rPr>
      </w:pPr>
      <w:r w:rsidRPr="00F1008C">
        <w:rPr>
          <w:rFonts w:eastAsia="Calibri"/>
          <w:b/>
          <w:bCs/>
          <w:color w:val="000000"/>
          <w:sz w:val="32"/>
          <w:szCs w:val="32"/>
        </w:rPr>
        <w:t>Table of Contents</w:t>
      </w:r>
    </w:p>
    <w:sdt>
      <w:sdtPr>
        <w:id w:val="1889916561"/>
        <w:docPartObj>
          <w:docPartGallery w:val="Table of Contents"/>
          <w:docPartUnique/>
        </w:docPartObj>
      </w:sdtPr>
      <w:sdtEndPr/>
      <w:sdtContent>
        <w:p w14:paraId="533B7C66" w14:textId="22B8F3EE" w:rsidR="00171781" w:rsidRDefault="009E5C34" w:rsidP="00171781">
          <w:pPr>
            <w:pStyle w:val="TOC1"/>
            <w:tabs>
              <w:tab w:val="right" w:pos="9350"/>
            </w:tabs>
            <w:spacing w:line="360" w:lineRule="auto"/>
            <w:rPr>
              <w:rFonts w:asciiTheme="minorHAnsi" w:eastAsiaTheme="minorEastAsia" w:hAnsiTheme="minorHAnsi" w:cstheme="minorBidi"/>
              <w:noProof/>
              <w:kern w:val="2"/>
              <w:lang w:val="en-IN" w:eastAsia="en-IN"/>
              <w14:ligatures w14:val="standardContextual"/>
            </w:rPr>
          </w:pPr>
          <w:r w:rsidRPr="00F1008C">
            <w:fldChar w:fldCharType="begin"/>
          </w:r>
          <w:r w:rsidRPr="00F1008C">
            <w:instrText xml:space="preserve"> TOC \h \u \z \t "Heading 1,1,Heading 2,2,Heading 3,3,"</w:instrText>
          </w:r>
          <w:r w:rsidRPr="00F1008C">
            <w:fldChar w:fldCharType="separate"/>
          </w:r>
          <w:hyperlink w:anchor="_Toc243565900" w:history="1">
            <w:r w:rsidR="00171781" w:rsidRPr="005840AE">
              <w:rPr>
                <w:rStyle w:val="Hyperlink"/>
                <w:noProof/>
              </w:rPr>
              <w:t xml:space="preserve">1.0 Task 1 - </w:t>
            </w:r>
            <w:bookmarkStart w:id="0" w:name="_GoBack"/>
            <w:bookmarkEnd w:id="0"/>
            <w:r w:rsidR="00171781" w:rsidRPr="005840AE">
              <w:rPr>
                <w:rStyle w:val="Hyperlink"/>
                <w:noProof/>
              </w:rPr>
              <w:t>Marketing Environment Analysis</w:t>
            </w:r>
            <w:r w:rsidR="00171781">
              <w:rPr>
                <w:noProof/>
                <w:webHidden/>
              </w:rPr>
              <w:tab/>
            </w:r>
            <w:r w:rsidR="00171781">
              <w:rPr>
                <w:noProof/>
                <w:webHidden/>
              </w:rPr>
              <w:fldChar w:fldCharType="begin"/>
            </w:r>
            <w:r w:rsidR="00171781">
              <w:rPr>
                <w:noProof/>
                <w:webHidden/>
              </w:rPr>
              <w:instrText xml:space="preserve"> PAGEREF _Toc243565900 \h </w:instrText>
            </w:r>
            <w:r w:rsidR="00171781">
              <w:rPr>
                <w:noProof/>
                <w:webHidden/>
              </w:rPr>
            </w:r>
            <w:r w:rsidR="00171781">
              <w:rPr>
                <w:noProof/>
                <w:webHidden/>
              </w:rPr>
              <w:fldChar w:fldCharType="separate"/>
            </w:r>
            <w:r w:rsidR="00CF7699">
              <w:rPr>
                <w:noProof/>
                <w:webHidden/>
              </w:rPr>
              <w:t>3</w:t>
            </w:r>
            <w:r w:rsidR="00171781">
              <w:rPr>
                <w:noProof/>
                <w:webHidden/>
              </w:rPr>
              <w:fldChar w:fldCharType="end"/>
            </w:r>
          </w:hyperlink>
        </w:p>
        <w:p w14:paraId="2C204347" w14:textId="47A6C068" w:rsidR="00171781" w:rsidRDefault="00EA7E53" w:rsidP="00171781">
          <w:pPr>
            <w:pStyle w:val="TOC2"/>
            <w:tabs>
              <w:tab w:val="right" w:pos="9350"/>
            </w:tabs>
            <w:spacing w:line="360" w:lineRule="auto"/>
            <w:rPr>
              <w:rFonts w:asciiTheme="minorHAnsi" w:eastAsiaTheme="minorEastAsia" w:hAnsiTheme="minorHAnsi" w:cstheme="minorBidi"/>
              <w:noProof/>
              <w:kern w:val="2"/>
              <w:lang w:val="en-IN" w:eastAsia="en-IN"/>
              <w14:ligatures w14:val="standardContextual"/>
            </w:rPr>
          </w:pPr>
          <w:hyperlink w:anchor="_Toc243565901" w:history="1">
            <w:r w:rsidR="00171781" w:rsidRPr="005840AE">
              <w:rPr>
                <w:rStyle w:val="Hyperlink"/>
                <w:noProof/>
              </w:rPr>
              <w:t>1.1 Introduction to BHP and the Lower-Carbon Transition</w:t>
            </w:r>
            <w:r w:rsidR="00171781">
              <w:rPr>
                <w:noProof/>
                <w:webHidden/>
              </w:rPr>
              <w:tab/>
            </w:r>
            <w:r w:rsidR="00171781">
              <w:rPr>
                <w:noProof/>
                <w:webHidden/>
              </w:rPr>
              <w:fldChar w:fldCharType="begin"/>
            </w:r>
            <w:r w:rsidR="00171781">
              <w:rPr>
                <w:noProof/>
                <w:webHidden/>
              </w:rPr>
              <w:instrText xml:space="preserve"> PAGEREF _Toc243565901 \h </w:instrText>
            </w:r>
            <w:r w:rsidR="00171781">
              <w:rPr>
                <w:noProof/>
                <w:webHidden/>
              </w:rPr>
            </w:r>
            <w:r w:rsidR="00171781">
              <w:rPr>
                <w:noProof/>
                <w:webHidden/>
              </w:rPr>
              <w:fldChar w:fldCharType="separate"/>
            </w:r>
            <w:r w:rsidR="00CF7699">
              <w:rPr>
                <w:noProof/>
                <w:webHidden/>
              </w:rPr>
              <w:t>3</w:t>
            </w:r>
            <w:r w:rsidR="00171781">
              <w:rPr>
                <w:noProof/>
                <w:webHidden/>
              </w:rPr>
              <w:fldChar w:fldCharType="end"/>
            </w:r>
          </w:hyperlink>
        </w:p>
        <w:p w14:paraId="6CC1B5AF" w14:textId="4CAAE0E5" w:rsidR="00171781" w:rsidRDefault="00EA7E53" w:rsidP="00171781">
          <w:pPr>
            <w:pStyle w:val="TOC2"/>
            <w:tabs>
              <w:tab w:val="right" w:pos="9350"/>
            </w:tabs>
            <w:spacing w:line="360" w:lineRule="auto"/>
            <w:rPr>
              <w:rFonts w:asciiTheme="minorHAnsi" w:eastAsiaTheme="minorEastAsia" w:hAnsiTheme="minorHAnsi" w:cstheme="minorBidi"/>
              <w:noProof/>
              <w:kern w:val="2"/>
              <w:lang w:val="en-IN" w:eastAsia="en-IN"/>
              <w14:ligatures w14:val="standardContextual"/>
            </w:rPr>
          </w:pPr>
          <w:hyperlink w:anchor="_Toc243565902" w:history="1">
            <w:r w:rsidR="00171781" w:rsidRPr="005840AE">
              <w:rPr>
                <w:rStyle w:val="Hyperlink"/>
                <w:noProof/>
              </w:rPr>
              <w:t>1.2 External Actor 1 - Natural Environment and Decarbonisation Pressures</w:t>
            </w:r>
            <w:r w:rsidR="00171781">
              <w:rPr>
                <w:noProof/>
                <w:webHidden/>
              </w:rPr>
              <w:tab/>
            </w:r>
            <w:r w:rsidR="00171781">
              <w:rPr>
                <w:noProof/>
                <w:webHidden/>
              </w:rPr>
              <w:fldChar w:fldCharType="begin"/>
            </w:r>
            <w:r w:rsidR="00171781">
              <w:rPr>
                <w:noProof/>
                <w:webHidden/>
              </w:rPr>
              <w:instrText xml:space="preserve"> PAGEREF _Toc243565902 \h </w:instrText>
            </w:r>
            <w:r w:rsidR="00171781">
              <w:rPr>
                <w:noProof/>
                <w:webHidden/>
              </w:rPr>
            </w:r>
            <w:r w:rsidR="00171781">
              <w:rPr>
                <w:noProof/>
                <w:webHidden/>
              </w:rPr>
              <w:fldChar w:fldCharType="separate"/>
            </w:r>
            <w:r w:rsidR="00CF7699">
              <w:rPr>
                <w:noProof/>
                <w:webHidden/>
              </w:rPr>
              <w:t>3</w:t>
            </w:r>
            <w:r w:rsidR="00171781">
              <w:rPr>
                <w:noProof/>
                <w:webHidden/>
              </w:rPr>
              <w:fldChar w:fldCharType="end"/>
            </w:r>
          </w:hyperlink>
        </w:p>
        <w:p w14:paraId="5E63F1EF" w14:textId="77A0669B" w:rsidR="00171781" w:rsidRDefault="00EA7E53" w:rsidP="00171781">
          <w:pPr>
            <w:pStyle w:val="TOC2"/>
            <w:tabs>
              <w:tab w:val="right" w:pos="9350"/>
            </w:tabs>
            <w:spacing w:line="360" w:lineRule="auto"/>
            <w:rPr>
              <w:rFonts w:asciiTheme="minorHAnsi" w:eastAsiaTheme="minorEastAsia" w:hAnsiTheme="minorHAnsi" w:cstheme="minorBidi"/>
              <w:noProof/>
              <w:kern w:val="2"/>
              <w:lang w:val="en-IN" w:eastAsia="en-IN"/>
              <w14:ligatures w14:val="standardContextual"/>
            </w:rPr>
          </w:pPr>
          <w:hyperlink w:anchor="_Toc243565903" w:history="1">
            <w:r w:rsidR="00171781" w:rsidRPr="005840AE">
              <w:rPr>
                <w:rStyle w:val="Hyperlink"/>
                <w:noProof/>
              </w:rPr>
              <w:t>1.2.1Economic Actor</w:t>
            </w:r>
            <w:r w:rsidR="00171781">
              <w:rPr>
                <w:noProof/>
                <w:webHidden/>
              </w:rPr>
              <w:tab/>
            </w:r>
            <w:r w:rsidR="00171781">
              <w:rPr>
                <w:noProof/>
                <w:webHidden/>
              </w:rPr>
              <w:fldChar w:fldCharType="begin"/>
            </w:r>
            <w:r w:rsidR="00171781">
              <w:rPr>
                <w:noProof/>
                <w:webHidden/>
              </w:rPr>
              <w:instrText xml:space="preserve"> PAGEREF _Toc243565903 \h </w:instrText>
            </w:r>
            <w:r w:rsidR="00171781">
              <w:rPr>
                <w:noProof/>
                <w:webHidden/>
              </w:rPr>
            </w:r>
            <w:r w:rsidR="00171781">
              <w:rPr>
                <w:noProof/>
                <w:webHidden/>
              </w:rPr>
              <w:fldChar w:fldCharType="separate"/>
            </w:r>
            <w:r w:rsidR="00CF7699">
              <w:rPr>
                <w:noProof/>
                <w:webHidden/>
              </w:rPr>
              <w:t>4</w:t>
            </w:r>
            <w:r w:rsidR="00171781">
              <w:rPr>
                <w:noProof/>
                <w:webHidden/>
              </w:rPr>
              <w:fldChar w:fldCharType="end"/>
            </w:r>
          </w:hyperlink>
        </w:p>
        <w:p w14:paraId="3B45454D" w14:textId="49B66040" w:rsidR="00171781" w:rsidRDefault="00EA7E53" w:rsidP="00171781">
          <w:pPr>
            <w:pStyle w:val="TOC2"/>
            <w:tabs>
              <w:tab w:val="right" w:pos="9350"/>
            </w:tabs>
            <w:spacing w:line="360" w:lineRule="auto"/>
            <w:rPr>
              <w:rFonts w:asciiTheme="minorHAnsi" w:eastAsiaTheme="minorEastAsia" w:hAnsiTheme="minorHAnsi" w:cstheme="minorBidi"/>
              <w:noProof/>
              <w:kern w:val="2"/>
              <w:lang w:val="en-IN" w:eastAsia="en-IN"/>
              <w14:ligatures w14:val="standardContextual"/>
            </w:rPr>
          </w:pPr>
          <w:hyperlink w:anchor="_Toc243565904" w:history="1">
            <w:r w:rsidR="00171781" w:rsidRPr="005840AE">
              <w:rPr>
                <w:rStyle w:val="Hyperlink"/>
                <w:noProof/>
              </w:rPr>
              <w:t>1.3 External Actor 3 – Social -Demand for Lower-Carbon Products</w:t>
            </w:r>
            <w:r w:rsidR="00171781">
              <w:rPr>
                <w:noProof/>
                <w:webHidden/>
              </w:rPr>
              <w:tab/>
            </w:r>
            <w:r w:rsidR="00171781">
              <w:rPr>
                <w:noProof/>
                <w:webHidden/>
              </w:rPr>
              <w:fldChar w:fldCharType="begin"/>
            </w:r>
            <w:r w:rsidR="00171781">
              <w:rPr>
                <w:noProof/>
                <w:webHidden/>
              </w:rPr>
              <w:instrText xml:space="preserve"> PAGEREF _Toc243565904 \h </w:instrText>
            </w:r>
            <w:r w:rsidR="00171781">
              <w:rPr>
                <w:noProof/>
                <w:webHidden/>
              </w:rPr>
            </w:r>
            <w:r w:rsidR="00171781">
              <w:rPr>
                <w:noProof/>
                <w:webHidden/>
              </w:rPr>
              <w:fldChar w:fldCharType="separate"/>
            </w:r>
            <w:r w:rsidR="00CF7699">
              <w:rPr>
                <w:noProof/>
                <w:webHidden/>
              </w:rPr>
              <w:t>6</w:t>
            </w:r>
            <w:r w:rsidR="00171781">
              <w:rPr>
                <w:noProof/>
                <w:webHidden/>
              </w:rPr>
              <w:fldChar w:fldCharType="end"/>
            </w:r>
          </w:hyperlink>
        </w:p>
        <w:p w14:paraId="6B806EE4" w14:textId="6D818058" w:rsidR="00171781" w:rsidRDefault="00EA7E53" w:rsidP="00171781">
          <w:pPr>
            <w:pStyle w:val="TOC2"/>
            <w:tabs>
              <w:tab w:val="right" w:pos="9350"/>
            </w:tabs>
            <w:spacing w:line="360" w:lineRule="auto"/>
            <w:rPr>
              <w:rFonts w:asciiTheme="minorHAnsi" w:eastAsiaTheme="minorEastAsia" w:hAnsiTheme="minorHAnsi" w:cstheme="minorBidi"/>
              <w:noProof/>
              <w:kern w:val="2"/>
              <w:lang w:val="en-IN" w:eastAsia="en-IN"/>
              <w14:ligatures w14:val="standardContextual"/>
            </w:rPr>
          </w:pPr>
          <w:hyperlink w:anchor="_Toc243565905" w:history="1">
            <w:r w:rsidR="00171781" w:rsidRPr="005840AE">
              <w:rPr>
                <w:rStyle w:val="Hyperlink"/>
                <w:noProof/>
              </w:rPr>
              <w:t>1.3.1 Competitors and Competitive Pressure</w:t>
            </w:r>
            <w:r w:rsidR="00171781">
              <w:rPr>
                <w:noProof/>
                <w:webHidden/>
              </w:rPr>
              <w:tab/>
            </w:r>
            <w:r w:rsidR="00171781">
              <w:rPr>
                <w:noProof/>
                <w:webHidden/>
              </w:rPr>
              <w:fldChar w:fldCharType="begin"/>
            </w:r>
            <w:r w:rsidR="00171781">
              <w:rPr>
                <w:noProof/>
                <w:webHidden/>
              </w:rPr>
              <w:instrText xml:space="preserve"> PAGEREF _Toc243565905 \h </w:instrText>
            </w:r>
            <w:r w:rsidR="00171781">
              <w:rPr>
                <w:noProof/>
                <w:webHidden/>
              </w:rPr>
            </w:r>
            <w:r w:rsidR="00171781">
              <w:rPr>
                <w:noProof/>
                <w:webHidden/>
              </w:rPr>
              <w:fldChar w:fldCharType="separate"/>
            </w:r>
            <w:r w:rsidR="00CF7699">
              <w:rPr>
                <w:noProof/>
                <w:webHidden/>
              </w:rPr>
              <w:t>7</w:t>
            </w:r>
            <w:r w:rsidR="00171781">
              <w:rPr>
                <w:noProof/>
                <w:webHidden/>
              </w:rPr>
              <w:fldChar w:fldCharType="end"/>
            </w:r>
          </w:hyperlink>
        </w:p>
        <w:p w14:paraId="392B0B74" w14:textId="67E81326" w:rsidR="00171781" w:rsidRDefault="00EA7E53" w:rsidP="00171781">
          <w:pPr>
            <w:pStyle w:val="TOC2"/>
            <w:tabs>
              <w:tab w:val="right" w:pos="9350"/>
            </w:tabs>
            <w:spacing w:line="360" w:lineRule="auto"/>
            <w:rPr>
              <w:rFonts w:asciiTheme="minorHAnsi" w:eastAsiaTheme="minorEastAsia" w:hAnsiTheme="minorHAnsi" w:cstheme="minorBidi"/>
              <w:noProof/>
              <w:kern w:val="2"/>
              <w:lang w:val="en-IN" w:eastAsia="en-IN"/>
              <w14:ligatures w14:val="standardContextual"/>
            </w:rPr>
          </w:pPr>
          <w:hyperlink w:anchor="_Toc243565906" w:history="1">
            <w:r w:rsidR="00171781" w:rsidRPr="005840AE">
              <w:rPr>
                <w:rStyle w:val="Hyperlink"/>
                <w:noProof/>
              </w:rPr>
              <w:t>1.5 Critical Evaluation: Marketing Opportunities and Threats for BHP</w:t>
            </w:r>
            <w:r w:rsidR="00171781">
              <w:rPr>
                <w:noProof/>
                <w:webHidden/>
              </w:rPr>
              <w:tab/>
            </w:r>
            <w:r w:rsidR="00171781">
              <w:rPr>
                <w:noProof/>
                <w:webHidden/>
              </w:rPr>
              <w:fldChar w:fldCharType="begin"/>
            </w:r>
            <w:r w:rsidR="00171781">
              <w:rPr>
                <w:noProof/>
                <w:webHidden/>
              </w:rPr>
              <w:instrText xml:space="preserve"> PAGEREF _Toc243565906 \h </w:instrText>
            </w:r>
            <w:r w:rsidR="00171781">
              <w:rPr>
                <w:noProof/>
                <w:webHidden/>
              </w:rPr>
            </w:r>
            <w:r w:rsidR="00171781">
              <w:rPr>
                <w:noProof/>
                <w:webHidden/>
              </w:rPr>
              <w:fldChar w:fldCharType="separate"/>
            </w:r>
            <w:r w:rsidR="00CF7699">
              <w:rPr>
                <w:noProof/>
                <w:webHidden/>
              </w:rPr>
              <w:t>8</w:t>
            </w:r>
            <w:r w:rsidR="00171781">
              <w:rPr>
                <w:noProof/>
                <w:webHidden/>
              </w:rPr>
              <w:fldChar w:fldCharType="end"/>
            </w:r>
          </w:hyperlink>
        </w:p>
        <w:p w14:paraId="436326E6" w14:textId="4EBB5C52" w:rsidR="00171781" w:rsidRDefault="00EA7E53" w:rsidP="00171781">
          <w:pPr>
            <w:pStyle w:val="TOC1"/>
            <w:tabs>
              <w:tab w:val="right" w:pos="9350"/>
            </w:tabs>
            <w:spacing w:line="360" w:lineRule="auto"/>
            <w:rPr>
              <w:rFonts w:asciiTheme="minorHAnsi" w:eastAsiaTheme="minorEastAsia" w:hAnsiTheme="minorHAnsi" w:cstheme="minorBidi"/>
              <w:noProof/>
              <w:kern w:val="2"/>
              <w:lang w:val="en-IN" w:eastAsia="en-IN"/>
              <w14:ligatures w14:val="standardContextual"/>
            </w:rPr>
          </w:pPr>
          <w:hyperlink w:anchor="_Toc243565907" w:history="1">
            <w:r w:rsidR="00171781" w:rsidRPr="005840AE">
              <w:rPr>
                <w:rStyle w:val="Hyperlink"/>
                <w:noProof/>
              </w:rPr>
              <w:t>2.0 Task 2 - Strategic Growth and Competitive Positioning</w:t>
            </w:r>
            <w:r w:rsidR="00171781">
              <w:rPr>
                <w:noProof/>
                <w:webHidden/>
              </w:rPr>
              <w:tab/>
            </w:r>
            <w:r w:rsidR="00171781">
              <w:rPr>
                <w:noProof/>
                <w:webHidden/>
              </w:rPr>
              <w:fldChar w:fldCharType="begin"/>
            </w:r>
            <w:r w:rsidR="00171781">
              <w:rPr>
                <w:noProof/>
                <w:webHidden/>
              </w:rPr>
              <w:instrText xml:space="preserve"> PAGEREF _Toc243565907 \h </w:instrText>
            </w:r>
            <w:r w:rsidR="00171781">
              <w:rPr>
                <w:noProof/>
                <w:webHidden/>
              </w:rPr>
            </w:r>
            <w:r w:rsidR="00171781">
              <w:rPr>
                <w:noProof/>
                <w:webHidden/>
              </w:rPr>
              <w:fldChar w:fldCharType="separate"/>
            </w:r>
            <w:r w:rsidR="00CF7699">
              <w:rPr>
                <w:noProof/>
                <w:webHidden/>
              </w:rPr>
              <w:t>9</w:t>
            </w:r>
            <w:r w:rsidR="00171781">
              <w:rPr>
                <w:noProof/>
                <w:webHidden/>
              </w:rPr>
              <w:fldChar w:fldCharType="end"/>
            </w:r>
          </w:hyperlink>
        </w:p>
        <w:p w14:paraId="4DD82384" w14:textId="78CD2AA5" w:rsidR="00171781" w:rsidRDefault="00EA7E53" w:rsidP="00171781">
          <w:pPr>
            <w:pStyle w:val="TOC2"/>
            <w:tabs>
              <w:tab w:val="right" w:pos="9350"/>
            </w:tabs>
            <w:spacing w:line="360" w:lineRule="auto"/>
            <w:rPr>
              <w:rFonts w:asciiTheme="minorHAnsi" w:eastAsiaTheme="minorEastAsia" w:hAnsiTheme="minorHAnsi" w:cstheme="minorBidi"/>
              <w:noProof/>
              <w:kern w:val="2"/>
              <w:lang w:val="en-IN" w:eastAsia="en-IN"/>
              <w14:ligatures w14:val="standardContextual"/>
            </w:rPr>
          </w:pPr>
          <w:hyperlink w:anchor="_Toc243565908" w:history="1">
            <w:r w:rsidR="00171781" w:rsidRPr="005840AE">
              <w:rPr>
                <w:rStyle w:val="Hyperlink"/>
                <w:noProof/>
              </w:rPr>
              <w:t>2.1 Application of the Ansoff Matrix</w:t>
            </w:r>
            <w:r w:rsidR="00171781">
              <w:rPr>
                <w:noProof/>
                <w:webHidden/>
              </w:rPr>
              <w:tab/>
            </w:r>
            <w:r w:rsidR="00171781">
              <w:rPr>
                <w:noProof/>
                <w:webHidden/>
              </w:rPr>
              <w:fldChar w:fldCharType="begin"/>
            </w:r>
            <w:r w:rsidR="00171781">
              <w:rPr>
                <w:noProof/>
                <w:webHidden/>
              </w:rPr>
              <w:instrText xml:space="preserve"> PAGEREF _Toc243565908 \h </w:instrText>
            </w:r>
            <w:r w:rsidR="00171781">
              <w:rPr>
                <w:noProof/>
                <w:webHidden/>
              </w:rPr>
            </w:r>
            <w:r w:rsidR="00171781">
              <w:rPr>
                <w:noProof/>
                <w:webHidden/>
              </w:rPr>
              <w:fldChar w:fldCharType="separate"/>
            </w:r>
            <w:r w:rsidR="00CF7699">
              <w:rPr>
                <w:noProof/>
                <w:webHidden/>
              </w:rPr>
              <w:t>9</w:t>
            </w:r>
            <w:r w:rsidR="00171781">
              <w:rPr>
                <w:noProof/>
                <w:webHidden/>
              </w:rPr>
              <w:fldChar w:fldCharType="end"/>
            </w:r>
          </w:hyperlink>
        </w:p>
        <w:p w14:paraId="77D7503F" w14:textId="384A0B76" w:rsidR="00171781" w:rsidRDefault="00EA7E53" w:rsidP="00171781">
          <w:pPr>
            <w:pStyle w:val="TOC2"/>
            <w:tabs>
              <w:tab w:val="right" w:pos="9350"/>
            </w:tabs>
            <w:spacing w:line="360" w:lineRule="auto"/>
            <w:rPr>
              <w:rFonts w:asciiTheme="minorHAnsi" w:eastAsiaTheme="minorEastAsia" w:hAnsiTheme="minorHAnsi" w:cstheme="minorBidi"/>
              <w:noProof/>
              <w:kern w:val="2"/>
              <w:lang w:val="en-IN" w:eastAsia="en-IN"/>
              <w14:ligatures w14:val="standardContextual"/>
            </w:rPr>
          </w:pPr>
          <w:hyperlink w:anchor="_Toc243565909" w:history="1">
            <w:r w:rsidR="00171781" w:rsidRPr="005840AE">
              <w:rPr>
                <w:rStyle w:val="Hyperlink"/>
                <w:noProof/>
              </w:rPr>
              <w:t>2.2 Recommended Growth Strategy (Product Development)</w:t>
            </w:r>
            <w:r w:rsidR="00171781">
              <w:rPr>
                <w:noProof/>
                <w:webHidden/>
              </w:rPr>
              <w:tab/>
            </w:r>
            <w:r w:rsidR="00171781">
              <w:rPr>
                <w:noProof/>
                <w:webHidden/>
              </w:rPr>
              <w:fldChar w:fldCharType="begin"/>
            </w:r>
            <w:r w:rsidR="00171781">
              <w:rPr>
                <w:noProof/>
                <w:webHidden/>
              </w:rPr>
              <w:instrText xml:space="preserve"> PAGEREF _Toc243565909 \h </w:instrText>
            </w:r>
            <w:r w:rsidR="00171781">
              <w:rPr>
                <w:noProof/>
                <w:webHidden/>
              </w:rPr>
            </w:r>
            <w:r w:rsidR="00171781">
              <w:rPr>
                <w:noProof/>
                <w:webHidden/>
              </w:rPr>
              <w:fldChar w:fldCharType="separate"/>
            </w:r>
            <w:r w:rsidR="00CF7699">
              <w:rPr>
                <w:noProof/>
                <w:webHidden/>
              </w:rPr>
              <w:t>10</w:t>
            </w:r>
            <w:r w:rsidR="00171781">
              <w:rPr>
                <w:noProof/>
                <w:webHidden/>
              </w:rPr>
              <w:fldChar w:fldCharType="end"/>
            </w:r>
          </w:hyperlink>
        </w:p>
        <w:p w14:paraId="1A2E842A" w14:textId="0FB97088" w:rsidR="00171781" w:rsidRDefault="00EA7E53" w:rsidP="00171781">
          <w:pPr>
            <w:pStyle w:val="TOC2"/>
            <w:tabs>
              <w:tab w:val="right" w:pos="9350"/>
            </w:tabs>
            <w:spacing w:line="360" w:lineRule="auto"/>
            <w:rPr>
              <w:rFonts w:asciiTheme="minorHAnsi" w:eastAsiaTheme="minorEastAsia" w:hAnsiTheme="minorHAnsi" w:cstheme="minorBidi"/>
              <w:noProof/>
              <w:kern w:val="2"/>
              <w:lang w:val="en-IN" w:eastAsia="en-IN"/>
              <w14:ligatures w14:val="standardContextual"/>
            </w:rPr>
          </w:pPr>
          <w:hyperlink w:anchor="_Toc243565910" w:history="1">
            <w:r w:rsidR="00171781" w:rsidRPr="005840AE">
              <w:rPr>
                <w:rStyle w:val="Hyperlink"/>
                <w:noProof/>
              </w:rPr>
              <w:t>2.3 Competitive Advantage, Marketing and Technology</w:t>
            </w:r>
            <w:r w:rsidR="00171781">
              <w:rPr>
                <w:noProof/>
                <w:webHidden/>
              </w:rPr>
              <w:tab/>
            </w:r>
            <w:r w:rsidR="00171781">
              <w:rPr>
                <w:noProof/>
                <w:webHidden/>
              </w:rPr>
              <w:fldChar w:fldCharType="begin"/>
            </w:r>
            <w:r w:rsidR="00171781">
              <w:rPr>
                <w:noProof/>
                <w:webHidden/>
              </w:rPr>
              <w:instrText xml:space="preserve"> PAGEREF _Toc243565910 \h </w:instrText>
            </w:r>
            <w:r w:rsidR="00171781">
              <w:rPr>
                <w:noProof/>
                <w:webHidden/>
              </w:rPr>
            </w:r>
            <w:r w:rsidR="00171781">
              <w:rPr>
                <w:noProof/>
                <w:webHidden/>
              </w:rPr>
              <w:fldChar w:fldCharType="separate"/>
            </w:r>
            <w:r w:rsidR="00CF7699">
              <w:rPr>
                <w:noProof/>
                <w:webHidden/>
              </w:rPr>
              <w:t>12</w:t>
            </w:r>
            <w:r w:rsidR="00171781">
              <w:rPr>
                <w:noProof/>
                <w:webHidden/>
              </w:rPr>
              <w:fldChar w:fldCharType="end"/>
            </w:r>
          </w:hyperlink>
        </w:p>
        <w:p w14:paraId="0590FBBB" w14:textId="300F1CCB" w:rsidR="00171781" w:rsidRDefault="00EA7E53" w:rsidP="00171781">
          <w:pPr>
            <w:pStyle w:val="TOC2"/>
            <w:tabs>
              <w:tab w:val="right" w:pos="9350"/>
            </w:tabs>
            <w:spacing w:line="360" w:lineRule="auto"/>
            <w:rPr>
              <w:rFonts w:asciiTheme="minorHAnsi" w:eastAsiaTheme="minorEastAsia" w:hAnsiTheme="minorHAnsi" w:cstheme="minorBidi"/>
              <w:noProof/>
              <w:kern w:val="2"/>
              <w:lang w:val="en-IN" w:eastAsia="en-IN"/>
              <w14:ligatures w14:val="standardContextual"/>
            </w:rPr>
          </w:pPr>
          <w:hyperlink w:anchor="_Toc243565911" w:history="1">
            <w:r w:rsidR="00171781" w:rsidRPr="005840AE">
              <w:rPr>
                <w:rStyle w:val="Hyperlink"/>
                <w:noProof/>
              </w:rPr>
              <w:t>2.4 Implementation Risks and Performance Measures</w:t>
            </w:r>
            <w:r w:rsidR="00171781">
              <w:rPr>
                <w:noProof/>
                <w:webHidden/>
              </w:rPr>
              <w:tab/>
            </w:r>
            <w:r w:rsidR="00171781">
              <w:rPr>
                <w:noProof/>
                <w:webHidden/>
              </w:rPr>
              <w:fldChar w:fldCharType="begin"/>
            </w:r>
            <w:r w:rsidR="00171781">
              <w:rPr>
                <w:noProof/>
                <w:webHidden/>
              </w:rPr>
              <w:instrText xml:space="preserve"> PAGEREF _Toc243565911 \h </w:instrText>
            </w:r>
            <w:r w:rsidR="00171781">
              <w:rPr>
                <w:noProof/>
                <w:webHidden/>
              </w:rPr>
            </w:r>
            <w:r w:rsidR="00171781">
              <w:rPr>
                <w:noProof/>
                <w:webHidden/>
              </w:rPr>
              <w:fldChar w:fldCharType="separate"/>
            </w:r>
            <w:r w:rsidR="00CF7699">
              <w:rPr>
                <w:noProof/>
                <w:webHidden/>
              </w:rPr>
              <w:t>13</w:t>
            </w:r>
            <w:r w:rsidR="00171781">
              <w:rPr>
                <w:noProof/>
                <w:webHidden/>
              </w:rPr>
              <w:fldChar w:fldCharType="end"/>
            </w:r>
          </w:hyperlink>
        </w:p>
        <w:p w14:paraId="2615D874" w14:textId="28F68EF7" w:rsidR="00171781" w:rsidRDefault="00EA7E53" w:rsidP="00171781">
          <w:pPr>
            <w:pStyle w:val="TOC1"/>
            <w:tabs>
              <w:tab w:val="right" w:pos="9350"/>
            </w:tabs>
            <w:spacing w:line="360" w:lineRule="auto"/>
            <w:rPr>
              <w:rFonts w:asciiTheme="minorHAnsi" w:eastAsiaTheme="minorEastAsia" w:hAnsiTheme="minorHAnsi" w:cstheme="minorBidi"/>
              <w:noProof/>
              <w:kern w:val="2"/>
              <w:lang w:val="en-IN" w:eastAsia="en-IN"/>
              <w14:ligatures w14:val="standardContextual"/>
            </w:rPr>
          </w:pPr>
          <w:hyperlink w:anchor="_Toc243565912" w:history="1">
            <w:r w:rsidR="00171781" w:rsidRPr="005840AE">
              <w:rPr>
                <w:rStyle w:val="Hyperlink"/>
                <w:noProof/>
              </w:rPr>
              <w:t>3.0 Task 3 - Managerial and Professional Reflection</w:t>
            </w:r>
            <w:r w:rsidR="00171781">
              <w:rPr>
                <w:noProof/>
                <w:webHidden/>
              </w:rPr>
              <w:tab/>
            </w:r>
            <w:r w:rsidR="00171781">
              <w:rPr>
                <w:noProof/>
                <w:webHidden/>
              </w:rPr>
              <w:fldChar w:fldCharType="begin"/>
            </w:r>
            <w:r w:rsidR="00171781">
              <w:rPr>
                <w:noProof/>
                <w:webHidden/>
              </w:rPr>
              <w:instrText xml:space="preserve"> PAGEREF _Toc243565912 \h </w:instrText>
            </w:r>
            <w:r w:rsidR="00171781">
              <w:rPr>
                <w:noProof/>
                <w:webHidden/>
              </w:rPr>
            </w:r>
            <w:r w:rsidR="00171781">
              <w:rPr>
                <w:noProof/>
                <w:webHidden/>
              </w:rPr>
              <w:fldChar w:fldCharType="separate"/>
            </w:r>
            <w:r w:rsidR="00CF7699">
              <w:rPr>
                <w:noProof/>
                <w:webHidden/>
              </w:rPr>
              <w:t>14</w:t>
            </w:r>
            <w:r w:rsidR="00171781">
              <w:rPr>
                <w:noProof/>
                <w:webHidden/>
              </w:rPr>
              <w:fldChar w:fldCharType="end"/>
            </w:r>
          </w:hyperlink>
        </w:p>
        <w:p w14:paraId="2F1D915D" w14:textId="039C4F2F" w:rsidR="00171781" w:rsidRDefault="00EA7E53" w:rsidP="00171781">
          <w:pPr>
            <w:pStyle w:val="TOC2"/>
            <w:tabs>
              <w:tab w:val="right" w:pos="9350"/>
            </w:tabs>
            <w:spacing w:line="360" w:lineRule="auto"/>
            <w:rPr>
              <w:rFonts w:asciiTheme="minorHAnsi" w:eastAsiaTheme="minorEastAsia" w:hAnsiTheme="minorHAnsi" w:cstheme="minorBidi"/>
              <w:noProof/>
              <w:kern w:val="2"/>
              <w:lang w:val="en-IN" w:eastAsia="en-IN"/>
              <w14:ligatures w14:val="standardContextual"/>
            </w:rPr>
          </w:pPr>
          <w:hyperlink w:anchor="_Toc243565913" w:history="1">
            <w:r w:rsidR="00171781" w:rsidRPr="005840AE">
              <w:rPr>
                <w:rStyle w:val="Hyperlink"/>
                <w:noProof/>
              </w:rPr>
              <w:t>3.1 Rationale for Company and Actor Selection</w:t>
            </w:r>
            <w:r w:rsidR="00171781">
              <w:rPr>
                <w:noProof/>
                <w:webHidden/>
              </w:rPr>
              <w:tab/>
            </w:r>
            <w:r w:rsidR="00171781">
              <w:rPr>
                <w:noProof/>
                <w:webHidden/>
              </w:rPr>
              <w:fldChar w:fldCharType="begin"/>
            </w:r>
            <w:r w:rsidR="00171781">
              <w:rPr>
                <w:noProof/>
                <w:webHidden/>
              </w:rPr>
              <w:instrText xml:space="preserve"> PAGEREF _Toc243565913 \h </w:instrText>
            </w:r>
            <w:r w:rsidR="00171781">
              <w:rPr>
                <w:noProof/>
                <w:webHidden/>
              </w:rPr>
            </w:r>
            <w:r w:rsidR="00171781">
              <w:rPr>
                <w:noProof/>
                <w:webHidden/>
              </w:rPr>
              <w:fldChar w:fldCharType="separate"/>
            </w:r>
            <w:r w:rsidR="00CF7699">
              <w:rPr>
                <w:noProof/>
                <w:webHidden/>
              </w:rPr>
              <w:t>14</w:t>
            </w:r>
            <w:r w:rsidR="00171781">
              <w:rPr>
                <w:noProof/>
                <w:webHidden/>
              </w:rPr>
              <w:fldChar w:fldCharType="end"/>
            </w:r>
          </w:hyperlink>
        </w:p>
        <w:p w14:paraId="1C5E719B" w14:textId="0B868BCC" w:rsidR="00171781" w:rsidRDefault="00EA7E53" w:rsidP="00171781">
          <w:pPr>
            <w:pStyle w:val="TOC2"/>
            <w:tabs>
              <w:tab w:val="right" w:pos="9350"/>
            </w:tabs>
            <w:spacing w:line="360" w:lineRule="auto"/>
            <w:rPr>
              <w:rFonts w:asciiTheme="minorHAnsi" w:eastAsiaTheme="minorEastAsia" w:hAnsiTheme="minorHAnsi" w:cstheme="minorBidi"/>
              <w:noProof/>
              <w:kern w:val="2"/>
              <w:lang w:val="en-IN" w:eastAsia="en-IN"/>
              <w14:ligatures w14:val="standardContextual"/>
            </w:rPr>
          </w:pPr>
          <w:hyperlink w:anchor="_Toc243565914" w:history="1">
            <w:r w:rsidR="00171781" w:rsidRPr="005840AE">
              <w:rPr>
                <w:rStyle w:val="Hyperlink"/>
                <w:noProof/>
              </w:rPr>
              <w:t>3.2 Reflection on Strategic Decisions and Alternatives</w:t>
            </w:r>
            <w:r w:rsidR="00171781">
              <w:rPr>
                <w:noProof/>
                <w:webHidden/>
              </w:rPr>
              <w:tab/>
            </w:r>
            <w:r w:rsidR="00171781">
              <w:rPr>
                <w:noProof/>
                <w:webHidden/>
              </w:rPr>
              <w:fldChar w:fldCharType="begin"/>
            </w:r>
            <w:r w:rsidR="00171781">
              <w:rPr>
                <w:noProof/>
                <w:webHidden/>
              </w:rPr>
              <w:instrText xml:space="preserve"> PAGEREF _Toc243565914 \h </w:instrText>
            </w:r>
            <w:r w:rsidR="00171781">
              <w:rPr>
                <w:noProof/>
                <w:webHidden/>
              </w:rPr>
            </w:r>
            <w:r w:rsidR="00171781">
              <w:rPr>
                <w:noProof/>
                <w:webHidden/>
              </w:rPr>
              <w:fldChar w:fldCharType="separate"/>
            </w:r>
            <w:r w:rsidR="00CF7699">
              <w:rPr>
                <w:noProof/>
                <w:webHidden/>
              </w:rPr>
              <w:t>14</w:t>
            </w:r>
            <w:r w:rsidR="00171781">
              <w:rPr>
                <w:noProof/>
                <w:webHidden/>
              </w:rPr>
              <w:fldChar w:fldCharType="end"/>
            </w:r>
          </w:hyperlink>
        </w:p>
        <w:p w14:paraId="6E391276" w14:textId="7B9DC8B2" w:rsidR="00171781" w:rsidRDefault="00EA7E53" w:rsidP="00171781">
          <w:pPr>
            <w:pStyle w:val="TOC2"/>
            <w:tabs>
              <w:tab w:val="right" w:pos="9350"/>
            </w:tabs>
            <w:spacing w:line="360" w:lineRule="auto"/>
            <w:rPr>
              <w:rFonts w:asciiTheme="minorHAnsi" w:eastAsiaTheme="minorEastAsia" w:hAnsiTheme="minorHAnsi" w:cstheme="minorBidi"/>
              <w:noProof/>
              <w:kern w:val="2"/>
              <w:lang w:val="en-IN" w:eastAsia="en-IN"/>
              <w14:ligatures w14:val="standardContextual"/>
            </w:rPr>
          </w:pPr>
          <w:hyperlink w:anchor="_Toc243565915" w:history="1">
            <w:r w:rsidR="00171781" w:rsidRPr="005840AE">
              <w:rPr>
                <w:rStyle w:val="Hyperlink"/>
                <w:noProof/>
              </w:rPr>
              <w:t>3.3 Limitations and Further Consultant Research</w:t>
            </w:r>
            <w:r w:rsidR="00171781">
              <w:rPr>
                <w:noProof/>
                <w:webHidden/>
              </w:rPr>
              <w:tab/>
            </w:r>
            <w:r w:rsidR="00171781">
              <w:rPr>
                <w:noProof/>
                <w:webHidden/>
              </w:rPr>
              <w:fldChar w:fldCharType="begin"/>
            </w:r>
            <w:r w:rsidR="00171781">
              <w:rPr>
                <w:noProof/>
                <w:webHidden/>
              </w:rPr>
              <w:instrText xml:space="preserve"> PAGEREF _Toc243565915 \h </w:instrText>
            </w:r>
            <w:r w:rsidR="00171781">
              <w:rPr>
                <w:noProof/>
                <w:webHidden/>
              </w:rPr>
            </w:r>
            <w:r w:rsidR="00171781">
              <w:rPr>
                <w:noProof/>
                <w:webHidden/>
              </w:rPr>
              <w:fldChar w:fldCharType="separate"/>
            </w:r>
            <w:r w:rsidR="00CF7699">
              <w:rPr>
                <w:noProof/>
                <w:webHidden/>
              </w:rPr>
              <w:t>15</w:t>
            </w:r>
            <w:r w:rsidR="00171781">
              <w:rPr>
                <w:noProof/>
                <w:webHidden/>
              </w:rPr>
              <w:fldChar w:fldCharType="end"/>
            </w:r>
          </w:hyperlink>
        </w:p>
        <w:p w14:paraId="1E8619D4" w14:textId="201C9539" w:rsidR="00171781" w:rsidRDefault="00EA7E53" w:rsidP="00171781">
          <w:pPr>
            <w:pStyle w:val="TOC2"/>
            <w:tabs>
              <w:tab w:val="right" w:pos="9350"/>
            </w:tabs>
            <w:spacing w:line="360" w:lineRule="auto"/>
            <w:rPr>
              <w:rFonts w:asciiTheme="minorHAnsi" w:eastAsiaTheme="minorEastAsia" w:hAnsiTheme="minorHAnsi" w:cstheme="minorBidi"/>
              <w:noProof/>
              <w:kern w:val="2"/>
              <w:lang w:val="en-IN" w:eastAsia="en-IN"/>
              <w14:ligatures w14:val="standardContextual"/>
            </w:rPr>
          </w:pPr>
          <w:hyperlink w:anchor="_Toc243565916" w:history="1">
            <w:r w:rsidR="00171781" w:rsidRPr="005840AE">
              <w:rPr>
                <w:rStyle w:val="Hyperlink"/>
                <w:noProof/>
              </w:rPr>
              <w:t>3.4 Professional Learning and Final Judgement</w:t>
            </w:r>
            <w:r w:rsidR="00171781">
              <w:rPr>
                <w:noProof/>
                <w:webHidden/>
              </w:rPr>
              <w:tab/>
            </w:r>
            <w:r w:rsidR="00171781">
              <w:rPr>
                <w:noProof/>
                <w:webHidden/>
              </w:rPr>
              <w:fldChar w:fldCharType="begin"/>
            </w:r>
            <w:r w:rsidR="00171781">
              <w:rPr>
                <w:noProof/>
                <w:webHidden/>
              </w:rPr>
              <w:instrText xml:space="preserve"> PAGEREF _Toc243565916 \h </w:instrText>
            </w:r>
            <w:r w:rsidR="00171781">
              <w:rPr>
                <w:noProof/>
                <w:webHidden/>
              </w:rPr>
            </w:r>
            <w:r w:rsidR="00171781">
              <w:rPr>
                <w:noProof/>
                <w:webHidden/>
              </w:rPr>
              <w:fldChar w:fldCharType="separate"/>
            </w:r>
            <w:r w:rsidR="00CF7699">
              <w:rPr>
                <w:noProof/>
                <w:webHidden/>
              </w:rPr>
              <w:t>15</w:t>
            </w:r>
            <w:r w:rsidR="00171781">
              <w:rPr>
                <w:noProof/>
                <w:webHidden/>
              </w:rPr>
              <w:fldChar w:fldCharType="end"/>
            </w:r>
          </w:hyperlink>
        </w:p>
        <w:p w14:paraId="19998F4B" w14:textId="197925D0" w:rsidR="00171781" w:rsidRDefault="00EA7E53" w:rsidP="00171781">
          <w:pPr>
            <w:pStyle w:val="TOC1"/>
            <w:tabs>
              <w:tab w:val="right" w:pos="9350"/>
            </w:tabs>
            <w:spacing w:line="360" w:lineRule="auto"/>
            <w:rPr>
              <w:rFonts w:asciiTheme="minorHAnsi" w:eastAsiaTheme="minorEastAsia" w:hAnsiTheme="minorHAnsi" w:cstheme="minorBidi"/>
              <w:noProof/>
              <w:kern w:val="2"/>
              <w:lang w:val="en-IN" w:eastAsia="en-IN"/>
              <w14:ligatures w14:val="standardContextual"/>
            </w:rPr>
          </w:pPr>
          <w:hyperlink w:anchor="_Toc243565917" w:history="1">
            <w:r w:rsidR="00171781" w:rsidRPr="005840AE">
              <w:rPr>
                <w:rStyle w:val="Hyperlink"/>
                <w:noProof/>
              </w:rPr>
              <w:t>References</w:t>
            </w:r>
            <w:r w:rsidR="00171781">
              <w:rPr>
                <w:noProof/>
                <w:webHidden/>
              </w:rPr>
              <w:tab/>
            </w:r>
            <w:r w:rsidR="00171781">
              <w:rPr>
                <w:noProof/>
                <w:webHidden/>
              </w:rPr>
              <w:fldChar w:fldCharType="begin"/>
            </w:r>
            <w:r w:rsidR="00171781">
              <w:rPr>
                <w:noProof/>
                <w:webHidden/>
              </w:rPr>
              <w:instrText xml:space="preserve"> PAGEREF _Toc243565917 \h </w:instrText>
            </w:r>
            <w:r w:rsidR="00171781">
              <w:rPr>
                <w:noProof/>
                <w:webHidden/>
              </w:rPr>
            </w:r>
            <w:r w:rsidR="00171781">
              <w:rPr>
                <w:noProof/>
                <w:webHidden/>
              </w:rPr>
              <w:fldChar w:fldCharType="separate"/>
            </w:r>
            <w:r w:rsidR="00CF7699">
              <w:rPr>
                <w:noProof/>
                <w:webHidden/>
              </w:rPr>
              <w:t>16</w:t>
            </w:r>
            <w:r w:rsidR="00171781">
              <w:rPr>
                <w:noProof/>
                <w:webHidden/>
              </w:rPr>
              <w:fldChar w:fldCharType="end"/>
            </w:r>
          </w:hyperlink>
        </w:p>
        <w:p w14:paraId="7FFE7369" w14:textId="331AE958" w:rsidR="00D06DD1" w:rsidRPr="00F1008C" w:rsidRDefault="009E5C34" w:rsidP="00171781">
          <w:pPr>
            <w:spacing w:line="360" w:lineRule="auto"/>
          </w:pPr>
          <w:r w:rsidRPr="00F1008C">
            <w:fldChar w:fldCharType="end"/>
          </w:r>
        </w:p>
      </w:sdtContent>
    </w:sdt>
    <w:p w14:paraId="5F9E73D6" w14:textId="77777777" w:rsidR="00D06DD1" w:rsidRPr="00F1008C" w:rsidRDefault="00D06DD1" w:rsidP="00171781">
      <w:pPr>
        <w:spacing w:line="360" w:lineRule="auto"/>
      </w:pPr>
    </w:p>
    <w:p w14:paraId="12D12EE1" w14:textId="77777777" w:rsidR="00F1008C" w:rsidRPr="00F1008C" w:rsidRDefault="00F1008C" w:rsidP="00171781">
      <w:pPr>
        <w:spacing w:line="360" w:lineRule="auto"/>
      </w:pPr>
    </w:p>
    <w:p w14:paraId="68B8ED9D" w14:textId="77777777" w:rsidR="00F1008C" w:rsidRPr="00F1008C" w:rsidRDefault="00F1008C" w:rsidP="00171781">
      <w:pPr>
        <w:spacing w:line="360" w:lineRule="auto"/>
      </w:pPr>
    </w:p>
    <w:p w14:paraId="7206CA14" w14:textId="77777777" w:rsidR="00F1008C" w:rsidRPr="00F1008C" w:rsidRDefault="00F1008C" w:rsidP="00171781">
      <w:pPr>
        <w:spacing w:line="360" w:lineRule="auto"/>
      </w:pPr>
    </w:p>
    <w:p w14:paraId="0CB872F4" w14:textId="77777777" w:rsidR="00F1008C" w:rsidRPr="00F1008C" w:rsidRDefault="00F1008C" w:rsidP="00171781">
      <w:pPr>
        <w:spacing w:line="360" w:lineRule="auto"/>
      </w:pPr>
    </w:p>
    <w:p w14:paraId="0277ED2C" w14:textId="77777777" w:rsidR="00F1008C" w:rsidRPr="00F1008C" w:rsidRDefault="00F1008C" w:rsidP="00171781">
      <w:pPr>
        <w:spacing w:line="360" w:lineRule="auto"/>
      </w:pPr>
    </w:p>
    <w:p w14:paraId="5CCEB9C6" w14:textId="77777777" w:rsidR="00D06DD1" w:rsidRPr="00F1008C" w:rsidRDefault="009E5C34" w:rsidP="00171781">
      <w:pPr>
        <w:spacing w:line="360" w:lineRule="auto"/>
        <w:jc w:val="center"/>
        <w:rPr>
          <w:b/>
          <w:bCs/>
        </w:rPr>
      </w:pPr>
      <w:r w:rsidRPr="00F1008C">
        <w:rPr>
          <w:b/>
          <w:bCs/>
        </w:rPr>
        <w:t>List of Figures</w:t>
      </w:r>
    </w:p>
    <w:sdt>
      <w:sdtPr>
        <w:id w:val="316913337"/>
        <w:docPartObj>
          <w:docPartGallery w:val="Table of Contents"/>
          <w:docPartUnique/>
        </w:docPartObj>
      </w:sdtPr>
      <w:sdtEndPr/>
      <w:sdtContent>
        <w:p w14:paraId="01B9C364" w14:textId="77777777" w:rsidR="00D06DD1" w:rsidRPr="00F1008C" w:rsidRDefault="009E5C34" w:rsidP="00171781">
          <w:pPr>
            <w:pBdr>
              <w:top w:val="nil"/>
              <w:left w:val="nil"/>
              <w:bottom w:val="nil"/>
              <w:right w:val="nil"/>
              <w:between w:val="nil"/>
            </w:pBdr>
            <w:tabs>
              <w:tab w:val="right" w:pos="9350"/>
            </w:tabs>
            <w:spacing w:line="360" w:lineRule="auto"/>
            <w:rPr>
              <w:rFonts w:eastAsia="Cambria"/>
              <w:color w:val="000000"/>
            </w:rPr>
          </w:pPr>
          <w:r w:rsidRPr="00F1008C">
            <w:fldChar w:fldCharType="begin"/>
          </w:r>
          <w:r w:rsidRPr="00F1008C">
            <w:instrText xml:space="preserve"> TOC \h \u \z \t "Heading 1,1,Heading 2,2,Heading 3,3,Heading 4,4,Heading 5,5,Heading 6,6,"</w:instrText>
          </w:r>
          <w:r w:rsidRPr="00F1008C">
            <w:fldChar w:fldCharType="separate"/>
          </w:r>
          <w:hyperlink w:anchor="_ydsdcal50rq">
            <w:r w:rsidRPr="00F1008C">
              <w:rPr>
                <w:color w:val="000000"/>
              </w:rPr>
              <w:t>Figure 1: Projected pathway to BHP’s operational GHG emissions medium-term target</w:t>
            </w:r>
            <w:r w:rsidRPr="00F1008C">
              <w:rPr>
                <w:color w:val="000000"/>
              </w:rPr>
              <w:tab/>
              <w:t>4</w:t>
            </w:r>
          </w:hyperlink>
        </w:p>
        <w:p w14:paraId="4E897A5D" w14:textId="77777777" w:rsidR="00D06DD1" w:rsidRPr="00F1008C" w:rsidRDefault="00EA7E53" w:rsidP="00171781">
          <w:pPr>
            <w:pBdr>
              <w:top w:val="nil"/>
              <w:left w:val="nil"/>
              <w:bottom w:val="nil"/>
              <w:right w:val="nil"/>
              <w:between w:val="nil"/>
            </w:pBdr>
            <w:tabs>
              <w:tab w:val="right" w:pos="9350"/>
            </w:tabs>
            <w:spacing w:line="360" w:lineRule="auto"/>
            <w:rPr>
              <w:rFonts w:eastAsia="Cambria"/>
              <w:color w:val="000000"/>
            </w:rPr>
          </w:pPr>
          <w:hyperlink w:anchor="_gg2hjlu5gtpz">
            <w:r w:rsidR="009E5C34" w:rsidRPr="00F1008C">
              <w:rPr>
                <w:color w:val="000000"/>
              </w:rPr>
              <w:t>Figure 2: GHG emissions long</w:t>
            </w:r>
            <w:r w:rsidR="009E5C34" w:rsidRPr="00F1008C">
              <w:rPr>
                <w:rFonts w:ascii="Cambria Math" w:hAnsi="Cambria Math" w:cs="Cambria Math"/>
                <w:color w:val="000000"/>
              </w:rPr>
              <w:t>‑</w:t>
            </w:r>
            <w:r w:rsidR="009E5C34" w:rsidRPr="00F1008C">
              <w:rPr>
                <w:color w:val="000000"/>
              </w:rPr>
              <w:t>term net zero goal</w:t>
            </w:r>
            <w:r w:rsidR="009E5C34" w:rsidRPr="00F1008C">
              <w:rPr>
                <w:color w:val="000000"/>
              </w:rPr>
              <w:tab/>
              <w:t>5</w:t>
            </w:r>
          </w:hyperlink>
        </w:p>
        <w:p w14:paraId="0B2833FB" w14:textId="77777777" w:rsidR="00D06DD1" w:rsidRPr="00F1008C" w:rsidRDefault="00EA7E53" w:rsidP="00171781">
          <w:pPr>
            <w:pBdr>
              <w:top w:val="nil"/>
              <w:left w:val="nil"/>
              <w:bottom w:val="nil"/>
              <w:right w:val="nil"/>
              <w:between w:val="nil"/>
            </w:pBdr>
            <w:tabs>
              <w:tab w:val="right" w:pos="9350"/>
            </w:tabs>
            <w:spacing w:line="360" w:lineRule="auto"/>
            <w:rPr>
              <w:rFonts w:eastAsia="Cambria"/>
              <w:color w:val="000000"/>
            </w:rPr>
          </w:pPr>
          <w:hyperlink w:anchor="_3bug2oxbcokl">
            <w:r w:rsidR="009E5C34" w:rsidRPr="00F1008C">
              <w:rPr>
                <w:color w:val="000000"/>
              </w:rPr>
              <w:t>Figure 3: Buyers’ Willingness to Pay a Premium for Greener Steel and Copper</w:t>
            </w:r>
            <w:r w:rsidR="009E5C34" w:rsidRPr="00F1008C">
              <w:rPr>
                <w:color w:val="000000"/>
              </w:rPr>
              <w:tab/>
              <w:t>6</w:t>
            </w:r>
          </w:hyperlink>
        </w:p>
        <w:p w14:paraId="205EE7C5" w14:textId="77777777" w:rsidR="00D06DD1" w:rsidRPr="00F1008C" w:rsidRDefault="00EA7E53" w:rsidP="00171781">
          <w:pPr>
            <w:pBdr>
              <w:top w:val="nil"/>
              <w:left w:val="nil"/>
              <w:bottom w:val="nil"/>
              <w:right w:val="nil"/>
              <w:between w:val="nil"/>
            </w:pBdr>
            <w:tabs>
              <w:tab w:val="right" w:pos="9350"/>
            </w:tabs>
            <w:spacing w:line="360" w:lineRule="auto"/>
            <w:rPr>
              <w:rFonts w:eastAsia="Cambria"/>
              <w:color w:val="000000"/>
            </w:rPr>
          </w:pPr>
          <w:hyperlink w:anchor="_npu9gon3pkuj">
            <w:r w:rsidR="009E5C34" w:rsidRPr="00F1008C">
              <w:rPr>
                <w:color w:val="000000"/>
              </w:rPr>
              <w:t>Figure 4: Breakdown of Rio Tinto’s Greenhouse Gas Emissions</w:t>
            </w:r>
            <w:r w:rsidR="009E5C34" w:rsidRPr="00F1008C">
              <w:rPr>
                <w:color w:val="000000"/>
              </w:rPr>
              <w:tab/>
              <w:t>7</w:t>
            </w:r>
          </w:hyperlink>
        </w:p>
        <w:p w14:paraId="73EE4442" w14:textId="77777777" w:rsidR="00D06DD1" w:rsidRPr="00F1008C" w:rsidRDefault="00EA7E53" w:rsidP="00171781">
          <w:pPr>
            <w:pBdr>
              <w:top w:val="nil"/>
              <w:left w:val="nil"/>
              <w:bottom w:val="nil"/>
              <w:right w:val="nil"/>
              <w:between w:val="nil"/>
            </w:pBdr>
            <w:tabs>
              <w:tab w:val="right" w:pos="9350"/>
            </w:tabs>
            <w:spacing w:line="360" w:lineRule="auto"/>
            <w:rPr>
              <w:rFonts w:eastAsia="Cambria"/>
              <w:color w:val="000000"/>
            </w:rPr>
          </w:pPr>
          <w:hyperlink w:anchor="_ihqiswq7fv7t">
            <w:r w:rsidR="009E5C34" w:rsidRPr="00F1008C">
              <w:rPr>
                <w:color w:val="000000"/>
              </w:rPr>
              <w:t>Figure 5:Ansoff Matrix</w:t>
            </w:r>
            <w:r w:rsidR="009E5C34" w:rsidRPr="00F1008C">
              <w:rPr>
                <w:color w:val="000000"/>
              </w:rPr>
              <w:tab/>
              <w:t>9</w:t>
            </w:r>
          </w:hyperlink>
        </w:p>
        <w:p w14:paraId="6CCB78E2" w14:textId="77777777" w:rsidR="00CC6826" w:rsidRDefault="00EA7E53" w:rsidP="00CC6826">
          <w:pPr>
            <w:pBdr>
              <w:top w:val="nil"/>
              <w:left w:val="nil"/>
              <w:bottom w:val="nil"/>
              <w:right w:val="nil"/>
              <w:between w:val="nil"/>
            </w:pBdr>
            <w:tabs>
              <w:tab w:val="right" w:pos="9350"/>
            </w:tabs>
            <w:spacing w:line="360" w:lineRule="auto"/>
            <w:rPr>
              <w:color w:val="000000"/>
            </w:rPr>
          </w:pPr>
          <w:hyperlink w:anchor="_bnoc4q557mdj">
            <w:r w:rsidR="009E5C34" w:rsidRPr="00F1008C">
              <w:rPr>
                <w:color w:val="000000"/>
              </w:rPr>
              <w:t>Figure 6: Potential ore-based (integrated) steelmaking technology pathways</w:t>
            </w:r>
            <w:r w:rsidR="009E5C34" w:rsidRPr="00F1008C">
              <w:rPr>
                <w:color w:val="000000"/>
              </w:rPr>
              <w:tab/>
              <w:t>11</w:t>
            </w:r>
          </w:hyperlink>
        </w:p>
        <w:p w14:paraId="48141699" w14:textId="7FC26A29" w:rsidR="003C054F" w:rsidRPr="00CC6826" w:rsidRDefault="003C054F" w:rsidP="00171781">
          <w:pPr>
            <w:pBdr>
              <w:top w:val="nil"/>
              <w:left w:val="nil"/>
              <w:bottom w:val="nil"/>
              <w:right w:val="nil"/>
              <w:between w:val="nil"/>
            </w:pBdr>
            <w:tabs>
              <w:tab w:val="right" w:pos="9350"/>
            </w:tabs>
            <w:spacing w:line="360" w:lineRule="auto"/>
            <w:rPr>
              <w:color w:val="000000"/>
            </w:rPr>
          </w:pPr>
          <w:r w:rsidRPr="00CC6826">
            <w:rPr>
              <w:color w:val="000000"/>
            </w:rPr>
            <w:t>Figure 7: Potters Generic Strategies</w:t>
          </w:r>
          <w:r w:rsidR="00CC6826">
            <w:rPr>
              <w:color w:val="000000"/>
            </w:rPr>
            <w:tab/>
            <w:t xml:space="preserve"> 12</w:t>
          </w:r>
        </w:p>
        <w:p w14:paraId="01E5D580" w14:textId="77777777" w:rsidR="00D06DD1" w:rsidRPr="00F1008C" w:rsidRDefault="009E5C34" w:rsidP="00171781">
          <w:pPr>
            <w:spacing w:line="360" w:lineRule="auto"/>
          </w:pPr>
          <w:r w:rsidRPr="00F1008C">
            <w:fldChar w:fldCharType="end"/>
          </w:r>
        </w:p>
      </w:sdtContent>
    </w:sdt>
    <w:p w14:paraId="693C3F01" w14:textId="77777777" w:rsidR="00D06DD1" w:rsidRPr="00F1008C" w:rsidRDefault="009E5C34" w:rsidP="00171781">
      <w:pPr>
        <w:spacing w:line="360" w:lineRule="auto"/>
      </w:pPr>
      <w:bookmarkStart w:id="1" w:name="_170z2ny7pqpo" w:colFirst="0" w:colLast="0"/>
      <w:bookmarkEnd w:id="1"/>
      <w:r w:rsidRPr="00F1008C">
        <w:br w:type="page"/>
      </w:r>
    </w:p>
    <w:p w14:paraId="4749E959" w14:textId="77777777" w:rsidR="00D06DD1" w:rsidRPr="00F1008C" w:rsidRDefault="009E5C34" w:rsidP="00171781">
      <w:pPr>
        <w:pStyle w:val="Heading1"/>
        <w:keepNext w:val="0"/>
        <w:keepLines w:val="0"/>
        <w:spacing w:line="360" w:lineRule="auto"/>
      </w:pPr>
      <w:bookmarkStart w:id="2" w:name="_Toc243565900"/>
      <w:r w:rsidRPr="00F1008C">
        <w:lastRenderedPageBreak/>
        <w:t>1.0 Task 1 - Marketing Environment Analysis</w:t>
      </w:r>
      <w:bookmarkEnd w:id="2"/>
      <w:r w:rsidRPr="00F1008C">
        <w:t xml:space="preserve"> </w:t>
      </w:r>
    </w:p>
    <w:p w14:paraId="7989DFF5" w14:textId="77777777" w:rsidR="00D06DD1" w:rsidRPr="00F1008C" w:rsidRDefault="009E5C34" w:rsidP="00171781">
      <w:pPr>
        <w:pStyle w:val="Heading2"/>
        <w:spacing w:line="360" w:lineRule="auto"/>
      </w:pPr>
      <w:bookmarkStart w:id="3" w:name="_Toc243565901"/>
      <w:r w:rsidRPr="00F1008C">
        <w:t>1.1 Introduction to BHP and the Lower-Carbon Transition</w:t>
      </w:r>
      <w:bookmarkEnd w:id="3"/>
      <w:r w:rsidRPr="00F1008C">
        <w:t xml:space="preserve"> </w:t>
      </w:r>
    </w:p>
    <w:p w14:paraId="3961B809" w14:textId="06E20451" w:rsidR="00D06DD1" w:rsidRPr="00CE594C" w:rsidRDefault="009E5C34" w:rsidP="00171781">
      <w:pPr>
        <w:spacing w:line="360" w:lineRule="auto"/>
        <w:rPr>
          <w:lang w:val="en-IN"/>
        </w:rPr>
      </w:pPr>
      <w:r w:rsidRPr="003C054F">
        <w:t>BHP</w:t>
      </w:r>
      <w:r w:rsidR="00D07882" w:rsidRPr="003C054F">
        <w:t xml:space="preserve"> </w:t>
      </w:r>
      <w:r w:rsidR="004D6BE5" w:rsidRPr="003C054F">
        <w:t>Group Ltd.</w:t>
      </w:r>
      <w:r w:rsidR="00CE594C" w:rsidRPr="003C054F">
        <w:t xml:space="preserve"> </w:t>
      </w:r>
      <w:r w:rsidR="00CE594C" w:rsidRPr="003C054F">
        <w:rPr>
          <w:lang w:val="en-IN"/>
        </w:rPr>
        <w:t>(formerly Broken Hill Proprietary Company Limited)</w:t>
      </w:r>
      <w:r w:rsidR="004D6BE5" w:rsidRPr="003C054F">
        <w:t xml:space="preserve"> </w:t>
      </w:r>
      <w:r w:rsidRPr="003C054F">
        <w:t xml:space="preserve">is a global resources company. The </w:t>
      </w:r>
      <w:r w:rsidRPr="00F1008C">
        <w:t>company provides commodities for energy transition and industrial production. In FY2025, the greenhouse gas emissions from its operations reached a total of 8.7 million tonnes of CO</w:t>
      </w:r>
      <w:r w:rsidRPr="00F1008C">
        <w:rPr>
          <w:rFonts w:ascii="Cambria Math" w:hAnsi="Cambria Math" w:cs="Cambria Math"/>
        </w:rPr>
        <w:t>₂</w:t>
      </w:r>
      <w:r w:rsidRPr="00F1008C">
        <w:t xml:space="preserve">-equivalent, which was a significant reduction from 10 million tonnes in FY2024. BHP has set the target to reduce emissions in its operations by 30% by FY2030 compared to its FY2020 baseline (BHP, 2025). However, continued investment towards decarbonisation and responses to changing market expectations are required for achieving lower carbon production (Clausen and </w:t>
      </w:r>
      <w:proofErr w:type="spellStart"/>
      <w:r w:rsidRPr="00F1008C">
        <w:t>Sörensen</w:t>
      </w:r>
      <w:proofErr w:type="spellEnd"/>
      <w:r w:rsidRPr="00F1008C">
        <w:t>, 2022). This analysis will evaluate the natural environmen</w:t>
      </w:r>
      <w:r w:rsidRPr="00FC043E">
        <w:t xml:space="preserve">t, </w:t>
      </w:r>
      <w:r w:rsidR="00FC043E">
        <w:t>social (</w:t>
      </w:r>
      <w:r w:rsidRPr="00FC043E">
        <w:t>competitors and industrial customers</w:t>
      </w:r>
      <w:r w:rsidR="00FC043E">
        <w:t>) and economic</w:t>
      </w:r>
      <w:r w:rsidRPr="00F1008C">
        <w:t xml:space="preserve"> as three external factors which shape BHP's transition.</w:t>
      </w:r>
    </w:p>
    <w:p w14:paraId="74DDF8D3" w14:textId="77777777" w:rsidR="00D06DD1" w:rsidRPr="00F1008C" w:rsidRDefault="009E5C34" w:rsidP="00171781">
      <w:pPr>
        <w:pStyle w:val="Heading2"/>
        <w:spacing w:line="360" w:lineRule="auto"/>
      </w:pPr>
      <w:bookmarkStart w:id="4" w:name="_Toc243565902"/>
      <w:r w:rsidRPr="00F1008C">
        <w:t>1.2 External Actor 1 - Natural Environment and Decarbonisation Pressures</w:t>
      </w:r>
      <w:bookmarkEnd w:id="4"/>
      <w:r w:rsidRPr="00F1008C">
        <w:t xml:space="preserve"> </w:t>
      </w:r>
    </w:p>
    <w:p w14:paraId="029FA267" w14:textId="7D3E04E9" w:rsidR="00D06DD1" w:rsidRPr="00F1008C" w:rsidRDefault="009E5C34" w:rsidP="00171781">
      <w:pPr>
        <w:spacing w:line="360" w:lineRule="auto"/>
      </w:pPr>
      <w:r w:rsidRPr="00F1008C">
        <w:t>The natural environment is a major external force of marketing which influences BHP because operational risks are created due to climate change, along with increasing pressure on mining companies to showcase credible evidence for decarbonisation. It was reported by the International Energy Agency (IEA, 2025) that approximately 70% of global steel production comes from blast furnace-basic oxygen furnace. Hence, environmental performance affects the reputation of BHP, along with its long-term position in the market and relationships with customers.</w:t>
      </w:r>
    </w:p>
    <w:p w14:paraId="412604B0" w14:textId="77777777" w:rsidR="00D06DD1" w:rsidRPr="00F1008C" w:rsidRDefault="009E5C34" w:rsidP="00171781">
      <w:pPr>
        <w:spacing w:line="360" w:lineRule="auto"/>
      </w:pPr>
      <w:r w:rsidRPr="00F1008C">
        <w:t>The 2025 annual report at BHP provides evidence of the company’s progress. The emission of operational greenhouse gas fell from an adjusted 9.2 million tonnes of CO</w:t>
      </w:r>
      <w:r w:rsidRPr="00F1008C">
        <w:rPr>
          <w:rFonts w:ascii="Cambria Math" w:hAnsi="Cambria Math" w:cs="Cambria Math"/>
        </w:rPr>
        <w:t>₂</w:t>
      </w:r>
      <w:r w:rsidRPr="00F1008C">
        <w:t>-equivalent in FY2024 to 8.7 million tonnes in FY2025, which shows a reduction of 5%. Emissions were also 36% below the adjusted baseline of FY2020, which exceeded the progress towards the target set by BHP of reducing emissions from operations by at least 30% by FY2030 (BHP, 2025).</w:t>
      </w:r>
    </w:p>
    <w:p w14:paraId="50B02175" w14:textId="77777777" w:rsidR="00D06DD1" w:rsidRPr="00F1008C" w:rsidRDefault="009E5C34" w:rsidP="00171781">
      <w:pPr>
        <w:spacing w:line="360" w:lineRule="auto"/>
        <w:jc w:val="center"/>
      </w:pPr>
      <w:r w:rsidRPr="00F1008C">
        <w:rPr>
          <w:noProof/>
          <w:lang w:val="en-US" w:bidi="gu-IN"/>
        </w:rPr>
        <w:lastRenderedPageBreak/>
        <w:drawing>
          <wp:inline distT="0" distB="0" distL="0" distR="0" wp14:anchorId="4BAEA919" wp14:editId="02D02AA1">
            <wp:extent cx="4844143" cy="2634343"/>
            <wp:effectExtent l="19050" t="19050" r="13970" b="1397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4844143" cy="2634343"/>
                    </a:xfrm>
                    <a:prstGeom prst="rect">
                      <a:avLst/>
                    </a:prstGeom>
                    <a:ln w="19050">
                      <a:solidFill>
                        <a:srgbClr val="002060"/>
                      </a:solidFill>
                      <a:prstDash val="solid"/>
                    </a:ln>
                  </pic:spPr>
                </pic:pic>
              </a:graphicData>
            </a:graphic>
          </wp:inline>
        </w:drawing>
      </w:r>
    </w:p>
    <w:p w14:paraId="1000638B" w14:textId="77777777" w:rsidR="00D06DD1" w:rsidRPr="00F1008C" w:rsidRDefault="009E5C34" w:rsidP="00171781">
      <w:pPr>
        <w:pBdr>
          <w:top w:val="nil"/>
          <w:left w:val="nil"/>
          <w:bottom w:val="nil"/>
          <w:right w:val="nil"/>
          <w:between w:val="nil"/>
        </w:pBdr>
        <w:spacing w:after="200" w:line="360" w:lineRule="auto"/>
        <w:jc w:val="center"/>
        <w:rPr>
          <w:b/>
          <w:bCs/>
          <w:color w:val="000000"/>
        </w:rPr>
      </w:pPr>
      <w:bookmarkStart w:id="5" w:name="_ydsdcal50rq" w:colFirst="0" w:colLast="0"/>
      <w:bookmarkEnd w:id="5"/>
      <w:r w:rsidRPr="00F1008C">
        <w:rPr>
          <w:b/>
          <w:bCs/>
          <w:color w:val="000000"/>
        </w:rPr>
        <w:t>Figure 1: Projected pathway to BHP’s operational GHG emissions medium-term target</w:t>
      </w:r>
    </w:p>
    <w:p w14:paraId="79F77D65" w14:textId="77777777" w:rsidR="00D06DD1" w:rsidRDefault="009E5C34" w:rsidP="00171781">
      <w:pPr>
        <w:spacing w:line="360" w:lineRule="auto"/>
        <w:jc w:val="center"/>
      </w:pPr>
      <w:r w:rsidRPr="00F1008C">
        <w:rPr>
          <w:b/>
          <w:bCs/>
        </w:rPr>
        <w:t xml:space="preserve">Source: </w:t>
      </w:r>
      <w:r w:rsidRPr="00F1008C">
        <w:t xml:space="preserve">(BHP, 2026) </w:t>
      </w:r>
    </w:p>
    <w:p w14:paraId="16AE197E" w14:textId="16348015" w:rsidR="00FD30A4" w:rsidRPr="003C054F" w:rsidRDefault="00FD30A4" w:rsidP="008E0279">
      <w:pPr>
        <w:spacing w:line="360" w:lineRule="auto"/>
      </w:pPr>
      <w:r w:rsidRPr="003C054F">
        <w:t xml:space="preserve">Figure 1 shows BHP's projected pathways to reduce its operational emissions in order to meet its medium-term target.  However, most of the latest emissions have been attributed by BHP to the temporary suspension of its Western Australia Nickel operations and impact of agreements related to power purchase. As a consequence, the improvement cannot entirely be attributed to the increased efficiency of production. </w:t>
      </w:r>
    </w:p>
    <w:p w14:paraId="7D0419E6" w14:textId="3A0782AD" w:rsidR="00F1008C" w:rsidRPr="003C054F" w:rsidRDefault="00171781" w:rsidP="00171781">
      <w:pPr>
        <w:pStyle w:val="Heading2"/>
        <w:spacing w:line="360" w:lineRule="auto"/>
      </w:pPr>
      <w:bookmarkStart w:id="6" w:name="_Toc243565903"/>
      <w:r w:rsidRPr="003C054F">
        <w:t>1.2.1</w:t>
      </w:r>
      <w:r w:rsidR="00F1008C" w:rsidRPr="003C054F">
        <w:t>Economic Actor</w:t>
      </w:r>
      <w:bookmarkEnd w:id="6"/>
      <w:r w:rsidR="00F1008C" w:rsidRPr="003C054F">
        <w:t xml:space="preserve"> </w:t>
      </w:r>
    </w:p>
    <w:p w14:paraId="26928AD9" w14:textId="77777777" w:rsidR="00D06DD1" w:rsidRDefault="009E5C34" w:rsidP="00171781">
      <w:pPr>
        <w:spacing w:line="360" w:lineRule="auto"/>
      </w:pPr>
      <w:r w:rsidRPr="00F1008C">
        <w:t xml:space="preserve">Economic challenges are also present in decarbonisation. It has been estimated by IEA (2025b) that, depending on the region, early commercial hydrogen-based direct reduction in electric arc furnace plants can cost more than conventional steelmaking by 50% to 140%. Even though steel is not manufactured by BHP, the wider industrial </w:t>
      </w:r>
      <w:proofErr w:type="gramStart"/>
      <w:r w:rsidRPr="00F1008C">
        <w:t>trans</w:t>
      </w:r>
      <w:proofErr w:type="gramEnd"/>
      <w:r w:rsidRPr="00F1008C">
        <w:t xml:space="preserve"> might be affected by these costs, and it might also influence the investment decisions of customers while demanding fully lower-emission raw materials. Hence, BHP must consider whether its initiatives for the environment help it transition towards commercially viable customers instead of assuming that a price premium is automatically generated by sustainability. </w:t>
      </w:r>
    </w:p>
    <w:p w14:paraId="324CC9AC" w14:textId="77777777" w:rsidR="00FC043E" w:rsidRPr="00F1008C" w:rsidRDefault="00FC043E" w:rsidP="00171781">
      <w:pPr>
        <w:spacing w:line="360" w:lineRule="auto"/>
      </w:pPr>
    </w:p>
    <w:p w14:paraId="5EE563BF" w14:textId="77777777" w:rsidR="00D06DD1" w:rsidRPr="00F1008C" w:rsidRDefault="009E5C34" w:rsidP="00171781">
      <w:pPr>
        <w:spacing w:line="360" w:lineRule="auto"/>
      </w:pPr>
      <w:r w:rsidRPr="00F1008C">
        <w:lastRenderedPageBreak/>
        <w:t xml:space="preserve">Questions have also been put forward by recent peer-reviewed research on whether meaningful changes are produced by corporate sustainability commitments. </w:t>
      </w:r>
      <w:proofErr w:type="spellStart"/>
      <w:r w:rsidRPr="00F1008C">
        <w:t>Frederiksen</w:t>
      </w:r>
      <w:proofErr w:type="spellEnd"/>
      <w:r w:rsidRPr="00F1008C">
        <w:t xml:space="preserve"> and Banks (2022) have argued that sustainability approaches at mining companies can overlook the contradiction between sustainable development and resource extraction. This suggests that the environmental claims made by BHP should be evaluated against measurable outcomes instead of focusing on their commitments only. In addition to that, </w:t>
      </w:r>
      <w:proofErr w:type="spellStart"/>
      <w:r w:rsidRPr="00F1008C">
        <w:t>Tannor</w:t>
      </w:r>
      <w:proofErr w:type="spellEnd"/>
      <w:r w:rsidRPr="00F1008C">
        <w:t xml:space="preserve"> et al. (2023) identified patterns of rainfall, prolonged dry seasons, and rising temperatures as concerns related to climate for mining operations in Ghana. This shows how operational resilience can be threatened by climate variability.</w:t>
      </w:r>
    </w:p>
    <w:p w14:paraId="67D719D5" w14:textId="77777777" w:rsidR="00171781" w:rsidRDefault="009E5C34" w:rsidP="00171781">
      <w:pPr>
        <w:spacing w:line="360" w:lineRule="auto"/>
      </w:pPr>
      <w:r w:rsidRPr="00F1008C">
        <w:t xml:space="preserve">From the perspective of marketing, transparent reporting and credible emission reductions could increase the confidence of stakeholders. Nevertheless, BHP needs to distinguish between the emissions from Scope 3 within its operations generated throughout its value chain. </w:t>
      </w:r>
    </w:p>
    <w:p w14:paraId="5E2DE620" w14:textId="1F219ED5" w:rsidR="00D06DD1" w:rsidRPr="00F1008C" w:rsidRDefault="009E5C34" w:rsidP="00171781">
      <w:pPr>
        <w:spacing w:line="360" w:lineRule="auto"/>
      </w:pPr>
      <w:r w:rsidRPr="00F1008C">
        <w:rPr>
          <w:noProof/>
          <w:lang w:val="en-US" w:bidi="gu-IN"/>
        </w:rPr>
        <w:drawing>
          <wp:inline distT="0" distB="0" distL="0" distR="0" wp14:anchorId="5D4491AE" wp14:editId="2A95A97D">
            <wp:extent cx="5943600" cy="2289175"/>
            <wp:effectExtent l="19050" t="19050" r="19050" b="1905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943600" cy="2289175"/>
                    </a:xfrm>
                    <a:prstGeom prst="rect">
                      <a:avLst/>
                    </a:prstGeom>
                    <a:ln w="19050">
                      <a:solidFill>
                        <a:srgbClr val="0070C0"/>
                      </a:solidFill>
                      <a:prstDash val="solid"/>
                    </a:ln>
                  </pic:spPr>
                </pic:pic>
              </a:graphicData>
            </a:graphic>
          </wp:inline>
        </w:drawing>
      </w:r>
    </w:p>
    <w:p w14:paraId="21E230B2" w14:textId="77777777" w:rsidR="00D06DD1" w:rsidRPr="00F1008C" w:rsidRDefault="009E5C34" w:rsidP="00171781">
      <w:pPr>
        <w:pBdr>
          <w:top w:val="nil"/>
          <w:left w:val="nil"/>
          <w:bottom w:val="nil"/>
          <w:right w:val="nil"/>
          <w:between w:val="nil"/>
        </w:pBdr>
        <w:spacing w:after="200" w:line="360" w:lineRule="auto"/>
        <w:jc w:val="center"/>
        <w:rPr>
          <w:b/>
          <w:bCs/>
          <w:color w:val="000000"/>
        </w:rPr>
      </w:pPr>
      <w:bookmarkStart w:id="7" w:name="_gg2hjlu5gtpz" w:colFirst="0" w:colLast="0"/>
      <w:bookmarkEnd w:id="7"/>
      <w:r w:rsidRPr="00F1008C">
        <w:rPr>
          <w:b/>
          <w:bCs/>
          <w:color w:val="000000"/>
        </w:rPr>
        <w:t>Figure 2: GHG emissions long</w:t>
      </w:r>
      <w:r w:rsidRPr="00F1008C">
        <w:rPr>
          <w:rFonts w:ascii="Cambria Math" w:hAnsi="Cambria Math" w:cs="Cambria Math"/>
          <w:b/>
          <w:bCs/>
          <w:color w:val="000000"/>
        </w:rPr>
        <w:t>‑</w:t>
      </w:r>
      <w:r w:rsidRPr="00F1008C">
        <w:rPr>
          <w:b/>
          <w:bCs/>
          <w:color w:val="000000"/>
        </w:rPr>
        <w:t xml:space="preserve">term net zero </w:t>
      </w:r>
      <w:proofErr w:type="gramStart"/>
      <w:r w:rsidRPr="00F1008C">
        <w:rPr>
          <w:b/>
          <w:bCs/>
          <w:color w:val="000000"/>
        </w:rPr>
        <w:t>goal</w:t>
      </w:r>
      <w:proofErr w:type="gramEnd"/>
    </w:p>
    <w:p w14:paraId="7D72D2AF" w14:textId="77777777" w:rsidR="00D06DD1" w:rsidRDefault="009E5C34" w:rsidP="00171781">
      <w:pPr>
        <w:spacing w:line="360" w:lineRule="auto"/>
        <w:jc w:val="center"/>
      </w:pPr>
      <w:r w:rsidRPr="00F1008C">
        <w:rPr>
          <w:b/>
          <w:bCs/>
        </w:rPr>
        <w:t xml:space="preserve">Source: </w:t>
      </w:r>
      <w:r w:rsidRPr="00F1008C">
        <w:t xml:space="preserve">(BHP, 2026) </w:t>
      </w:r>
    </w:p>
    <w:p w14:paraId="55C0DEE1" w14:textId="1F9F1CD0" w:rsidR="00B56CD9" w:rsidRPr="003C054F" w:rsidRDefault="00B56CD9" w:rsidP="00171781">
      <w:pPr>
        <w:spacing w:line="360" w:lineRule="auto"/>
      </w:pPr>
      <w:r w:rsidRPr="003C054F">
        <w:t>Figure 2 shows BHP’s long-term goal towards net zero for CHG emissions. However, it will be challenging to achieve this goal because emissions throughout its value chain remain partly dependent on how its products are used by customers. Hence, progress should not be assessed against its long-term commitment alone. Instead, it should be measured against measurable emissions.</w:t>
      </w:r>
    </w:p>
    <w:p w14:paraId="3909825B" w14:textId="2686885B" w:rsidR="00D06DD1" w:rsidRPr="00F1008C" w:rsidRDefault="009E5C34" w:rsidP="00171781">
      <w:pPr>
        <w:pStyle w:val="Heading2"/>
        <w:spacing w:line="360" w:lineRule="auto"/>
      </w:pPr>
      <w:bookmarkStart w:id="8" w:name="_Toc243565904"/>
      <w:r w:rsidRPr="00F1008C">
        <w:lastRenderedPageBreak/>
        <w:t xml:space="preserve">1.3 External Actor </w:t>
      </w:r>
      <w:r w:rsidR="00FC043E">
        <w:t>3</w:t>
      </w:r>
      <w:r w:rsidRPr="00F1008C">
        <w:t xml:space="preserve"> </w:t>
      </w:r>
      <w:r w:rsidR="00FC043E">
        <w:t>–</w:t>
      </w:r>
      <w:r w:rsidRPr="00F1008C">
        <w:t xml:space="preserve"> </w:t>
      </w:r>
      <w:r w:rsidR="00FC043E">
        <w:t>Social -</w:t>
      </w:r>
      <w:r w:rsidRPr="00F1008C">
        <w:t>Demand for Lower-Carbon Products</w:t>
      </w:r>
      <w:bookmarkEnd w:id="8"/>
      <w:r w:rsidRPr="00F1008C">
        <w:t xml:space="preserve"> </w:t>
      </w:r>
    </w:p>
    <w:p w14:paraId="3CDA9D6C" w14:textId="77777777" w:rsidR="00D06DD1" w:rsidRPr="00F1008C" w:rsidRDefault="009E5C34" w:rsidP="00171781">
      <w:pPr>
        <w:spacing w:line="360" w:lineRule="auto"/>
      </w:pPr>
      <w:r w:rsidRPr="00F1008C">
        <w:t xml:space="preserve">BHP's transition is influenced by industrial customers because their purchasing decisions determine whether commercially viable demand can be generated by lower-carbon materials. Steelmakers represent one of the core customer bases within the value chain of BHP, while at the same time increasing pressures for reducing emissions are being faced by copper customers as well. The International Energy Agency (IEA, 2025a) reported that just </w:t>
      </w:r>
      <w:proofErr w:type="gramStart"/>
      <w:r w:rsidRPr="00F1008C">
        <w:t>under</w:t>
      </w:r>
      <w:proofErr w:type="gramEnd"/>
      <w:r w:rsidRPr="00F1008C">
        <w:t xml:space="preserve"> two million tonnes of near-zero-emissions steel annually by 2030 are covered by publicly disclosed </w:t>
      </w:r>
      <w:proofErr w:type="spellStart"/>
      <w:r w:rsidRPr="00F1008C">
        <w:t>offtake</w:t>
      </w:r>
      <w:proofErr w:type="spellEnd"/>
      <w:r w:rsidRPr="00F1008C">
        <w:t xml:space="preserve"> agreements. It is further seen that a potential demand of 3 million tonnes has not yet been secured through </w:t>
      </w:r>
      <w:proofErr w:type="spellStart"/>
      <w:r w:rsidRPr="00F1008C">
        <w:t>offtake</w:t>
      </w:r>
      <w:proofErr w:type="spellEnd"/>
      <w:r w:rsidRPr="00F1008C">
        <w:t xml:space="preserve"> agreements. These show that the interests of the customer have not been able to fully translate into actual firm purchases.</w:t>
      </w:r>
    </w:p>
    <w:p w14:paraId="29D61333" w14:textId="77777777" w:rsidR="00D06DD1" w:rsidRPr="00F1008C" w:rsidRDefault="009E5C34" w:rsidP="00171781">
      <w:pPr>
        <w:spacing w:line="360" w:lineRule="auto"/>
      </w:pPr>
      <w:r w:rsidRPr="00F1008C">
        <w:t xml:space="preserve">Another challenge is represented through price sensitivity. The Global Materials Perspective 2025 Report by McKinsey found that approximately 50% of the steel buyers who were surveyed were actually unwilling to pay a premium in exchange for greener steel in 2025, in comparison to approximately 35% in 2024. The unwillingness has increased to approximately 50% from 40% for copper (McKinsey, 2025). </w:t>
      </w:r>
    </w:p>
    <w:p w14:paraId="14AB52A3" w14:textId="77777777" w:rsidR="00D06DD1" w:rsidRPr="00F1008C" w:rsidRDefault="009E5C34" w:rsidP="00171781">
      <w:pPr>
        <w:spacing w:line="360" w:lineRule="auto"/>
        <w:jc w:val="center"/>
      </w:pPr>
      <w:r w:rsidRPr="00F1008C">
        <w:rPr>
          <w:noProof/>
          <w:lang w:val="en-US" w:bidi="gu-IN"/>
        </w:rPr>
        <w:drawing>
          <wp:inline distT="114300" distB="114300" distL="114300" distR="114300" wp14:anchorId="4A93DBC1" wp14:editId="7C1659F4">
            <wp:extent cx="3897086" cy="2917371"/>
            <wp:effectExtent l="38100" t="38100" r="46355" b="3556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3910013" cy="2927048"/>
                    </a:xfrm>
                    <a:prstGeom prst="rect">
                      <a:avLst/>
                    </a:prstGeom>
                    <a:ln w="38100">
                      <a:solidFill>
                        <a:srgbClr val="000000"/>
                      </a:solidFill>
                      <a:prstDash val="solid"/>
                    </a:ln>
                  </pic:spPr>
                </pic:pic>
              </a:graphicData>
            </a:graphic>
          </wp:inline>
        </w:drawing>
      </w:r>
    </w:p>
    <w:p w14:paraId="0B8DF928" w14:textId="77777777" w:rsidR="00D06DD1" w:rsidRPr="00F1008C" w:rsidRDefault="009E5C34" w:rsidP="00171781">
      <w:pPr>
        <w:pBdr>
          <w:top w:val="nil"/>
          <w:left w:val="nil"/>
          <w:bottom w:val="nil"/>
          <w:right w:val="nil"/>
          <w:between w:val="nil"/>
        </w:pBdr>
        <w:spacing w:after="200" w:line="360" w:lineRule="auto"/>
        <w:jc w:val="center"/>
        <w:rPr>
          <w:b/>
          <w:bCs/>
          <w:color w:val="000000"/>
        </w:rPr>
      </w:pPr>
      <w:bookmarkStart w:id="9" w:name="_3bug2oxbcokl" w:colFirst="0" w:colLast="0"/>
      <w:bookmarkEnd w:id="9"/>
      <w:r w:rsidRPr="00F1008C">
        <w:rPr>
          <w:b/>
          <w:bCs/>
          <w:color w:val="000000"/>
        </w:rPr>
        <w:t>Figure 3: Buyers’ Willingness to Pay a Premium for Greener Steel and Copper</w:t>
      </w:r>
    </w:p>
    <w:p w14:paraId="609C2103" w14:textId="77777777" w:rsidR="00D06DD1" w:rsidRPr="00F1008C" w:rsidRDefault="009E5C34" w:rsidP="00171781">
      <w:pPr>
        <w:spacing w:line="360" w:lineRule="auto"/>
        <w:jc w:val="center"/>
      </w:pPr>
      <w:r w:rsidRPr="00F1008C">
        <w:rPr>
          <w:b/>
          <w:bCs/>
        </w:rPr>
        <w:t>Source:</w:t>
      </w:r>
      <w:r w:rsidRPr="00F1008C">
        <w:t xml:space="preserve"> (McKinsey, 2025) </w:t>
      </w:r>
    </w:p>
    <w:p w14:paraId="60AB53BE" w14:textId="77777777" w:rsidR="00D06DD1" w:rsidRPr="00F1008C" w:rsidRDefault="009E5C34" w:rsidP="00171781">
      <w:pPr>
        <w:spacing w:line="360" w:lineRule="auto"/>
      </w:pPr>
      <w:r w:rsidRPr="00F1008C">
        <w:lastRenderedPageBreak/>
        <w:t xml:space="preserve">It was suggested by these findings that customer loyalty might not be secured solely by sustainability or even justify the high prices. Hence, BHP needs to collaborate with industrial customers on the issue of reducing emissions while showing measurable benefits to the environment and competitive costs. Its opportunity for marketing depends on the ability to convert the interest in sustainability into sustained commitments for purchasing (Muñoz, 2025). </w:t>
      </w:r>
    </w:p>
    <w:p w14:paraId="27B89031" w14:textId="29E2CFED" w:rsidR="00D06DD1" w:rsidRPr="00F1008C" w:rsidRDefault="00171781" w:rsidP="00171781">
      <w:pPr>
        <w:pStyle w:val="Heading2"/>
        <w:spacing w:line="360" w:lineRule="auto"/>
      </w:pPr>
      <w:bookmarkStart w:id="10" w:name="_Toc243565905"/>
      <w:r>
        <w:t xml:space="preserve">1.3.1 </w:t>
      </w:r>
      <w:r w:rsidR="009E5C34" w:rsidRPr="00F1008C">
        <w:t>Competitors and Competitive Pressure</w:t>
      </w:r>
      <w:bookmarkEnd w:id="10"/>
      <w:r w:rsidR="009E5C34" w:rsidRPr="00F1008C">
        <w:t xml:space="preserve"> </w:t>
      </w:r>
    </w:p>
    <w:p w14:paraId="6E807E6A" w14:textId="77777777" w:rsidR="00D06DD1" w:rsidRPr="00F1008C" w:rsidRDefault="009E5C34" w:rsidP="00171781">
      <w:pPr>
        <w:spacing w:line="360" w:lineRule="auto"/>
      </w:pPr>
      <w:r w:rsidRPr="00F1008C">
        <w:t xml:space="preserve">Competitive pressure is faced by BHP from </w:t>
      </w:r>
      <w:proofErr w:type="spellStart"/>
      <w:r w:rsidRPr="00F1008C">
        <w:t>Fortescue</w:t>
      </w:r>
      <w:proofErr w:type="spellEnd"/>
      <w:r w:rsidRPr="00F1008C">
        <w:t xml:space="preserve"> and Rio Tinto; the expectations of the industry are influenced by their emission targets. 31.5 million tonnes of Scope 1 and 2 emissions in 2025 were reported by Rio Tinto, while they have set the target of 50% reduction by 2030 against their baseline year of 2018 (Rio Tinto, 2026). 8.7 million </w:t>
      </w:r>
      <w:proofErr w:type="gramStart"/>
      <w:r w:rsidRPr="00F1008C">
        <w:t>tonnes</w:t>
      </w:r>
      <w:proofErr w:type="gramEnd"/>
      <w:r w:rsidRPr="00F1008C">
        <w:t xml:space="preserve"> of emissions from operations was reported by BHP in FY2025, which is 36% below its adjusted FY2020 baseline, and it has a target of a 30% emission reduction by FY2030 (BHP, 2025). </w:t>
      </w:r>
    </w:p>
    <w:p w14:paraId="527EA7CF" w14:textId="77777777" w:rsidR="00D06DD1" w:rsidRPr="00F1008C" w:rsidRDefault="009E5C34" w:rsidP="00171781">
      <w:pPr>
        <w:spacing w:line="360" w:lineRule="auto"/>
        <w:jc w:val="center"/>
      </w:pPr>
      <w:r w:rsidRPr="00F1008C">
        <w:rPr>
          <w:noProof/>
          <w:lang w:val="en-US" w:bidi="gu-IN"/>
        </w:rPr>
        <w:drawing>
          <wp:inline distT="114300" distB="114300" distL="114300" distR="114300" wp14:anchorId="4792EFA0" wp14:editId="3F288AA1">
            <wp:extent cx="5181080" cy="3211286"/>
            <wp:effectExtent l="19050" t="19050" r="19685" b="27305"/>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176503" cy="3208449"/>
                    </a:xfrm>
                    <a:prstGeom prst="rect">
                      <a:avLst/>
                    </a:prstGeom>
                    <a:ln w="25400">
                      <a:solidFill>
                        <a:srgbClr val="5B0F00"/>
                      </a:solidFill>
                      <a:prstDash val="solid"/>
                    </a:ln>
                  </pic:spPr>
                </pic:pic>
              </a:graphicData>
            </a:graphic>
          </wp:inline>
        </w:drawing>
      </w:r>
    </w:p>
    <w:p w14:paraId="5FF8A16A" w14:textId="77777777" w:rsidR="00D06DD1" w:rsidRPr="00F1008C" w:rsidRDefault="009E5C34" w:rsidP="00171781">
      <w:pPr>
        <w:pBdr>
          <w:top w:val="nil"/>
          <w:left w:val="nil"/>
          <w:bottom w:val="nil"/>
          <w:right w:val="nil"/>
          <w:between w:val="nil"/>
        </w:pBdr>
        <w:spacing w:after="200" w:line="360" w:lineRule="auto"/>
        <w:jc w:val="center"/>
        <w:rPr>
          <w:b/>
          <w:bCs/>
          <w:color w:val="000000"/>
        </w:rPr>
      </w:pPr>
      <w:bookmarkStart w:id="11" w:name="_npu9gon3pkuj" w:colFirst="0" w:colLast="0"/>
      <w:bookmarkEnd w:id="11"/>
      <w:r w:rsidRPr="00F1008C">
        <w:rPr>
          <w:b/>
          <w:bCs/>
          <w:color w:val="000000"/>
        </w:rPr>
        <w:t>Figure 4: Breakdown of Rio Tinto’s Greenhouse Gas Emissions</w:t>
      </w:r>
    </w:p>
    <w:p w14:paraId="60554AF4" w14:textId="77777777" w:rsidR="00D06DD1" w:rsidRPr="00F1008C" w:rsidRDefault="009E5C34" w:rsidP="00171781">
      <w:pPr>
        <w:spacing w:line="360" w:lineRule="auto"/>
        <w:jc w:val="center"/>
      </w:pPr>
      <w:r w:rsidRPr="00F1008C">
        <w:rPr>
          <w:b/>
          <w:bCs/>
        </w:rPr>
        <w:t>Source:</w:t>
      </w:r>
      <w:r w:rsidRPr="00F1008C">
        <w:t xml:space="preserve"> (Rio Tinto, 2026) </w:t>
      </w:r>
    </w:p>
    <w:p w14:paraId="43295E9D" w14:textId="77777777" w:rsidR="00D06DD1" w:rsidRPr="00F1008C" w:rsidRDefault="009E5C34" w:rsidP="00171781">
      <w:pPr>
        <w:spacing w:line="360" w:lineRule="auto"/>
      </w:pPr>
      <w:proofErr w:type="gramStart"/>
      <w:r w:rsidRPr="00F1008C">
        <w:lastRenderedPageBreak/>
        <w:t>Even though these figures cannot be compared directly because different baselines for reporting have been used by the company, along with different operational boundaries.</w:t>
      </w:r>
      <w:proofErr w:type="gramEnd"/>
      <w:r w:rsidRPr="00F1008C">
        <w:t xml:space="preserve"> However, the more ambitious percentage target set by Rio Tinto increases pressure on BHP to meet expectations of progress. BHP can differentiate itself by making sure to stay transparent in its reporting and back up its claims. </w:t>
      </w:r>
    </w:p>
    <w:p w14:paraId="251F7D0F" w14:textId="77777777" w:rsidR="00D06DD1" w:rsidRPr="00F1008C" w:rsidRDefault="009E5C34" w:rsidP="00171781">
      <w:pPr>
        <w:pStyle w:val="Heading2"/>
        <w:spacing w:line="360" w:lineRule="auto"/>
      </w:pPr>
      <w:bookmarkStart w:id="12" w:name="_Toc243565906"/>
      <w:r w:rsidRPr="00F1008C">
        <w:t>1.5 Critical Evaluation: Marketing Opportunities and Threats for BHP</w:t>
      </w:r>
      <w:bookmarkEnd w:id="12"/>
      <w:r w:rsidRPr="00F1008C">
        <w:t xml:space="preserve"> </w:t>
      </w:r>
    </w:p>
    <w:p w14:paraId="440D81FD" w14:textId="77777777" w:rsidR="00D06DD1" w:rsidRPr="00F1008C" w:rsidRDefault="009E5C34" w:rsidP="00171781">
      <w:pPr>
        <w:spacing w:line="360" w:lineRule="auto"/>
      </w:pPr>
      <w:r w:rsidRPr="00F1008C">
        <w:t xml:space="preserve">The low-carbon transition creates opportunities for BHP to strengthen its reputation while at the same time attracting customers who seek more sustainable materials. However, competitive advantage cannot be guaranteed only through environmental progress because industrial buyers remain sensitive, and at the same time, substantial investment is required for decarbonisation. Zhang et al. (2022) identified environmental legitimacy, customer enforcement and competitive pressures as essential drivers of corporate strategies for carbon neutrality. This suggests that BHP needs to demonstrate measurable reductions in its emissions while responding to the cost expectations of its customers. In addition to that, its scope three emissions remain partly dependent on customers and suppliers, which </w:t>
      </w:r>
      <w:proofErr w:type="gramStart"/>
      <w:r w:rsidRPr="00F1008C">
        <w:t>limits</w:t>
      </w:r>
      <w:proofErr w:type="gramEnd"/>
      <w:r w:rsidRPr="00F1008C">
        <w:t xml:space="preserve"> direct control (</w:t>
      </w:r>
      <w:proofErr w:type="spellStart"/>
      <w:r w:rsidRPr="00F1008C">
        <w:t>Stenzel</w:t>
      </w:r>
      <w:proofErr w:type="spellEnd"/>
      <w:r w:rsidRPr="00F1008C">
        <w:t xml:space="preserve"> and </w:t>
      </w:r>
      <w:proofErr w:type="spellStart"/>
      <w:r w:rsidRPr="00F1008C">
        <w:t>Waichman</w:t>
      </w:r>
      <w:proofErr w:type="spellEnd"/>
      <w:r w:rsidRPr="00F1008C">
        <w:t xml:space="preserve">, 2023). Hence, BHP needs to combine collaboration with customers, transparent reporting and cost-effective innovation. Credibility can be strengthened through this approach while reducing the risk of unsupported environmental claims and avoiding </w:t>
      </w:r>
      <w:proofErr w:type="spellStart"/>
      <w:r w:rsidRPr="00F1008C">
        <w:t>greenwashing</w:t>
      </w:r>
      <w:proofErr w:type="spellEnd"/>
      <w:r w:rsidRPr="00F1008C">
        <w:t xml:space="preserve"> risks (</w:t>
      </w:r>
      <w:proofErr w:type="spellStart"/>
      <w:r w:rsidRPr="00F1008C">
        <w:t>Xu</w:t>
      </w:r>
      <w:proofErr w:type="spellEnd"/>
      <w:r w:rsidRPr="00F1008C">
        <w:t xml:space="preserve"> et al., 2023).</w:t>
      </w:r>
    </w:p>
    <w:p w14:paraId="5540A312" w14:textId="77777777" w:rsidR="00D06DD1" w:rsidRPr="00F1008C" w:rsidRDefault="009E5C34" w:rsidP="00171781">
      <w:pPr>
        <w:spacing w:line="360" w:lineRule="auto"/>
        <w:rPr>
          <w:b/>
          <w:bCs/>
        </w:rPr>
      </w:pPr>
      <w:r w:rsidRPr="00F1008C">
        <w:br w:type="page"/>
      </w:r>
    </w:p>
    <w:p w14:paraId="2BBCD36A" w14:textId="77777777" w:rsidR="00D06DD1" w:rsidRPr="00F1008C" w:rsidRDefault="009E5C34" w:rsidP="00171781">
      <w:pPr>
        <w:pStyle w:val="Heading1"/>
        <w:spacing w:line="360" w:lineRule="auto"/>
      </w:pPr>
      <w:bookmarkStart w:id="13" w:name="_Toc243565907"/>
      <w:r w:rsidRPr="00F1008C">
        <w:lastRenderedPageBreak/>
        <w:t>2.0 Task 2 - Strategic Growth and Competitive Positioning</w:t>
      </w:r>
      <w:bookmarkEnd w:id="13"/>
      <w:r w:rsidRPr="00F1008C">
        <w:t xml:space="preserve"> </w:t>
      </w:r>
    </w:p>
    <w:p w14:paraId="0607563D" w14:textId="77777777" w:rsidR="00D06DD1" w:rsidRPr="00F1008C" w:rsidRDefault="009E5C34" w:rsidP="00171781">
      <w:pPr>
        <w:pStyle w:val="Heading2"/>
        <w:spacing w:line="360" w:lineRule="auto"/>
      </w:pPr>
      <w:bookmarkStart w:id="14" w:name="_Toc243565908"/>
      <w:r w:rsidRPr="00F1008C">
        <w:t xml:space="preserve">2.1 Application of the </w:t>
      </w:r>
      <w:proofErr w:type="spellStart"/>
      <w:r w:rsidRPr="00F1008C">
        <w:t>Ansoff</w:t>
      </w:r>
      <w:proofErr w:type="spellEnd"/>
      <w:r w:rsidRPr="00F1008C">
        <w:t xml:space="preserve"> Matrix</w:t>
      </w:r>
      <w:bookmarkEnd w:id="14"/>
    </w:p>
    <w:p w14:paraId="628415A2" w14:textId="77777777" w:rsidR="00D06DD1" w:rsidRPr="00F1008C" w:rsidRDefault="009E5C34" w:rsidP="00171781">
      <w:pPr>
        <w:spacing w:before="240" w:after="240" w:line="360" w:lineRule="auto"/>
      </w:pPr>
      <w:r w:rsidRPr="00F1008C">
        <w:t xml:space="preserve">Four strategies for growth have been identified by the </w:t>
      </w:r>
      <w:proofErr w:type="spellStart"/>
      <w:r w:rsidRPr="00F1008C">
        <w:t>Ansoff</w:t>
      </w:r>
      <w:proofErr w:type="spellEnd"/>
      <w:r w:rsidRPr="00F1008C">
        <w:t xml:space="preserve"> matrix, which are based on existing or new products and markets. It is confirmed through research that the framework helps businesses to evaluate their product combination and associated growth (Ferreira and Marques, 2024).</w:t>
      </w:r>
    </w:p>
    <w:p w14:paraId="003EDFE4" w14:textId="77777777" w:rsidR="00D06DD1" w:rsidRPr="00F1008C" w:rsidRDefault="009E5C34" w:rsidP="00171781">
      <w:pPr>
        <w:spacing w:before="240" w:after="240" w:line="360" w:lineRule="auto"/>
        <w:jc w:val="center"/>
      </w:pPr>
      <w:r w:rsidRPr="00F1008C">
        <w:rPr>
          <w:noProof/>
          <w:lang w:val="en-US" w:bidi="gu-IN"/>
        </w:rPr>
        <w:drawing>
          <wp:inline distT="114300" distB="114300" distL="114300" distR="114300" wp14:anchorId="6B1CF5C4" wp14:editId="510D4355">
            <wp:extent cx="3307699" cy="2774946"/>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3307699" cy="2774946"/>
                    </a:xfrm>
                    <a:prstGeom prst="rect">
                      <a:avLst/>
                    </a:prstGeom>
                    <a:ln w="25400">
                      <a:solidFill>
                        <a:srgbClr val="5B0F00"/>
                      </a:solidFill>
                      <a:prstDash val="solid"/>
                    </a:ln>
                  </pic:spPr>
                </pic:pic>
              </a:graphicData>
            </a:graphic>
          </wp:inline>
        </w:drawing>
      </w:r>
    </w:p>
    <w:p w14:paraId="071FE0DC" w14:textId="65F2842E" w:rsidR="00D06DD1" w:rsidRPr="00F1008C" w:rsidRDefault="009E5C34" w:rsidP="00171781">
      <w:pPr>
        <w:pBdr>
          <w:top w:val="nil"/>
          <w:left w:val="nil"/>
          <w:bottom w:val="nil"/>
          <w:right w:val="nil"/>
          <w:between w:val="nil"/>
        </w:pBdr>
        <w:spacing w:after="200" w:line="360" w:lineRule="auto"/>
        <w:jc w:val="center"/>
        <w:rPr>
          <w:b/>
          <w:bCs/>
          <w:color w:val="000000"/>
        </w:rPr>
      </w:pPr>
      <w:bookmarkStart w:id="15" w:name="_ihqiswq7fv7t" w:colFirst="0" w:colLast="0"/>
      <w:bookmarkEnd w:id="15"/>
      <w:r w:rsidRPr="00F1008C">
        <w:rPr>
          <w:b/>
          <w:bCs/>
          <w:color w:val="000000"/>
        </w:rPr>
        <w:t>Figure 5:</w:t>
      </w:r>
      <w:r w:rsidR="00B56CD9">
        <w:rPr>
          <w:b/>
          <w:bCs/>
          <w:color w:val="000000"/>
        </w:rPr>
        <w:t xml:space="preserve"> </w:t>
      </w:r>
      <w:proofErr w:type="spellStart"/>
      <w:r w:rsidRPr="00F1008C">
        <w:rPr>
          <w:b/>
          <w:bCs/>
          <w:color w:val="000000"/>
        </w:rPr>
        <w:t>Ansoff</w:t>
      </w:r>
      <w:proofErr w:type="spellEnd"/>
      <w:r w:rsidRPr="00F1008C">
        <w:rPr>
          <w:b/>
          <w:bCs/>
          <w:color w:val="000000"/>
        </w:rPr>
        <w:t xml:space="preserve"> Matrix</w:t>
      </w:r>
    </w:p>
    <w:p w14:paraId="6D01FFC8" w14:textId="77777777" w:rsidR="00D06DD1" w:rsidRPr="00F1008C" w:rsidRDefault="009E5C34" w:rsidP="00171781">
      <w:pPr>
        <w:spacing w:before="240" w:after="240" w:line="360" w:lineRule="auto"/>
        <w:jc w:val="center"/>
      </w:pPr>
      <w:r w:rsidRPr="00F1008C">
        <w:rPr>
          <w:b/>
          <w:bCs/>
        </w:rPr>
        <w:t>Source:</w:t>
      </w:r>
      <w:r w:rsidRPr="00F1008C">
        <w:t xml:space="preserve"> (The Strategy Institute, 2024) </w:t>
      </w:r>
    </w:p>
    <w:p w14:paraId="00BE9C27" w14:textId="77777777" w:rsidR="00D06DD1" w:rsidRPr="00F1008C" w:rsidRDefault="009E5C34" w:rsidP="00171781">
      <w:pPr>
        <w:spacing w:before="240" w:after="240" w:line="360" w:lineRule="auto"/>
        <w:rPr>
          <w:b/>
          <w:bCs/>
          <w:i/>
          <w:iCs/>
        </w:rPr>
      </w:pPr>
      <w:r w:rsidRPr="00F1008C">
        <w:rPr>
          <w:b/>
          <w:bCs/>
          <w:i/>
          <w:iCs/>
        </w:rPr>
        <w:t>Market Penetration</w:t>
      </w:r>
    </w:p>
    <w:p w14:paraId="2B793C24" w14:textId="77777777" w:rsidR="00D06DD1" w:rsidRPr="00F1008C" w:rsidRDefault="009E5C34" w:rsidP="00171781">
      <w:pPr>
        <w:spacing w:before="240" w:after="240" w:line="360" w:lineRule="auto"/>
      </w:pPr>
      <w:r w:rsidRPr="00F1008C">
        <w:t>Sales of existing copper and iron ore to current customers should be increased by BHP through long supply agreements.</w:t>
      </w:r>
    </w:p>
    <w:p w14:paraId="6504FEDA" w14:textId="77777777" w:rsidR="00D06DD1" w:rsidRPr="00F1008C" w:rsidRDefault="009E5C34" w:rsidP="00171781">
      <w:pPr>
        <w:spacing w:before="240" w:after="240" w:line="360" w:lineRule="auto"/>
        <w:rPr>
          <w:b/>
          <w:bCs/>
          <w:i/>
          <w:iCs/>
        </w:rPr>
      </w:pPr>
      <w:r w:rsidRPr="00F1008C">
        <w:rPr>
          <w:b/>
          <w:bCs/>
          <w:i/>
          <w:iCs/>
        </w:rPr>
        <w:t>Market Development</w:t>
      </w:r>
    </w:p>
    <w:p w14:paraId="0BB1EB5F" w14:textId="77777777" w:rsidR="00D06DD1" w:rsidRPr="00F1008C" w:rsidRDefault="009E5C34" w:rsidP="00171781">
      <w:pPr>
        <w:spacing w:before="240" w:after="240" w:line="360" w:lineRule="auto"/>
      </w:pPr>
      <w:r w:rsidRPr="00F1008C">
        <w:t>New segments of customers should be targeted by the company, specifically electric network operators and renewable energy developers, because copper is essential for the energy transition (Kamran et al., 2023).</w:t>
      </w:r>
    </w:p>
    <w:p w14:paraId="439F422D" w14:textId="77777777" w:rsidR="00D06DD1" w:rsidRPr="00F1008C" w:rsidRDefault="009E5C34" w:rsidP="00171781">
      <w:pPr>
        <w:spacing w:before="240" w:after="240" w:line="360" w:lineRule="auto"/>
        <w:rPr>
          <w:b/>
          <w:bCs/>
          <w:i/>
          <w:iCs/>
        </w:rPr>
      </w:pPr>
      <w:r w:rsidRPr="00F1008C">
        <w:rPr>
          <w:b/>
          <w:bCs/>
          <w:i/>
          <w:iCs/>
        </w:rPr>
        <w:lastRenderedPageBreak/>
        <w:t>Product Development</w:t>
      </w:r>
    </w:p>
    <w:p w14:paraId="4FBA87B2" w14:textId="6C5551D9" w:rsidR="00D06DD1" w:rsidRPr="003C054F" w:rsidRDefault="009E5C34" w:rsidP="00171781">
      <w:pPr>
        <w:spacing w:before="240" w:after="240" w:line="360" w:lineRule="auto"/>
        <w:rPr>
          <w:b/>
          <w:bCs/>
          <w:i/>
          <w:iCs/>
        </w:rPr>
      </w:pPr>
      <w:r w:rsidRPr="003C054F">
        <w:t xml:space="preserve">BHP should increase its collaboration with existing customers within steelmaking. In order to develop higher-quality iron ore solutions while supporting its goal of lower </w:t>
      </w:r>
      <w:r w:rsidR="00B56CD9" w:rsidRPr="003C054F">
        <w:t>emissions</w:t>
      </w:r>
      <w:r w:rsidRPr="003C054F">
        <w:t xml:space="preserve"> in steelmaking.</w:t>
      </w:r>
      <w:r w:rsidR="00963B0A" w:rsidRPr="003C054F">
        <w:t xml:space="preserve"> This could mean that the quality of iron ore could be improved, along with suitability for direct reduced iron ore (DRI) processes, which can support the production of steel with lower emissions</w:t>
      </w:r>
      <w:r w:rsidR="00B47C38" w:rsidRPr="003C054F">
        <w:t xml:space="preserve"> (</w:t>
      </w:r>
      <w:proofErr w:type="spellStart"/>
      <w:r w:rsidR="00B47C38" w:rsidRPr="003C054F">
        <w:t>Zang</w:t>
      </w:r>
      <w:proofErr w:type="spellEnd"/>
      <w:r w:rsidR="00B47C38" w:rsidRPr="003C054F">
        <w:t xml:space="preserve"> et al., 2023)</w:t>
      </w:r>
      <w:r w:rsidR="00963B0A" w:rsidRPr="003C054F">
        <w:t xml:space="preserve">. Joint trials could be implemented by BHP by working with existing steelmakers to test the technical suitability of its iron ore products while assessing their potential for emission reduction. Through this, BHP could strengthen the relationship with customers while improving the existing products and effectively </w:t>
      </w:r>
      <w:r w:rsidR="00AE1B15" w:rsidRPr="003C054F">
        <w:t>handling</w:t>
      </w:r>
      <w:r w:rsidR="00963B0A" w:rsidRPr="003C054F">
        <w:t xml:space="preserve"> the increasing demand for lower-carbon steelmaking materials. </w:t>
      </w:r>
      <w:r w:rsidRPr="003C054F">
        <w:br/>
      </w:r>
      <w:r w:rsidRPr="003C054F">
        <w:rPr>
          <w:b/>
          <w:bCs/>
          <w:i/>
          <w:iCs/>
        </w:rPr>
        <w:t>Diversification</w:t>
      </w:r>
    </w:p>
    <w:p w14:paraId="608CDBDE" w14:textId="6513969C" w:rsidR="00D06DD1" w:rsidRPr="00F1008C" w:rsidRDefault="009E5C34" w:rsidP="00171781">
      <w:pPr>
        <w:spacing w:before="240" w:after="240" w:line="360" w:lineRule="auto"/>
      </w:pPr>
      <w:r w:rsidRPr="003C054F">
        <w:t xml:space="preserve">Renewable energy projects or green hydrogen could be selectively explored by BHP even though additional capacity and investment </w:t>
      </w:r>
      <w:r w:rsidRPr="00F1008C">
        <w:t>might be required for this (Li et al., 2024).</w:t>
      </w:r>
      <w:r w:rsidR="00963B0A">
        <w:t xml:space="preserve"> </w:t>
      </w:r>
      <w:r w:rsidRPr="00F1008C">
        <w:t xml:space="preserve">Among the four, BHP should give higher priority to product and market development because they build on the resources and customer relationships which already exist. Diversification needs to be used selectively because newer and unfamiliar markets might increase uncertainty. New capabilities could be unlocked through partnerships along with sharing the risk of investment (Ego, 2022). </w:t>
      </w:r>
    </w:p>
    <w:p w14:paraId="16DBBA27" w14:textId="77777777" w:rsidR="00D06DD1" w:rsidRPr="00F1008C" w:rsidRDefault="009E5C34" w:rsidP="00171781">
      <w:pPr>
        <w:pStyle w:val="Heading2"/>
        <w:spacing w:line="360" w:lineRule="auto"/>
      </w:pPr>
      <w:bookmarkStart w:id="16" w:name="_Toc243565909"/>
      <w:r w:rsidRPr="00F1008C">
        <w:t>2.2 Recommended Growth Strategy (Product Development)</w:t>
      </w:r>
      <w:bookmarkEnd w:id="16"/>
      <w:r w:rsidRPr="00F1008C">
        <w:t xml:space="preserve"> </w:t>
      </w:r>
    </w:p>
    <w:p w14:paraId="0681303B" w14:textId="77777777" w:rsidR="00D06DD1" w:rsidRPr="00F1008C" w:rsidRDefault="009E5C34" w:rsidP="00171781">
      <w:pPr>
        <w:spacing w:before="240" w:after="240" w:line="360" w:lineRule="auto"/>
      </w:pPr>
      <w:r w:rsidRPr="00F1008C">
        <w:t xml:space="preserve">Product development from the </w:t>
      </w:r>
      <w:proofErr w:type="spellStart"/>
      <w:r w:rsidRPr="00F1008C">
        <w:t>Ansoff</w:t>
      </w:r>
      <w:proofErr w:type="spellEnd"/>
      <w:r w:rsidRPr="00F1008C">
        <w:t xml:space="preserve"> matrix specifically should be prioritised by BHP by improving the existing iron ore products to take care of its current customers in steelmaking. This strategy is in direct alignment with practical support because the annual report of BHP for FY 2025 shows that a trial using its iron ore in a direct reduced iron pathway achieved lower emissions intensity of 50% than conventional blast furnace iron in the trial's comparison (BHP, 2025). It was also stated by BHP that emissions by up to 85% could potentially be reduced compared with conventional blast furnaces through combining DRI with an electric smelting furnace (BHP, 2025).</w:t>
      </w:r>
    </w:p>
    <w:p w14:paraId="2523F48B" w14:textId="2AB8B908" w:rsidR="00D06DD1" w:rsidRPr="003C054F" w:rsidRDefault="009E5C34" w:rsidP="00171781">
      <w:pPr>
        <w:spacing w:before="240" w:after="240" w:line="360" w:lineRule="auto"/>
      </w:pPr>
      <w:r w:rsidRPr="00F1008C">
        <w:lastRenderedPageBreak/>
        <w:t xml:space="preserve">Hence, BHP should invest in more trials while collaborating with the existing steelmakers to improve the suitability of the product for lower-emission processes. However, an 85% </w:t>
      </w:r>
      <w:r w:rsidRPr="003C054F">
        <w:t xml:space="preserve">reduction is not a guaranteed result and is more of a potential. </w:t>
      </w:r>
      <w:proofErr w:type="gramStart"/>
      <w:r w:rsidRPr="003C054F">
        <w:t xml:space="preserve">Alternative technologies for steel offer substantial potential reduction in emissions, which is demonstrated by the difference in emissions intensity across the pathways shown in Figure </w:t>
      </w:r>
      <w:r w:rsidR="00B56CD9" w:rsidRPr="003C054F">
        <w:t>6</w:t>
      </w:r>
      <w:r w:rsidRPr="003C054F">
        <w:t>.</w:t>
      </w:r>
      <w:proofErr w:type="gramEnd"/>
    </w:p>
    <w:p w14:paraId="6F69394E" w14:textId="77777777" w:rsidR="00D06DD1" w:rsidRPr="00F1008C" w:rsidRDefault="009E5C34" w:rsidP="00171781">
      <w:pPr>
        <w:spacing w:before="240" w:after="240" w:line="360" w:lineRule="auto"/>
        <w:jc w:val="center"/>
      </w:pPr>
      <w:r w:rsidRPr="00F1008C">
        <w:rPr>
          <w:noProof/>
          <w:lang w:val="en-US" w:bidi="gu-IN"/>
        </w:rPr>
        <w:drawing>
          <wp:inline distT="114300" distB="114300" distL="114300" distR="114300" wp14:anchorId="04DCF9B6" wp14:editId="2C6468D3">
            <wp:extent cx="4641807" cy="2125454"/>
            <wp:effectExtent l="38100" t="38100" r="38100" b="381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4641807" cy="2125454"/>
                    </a:xfrm>
                    <a:prstGeom prst="rect">
                      <a:avLst/>
                    </a:prstGeom>
                    <a:ln w="38100">
                      <a:solidFill>
                        <a:srgbClr val="000000"/>
                      </a:solidFill>
                      <a:prstDash val="solid"/>
                    </a:ln>
                  </pic:spPr>
                </pic:pic>
              </a:graphicData>
            </a:graphic>
          </wp:inline>
        </w:drawing>
      </w:r>
    </w:p>
    <w:p w14:paraId="32C86A1C" w14:textId="77777777" w:rsidR="00D06DD1" w:rsidRPr="00F1008C" w:rsidRDefault="009E5C34" w:rsidP="00171781">
      <w:pPr>
        <w:pBdr>
          <w:top w:val="nil"/>
          <w:left w:val="nil"/>
          <w:bottom w:val="nil"/>
          <w:right w:val="nil"/>
          <w:between w:val="nil"/>
        </w:pBdr>
        <w:spacing w:after="200" w:line="360" w:lineRule="auto"/>
        <w:jc w:val="center"/>
        <w:rPr>
          <w:b/>
          <w:bCs/>
          <w:color w:val="000000"/>
        </w:rPr>
      </w:pPr>
      <w:bookmarkStart w:id="17" w:name="_bnoc4q557mdj" w:colFirst="0" w:colLast="0"/>
      <w:bookmarkEnd w:id="17"/>
      <w:r w:rsidRPr="00F1008C">
        <w:rPr>
          <w:b/>
          <w:bCs/>
          <w:color w:val="000000"/>
        </w:rPr>
        <w:t>Figure 6: Potential ore-based (integrated) steelmaking technology pathways</w:t>
      </w:r>
    </w:p>
    <w:p w14:paraId="4D9B88EA" w14:textId="77777777" w:rsidR="00D06DD1" w:rsidRPr="00F1008C" w:rsidRDefault="009E5C34" w:rsidP="00171781">
      <w:pPr>
        <w:spacing w:before="240" w:after="240" w:line="360" w:lineRule="auto"/>
        <w:jc w:val="center"/>
      </w:pPr>
      <w:r w:rsidRPr="00F1008C">
        <w:rPr>
          <w:b/>
          <w:bCs/>
        </w:rPr>
        <w:t>Source:</w:t>
      </w:r>
      <w:r w:rsidRPr="00F1008C">
        <w:t xml:space="preserve"> (BHP, 2026) </w:t>
      </w:r>
    </w:p>
    <w:p w14:paraId="7567E91F" w14:textId="092F3B69" w:rsidR="00FC043E" w:rsidRDefault="009E5C34" w:rsidP="00171781">
      <w:pPr>
        <w:spacing w:before="240" w:after="240" w:line="360" w:lineRule="auto"/>
      </w:pPr>
      <w:r w:rsidRPr="00F1008C">
        <w:t xml:space="preserve">However, a significant amount of uncertainty is involved in product development because technologies for lower-carbon steelmaking might need reliable supplies of renewable hydrogen and electricity and costly infrastructure. BHP could evaluate the technical feasibility and demand from customers through joint trials with steelmakers before scaling </w:t>
      </w:r>
      <w:r w:rsidR="00B56CD9">
        <w:t>up</w:t>
      </w:r>
      <w:r w:rsidRPr="00F1008C">
        <w:t xml:space="preserve"> production. Whether the products can compete commercially could be revealed through comparing costs with conventional alternatives (</w:t>
      </w:r>
      <w:proofErr w:type="spellStart"/>
      <w:r w:rsidRPr="00F1008C">
        <w:t>Rosner</w:t>
      </w:r>
      <w:proofErr w:type="spellEnd"/>
      <w:r w:rsidRPr="00F1008C">
        <w:t xml:space="preserve"> et al., 2023). </w:t>
      </w:r>
    </w:p>
    <w:p w14:paraId="62E0638E" w14:textId="7490E32B" w:rsidR="00D06DD1" w:rsidRPr="00F1008C" w:rsidRDefault="009E5C34" w:rsidP="00171781">
      <w:pPr>
        <w:spacing w:before="240" w:after="240" w:line="360" w:lineRule="auto"/>
      </w:pPr>
      <w:r w:rsidRPr="00F1008C">
        <w:t>Minimum thresholds for customer commitments, investment return, and emission reduction should be set by BHP before approving spending at large scale. Without having this safeguard in place, the cost of development could very easily outweigh the commercial benefits if the customers are not willing to pay the premium (</w:t>
      </w:r>
      <w:proofErr w:type="spellStart"/>
      <w:r w:rsidRPr="00F1008C">
        <w:t>Rosner</w:t>
      </w:r>
      <w:proofErr w:type="spellEnd"/>
      <w:r w:rsidRPr="00F1008C">
        <w:t xml:space="preserve"> et al., 2023).</w:t>
      </w:r>
    </w:p>
    <w:p w14:paraId="555823AA" w14:textId="77777777" w:rsidR="00D06DD1" w:rsidRPr="00F1008C" w:rsidRDefault="009E5C34" w:rsidP="00171781">
      <w:pPr>
        <w:pStyle w:val="Heading2"/>
        <w:spacing w:line="360" w:lineRule="auto"/>
      </w:pPr>
      <w:bookmarkStart w:id="18" w:name="_Toc243565910"/>
      <w:r w:rsidRPr="00F1008C">
        <w:lastRenderedPageBreak/>
        <w:t>2.3 Competitive Advantage, Marketing and Technology</w:t>
      </w:r>
      <w:bookmarkEnd w:id="18"/>
    </w:p>
    <w:p w14:paraId="6F4FBE6A" w14:textId="329BE3A0" w:rsidR="00B078C5" w:rsidRPr="00171781" w:rsidRDefault="009E5C34" w:rsidP="00171781">
      <w:pPr>
        <w:spacing w:before="240" w:after="240" w:line="360" w:lineRule="auto"/>
      </w:pPr>
      <w:r w:rsidRPr="00F1008C">
        <w:t xml:space="preserve">The competitive advantage of BHP could be strengthened through industry partnership, technological innovation and evidence-based marketing. </w:t>
      </w:r>
      <w:proofErr w:type="spellStart"/>
      <w:r w:rsidRPr="00F1008C">
        <w:t>Mallett</w:t>
      </w:r>
      <w:proofErr w:type="spellEnd"/>
      <w:r w:rsidRPr="00F1008C">
        <w:t xml:space="preserve"> and Pal (2022) argue that international technology cooperation and systemic innovation are required for decarbonising steel instead of isolated initiatives by companies. BHP needs to collaborate with steelmakers to develop iron ore products that are suited to low-emissions production pathways, which include direct reduced iron based on hydrogen. Verified data regarding emissions should be communicated through marketing. </w:t>
      </w:r>
      <w:proofErr w:type="gramStart"/>
      <w:r w:rsidRPr="00F1008C">
        <w:t>While helping to distinguish projected reductions from demonstrated results.</w:t>
      </w:r>
      <w:proofErr w:type="gramEnd"/>
      <w:r w:rsidRPr="00F1008C">
        <w:t xml:space="preserve"> However, commercial success could not be guaranteed through technological potential because adoption is constrained by hydrogen. Electric availability and infrastructure investment might also limit the competitive advantage of BHP</w:t>
      </w:r>
      <w:r w:rsidRPr="003C054F">
        <w:t>.</w:t>
      </w:r>
      <w:r w:rsidR="00171781" w:rsidRPr="003C054F">
        <w:t xml:space="preserve"> </w:t>
      </w:r>
      <w:r w:rsidR="00EA5E7D" w:rsidRPr="003C054F">
        <w:t xml:space="preserve">Based on Porter’s Generic Strategies, a differentiation strategy should be chosen by BHP through the development of iron ore products which are suitable for low-emission steelmaking. </w:t>
      </w:r>
    </w:p>
    <w:p w14:paraId="431D566C" w14:textId="57893EE8" w:rsidR="00B078C5" w:rsidRDefault="00B078C5" w:rsidP="00171781">
      <w:pPr>
        <w:spacing w:before="240" w:after="240" w:line="360" w:lineRule="auto"/>
        <w:jc w:val="center"/>
      </w:pPr>
      <w:r w:rsidRPr="00B078C5">
        <w:rPr>
          <w:noProof/>
          <w:lang w:val="en-US" w:bidi="gu-IN"/>
        </w:rPr>
        <w:drawing>
          <wp:inline distT="0" distB="0" distL="0" distR="0" wp14:anchorId="473F23AC" wp14:editId="2EAE5FBC">
            <wp:extent cx="3520745" cy="2796782"/>
            <wp:effectExtent l="19050" t="19050" r="22860" b="22860"/>
            <wp:docPr id="2061743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743466" name=""/>
                    <pic:cNvPicPr/>
                  </pic:nvPicPr>
                  <pic:blipFill>
                    <a:blip r:embed="rId15"/>
                    <a:stretch>
                      <a:fillRect/>
                    </a:stretch>
                  </pic:blipFill>
                  <pic:spPr>
                    <a:xfrm>
                      <a:off x="0" y="0"/>
                      <a:ext cx="3520745" cy="2796782"/>
                    </a:xfrm>
                    <a:prstGeom prst="rect">
                      <a:avLst/>
                    </a:prstGeom>
                    <a:ln w="19050">
                      <a:solidFill>
                        <a:srgbClr val="002060"/>
                      </a:solidFill>
                    </a:ln>
                  </pic:spPr>
                </pic:pic>
              </a:graphicData>
            </a:graphic>
          </wp:inline>
        </w:drawing>
      </w:r>
    </w:p>
    <w:p w14:paraId="4F038DC6" w14:textId="6E2FA1A3" w:rsidR="00B078C5" w:rsidRPr="003C054F" w:rsidRDefault="00B078C5" w:rsidP="00171781">
      <w:pPr>
        <w:spacing w:before="240" w:after="240" w:line="360" w:lineRule="auto"/>
        <w:jc w:val="center"/>
        <w:rPr>
          <w:b/>
          <w:bCs/>
        </w:rPr>
      </w:pPr>
      <w:r w:rsidRPr="003C054F">
        <w:rPr>
          <w:b/>
          <w:bCs/>
        </w:rPr>
        <w:t>Figure</w:t>
      </w:r>
      <w:r w:rsidR="003C054F" w:rsidRPr="003C054F">
        <w:rPr>
          <w:b/>
          <w:bCs/>
        </w:rPr>
        <w:t xml:space="preserve"> 7</w:t>
      </w:r>
      <w:r w:rsidRPr="003C054F">
        <w:rPr>
          <w:b/>
          <w:bCs/>
        </w:rPr>
        <w:t>: Potters Generic Strategies</w:t>
      </w:r>
    </w:p>
    <w:p w14:paraId="48BE4162" w14:textId="5DF40F60" w:rsidR="00B078C5" w:rsidRDefault="00B078C5" w:rsidP="00171781">
      <w:pPr>
        <w:spacing w:before="240" w:after="240" w:line="360" w:lineRule="auto"/>
        <w:jc w:val="center"/>
      </w:pPr>
      <w:r w:rsidRPr="003C054F">
        <w:rPr>
          <w:b/>
          <w:bCs/>
        </w:rPr>
        <w:t>Source</w:t>
      </w:r>
      <w:r>
        <w:t xml:space="preserve">: </w:t>
      </w:r>
      <w:r w:rsidR="00AA46D7">
        <w:t>(</w:t>
      </w:r>
      <w:r w:rsidR="00AA46D7">
        <w:rPr>
          <w:lang w:val="en-IN"/>
        </w:rPr>
        <w:t xml:space="preserve">The Intact One, </w:t>
      </w:r>
      <w:r w:rsidR="00AA46D7" w:rsidRPr="00B078C5">
        <w:rPr>
          <w:lang w:val="en-IN"/>
        </w:rPr>
        <w:t>2024)</w:t>
      </w:r>
    </w:p>
    <w:p w14:paraId="0B7480A7" w14:textId="349C6808" w:rsidR="00EA5E7D" w:rsidRPr="00F1008C" w:rsidRDefault="00EA5E7D" w:rsidP="00171781">
      <w:pPr>
        <w:spacing w:before="240" w:after="240" w:line="360" w:lineRule="auto"/>
      </w:pPr>
      <w:r>
        <w:lastRenderedPageBreak/>
        <w:t xml:space="preserve">Instead of staying dependent on pricing alone, this would encourage them to distinguish their products from competitors through benefits which are environmentally verified. However, differentiation would depend on a commercially competitive cost while showcasing measurable reduction of emissions. </w:t>
      </w:r>
    </w:p>
    <w:p w14:paraId="599D3F0E" w14:textId="77777777" w:rsidR="00D06DD1" w:rsidRPr="00F1008C" w:rsidRDefault="009E5C34" w:rsidP="00171781">
      <w:pPr>
        <w:pStyle w:val="Heading2"/>
        <w:spacing w:line="360" w:lineRule="auto"/>
      </w:pPr>
      <w:bookmarkStart w:id="19" w:name="_Toc243565911"/>
      <w:r w:rsidRPr="00F1008C">
        <w:t>2.4 Implementation Risks and Performance Measures</w:t>
      </w:r>
      <w:bookmarkEnd w:id="19"/>
    </w:p>
    <w:p w14:paraId="0088DC26" w14:textId="77777777" w:rsidR="00D06DD1" w:rsidRPr="00F1008C" w:rsidRDefault="009E5C34" w:rsidP="00171781">
      <w:pPr>
        <w:spacing w:before="240" w:after="240" w:line="360" w:lineRule="auto"/>
      </w:pPr>
      <w:r w:rsidRPr="00F1008C">
        <w:t xml:space="preserve">The product development strategy at BHP faces market, financial and technological risks. Scaling low-emissions steelmaking still remains challenging, which makes commercial readiness an essential consideration (OECD, 2025). It was also reported by BHP that emissions from operations were 36% below its adjusted FY2020 baseline in FY2025, set against its target of reducing emissions by at least 30% by FY2030 (BHP, 2025). However, product-related emissions intensity should be separately measured per tons of steel produced through the pathway of the proposed technology. The cost of development and research should be monitored by BHP in addition to trial results, customer adoption, and return on investment as separate indicators of performance. Management could help in the identification of delays through quarterly reviews while adjusting investment decisions and assessing commercial feasibility. </w:t>
      </w:r>
    </w:p>
    <w:p w14:paraId="1D724C0A" w14:textId="08B62143" w:rsidR="00D06DD1" w:rsidRPr="00171781" w:rsidRDefault="009E5C34" w:rsidP="00171781">
      <w:pPr>
        <w:spacing w:line="360" w:lineRule="auto"/>
        <w:rPr>
          <w:lang w:val="en-IN"/>
        </w:rPr>
      </w:pPr>
      <w:r w:rsidRPr="00F1008C">
        <w:br w:type="page"/>
      </w:r>
    </w:p>
    <w:p w14:paraId="44DBD1E2" w14:textId="77777777" w:rsidR="00D06DD1" w:rsidRPr="00F1008C" w:rsidRDefault="009E5C34" w:rsidP="00171781">
      <w:pPr>
        <w:pStyle w:val="Heading1"/>
        <w:spacing w:line="360" w:lineRule="auto"/>
      </w:pPr>
      <w:bookmarkStart w:id="20" w:name="_Toc243565912"/>
      <w:r w:rsidRPr="00F1008C">
        <w:lastRenderedPageBreak/>
        <w:t>3.0 Task 3 - Managerial and Professional Reflection</w:t>
      </w:r>
      <w:bookmarkEnd w:id="20"/>
      <w:r w:rsidRPr="00F1008C">
        <w:t xml:space="preserve"> </w:t>
      </w:r>
    </w:p>
    <w:p w14:paraId="400F9D8F" w14:textId="77777777" w:rsidR="00D06DD1" w:rsidRPr="00F1008C" w:rsidRDefault="009E5C34" w:rsidP="00171781">
      <w:pPr>
        <w:pStyle w:val="Heading2"/>
        <w:spacing w:line="360" w:lineRule="auto"/>
      </w:pPr>
      <w:bookmarkStart w:id="21" w:name="_Toc243565913"/>
      <w:r w:rsidRPr="00F1008C">
        <w:t>3.1 Rationale for Company and Actor Selection</w:t>
      </w:r>
      <w:bookmarkEnd w:id="21"/>
      <w:r w:rsidRPr="00F1008C">
        <w:t xml:space="preserve"> </w:t>
      </w:r>
    </w:p>
    <w:p w14:paraId="321C6000" w14:textId="02CE607B" w:rsidR="00D06DD1" w:rsidRPr="00F1008C" w:rsidRDefault="009E5C34" w:rsidP="00171781">
      <w:pPr>
        <w:spacing w:line="360" w:lineRule="auto"/>
      </w:pPr>
      <w:r w:rsidRPr="00F1008C">
        <w:t xml:space="preserve">I selected BHP because it is an organisation which supplies iron ore and copper, and because of this, it becomes relevant for examining the contribution of the mining industry towards the low-carbon transition. </w:t>
      </w:r>
      <w:proofErr w:type="spellStart"/>
      <w:r w:rsidRPr="00F1008C">
        <w:t>Adomako</w:t>
      </w:r>
      <w:proofErr w:type="spellEnd"/>
      <w:r w:rsidRPr="00F1008C">
        <w:t xml:space="preserve"> and Tran (2022) found that sustainable strategies for the environment can increase the competitive advantage among mining firms, which makes this analysis strategically relevant. I chose the natural environment, </w:t>
      </w:r>
      <w:r w:rsidR="00FC043E">
        <w:t xml:space="preserve">economic </w:t>
      </w:r>
      <w:r w:rsidRPr="00F1008C">
        <w:t xml:space="preserve">and </w:t>
      </w:r>
      <w:r w:rsidR="00FC043E">
        <w:t>social (</w:t>
      </w:r>
      <w:r w:rsidRPr="00F1008C">
        <w:t>industrial customers</w:t>
      </w:r>
      <w:r w:rsidR="00FC043E">
        <w:t xml:space="preserve"> and competitors)</w:t>
      </w:r>
      <w:r w:rsidRPr="00F1008C">
        <w:t xml:space="preserve"> because they represent various types of environmental pressures, competitive positioning and demands of the market. These actors together can provide a focused assessment of the influences from the external environment which shape the growth at BHP.</w:t>
      </w:r>
    </w:p>
    <w:p w14:paraId="059BACCE" w14:textId="77777777" w:rsidR="00D06DD1" w:rsidRPr="00F1008C" w:rsidRDefault="009E5C34" w:rsidP="00171781">
      <w:pPr>
        <w:pStyle w:val="Heading2"/>
        <w:spacing w:line="360" w:lineRule="auto"/>
      </w:pPr>
      <w:bookmarkStart w:id="22" w:name="_Toc243565914"/>
      <w:r w:rsidRPr="00F1008C">
        <w:t>3.2 Reflection on Strategic Decisions and Alternatives</w:t>
      </w:r>
      <w:bookmarkEnd w:id="22"/>
      <w:r w:rsidRPr="00F1008C">
        <w:t xml:space="preserve"> </w:t>
      </w:r>
    </w:p>
    <w:p w14:paraId="40411548" w14:textId="0D717B0F" w:rsidR="00D06DD1" w:rsidRDefault="009E5C34" w:rsidP="00171781">
      <w:pPr>
        <w:spacing w:line="360" w:lineRule="auto"/>
      </w:pPr>
      <w:r w:rsidRPr="00F1008C">
        <w:t xml:space="preserve">I give a higher priority to product development because it helps BHP to build over the iron ore operations and customer relations which already exist while supporting the goal of reducing emissions in steelmaking. However, I realised that market development could also bring opportunities for growth by targeting the customer base within electricity infrastructure and renewable energy. I did not give the same priority to diversification because additional investments can create hurdles while entering new markets. Ferreira and Marques (2024) explained the value of the </w:t>
      </w:r>
      <w:proofErr w:type="spellStart"/>
      <w:r w:rsidRPr="00F1008C">
        <w:t>Ansoff</w:t>
      </w:r>
      <w:proofErr w:type="spellEnd"/>
      <w:r w:rsidRPr="00F1008C">
        <w:t xml:space="preserve"> matrix for evaluating growth options in the product market. Nevertheless, BHP should not make the mistake of assuming customer adoption is guaranteed by technological potential. Before jumping into any commitment regarding substantial resources, the management should make sure to assess the cost of production along with the willingness of customers to pay and the commercial readiness of technologies for lower-emissions steelmaking.</w:t>
      </w:r>
    </w:p>
    <w:p w14:paraId="71561A63" w14:textId="77777777" w:rsidR="003C054F" w:rsidRPr="00F1008C" w:rsidRDefault="003C054F" w:rsidP="00171781">
      <w:pPr>
        <w:spacing w:line="360" w:lineRule="auto"/>
      </w:pPr>
    </w:p>
    <w:p w14:paraId="1BDA38B6" w14:textId="77777777" w:rsidR="00D06DD1" w:rsidRPr="00F1008C" w:rsidRDefault="009E5C34" w:rsidP="00171781">
      <w:pPr>
        <w:pStyle w:val="Heading2"/>
        <w:spacing w:line="360" w:lineRule="auto"/>
      </w:pPr>
      <w:bookmarkStart w:id="23" w:name="_Toc243565915"/>
      <w:r w:rsidRPr="00F1008C">
        <w:lastRenderedPageBreak/>
        <w:t>3.3 Limitations and Further Consultant Research</w:t>
      </w:r>
      <w:bookmarkEnd w:id="23"/>
      <w:r w:rsidRPr="00F1008C">
        <w:t xml:space="preserve"> </w:t>
      </w:r>
    </w:p>
    <w:p w14:paraId="1DBE5185" w14:textId="77777777" w:rsidR="00D06DD1" w:rsidRPr="00F1008C" w:rsidRDefault="009E5C34" w:rsidP="00171781">
      <w:pPr>
        <w:spacing w:line="360" w:lineRule="auto"/>
      </w:pPr>
      <w:r w:rsidRPr="00F1008C">
        <w:t xml:space="preserve">One of the limitations I had during this research </w:t>
      </w:r>
      <w:proofErr w:type="gramStart"/>
      <w:r w:rsidRPr="00F1008C">
        <w:t>was having</w:t>
      </w:r>
      <w:proofErr w:type="gramEnd"/>
      <w:r w:rsidRPr="00F1008C">
        <w:t xml:space="preserve"> to rely too much on secondary data. </w:t>
      </w:r>
      <w:proofErr w:type="gramStart"/>
      <w:r w:rsidRPr="00F1008C">
        <w:t>Instead of having direct experiences or the opportunity to talk with customers or managers at BHP.</w:t>
      </w:r>
      <w:proofErr w:type="gramEnd"/>
      <w:r w:rsidRPr="00F1008C">
        <w:t xml:space="preserve"> Due to this Even though I could identify potential opportunities within steel-making technologies, I could never be sure if</w:t>
      </w:r>
      <w:proofErr w:type="gramStart"/>
      <w:r w:rsidRPr="00F1008C">
        <w:t>  the</w:t>
      </w:r>
      <w:proofErr w:type="gramEnd"/>
      <w:r w:rsidRPr="00F1008C">
        <w:t xml:space="preserve"> customer would actually pay more for these products.  I also had to rely heavily on published figures of emissions,</w:t>
      </w:r>
      <w:proofErr w:type="gramStart"/>
      <w:r w:rsidRPr="00F1008C">
        <w:t>  which</w:t>
      </w:r>
      <w:proofErr w:type="gramEnd"/>
      <w:r w:rsidRPr="00F1008C">
        <w:t xml:space="preserve"> might fail to demonstrate if new technologies are actually commercially feasible (</w:t>
      </w:r>
      <w:proofErr w:type="spellStart"/>
      <w:r w:rsidRPr="00F1008C">
        <w:t>Artioli</w:t>
      </w:r>
      <w:proofErr w:type="spellEnd"/>
      <w:r w:rsidRPr="00F1008C">
        <w:t xml:space="preserve"> et al., 2021).  If I were working as a consultant, then I would do primary research through interview Steelmakers while comparing investment plans from competitors and examine the internal cost forecast by BHP, which would help me cover the information gap.</w:t>
      </w:r>
    </w:p>
    <w:p w14:paraId="294A2606" w14:textId="77777777" w:rsidR="00D06DD1" w:rsidRPr="00F1008C" w:rsidRDefault="009E5C34" w:rsidP="00171781">
      <w:pPr>
        <w:pStyle w:val="Heading2"/>
        <w:spacing w:line="360" w:lineRule="auto"/>
      </w:pPr>
      <w:bookmarkStart w:id="24" w:name="_Toc243565916"/>
      <w:r w:rsidRPr="00F1008C">
        <w:t>3.4 Professional Learning and Final Judgement</w:t>
      </w:r>
      <w:bookmarkEnd w:id="24"/>
      <w:r w:rsidRPr="00F1008C">
        <w:t xml:space="preserve"> </w:t>
      </w:r>
    </w:p>
    <w:p w14:paraId="1CA16B54" w14:textId="77777777" w:rsidR="00D06DD1" w:rsidRPr="00F1008C" w:rsidRDefault="009E5C34" w:rsidP="00171781">
      <w:pPr>
        <w:spacing w:line="360" w:lineRule="auto"/>
      </w:pPr>
      <w:r w:rsidRPr="00F1008C">
        <w:t>By undertaking this report preparation, I learned many things about the mining industry and research work while realising the importance of looking beyond the potential benefits of a strategy and instead taking a critical standpoint for its practical feasibility.  I also know I learnt the correct use of evidence to make a report specific and well-focused by using statistics. I believe product development would be the best strategy to focus on for BHP, but I would make sure to gather stronger financial and customer evidence before making significant financial decisions. </w:t>
      </w:r>
    </w:p>
    <w:p w14:paraId="779F435D" w14:textId="3926548A" w:rsidR="00D06DD1" w:rsidRPr="00F1008C" w:rsidRDefault="009E5C34" w:rsidP="00171781">
      <w:pPr>
        <w:spacing w:line="360" w:lineRule="auto"/>
      </w:pPr>
      <w:r w:rsidRPr="00F1008C">
        <w:br w:type="page"/>
      </w:r>
    </w:p>
    <w:p w14:paraId="33E83C6C" w14:textId="77777777" w:rsidR="00D06DD1" w:rsidRPr="00F1008C" w:rsidRDefault="009E5C34" w:rsidP="003C054F">
      <w:pPr>
        <w:pStyle w:val="Heading1"/>
        <w:spacing w:line="360" w:lineRule="auto"/>
      </w:pPr>
      <w:bookmarkStart w:id="25" w:name="_t9ihxgc8pw2f" w:colFirst="0" w:colLast="0"/>
      <w:bookmarkStart w:id="26" w:name="_Toc243565917"/>
      <w:bookmarkEnd w:id="25"/>
      <w:r w:rsidRPr="00F1008C">
        <w:lastRenderedPageBreak/>
        <w:t>References</w:t>
      </w:r>
      <w:bookmarkEnd w:id="26"/>
    </w:p>
    <w:p w14:paraId="6F62DBF7" w14:textId="77777777" w:rsidR="00D06DD1" w:rsidRPr="00F1008C" w:rsidRDefault="009E5C34" w:rsidP="003C054F">
      <w:pPr>
        <w:spacing w:before="400" w:after="80" w:line="360" w:lineRule="auto"/>
      </w:pPr>
      <w:proofErr w:type="spellStart"/>
      <w:proofErr w:type="gramStart"/>
      <w:r w:rsidRPr="00F1008C">
        <w:t>Adomako</w:t>
      </w:r>
      <w:proofErr w:type="spellEnd"/>
      <w:r w:rsidRPr="00F1008C">
        <w:t>, S. and Tran, M.D. (2022).</w:t>
      </w:r>
      <w:proofErr w:type="gramEnd"/>
      <w:r w:rsidRPr="00F1008C">
        <w:t xml:space="preserve"> Sustainable environmental strategy, firm competitiveness, and financial performance: Evidence from the mining industry. </w:t>
      </w:r>
      <w:r w:rsidRPr="00F1008C">
        <w:rPr>
          <w:i/>
          <w:iCs/>
        </w:rPr>
        <w:t>Resources Policy</w:t>
      </w:r>
      <w:r w:rsidRPr="00F1008C">
        <w:t>, [online] 75, p.102515. doi:10.1016/j.resourpol.2021.102515.</w:t>
      </w:r>
    </w:p>
    <w:p w14:paraId="3E9D7FAD" w14:textId="77777777" w:rsidR="00D06DD1" w:rsidRPr="00F1008C" w:rsidRDefault="009E5C34" w:rsidP="003C054F">
      <w:pPr>
        <w:spacing w:before="400" w:after="80" w:line="360" w:lineRule="auto"/>
      </w:pPr>
      <w:proofErr w:type="spellStart"/>
      <w:r w:rsidRPr="00F1008C">
        <w:t>Artioli</w:t>
      </w:r>
      <w:proofErr w:type="spellEnd"/>
      <w:r w:rsidRPr="00F1008C">
        <w:t xml:space="preserve">, G., </w:t>
      </w:r>
      <w:proofErr w:type="spellStart"/>
      <w:r w:rsidRPr="00F1008C">
        <w:t>Deiana</w:t>
      </w:r>
      <w:proofErr w:type="spellEnd"/>
      <w:r w:rsidRPr="00F1008C">
        <w:t xml:space="preserve">, L., De Vincenzo, F., </w:t>
      </w:r>
      <w:proofErr w:type="spellStart"/>
      <w:r w:rsidRPr="00F1008C">
        <w:t>Raucci</w:t>
      </w:r>
      <w:proofErr w:type="spellEnd"/>
      <w:r w:rsidRPr="00F1008C">
        <w:t xml:space="preserve">, M., </w:t>
      </w:r>
      <w:proofErr w:type="spellStart"/>
      <w:r w:rsidRPr="00F1008C">
        <w:t>Amaducci</w:t>
      </w:r>
      <w:proofErr w:type="spellEnd"/>
      <w:r w:rsidRPr="00F1008C">
        <w:t xml:space="preserve">, G., </w:t>
      </w:r>
      <w:proofErr w:type="spellStart"/>
      <w:r w:rsidRPr="00F1008C">
        <w:t>Bassi</w:t>
      </w:r>
      <w:proofErr w:type="spellEnd"/>
      <w:r w:rsidRPr="00F1008C">
        <w:t xml:space="preserve">, M.C., Di Leo, S., </w:t>
      </w:r>
      <w:proofErr w:type="spellStart"/>
      <w:r w:rsidRPr="00F1008C">
        <w:t>Hayter</w:t>
      </w:r>
      <w:proofErr w:type="spellEnd"/>
      <w:r w:rsidRPr="00F1008C">
        <w:t xml:space="preserve">, M. and </w:t>
      </w:r>
      <w:proofErr w:type="spellStart"/>
      <w:r w:rsidRPr="00F1008C">
        <w:t>Ghirotto</w:t>
      </w:r>
      <w:proofErr w:type="spellEnd"/>
      <w:r w:rsidRPr="00F1008C">
        <w:t xml:space="preserve">, L. (2021). Health professionals and students’ experiences of reflective writing in learning: A qualitative meta-synthesis. </w:t>
      </w:r>
      <w:proofErr w:type="gramStart"/>
      <w:r w:rsidRPr="00F1008C">
        <w:rPr>
          <w:i/>
          <w:iCs/>
        </w:rPr>
        <w:t>BMC Medical Education</w:t>
      </w:r>
      <w:r w:rsidRPr="00F1008C">
        <w:t>, [online] 21(1), pp.1–14.</w:t>
      </w:r>
      <w:proofErr w:type="gramEnd"/>
      <w:r w:rsidRPr="00F1008C">
        <w:t xml:space="preserve"> </w:t>
      </w:r>
      <w:proofErr w:type="gramStart"/>
      <w:r w:rsidRPr="00F1008C">
        <w:t>doi:</w:t>
      </w:r>
      <w:proofErr w:type="gramEnd"/>
      <w:r w:rsidRPr="00F1008C">
        <w:t>10.1186/s12909-021-02831-4.</w:t>
      </w:r>
    </w:p>
    <w:p w14:paraId="3B37EDE2" w14:textId="77777777" w:rsidR="00D06DD1" w:rsidRPr="00F1008C" w:rsidRDefault="009E5C34" w:rsidP="003C054F">
      <w:pPr>
        <w:spacing w:before="400" w:after="80" w:line="360" w:lineRule="auto"/>
      </w:pPr>
      <w:proofErr w:type="gramStart"/>
      <w:r w:rsidRPr="00F1008C">
        <w:t>BHP (2025).</w:t>
      </w:r>
      <w:proofErr w:type="gramEnd"/>
      <w:r w:rsidRPr="00F1008C">
        <w:t xml:space="preserve"> </w:t>
      </w:r>
      <w:proofErr w:type="gramStart"/>
      <w:r w:rsidRPr="00F1008C">
        <w:rPr>
          <w:i/>
          <w:iCs/>
        </w:rPr>
        <w:t>Annual Report 2025</w:t>
      </w:r>
      <w:r w:rsidRPr="00F1008C">
        <w:t>.</w:t>
      </w:r>
      <w:proofErr w:type="gramEnd"/>
      <w:r w:rsidRPr="00F1008C">
        <w:t xml:space="preserve"> [</w:t>
      </w:r>
      <w:proofErr w:type="gramStart"/>
      <w:r w:rsidRPr="00F1008C">
        <w:t>online</w:t>
      </w:r>
      <w:proofErr w:type="gramEnd"/>
      <w:r w:rsidRPr="00F1008C">
        <w:t>] bhp.com. Available at: https://www.bhp.com/-/media/documents/investors/annual-reports/2025/250819_bhpannualreport2025.pdf.</w:t>
      </w:r>
    </w:p>
    <w:p w14:paraId="6BADCF5D" w14:textId="77777777" w:rsidR="00D06DD1" w:rsidRPr="00F1008C" w:rsidRDefault="009E5C34" w:rsidP="003C054F">
      <w:pPr>
        <w:spacing w:before="400" w:after="80" w:line="360" w:lineRule="auto"/>
      </w:pPr>
      <w:proofErr w:type="gramStart"/>
      <w:r w:rsidRPr="00F1008C">
        <w:t>BHP (2026).</w:t>
      </w:r>
      <w:proofErr w:type="gramEnd"/>
      <w:r w:rsidRPr="00F1008C">
        <w:t xml:space="preserve"> </w:t>
      </w:r>
      <w:proofErr w:type="gramStart"/>
      <w:r w:rsidRPr="00F1008C">
        <w:rPr>
          <w:i/>
          <w:iCs/>
        </w:rPr>
        <w:t>Annual Report 2026</w:t>
      </w:r>
      <w:r w:rsidRPr="00F1008C">
        <w:t>.</w:t>
      </w:r>
      <w:proofErr w:type="gramEnd"/>
      <w:r w:rsidRPr="00F1008C">
        <w:t xml:space="preserve"> [</w:t>
      </w:r>
      <w:proofErr w:type="gramStart"/>
      <w:r w:rsidRPr="00F1008C">
        <w:t>online</w:t>
      </w:r>
      <w:proofErr w:type="gramEnd"/>
      <w:r w:rsidRPr="00F1008C">
        <w:t>] Bhp.com. Available at: https://www.bhp.com/ar2026 [Accessed 9 Oct. 2026].</w:t>
      </w:r>
    </w:p>
    <w:p w14:paraId="05F921F1" w14:textId="77777777" w:rsidR="00D06DD1" w:rsidRPr="00F1008C" w:rsidRDefault="009E5C34" w:rsidP="003C054F">
      <w:pPr>
        <w:spacing w:before="400" w:after="80" w:line="360" w:lineRule="auto"/>
      </w:pPr>
      <w:proofErr w:type="gramStart"/>
      <w:r w:rsidRPr="00F1008C">
        <w:t xml:space="preserve">Clausen, E. and </w:t>
      </w:r>
      <w:proofErr w:type="spellStart"/>
      <w:r w:rsidRPr="00F1008C">
        <w:t>Sörensen</w:t>
      </w:r>
      <w:proofErr w:type="spellEnd"/>
      <w:r w:rsidRPr="00F1008C">
        <w:t>, A. (2022).</w:t>
      </w:r>
      <w:proofErr w:type="gramEnd"/>
      <w:r w:rsidRPr="00F1008C">
        <w:t xml:space="preserve"> Required and desired: Breakthroughs for future-proofing mineral and metal extraction. </w:t>
      </w:r>
      <w:proofErr w:type="gramStart"/>
      <w:r w:rsidRPr="00F1008C">
        <w:rPr>
          <w:i/>
          <w:iCs/>
        </w:rPr>
        <w:t>Mineral Economics</w:t>
      </w:r>
      <w:r w:rsidRPr="00F1008C">
        <w:t>, 35(3–4), pp.521–537.</w:t>
      </w:r>
      <w:proofErr w:type="gramEnd"/>
      <w:r w:rsidRPr="00F1008C">
        <w:t xml:space="preserve"> </w:t>
      </w:r>
      <w:proofErr w:type="gramStart"/>
      <w:r w:rsidRPr="00F1008C">
        <w:t>doi:</w:t>
      </w:r>
      <w:proofErr w:type="gramEnd"/>
      <w:r w:rsidRPr="00F1008C">
        <w:t>10.1007/s13563-022-00328-0.</w:t>
      </w:r>
    </w:p>
    <w:p w14:paraId="4197D778" w14:textId="77777777" w:rsidR="00D06DD1" w:rsidRPr="00F1008C" w:rsidRDefault="009E5C34" w:rsidP="003C054F">
      <w:pPr>
        <w:spacing w:before="400" w:after="80" w:line="360" w:lineRule="auto"/>
      </w:pPr>
      <w:proofErr w:type="gramStart"/>
      <w:r w:rsidRPr="00F1008C">
        <w:t>Ego, P. (2022).</w:t>
      </w:r>
      <w:proofErr w:type="gramEnd"/>
      <w:r w:rsidRPr="00F1008C">
        <w:t xml:space="preserve"> Build, buy, or partner? </w:t>
      </w:r>
      <w:proofErr w:type="gramStart"/>
      <w:r w:rsidRPr="00F1008C">
        <w:t>A systematic literature review on the choice between alternative modes of growth.</w:t>
      </w:r>
      <w:proofErr w:type="gramEnd"/>
      <w:r w:rsidRPr="00F1008C">
        <w:t xml:space="preserve"> </w:t>
      </w:r>
      <w:proofErr w:type="gramStart"/>
      <w:r w:rsidRPr="00F1008C">
        <w:rPr>
          <w:i/>
          <w:iCs/>
        </w:rPr>
        <w:t>Management Review Quarterly</w:t>
      </w:r>
      <w:r w:rsidRPr="00F1008C">
        <w:t>, 73.</w:t>
      </w:r>
      <w:proofErr w:type="gramEnd"/>
      <w:r w:rsidRPr="00F1008C">
        <w:t xml:space="preserve"> </w:t>
      </w:r>
      <w:proofErr w:type="gramStart"/>
      <w:r w:rsidRPr="00F1008C">
        <w:t>doi:</w:t>
      </w:r>
      <w:proofErr w:type="gramEnd"/>
      <w:r w:rsidRPr="00F1008C">
        <w:t>10.1007/s11301-022-00280-x.</w:t>
      </w:r>
    </w:p>
    <w:p w14:paraId="7931E3EB" w14:textId="77777777" w:rsidR="00D06DD1" w:rsidRPr="00F1008C" w:rsidRDefault="009E5C34" w:rsidP="003C054F">
      <w:pPr>
        <w:spacing w:before="400" w:after="80" w:line="360" w:lineRule="auto"/>
      </w:pPr>
      <w:proofErr w:type="gramStart"/>
      <w:r w:rsidRPr="00F1008C">
        <w:t>Ferreira, A.P.P.F.S. and Marques, M.B.P.S. (2024).</w:t>
      </w:r>
      <w:proofErr w:type="gramEnd"/>
      <w:r w:rsidRPr="00F1008C">
        <w:t xml:space="preserve"> </w:t>
      </w:r>
      <w:r w:rsidRPr="00F1008C">
        <w:rPr>
          <w:i/>
          <w:iCs/>
        </w:rPr>
        <w:t xml:space="preserve">View of the importance of the </w:t>
      </w:r>
      <w:proofErr w:type="spellStart"/>
      <w:r w:rsidRPr="00F1008C">
        <w:rPr>
          <w:i/>
          <w:iCs/>
        </w:rPr>
        <w:t>ansoff</w:t>
      </w:r>
      <w:proofErr w:type="spellEnd"/>
      <w:r w:rsidRPr="00F1008C">
        <w:rPr>
          <w:i/>
          <w:iCs/>
        </w:rPr>
        <w:t xml:space="preserve"> matrix for the study of the information services market</w:t>
      </w:r>
      <w:r w:rsidRPr="00F1008C">
        <w:t>. [</w:t>
      </w:r>
      <w:proofErr w:type="gramStart"/>
      <w:r w:rsidRPr="00F1008C">
        <w:t>online</w:t>
      </w:r>
      <w:proofErr w:type="gramEnd"/>
      <w:r w:rsidRPr="00F1008C">
        <w:t>] Lib.uwo.ca. Available at: https://ojs.lib.uwo.ca/index.php/cjils/article/view/17432/15874.</w:t>
      </w:r>
    </w:p>
    <w:p w14:paraId="0A019999" w14:textId="77777777" w:rsidR="00D06DD1" w:rsidRPr="00F1008C" w:rsidRDefault="009E5C34" w:rsidP="003C054F">
      <w:pPr>
        <w:spacing w:before="400" w:after="80" w:line="360" w:lineRule="auto"/>
      </w:pPr>
      <w:proofErr w:type="spellStart"/>
      <w:proofErr w:type="gramStart"/>
      <w:r w:rsidRPr="00F1008C">
        <w:lastRenderedPageBreak/>
        <w:t>Frederiksen</w:t>
      </w:r>
      <w:proofErr w:type="spellEnd"/>
      <w:r w:rsidRPr="00F1008C">
        <w:t>, T. and Banks, G. (2022).</w:t>
      </w:r>
      <w:proofErr w:type="gramEnd"/>
      <w:r w:rsidRPr="00F1008C">
        <w:t xml:space="preserve"> Can mining help deliver the SDGs: Discourses, risks and prospects. </w:t>
      </w:r>
      <w:r w:rsidRPr="00F1008C">
        <w:rPr>
          <w:i/>
          <w:iCs/>
        </w:rPr>
        <w:t>The Journal of Environment &amp; Development</w:t>
      </w:r>
      <w:r w:rsidRPr="00F1008C">
        <w:t xml:space="preserve">, 32(1), p.107049652211397. </w:t>
      </w:r>
      <w:proofErr w:type="gramStart"/>
      <w:r w:rsidRPr="00F1008C">
        <w:t>doi:</w:t>
      </w:r>
      <w:proofErr w:type="gramEnd"/>
      <w:r w:rsidRPr="00F1008C">
        <w:t>10.1177/10704965221139759.</w:t>
      </w:r>
    </w:p>
    <w:p w14:paraId="7A6E335B" w14:textId="77777777" w:rsidR="00D06DD1" w:rsidRPr="00F1008C" w:rsidRDefault="009E5C34" w:rsidP="003C054F">
      <w:pPr>
        <w:spacing w:before="400" w:after="80" w:line="360" w:lineRule="auto"/>
      </w:pPr>
      <w:proofErr w:type="gramStart"/>
      <w:r w:rsidRPr="00F1008C">
        <w:t>IEA (2025a).</w:t>
      </w:r>
      <w:proofErr w:type="gramEnd"/>
      <w:r w:rsidRPr="00F1008C">
        <w:t xml:space="preserve"> </w:t>
      </w:r>
      <w:r w:rsidRPr="00F1008C">
        <w:rPr>
          <w:i/>
          <w:iCs/>
        </w:rPr>
        <w:t>Executive summary – demand and supply measures for the steel and cement transition – analysis - IEA</w:t>
      </w:r>
      <w:r w:rsidRPr="00F1008C">
        <w:t>. [</w:t>
      </w:r>
      <w:proofErr w:type="gramStart"/>
      <w:r w:rsidRPr="00F1008C">
        <w:t>online</w:t>
      </w:r>
      <w:proofErr w:type="gramEnd"/>
      <w:r w:rsidRPr="00F1008C">
        <w:t xml:space="preserve">] </w:t>
      </w:r>
      <w:proofErr w:type="gramStart"/>
      <w:r w:rsidRPr="00F1008C">
        <w:t>IEA.</w:t>
      </w:r>
      <w:proofErr w:type="gramEnd"/>
      <w:r w:rsidRPr="00F1008C">
        <w:t xml:space="preserve"> Available at: https://www.iea.org/reports/demand-and-supply-measures-for-the-steel-and-cement-transition/executive-summary [Accessed 9 Oct. 2026].</w:t>
      </w:r>
    </w:p>
    <w:p w14:paraId="70B533C6" w14:textId="77777777" w:rsidR="00D06DD1" w:rsidRPr="00F1008C" w:rsidRDefault="009E5C34" w:rsidP="003C054F">
      <w:pPr>
        <w:spacing w:before="400" w:after="80" w:line="360" w:lineRule="auto"/>
      </w:pPr>
      <w:proofErr w:type="gramStart"/>
      <w:r w:rsidRPr="00F1008C">
        <w:t>IEA (2025b).</w:t>
      </w:r>
      <w:proofErr w:type="gramEnd"/>
      <w:r w:rsidRPr="00F1008C">
        <w:t xml:space="preserve"> </w:t>
      </w:r>
      <w:proofErr w:type="gramStart"/>
      <w:r w:rsidRPr="00F1008C">
        <w:rPr>
          <w:i/>
          <w:iCs/>
        </w:rPr>
        <w:t>Steel – breakthrough agenda report 2025 – analysis - IEA</w:t>
      </w:r>
      <w:r w:rsidRPr="00F1008C">
        <w:t>.</w:t>
      </w:r>
      <w:proofErr w:type="gramEnd"/>
      <w:r w:rsidRPr="00F1008C">
        <w:t xml:space="preserve"> [</w:t>
      </w:r>
      <w:proofErr w:type="gramStart"/>
      <w:r w:rsidRPr="00F1008C">
        <w:t>online</w:t>
      </w:r>
      <w:proofErr w:type="gramEnd"/>
      <w:r w:rsidRPr="00F1008C">
        <w:t xml:space="preserve">] </w:t>
      </w:r>
      <w:proofErr w:type="gramStart"/>
      <w:r w:rsidRPr="00F1008C">
        <w:t>IEA.</w:t>
      </w:r>
      <w:proofErr w:type="gramEnd"/>
      <w:r w:rsidRPr="00F1008C">
        <w:t xml:space="preserve"> Available at: https://www.iea.org/reports/breakthrough-agenda-report-2025/steel [Accessed 9 Oct. 2026].</w:t>
      </w:r>
    </w:p>
    <w:p w14:paraId="72902DBC" w14:textId="77777777" w:rsidR="00D06DD1" w:rsidRPr="00F1008C" w:rsidRDefault="009E5C34" w:rsidP="003C054F">
      <w:pPr>
        <w:spacing w:before="400" w:after="80" w:line="360" w:lineRule="auto"/>
      </w:pPr>
      <w:proofErr w:type="gramStart"/>
      <w:r w:rsidRPr="00F1008C">
        <w:t xml:space="preserve">Kamran, M., </w:t>
      </w:r>
      <w:proofErr w:type="spellStart"/>
      <w:r w:rsidRPr="00F1008C">
        <w:t>Raugei</w:t>
      </w:r>
      <w:proofErr w:type="spellEnd"/>
      <w:r w:rsidRPr="00F1008C">
        <w:t>, M. and Hutchinson, A. (2023).</w:t>
      </w:r>
      <w:proofErr w:type="gramEnd"/>
      <w:r w:rsidRPr="00F1008C">
        <w:t xml:space="preserve"> Critical elements for a successful energy transition: A systematic review. </w:t>
      </w:r>
      <w:proofErr w:type="gramStart"/>
      <w:r w:rsidRPr="00F1008C">
        <w:rPr>
          <w:i/>
          <w:iCs/>
        </w:rPr>
        <w:t>Renewable and Sustainable Energy Transition</w:t>
      </w:r>
      <w:r w:rsidRPr="00F1008C">
        <w:t>, [online] 4, p.100068.</w:t>
      </w:r>
      <w:proofErr w:type="gramEnd"/>
      <w:r w:rsidRPr="00F1008C">
        <w:t xml:space="preserve"> doi:10.1016/j.rset.2023.100068.</w:t>
      </w:r>
    </w:p>
    <w:p w14:paraId="20377A69" w14:textId="77777777" w:rsidR="00D06DD1" w:rsidRPr="00F1008C" w:rsidRDefault="009E5C34" w:rsidP="003C054F">
      <w:pPr>
        <w:spacing w:before="400" w:after="80" w:line="360" w:lineRule="auto"/>
      </w:pPr>
      <w:r w:rsidRPr="00F1008C">
        <w:t xml:space="preserve">Li, X., </w:t>
      </w:r>
      <w:proofErr w:type="spellStart"/>
      <w:proofErr w:type="gramStart"/>
      <w:r w:rsidRPr="00F1008C">
        <w:t>Gu</w:t>
      </w:r>
      <w:proofErr w:type="spellEnd"/>
      <w:proofErr w:type="gramEnd"/>
      <w:r w:rsidRPr="00F1008C">
        <w:t xml:space="preserve">, Q., </w:t>
      </w:r>
      <w:proofErr w:type="spellStart"/>
      <w:r w:rsidRPr="00F1008C">
        <w:t>Qian</w:t>
      </w:r>
      <w:proofErr w:type="spellEnd"/>
      <w:r w:rsidRPr="00F1008C">
        <w:t xml:space="preserve">, W., </w:t>
      </w:r>
      <w:proofErr w:type="spellStart"/>
      <w:r w:rsidRPr="00F1008C">
        <w:t>Luo</w:t>
      </w:r>
      <w:proofErr w:type="spellEnd"/>
      <w:r w:rsidRPr="00F1008C">
        <w:t xml:space="preserve">, J., Di, L. and Chang, Y. (2024). Renewable energy in the mining industry: Status, opportunities and challenges. </w:t>
      </w:r>
      <w:r w:rsidRPr="00F1008C">
        <w:rPr>
          <w:i/>
          <w:iCs/>
        </w:rPr>
        <w:t>Energy Strategy Reviews</w:t>
      </w:r>
      <w:r w:rsidRPr="00F1008C">
        <w:t>, [online] 56, p.101597. doi:10.1016/j.esr.2024.101597.</w:t>
      </w:r>
    </w:p>
    <w:p w14:paraId="0B5FE464" w14:textId="77777777" w:rsidR="00D06DD1" w:rsidRPr="00F1008C" w:rsidRDefault="009E5C34" w:rsidP="003C054F">
      <w:pPr>
        <w:spacing w:before="400" w:after="80" w:line="360" w:lineRule="auto"/>
      </w:pPr>
      <w:proofErr w:type="spellStart"/>
      <w:proofErr w:type="gramStart"/>
      <w:r w:rsidRPr="00F1008C">
        <w:t>Mallett</w:t>
      </w:r>
      <w:proofErr w:type="spellEnd"/>
      <w:r w:rsidRPr="00F1008C">
        <w:t>, A. and Pal, P. (2022).</w:t>
      </w:r>
      <w:proofErr w:type="gramEnd"/>
      <w:r w:rsidRPr="00F1008C">
        <w:t xml:space="preserve"> </w:t>
      </w:r>
      <w:proofErr w:type="gramStart"/>
      <w:r w:rsidRPr="00F1008C">
        <w:t>Green transformation in the iron and steel industry in India: Rethinking patterns of innovation.</w:t>
      </w:r>
      <w:proofErr w:type="gramEnd"/>
      <w:r w:rsidRPr="00F1008C">
        <w:t xml:space="preserve"> </w:t>
      </w:r>
      <w:r w:rsidRPr="00F1008C">
        <w:rPr>
          <w:i/>
          <w:iCs/>
        </w:rPr>
        <w:t>Energy Strategy Reviews</w:t>
      </w:r>
      <w:r w:rsidRPr="00F1008C">
        <w:t>, [online] 44, p.100968. doi:10.1016/j.esr.2022.100968.</w:t>
      </w:r>
    </w:p>
    <w:p w14:paraId="78C9866C" w14:textId="77777777" w:rsidR="00D06DD1" w:rsidRPr="00F1008C" w:rsidRDefault="009E5C34" w:rsidP="003C054F">
      <w:pPr>
        <w:spacing w:before="400" w:after="80" w:line="360" w:lineRule="auto"/>
      </w:pPr>
      <w:proofErr w:type="gramStart"/>
      <w:r w:rsidRPr="00F1008C">
        <w:t>McKinsey (2025).</w:t>
      </w:r>
      <w:proofErr w:type="gramEnd"/>
      <w:r w:rsidRPr="00F1008C">
        <w:t xml:space="preserve"> </w:t>
      </w:r>
      <w:proofErr w:type="gramStart"/>
      <w:r w:rsidRPr="00F1008C">
        <w:rPr>
          <w:i/>
          <w:iCs/>
        </w:rPr>
        <w:t>Global materials perspective 2025</w:t>
      </w:r>
      <w:r w:rsidRPr="00F1008C">
        <w:t>.</w:t>
      </w:r>
      <w:proofErr w:type="gramEnd"/>
      <w:r w:rsidRPr="00F1008C">
        <w:t xml:space="preserve"> [</w:t>
      </w:r>
      <w:proofErr w:type="gramStart"/>
      <w:r w:rsidRPr="00F1008C">
        <w:t>online</w:t>
      </w:r>
      <w:proofErr w:type="gramEnd"/>
      <w:r w:rsidRPr="00F1008C">
        <w:t xml:space="preserve">] </w:t>
      </w:r>
      <w:r w:rsidRPr="00F1008C">
        <w:rPr>
          <w:i/>
          <w:iCs/>
        </w:rPr>
        <w:t>mckinsey.com</w:t>
      </w:r>
      <w:r w:rsidRPr="00F1008C">
        <w:t>. McKinsey &amp; Company. Available at: https://www.mckinsey.com/~/media/mckinsey/industries/energy%20and%20materials/our%20insights/global%20materials%20perspective%202025/global-materials-perspective-2025.pdf.</w:t>
      </w:r>
    </w:p>
    <w:p w14:paraId="6636E2FB" w14:textId="77777777" w:rsidR="00D06DD1" w:rsidRPr="00F1008C" w:rsidRDefault="009E5C34" w:rsidP="003C054F">
      <w:pPr>
        <w:spacing w:before="400" w:after="80" w:line="360" w:lineRule="auto"/>
      </w:pPr>
      <w:r w:rsidRPr="00F1008C">
        <w:lastRenderedPageBreak/>
        <w:t>Muñoz, J.R. (2025). Now hear this</w:t>
      </w:r>
      <w:proofErr w:type="gramStart"/>
      <w:r w:rsidRPr="00F1008C">
        <w:t>!:</w:t>
      </w:r>
      <w:proofErr w:type="gramEnd"/>
      <w:r w:rsidRPr="00F1008C">
        <w:t xml:space="preserve"> Increasing purchase intentions of green products in business-to-business marketing. </w:t>
      </w:r>
      <w:proofErr w:type="gramStart"/>
      <w:r w:rsidRPr="00F1008C">
        <w:rPr>
          <w:i/>
          <w:iCs/>
        </w:rPr>
        <w:t>Cogent Business &amp; Management</w:t>
      </w:r>
      <w:r w:rsidRPr="00F1008C">
        <w:t>, 12(1).</w:t>
      </w:r>
      <w:proofErr w:type="gramEnd"/>
      <w:r w:rsidRPr="00F1008C">
        <w:t xml:space="preserve"> doi:10.1080/23311975.2025.2494071.</w:t>
      </w:r>
    </w:p>
    <w:p w14:paraId="62AE99DD" w14:textId="77777777" w:rsidR="00D06DD1" w:rsidRPr="00F1008C" w:rsidRDefault="009E5C34" w:rsidP="003C054F">
      <w:pPr>
        <w:spacing w:before="400" w:after="80" w:line="360" w:lineRule="auto"/>
      </w:pPr>
      <w:proofErr w:type="gramStart"/>
      <w:r w:rsidRPr="00F1008C">
        <w:t>OECD (2025).</w:t>
      </w:r>
      <w:proofErr w:type="gramEnd"/>
      <w:r w:rsidRPr="00F1008C">
        <w:t xml:space="preserve"> </w:t>
      </w:r>
      <w:r w:rsidRPr="00F1008C">
        <w:rPr>
          <w:i/>
          <w:iCs/>
        </w:rPr>
        <w:t>Addressing steel decarbonisation challenges for industry and policy</w:t>
      </w:r>
      <w:r w:rsidRPr="00F1008C">
        <w:t>. [</w:t>
      </w:r>
      <w:proofErr w:type="gramStart"/>
      <w:r w:rsidRPr="00F1008C">
        <w:t>online</w:t>
      </w:r>
      <w:proofErr w:type="gramEnd"/>
      <w:r w:rsidRPr="00F1008C">
        <w:t xml:space="preserve">] </w:t>
      </w:r>
      <w:proofErr w:type="gramStart"/>
      <w:r w:rsidRPr="00F1008C">
        <w:t>OECD.</w:t>
      </w:r>
      <w:proofErr w:type="gramEnd"/>
      <w:r w:rsidRPr="00F1008C">
        <w:t xml:space="preserve"> Available at: https://www.oecd.org/en/publications/addressing-steel-decarbonisation-challenges-for-industry-and-policy_e6cb2f3c-en.html [Accessed 9 Oct. 2026].</w:t>
      </w:r>
    </w:p>
    <w:p w14:paraId="5F519597" w14:textId="77777777" w:rsidR="00D06DD1" w:rsidRPr="00F1008C" w:rsidRDefault="009E5C34" w:rsidP="003C054F">
      <w:pPr>
        <w:spacing w:before="400" w:after="80" w:line="360" w:lineRule="auto"/>
      </w:pPr>
      <w:r w:rsidRPr="00F1008C">
        <w:t xml:space="preserve">Rio Tinto (2026) </w:t>
      </w:r>
      <w:r w:rsidRPr="00F1008C">
        <w:rPr>
          <w:i/>
          <w:iCs/>
        </w:rPr>
        <w:t>Annual Report 2025</w:t>
      </w:r>
      <w:r w:rsidRPr="00F1008C">
        <w:t>. Available at: https://www.riotinto.com/en/invest/reports/annual-report (Accessed: 11 October 2026).</w:t>
      </w:r>
    </w:p>
    <w:p w14:paraId="57E4A7AF" w14:textId="77777777" w:rsidR="00D06DD1" w:rsidRPr="00F1008C" w:rsidRDefault="009E5C34" w:rsidP="003C054F">
      <w:pPr>
        <w:spacing w:before="400" w:after="80" w:line="360" w:lineRule="auto"/>
      </w:pPr>
      <w:proofErr w:type="spellStart"/>
      <w:r w:rsidRPr="00F1008C">
        <w:t>Rosner</w:t>
      </w:r>
      <w:proofErr w:type="spellEnd"/>
      <w:r w:rsidRPr="00F1008C">
        <w:t xml:space="preserve">, F., </w:t>
      </w:r>
      <w:proofErr w:type="spellStart"/>
      <w:r w:rsidRPr="00F1008C">
        <w:t>Papadias</w:t>
      </w:r>
      <w:proofErr w:type="spellEnd"/>
      <w:r w:rsidRPr="00F1008C">
        <w:t xml:space="preserve">, D., Brooks, K., Yoro, K., </w:t>
      </w:r>
      <w:proofErr w:type="spellStart"/>
      <w:r w:rsidRPr="00F1008C">
        <w:t>Ahluwalia</w:t>
      </w:r>
      <w:proofErr w:type="spellEnd"/>
      <w:r w:rsidRPr="00F1008C">
        <w:t xml:space="preserve">, R., </w:t>
      </w:r>
      <w:proofErr w:type="spellStart"/>
      <w:r w:rsidRPr="00F1008C">
        <w:t>Autrey</w:t>
      </w:r>
      <w:proofErr w:type="spellEnd"/>
      <w:r w:rsidRPr="00F1008C">
        <w:t xml:space="preserve">, T. and </w:t>
      </w:r>
      <w:proofErr w:type="spellStart"/>
      <w:r w:rsidRPr="00F1008C">
        <w:t>Breunig</w:t>
      </w:r>
      <w:proofErr w:type="spellEnd"/>
      <w:r w:rsidRPr="00F1008C">
        <w:t xml:space="preserve">, H. (2023). Green steel: design and cost analysis of hydrogen-based direct iron reduction. </w:t>
      </w:r>
      <w:proofErr w:type="gramStart"/>
      <w:r w:rsidRPr="00F1008C">
        <w:rPr>
          <w:i/>
          <w:iCs/>
        </w:rPr>
        <w:t>Energy &amp; Environmental Science</w:t>
      </w:r>
      <w:r w:rsidRPr="00F1008C">
        <w:t>, [online] 16(10), pp.4121–4134.</w:t>
      </w:r>
      <w:proofErr w:type="gramEnd"/>
      <w:r w:rsidRPr="00F1008C">
        <w:t xml:space="preserve"> </w:t>
      </w:r>
      <w:proofErr w:type="gramStart"/>
      <w:r w:rsidRPr="00F1008C">
        <w:t>doi:</w:t>
      </w:r>
      <w:proofErr w:type="gramEnd"/>
      <w:r w:rsidRPr="00F1008C">
        <w:t>10.1039/d3ee01077e.</w:t>
      </w:r>
    </w:p>
    <w:p w14:paraId="7A01B8A4" w14:textId="77777777" w:rsidR="00D06DD1" w:rsidRPr="00F1008C" w:rsidRDefault="009E5C34" w:rsidP="003C054F">
      <w:pPr>
        <w:spacing w:before="400" w:after="80" w:line="360" w:lineRule="auto"/>
      </w:pPr>
      <w:proofErr w:type="spellStart"/>
      <w:proofErr w:type="gramStart"/>
      <w:r w:rsidRPr="00F1008C">
        <w:t>Stenzel</w:t>
      </w:r>
      <w:proofErr w:type="spellEnd"/>
      <w:r w:rsidRPr="00F1008C">
        <w:t xml:space="preserve">, A. and </w:t>
      </w:r>
      <w:proofErr w:type="spellStart"/>
      <w:r w:rsidRPr="00F1008C">
        <w:t>Waichman</w:t>
      </w:r>
      <w:proofErr w:type="spellEnd"/>
      <w:r w:rsidRPr="00F1008C">
        <w:t>, I. (2023).</w:t>
      </w:r>
      <w:proofErr w:type="gramEnd"/>
      <w:r w:rsidRPr="00F1008C">
        <w:t xml:space="preserve"> Supply-chain data sharing for scope 3 emissions. </w:t>
      </w:r>
      <w:proofErr w:type="spellStart"/>
      <w:proofErr w:type="gramStart"/>
      <w:r w:rsidRPr="00F1008C">
        <w:rPr>
          <w:i/>
          <w:iCs/>
        </w:rPr>
        <w:t>npj</w:t>
      </w:r>
      <w:proofErr w:type="spellEnd"/>
      <w:proofErr w:type="gramEnd"/>
      <w:r w:rsidRPr="00F1008C">
        <w:rPr>
          <w:i/>
          <w:iCs/>
        </w:rPr>
        <w:t xml:space="preserve"> Climate Action</w:t>
      </w:r>
      <w:r w:rsidRPr="00F1008C">
        <w:t xml:space="preserve">, [online] 2(1). </w:t>
      </w:r>
      <w:proofErr w:type="gramStart"/>
      <w:r w:rsidRPr="00F1008C">
        <w:t>doi:</w:t>
      </w:r>
      <w:proofErr w:type="gramEnd"/>
      <w:r w:rsidRPr="00F1008C">
        <w:t>10.1038/s44168-023-00032-x.</w:t>
      </w:r>
    </w:p>
    <w:p w14:paraId="2F156424" w14:textId="77777777" w:rsidR="00D06DD1" w:rsidRDefault="009E5C34" w:rsidP="003C054F">
      <w:pPr>
        <w:spacing w:before="400" w:after="80" w:line="360" w:lineRule="auto"/>
      </w:pPr>
      <w:proofErr w:type="spellStart"/>
      <w:proofErr w:type="gramStart"/>
      <w:r w:rsidRPr="00F1008C">
        <w:t>Tannor</w:t>
      </w:r>
      <w:proofErr w:type="spellEnd"/>
      <w:r w:rsidRPr="00F1008C">
        <w:t xml:space="preserve">, S.J., </w:t>
      </w:r>
      <w:proofErr w:type="spellStart"/>
      <w:r w:rsidRPr="00F1008C">
        <w:t>Borgemeister</w:t>
      </w:r>
      <w:proofErr w:type="spellEnd"/>
      <w:r w:rsidRPr="00F1008C">
        <w:t xml:space="preserve">, C., </w:t>
      </w:r>
      <w:proofErr w:type="spellStart"/>
      <w:r w:rsidRPr="00F1008C">
        <w:t>Addo</w:t>
      </w:r>
      <w:proofErr w:type="spellEnd"/>
      <w:r w:rsidRPr="00F1008C">
        <w:t>–</w:t>
      </w:r>
      <w:proofErr w:type="spellStart"/>
      <w:r w:rsidRPr="00F1008C">
        <w:t>Danso</w:t>
      </w:r>
      <w:proofErr w:type="spellEnd"/>
      <w:r w:rsidRPr="00F1008C">
        <w:t xml:space="preserve">, S.D., </w:t>
      </w:r>
      <w:proofErr w:type="spellStart"/>
      <w:r w:rsidRPr="00F1008C">
        <w:t>Greve</w:t>
      </w:r>
      <w:proofErr w:type="spellEnd"/>
      <w:r w:rsidRPr="00F1008C">
        <w:t xml:space="preserve">, K. and </w:t>
      </w:r>
      <w:proofErr w:type="spellStart"/>
      <w:r w:rsidRPr="00F1008C">
        <w:t>Tischbein</w:t>
      </w:r>
      <w:proofErr w:type="spellEnd"/>
      <w:r w:rsidRPr="00F1008C">
        <w:t>, B. (2023).</w:t>
      </w:r>
      <w:proofErr w:type="gramEnd"/>
      <w:r w:rsidRPr="00F1008C">
        <w:t xml:space="preserve"> Climate variability and mining sustainability: Exploring operations’ perspectives on local effects and the willingness to adapt in Ghana. </w:t>
      </w:r>
      <w:proofErr w:type="gramStart"/>
      <w:r w:rsidRPr="00F1008C">
        <w:rPr>
          <w:i/>
          <w:iCs/>
        </w:rPr>
        <w:t>SN Business &amp; Economics</w:t>
      </w:r>
      <w:r w:rsidRPr="00F1008C">
        <w:t>, 3(8).</w:t>
      </w:r>
      <w:proofErr w:type="gramEnd"/>
      <w:r w:rsidRPr="00F1008C">
        <w:t xml:space="preserve"> </w:t>
      </w:r>
      <w:proofErr w:type="gramStart"/>
      <w:r w:rsidRPr="00F1008C">
        <w:t>doi:</w:t>
      </w:r>
      <w:proofErr w:type="gramEnd"/>
      <w:r w:rsidRPr="00F1008C">
        <w:t>10.1007/s43546-023-00515-3.</w:t>
      </w:r>
    </w:p>
    <w:p w14:paraId="1ED8C5E9" w14:textId="7D2D3350" w:rsidR="00B078C5" w:rsidRPr="00F1008C" w:rsidRDefault="00B078C5" w:rsidP="003C054F">
      <w:pPr>
        <w:spacing w:before="400" w:after="80" w:line="360" w:lineRule="auto"/>
      </w:pPr>
      <w:proofErr w:type="gramStart"/>
      <w:r>
        <w:rPr>
          <w:lang w:val="en-IN"/>
        </w:rPr>
        <w:t>The Intact One</w:t>
      </w:r>
      <w:r w:rsidRPr="00B078C5">
        <w:rPr>
          <w:lang w:val="en-IN"/>
        </w:rPr>
        <w:t>.</w:t>
      </w:r>
      <w:proofErr w:type="gramEnd"/>
      <w:r w:rsidRPr="00B078C5">
        <w:rPr>
          <w:lang w:val="en-IN"/>
        </w:rPr>
        <w:t xml:space="preserve"> </w:t>
      </w:r>
      <w:proofErr w:type="gramStart"/>
      <w:r w:rsidRPr="00B078C5">
        <w:rPr>
          <w:lang w:val="en-IN"/>
        </w:rPr>
        <w:t xml:space="preserve">(2024). </w:t>
      </w:r>
      <w:r w:rsidRPr="00B078C5">
        <w:rPr>
          <w:i/>
          <w:iCs/>
          <w:lang w:val="en-IN"/>
        </w:rPr>
        <w:t>Porter’s Generic Strategies</w:t>
      </w:r>
      <w:r w:rsidRPr="00B078C5">
        <w:rPr>
          <w:lang w:val="en-IN"/>
        </w:rPr>
        <w:t>.</w:t>
      </w:r>
      <w:proofErr w:type="gramEnd"/>
      <w:r w:rsidRPr="00B078C5">
        <w:rPr>
          <w:lang w:val="en-IN"/>
        </w:rPr>
        <w:t xml:space="preserve"> [</w:t>
      </w:r>
      <w:proofErr w:type="gramStart"/>
      <w:r w:rsidRPr="00B078C5">
        <w:rPr>
          <w:lang w:val="en-IN"/>
        </w:rPr>
        <w:t>online</w:t>
      </w:r>
      <w:proofErr w:type="gramEnd"/>
      <w:r w:rsidRPr="00B078C5">
        <w:rPr>
          <w:lang w:val="en-IN"/>
        </w:rPr>
        <w:t>] Available at: https://theintactone.com/2018/04/21/sm-u2-topic-8-porters-generic-strategies/.</w:t>
      </w:r>
    </w:p>
    <w:p w14:paraId="62AF7698" w14:textId="77777777" w:rsidR="00D06DD1" w:rsidRPr="00F1008C" w:rsidRDefault="009E5C34" w:rsidP="003C054F">
      <w:pPr>
        <w:spacing w:before="400" w:after="80" w:line="360" w:lineRule="auto"/>
      </w:pPr>
      <w:r w:rsidRPr="00F1008C">
        <w:t xml:space="preserve">The Strategy Institute (2024). </w:t>
      </w:r>
      <w:r w:rsidRPr="00F1008C">
        <w:rPr>
          <w:i/>
          <w:iCs/>
        </w:rPr>
        <w:t xml:space="preserve">The </w:t>
      </w:r>
      <w:proofErr w:type="spellStart"/>
      <w:r w:rsidRPr="00F1008C">
        <w:rPr>
          <w:i/>
          <w:iCs/>
        </w:rPr>
        <w:t>ansoff</w:t>
      </w:r>
      <w:proofErr w:type="spellEnd"/>
      <w:r w:rsidRPr="00F1008C">
        <w:rPr>
          <w:i/>
          <w:iCs/>
        </w:rPr>
        <w:t xml:space="preserve"> matrix: A powerful tool for business strategy and growth</w:t>
      </w:r>
      <w:r w:rsidRPr="00F1008C">
        <w:t>. [</w:t>
      </w:r>
      <w:proofErr w:type="gramStart"/>
      <w:r w:rsidRPr="00F1008C">
        <w:t>online</w:t>
      </w:r>
      <w:proofErr w:type="gramEnd"/>
      <w:r w:rsidRPr="00F1008C">
        <w:t xml:space="preserve">] </w:t>
      </w:r>
      <w:proofErr w:type="gramStart"/>
      <w:r w:rsidRPr="00F1008C">
        <w:t>The Strategy Institute.</w:t>
      </w:r>
      <w:proofErr w:type="gramEnd"/>
      <w:r w:rsidRPr="00F1008C">
        <w:t xml:space="preserve"> Available at: </w:t>
      </w:r>
      <w:r w:rsidRPr="00F1008C">
        <w:lastRenderedPageBreak/>
        <w:t>https://www.thestrategyinstitute.org/insights/the-ansoff-matrix-a-powerful-tool-for-business-strategy-and-growth [Accessed 9 Oct. 2026].</w:t>
      </w:r>
    </w:p>
    <w:p w14:paraId="006583EF" w14:textId="77777777" w:rsidR="00D06DD1" w:rsidRPr="00F1008C" w:rsidRDefault="009E5C34" w:rsidP="003C054F">
      <w:pPr>
        <w:spacing w:before="400" w:after="80" w:line="360" w:lineRule="auto"/>
      </w:pPr>
      <w:proofErr w:type="spellStart"/>
      <w:proofErr w:type="gramStart"/>
      <w:r w:rsidRPr="00F1008C">
        <w:t>Xu</w:t>
      </w:r>
      <w:proofErr w:type="spellEnd"/>
      <w:r w:rsidRPr="00F1008C">
        <w:t xml:space="preserve">, W., Li, M. and </w:t>
      </w:r>
      <w:proofErr w:type="spellStart"/>
      <w:r w:rsidRPr="00F1008C">
        <w:t>Xu</w:t>
      </w:r>
      <w:proofErr w:type="spellEnd"/>
      <w:r w:rsidRPr="00F1008C">
        <w:t>, S. (2023).</w:t>
      </w:r>
      <w:proofErr w:type="gramEnd"/>
      <w:r w:rsidRPr="00F1008C">
        <w:t xml:space="preserve"> </w:t>
      </w:r>
      <w:proofErr w:type="gramStart"/>
      <w:r w:rsidRPr="00F1008C">
        <w:t>Unveiling the “veil” of information disclosure: Sustainability reporting “</w:t>
      </w:r>
      <w:proofErr w:type="spellStart"/>
      <w:r w:rsidRPr="00F1008C">
        <w:t>greenwashing</w:t>
      </w:r>
      <w:proofErr w:type="spellEnd"/>
      <w:r w:rsidRPr="00F1008C">
        <w:t>” and “shared value.”</w:t>
      </w:r>
      <w:proofErr w:type="gramEnd"/>
      <w:r w:rsidRPr="00F1008C">
        <w:t xml:space="preserve"> </w:t>
      </w:r>
      <w:r w:rsidRPr="00F1008C">
        <w:rPr>
          <w:i/>
          <w:iCs/>
        </w:rPr>
        <w:t>PLOS ONE</w:t>
      </w:r>
      <w:r w:rsidRPr="00F1008C">
        <w:t>, [online] 18(1), p.e0279904. doi:10.1371/journal.pone.0279904.</w:t>
      </w:r>
    </w:p>
    <w:p w14:paraId="51830BB7" w14:textId="77777777" w:rsidR="00D06DD1" w:rsidRDefault="009E5C34" w:rsidP="003C054F">
      <w:pPr>
        <w:spacing w:before="400" w:after="80" w:line="360" w:lineRule="auto"/>
      </w:pPr>
      <w:proofErr w:type="gramStart"/>
      <w:r w:rsidRPr="00F1008C">
        <w:t xml:space="preserve">Zhang, A., Tay, H.L., </w:t>
      </w:r>
      <w:proofErr w:type="spellStart"/>
      <w:r w:rsidRPr="00F1008C">
        <w:t>Alvi</w:t>
      </w:r>
      <w:proofErr w:type="spellEnd"/>
      <w:r w:rsidRPr="00F1008C">
        <w:t>, M.F., Wang, J.X. and Gong, Y. (2022).</w:t>
      </w:r>
      <w:proofErr w:type="gramEnd"/>
      <w:r w:rsidRPr="00F1008C">
        <w:t xml:space="preserve"> </w:t>
      </w:r>
      <w:proofErr w:type="gramStart"/>
      <w:r w:rsidRPr="00F1008C">
        <w:t>Carbon neutrality drivers and implications for firm performance and supply chain management.</w:t>
      </w:r>
      <w:proofErr w:type="gramEnd"/>
      <w:r w:rsidRPr="00F1008C">
        <w:t xml:space="preserve"> </w:t>
      </w:r>
      <w:proofErr w:type="gramStart"/>
      <w:r w:rsidRPr="00F1008C">
        <w:rPr>
          <w:i/>
          <w:iCs/>
        </w:rPr>
        <w:t>Business Strategy and the Environment</w:t>
      </w:r>
      <w:r w:rsidRPr="00F1008C">
        <w:t>, 32(4).</w:t>
      </w:r>
      <w:proofErr w:type="gramEnd"/>
      <w:r w:rsidRPr="00F1008C">
        <w:t xml:space="preserve"> doi:10.1002/bse.3230.</w:t>
      </w:r>
    </w:p>
    <w:p w14:paraId="2233F27A" w14:textId="77777777" w:rsidR="00B47C38" w:rsidRPr="00B47C38" w:rsidRDefault="00B47C38" w:rsidP="003C054F">
      <w:pPr>
        <w:spacing w:before="400" w:after="80" w:line="360" w:lineRule="auto"/>
        <w:rPr>
          <w:lang w:val="en-IN"/>
        </w:rPr>
      </w:pPr>
      <w:proofErr w:type="spellStart"/>
      <w:proofErr w:type="gramStart"/>
      <w:r w:rsidRPr="00B47C38">
        <w:rPr>
          <w:lang w:val="en-IN"/>
        </w:rPr>
        <w:t>Zang</w:t>
      </w:r>
      <w:proofErr w:type="spellEnd"/>
      <w:r w:rsidRPr="00B47C38">
        <w:rPr>
          <w:lang w:val="en-IN"/>
        </w:rPr>
        <w:t xml:space="preserve">, G., Sun, P., </w:t>
      </w:r>
      <w:proofErr w:type="spellStart"/>
      <w:r w:rsidRPr="00B47C38">
        <w:rPr>
          <w:lang w:val="en-IN"/>
        </w:rPr>
        <w:t>Elgowainy</w:t>
      </w:r>
      <w:proofErr w:type="spellEnd"/>
      <w:r w:rsidRPr="00B47C38">
        <w:rPr>
          <w:lang w:val="en-IN"/>
        </w:rPr>
        <w:t xml:space="preserve">, A., </w:t>
      </w:r>
      <w:proofErr w:type="spellStart"/>
      <w:r w:rsidRPr="00B47C38">
        <w:rPr>
          <w:lang w:val="en-IN"/>
        </w:rPr>
        <w:t>Bobba</w:t>
      </w:r>
      <w:proofErr w:type="spellEnd"/>
      <w:r w:rsidRPr="00B47C38">
        <w:rPr>
          <w:lang w:val="en-IN"/>
        </w:rPr>
        <w:t xml:space="preserve">, P., McMillan, C., Ma, O., </w:t>
      </w:r>
      <w:proofErr w:type="spellStart"/>
      <w:r w:rsidRPr="00B47C38">
        <w:rPr>
          <w:lang w:val="en-IN"/>
        </w:rPr>
        <w:t>Podkaminer</w:t>
      </w:r>
      <w:proofErr w:type="spellEnd"/>
      <w:r w:rsidRPr="00B47C38">
        <w:rPr>
          <w:lang w:val="en-IN"/>
        </w:rPr>
        <w:t xml:space="preserve">, K., </w:t>
      </w:r>
      <w:proofErr w:type="spellStart"/>
      <w:r w:rsidRPr="00B47C38">
        <w:rPr>
          <w:lang w:val="en-IN"/>
        </w:rPr>
        <w:t>Rustagi</w:t>
      </w:r>
      <w:proofErr w:type="spellEnd"/>
      <w:r w:rsidRPr="00B47C38">
        <w:rPr>
          <w:lang w:val="en-IN"/>
        </w:rPr>
        <w:t xml:space="preserve">, N., </w:t>
      </w:r>
      <w:proofErr w:type="spellStart"/>
      <w:r w:rsidRPr="00B47C38">
        <w:rPr>
          <w:lang w:val="en-IN"/>
        </w:rPr>
        <w:t>Melaina</w:t>
      </w:r>
      <w:proofErr w:type="spellEnd"/>
      <w:r w:rsidRPr="00B47C38">
        <w:rPr>
          <w:lang w:val="en-IN"/>
        </w:rPr>
        <w:t xml:space="preserve">, M. and </w:t>
      </w:r>
      <w:proofErr w:type="spellStart"/>
      <w:r w:rsidRPr="00B47C38">
        <w:rPr>
          <w:lang w:val="en-IN"/>
        </w:rPr>
        <w:t>Koleva</w:t>
      </w:r>
      <w:proofErr w:type="spellEnd"/>
      <w:r w:rsidRPr="00B47C38">
        <w:rPr>
          <w:lang w:val="en-IN"/>
        </w:rPr>
        <w:t>, M. (2023).</w:t>
      </w:r>
      <w:proofErr w:type="gramEnd"/>
      <w:r w:rsidRPr="00B47C38">
        <w:rPr>
          <w:lang w:val="en-IN"/>
        </w:rPr>
        <w:t xml:space="preserve"> Cost and Life Cycle Analysis for Deep CO2 Emissions Reduction for Steel Making: Direct Reduced Iron Technologies. </w:t>
      </w:r>
      <w:proofErr w:type="gramStart"/>
      <w:r w:rsidRPr="00B47C38">
        <w:rPr>
          <w:i/>
          <w:iCs/>
          <w:lang w:val="en-IN"/>
        </w:rPr>
        <w:t>steel</w:t>
      </w:r>
      <w:proofErr w:type="gramEnd"/>
      <w:r w:rsidRPr="00B47C38">
        <w:rPr>
          <w:i/>
          <w:iCs/>
          <w:lang w:val="en-IN"/>
        </w:rPr>
        <w:t xml:space="preserve"> research international</w:t>
      </w:r>
      <w:r w:rsidRPr="00B47C38">
        <w:rPr>
          <w:lang w:val="en-IN"/>
        </w:rPr>
        <w:t>, [online] 94(6). doi:10.1002/srin.202200297.</w:t>
      </w:r>
    </w:p>
    <w:p w14:paraId="3DE9FD40" w14:textId="77777777" w:rsidR="00B47C38" w:rsidRPr="00B47C38" w:rsidRDefault="00B47C38" w:rsidP="003C054F">
      <w:pPr>
        <w:spacing w:before="400" w:after="80" w:line="360" w:lineRule="auto"/>
        <w:rPr>
          <w:lang w:val="en-IN"/>
        </w:rPr>
      </w:pPr>
      <w:r w:rsidRPr="00B47C38">
        <w:rPr>
          <w:lang w:val="en-IN"/>
        </w:rPr>
        <w:t>‌</w:t>
      </w:r>
    </w:p>
    <w:p w14:paraId="10AAC3DB" w14:textId="77777777" w:rsidR="00B47C38" w:rsidRPr="00F1008C" w:rsidRDefault="00B47C38" w:rsidP="00171781">
      <w:pPr>
        <w:spacing w:after="240" w:line="360" w:lineRule="auto"/>
      </w:pPr>
    </w:p>
    <w:sectPr w:rsidR="00B47C38" w:rsidRPr="00F1008C">
      <w:footerReference w:type="default" r:id="rId16"/>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D3D5C83" w14:textId="77777777" w:rsidR="00EA7E53" w:rsidRPr="00F1008C" w:rsidRDefault="00EA7E53">
      <w:pPr>
        <w:spacing w:line="240" w:lineRule="auto"/>
      </w:pPr>
      <w:r w:rsidRPr="00F1008C">
        <w:separator/>
      </w:r>
    </w:p>
  </w:endnote>
  <w:endnote w:type="continuationSeparator" w:id="0">
    <w:p w14:paraId="03867C30" w14:textId="77777777" w:rsidR="00EA7E53" w:rsidRPr="00F1008C" w:rsidRDefault="00EA7E53">
      <w:pPr>
        <w:spacing w:line="240" w:lineRule="auto"/>
      </w:pPr>
      <w:r w:rsidRPr="00F1008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02DF9D05-521F-4234-BB4E-37C77E207FC1}"/>
  </w:font>
  <w:font w:name="Calibri">
    <w:panose1 w:val="020F0502020204030204"/>
    <w:charset w:val="00"/>
    <w:family w:val="swiss"/>
    <w:pitch w:val="variable"/>
    <w:sig w:usb0="E4002EFF" w:usb1="C200247B" w:usb2="00000009" w:usb3="00000000" w:csb0="000001FF" w:csb1="00000000"/>
    <w:embedRegular r:id="rId2" w:fontKey="{E5AE08FE-C86A-4401-9728-1C8E6E61434B}"/>
    <w:embedBold r:id="rId3" w:fontKey="{44575508-1831-4103-8F95-C8B86E170430}"/>
  </w:font>
  <w:font w:name="Cambria">
    <w:panose1 w:val="02040503050406030204"/>
    <w:charset w:val="00"/>
    <w:family w:val="roman"/>
    <w:pitch w:val="variable"/>
    <w:sig w:usb0="E00006FF" w:usb1="420024FF" w:usb2="02000000" w:usb3="00000000" w:csb0="0000019F" w:csb1="00000000"/>
    <w:embedRegular r:id="rId4" w:fontKey="{2F90315D-6591-4169-92F6-EC5B1693EDFA}"/>
  </w:font>
  <w:font w:name="Shruti">
    <w:panose1 w:val="020B0802040204020203"/>
    <w:charset w:val="01"/>
    <w:family w:val="roman"/>
    <w:notTrueType/>
    <w:pitch w:val="variable"/>
  </w:font>
  <w:font w:name="Cambria Math">
    <w:panose1 w:val="02040503050406030204"/>
    <w:charset w:val="00"/>
    <w:family w:val="roman"/>
    <w:pitch w:val="variable"/>
    <w:sig w:usb0="E00006FF" w:usb1="420024FF" w:usb2="02000000" w:usb3="00000000" w:csb0="0000019F" w:csb1="00000000"/>
    <w:embedRegular r:id="rId5" w:fontKey="{F902FD67-4A43-4EF3-B43A-0D1CBDBE0438}"/>
    <w:embedBold r:id="rId6" w:fontKey="{079ECEA1-D651-421E-9513-F51F24A0B593}"/>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F69AF84" w14:textId="77777777" w:rsidR="00D06DD1" w:rsidRPr="00F1008C" w:rsidRDefault="009E5C34" w:rsidP="00F1008C">
    <w:pPr>
      <w:tabs>
        <w:tab w:val="left" w:pos="4500"/>
      </w:tabs>
      <w:jc w:val="right"/>
    </w:pPr>
    <w:r w:rsidRPr="00F1008C">
      <w:fldChar w:fldCharType="begin"/>
    </w:r>
    <w:r w:rsidRPr="00F1008C">
      <w:instrText>PAGE</w:instrText>
    </w:r>
    <w:r w:rsidRPr="00F1008C">
      <w:fldChar w:fldCharType="separate"/>
    </w:r>
    <w:r w:rsidR="00CF7699">
      <w:rPr>
        <w:noProof/>
      </w:rPr>
      <w:t>13</w:t>
    </w:r>
    <w:r w:rsidRPr="00F1008C">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7A7B177" w14:textId="77777777" w:rsidR="00EA7E53" w:rsidRPr="00F1008C" w:rsidRDefault="00EA7E53">
      <w:pPr>
        <w:spacing w:line="240" w:lineRule="auto"/>
      </w:pPr>
      <w:r w:rsidRPr="00F1008C">
        <w:separator/>
      </w:r>
    </w:p>
  </w:footnote>
  <w:footnote w:type="continuationSeparator" w:id="0">
    <w:p w14:paraId="55C7AAC8" w14:textId="77777777" w:rsidR="00EA7E53" w:rsidRPr="00F1008C" w:rsidRDefault="00EA7E53">
      <w:pPr>
        <w:spacing w:line="240" w:lineRule="auto"/>
      </w:pPr>
      <w:r w:rsidRPr="00F1008C">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06DD1"/>
    <w:rsid w:val="00171781"/>
    <w:rsid w:val="002566E8"/>
    <w:rsid w:val="002F6F87"/>
    <w:rsid w:val="003B02A2"/>
    <w:rsid w:val="003C054F"/>
    <w:rsid w:val="004D6BE5"/>
    <w:rsid w:val="004E2558"/>
    <w:rsid w:val="00683B80"/>
    <w:rsid w:val="00745AB6"/>
    <w:rsid w:val="007B5DEC"/>
    <w:rsid w:val="007F4A38"/>
    <w:rsid w:val="0089223D"/>
    <w:rsid w:val="008E0279"/>
    <w:rsid w:val="00963B0A"/>
    <w:rsid w:val="009A7507"/>
    <w:rsid w:val="009E5C34"/>
    <w:rsid w:val="00AA46D7"/>
    <w:rsid w:val="00AE1B15"/>
    <w:rsid w:val="00B02D18"/>
    <w:rsid w:val="00B078C5"/>
    <w:rsid w:val="00B47C38"/>
    <w:rsid w:val="00B56CD9"/>
    <w:rsid w:val="00CC6826"/>
    <w:rsid w:val="00CE594C"/>
    <w:rsid w:val="00CF7699"/>
    <w:rsid w:val="00D06DD1"/>
    <w:rsid w:val="00D07882"/>
    <w:rsid w:val="00DE4F46"/>
    <w:rsid w:val="00E94BD6"/>
    <w:rsid w:val="00EA5E7D"/>
    <w:rsid w:val="00EA7E53"/>
    <w:rsid w:val="00F1008C"/>
    <w:rsid w:val="00F97321"/>
    <w:rsid w:val="00FC043E"/>
    <w:rsid w:val="00FD30A4"/>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221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4"/>
        <w:szCs w:val="24"/>
        <w:lang w:val="en" w:eastAsia="en-US" w:bidi="ar-SA"/>
      </w:rPr>
    </w:rPrDefault>
    <w:pPrDefault>
      <w:pPr>
        <w:spacing w:line="276"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400" w:after="80"/>
      <w:outlineLvl w:val="0"/>
    </w:pPr>
    <w:rPr>
      <w:b/>
      <w:bCs/>
    </w:rPr>
  </w:style>
  <w:style w:type="paragraph" w:styleId="Heading2">
    <w:name w:val="heading 2"/>
    <w:basedOn w:val="Normal"/>
    <w:next w:val="Normal"/>
    <w:uiPriority w:val="9"/>
    <w:unhideWhenUsed/>
    <w:qFormat/>
    <w:pPr>
      <w:keepNext/>
      <w:keepLines/>
      <w:spacing w:before="240" w:after="240"/>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F1008C"/>
    <w:pPr>
      <w:tabs>
        <w:tab w:val="center" w:pos="4680"/>
        <w:tab w:val="right" w:pos="9360"/>
      </w:tabs>
      <w:spacing w:line="240" w:lineRule="auto"/>
    </w:pPr>
  </w:style>
  <w:style w:type="character" w:customStyle="1" w:styleId="HeaderChar">
    <w:name w:val="Header Char"/>
    <w:basedOn w:val="DefaultParagraphFont"/>
    <w:link w:val="Header"/>
    <w:uiPriority w:val="99"/>
    <w:rsid w:val="00F1008C"/>
  </w:style>
  <w:style w:type="paragraph" w:styleId="Footer">
    <w:name w:val="footer"/>
    <w:basedOn w:val="Normal"/>
    <w:link w:val="FooterChar"/>
    <w:uiPriority w:val="99"/>
    <w:unhideWhenUsed/>
    <w:rsid w:val="00F1008C"/>
    <w:pPr>
      <w:tabs>
        <w:tab w:val="center" w:pos="4680"/>
        <w:tab w:val="right" w:pos="9360"/>
      </w:tabs>
      <w:spacing w:line="240" w:lineRule="auto"/>
    </w:pPr>
  </w:style>
  <w:style w:type="character" w:customStyle="1" w:styleId="FooterChar">
    <w:name w:val="Footer Char"/>
    <w:basedOn w:val="DefaultParagraphFont"/>
    <w:link w:val="Footer"/>
    <w:uiPriority w:val="99"/>
    <w:rsid w:val="00F1008C"/>
  </w:style>
  <w:style w:type="character" w:styleId="CommentReference">
    <w:name w:val="annotation reference"/>
    <w:basedOn w:val="DefaultParagraphFont"/>
    <w:uiPriority w:val="99"/>
    <w:semiHidden/>
    <w:unhideWhenUsed/>
    <w:rsid w:val="00F1008C"/>
    <w:rPr>
      <w:sz w:val="16"/>
      <w:szCs w:val="16"/>
    </w:rPr>
  </w:style>
  <w:style w:type="paragraph" w:styleId="CommentText">
    <w:name w:val="annotation text"/>
    <w:basedOn w:val="Normal"/>
    <w:link w:val="CommentTextChar"/>
    <w:uiPriority w:val="99"/>
    <w:unhideWhenUsed/>
    <w:rsid w:val="00F1008C"/>
    <w:pPr>
      <w:spacing w:line="240" w:lineRule="auto"/>
    </w:pPr>
    <w:rPr>
      <w:sz w:val="20"/>
      <w:szCs w:val="20"/>
    </w:rPr>
  </w:style>
  <w:style w:type="character" w:customStyle="1" w:styleId="CommentTextChar">
    <w:name w:val="Comment Text Char"/>
    <w:basedOn w:val="DefaultParagraphFont"/>
    <w:link w:val="CommentText"/>
    <w:uiPriority w:val="99"/>
    <w:rsid w:val="00F1008C"/>
    <w:rPr>
      <w:sz w:val="20"/>
      <w:szCs w:val="20"/>
    </w:rPr>
  </w:style>
  <w:style w:type="paragraph" w:styleId="CommentSubject">
    <w:name w:val="annotation subject"/>
    <w:basedOn w:val="CommentText"/>
    <w:next w:val="CommentText"/>
    <w:link w:val="CommentSubjectChar"/>
    <w:uiPriority w:val="99"/>
    <w:semiHidden/>
    <w:unhideWhenUsed/>
    <w:rsid w:val="00F1008C"/>
    <w:rPr>
      <w:b/>
      <w:bCs/>
    </w:rPr>
  </w:style>
  <w:style w:type="character" w:customStyle="1" w:styleId="CommentSubjectChar">
    <w:name w:val="Comment Subject Char"/>
    <w:basedOn w:val="CommentTextChar"/>
    <w:link w:val="CommentSubject"/>
    <w:uiPriority w:val="99"/>
    <w:semiHidden/>
    <w:rsid w:val="00F1008C"/>
    <w:rPr>
      <w:b/>
      <w:bCs/>
      <w:sz w:val="20"/>
      <w:szCs w:val="20"/>
    </w:rPr>
  </w:style>
  <w:style w:type="paragraph" w:styleId="NormalWeb">
    <w:name w:val="Normal (Web)"/>
    <w:basedOn w:val="Normal"/>
    <w:uiPriority w:val="99"/>
    <w:semiHidden/>
    <w:unhideWhenUsed/>
    <w:rsid w:val="00CE594C"/>
    <w:rPr>
      <w:rFonts w:ascii="Times New Roman" w:hAnsi="Times New Roman" w:cs="Times New Roman"/>
    </w:rPr>
  </w:style>
  <w:style w:type="paragraph" w:styleId="TOC1">
    <w:name w:val="toc 1"/>
    <w:basedOn w:val="Normal"/>
    <w:next w:val="Normal"/>
    <w:autoRedefine/>
    <w:uiPriority w:val="39"/>
    <w:unhideWhenUsed/>
    <w:rsid w:val="00171781"/>
    <w:pPr>
      <w:spacing w:after="100"/>
    </w:pPr>
  </w:style>
  <w:style w:type="paragraph" w:styleId="TOC2">
    <w:name w:val="toc 2"/>
    <w:basedOn w:val="Normal"/>
    <w:next w:val="Normal"/>
    <w:autoRedefine/>
    <w:uiPriority w:val="39"/>
    <w:unhideWhenUsed/>
    <w:rsid w:val="00171781"/>
    <w:pPr>
      <w:spacing w:after="100"/>
      <w:ind w:left="240"/>
    </w:pPr>
  </w:style>
  <w:style w:type="character" w:styleId="Hyperlink">
    <w:name w:val="Hyperlink"/>
    <w:basedOn w:val="DefaultParagraphFont"/>
    <w:uiPriority w:val="99"/>
    <w:unhideWhenUsed/>
    <w:rsid w:val="00171781"/>
    <w:rPr>
      <w:color w:val="0000FF" w:themeColor="hyperlink"/>
      <w:u w:val="single"/>
    </w:rPr>
  </w:style>
  <w:style w:type="paragraph" w:styleId="BalloonText">
    <w:name w:val="Balloon Text"/>
    <w:basedOn w:val="Normal"/>
    <w:link w:val="BalloonTextChar"/>
    <w:uiPriority w:val="99"/>
    <w:semiHidden/>
    <w:unhideWhenUsed/>
    <w:rsid w:val="003C054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054F"/>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4"/>
        <w:szCs w:val="24"/>
        <w:lang w:val="en" w:eastAsia="en-US" w:bidi="ar-SA"/>
      </w:rPr>
    </w:rPrDefault>
    <w:pPrDefault>
      <w:pPr>
        <w:spacing w:line="276"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400" w:after="80"/>
      <w:outlineLvl w:val="0"/>
    </w:pPr>
    <w:rPr>
      <w:b/>
      <w:bCs/>
    </w:rPr>
  </w:style>
  <w:style w:type="paragraph" w:styleId="Heading2">
    <w:name w:val="heading 2"/>
    <w:basedOn w:val="Normal"/>
    <w:next w:val="Normal"/>
    <w:uiPriority w:val="9"/>
    <w:unhideWhenUsed/>
    <w:qFormat/>
    <w:pPr>
      <w:keepNext/>
      <w:keepLines/>
      <w:spacing w:before="240" w:after="240"/>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F1008C"/>
    <w:pPr>
      <w:tabs>
        <w:tab w:val="center" w:pos="4680"/>
        <w:tab w:val="right" w:pos="9360"/>
      </w:tabs>
      <w:spacing w:line="240" w:lineRule="auto"/>
    </w:pPr>
  </w:style>
  <w:style w:type="character" w:customStyle="1" w:styleId="HeaderChar">
    <w:name w:val="Header Char"/>
    <w:basedOn w:val="DefaultParagraphFont"/>
    <w:link w:val="Header"/>
    <w:uiPriority w:val="99"/>
    <w:rsid w:val="00F1008C"/>
  </w:style>
  <w:style w:type="paragraph" w:styleId="Footer">
    <w:name w:val="footer"/>
    <w:basedOn w:val="Normal"/>
    <w:link w:val="FooterChar"/>
    <w:uiPriority w:val="99"/>
    <w:unhideWhenUsed/>
    <w:rsid w:val="00F1008C"/>
    <w:pPr>
      <w:tabs>
        <w:tab w:val="center" w:pos="4680"/>
        <w:tab w:val="right" w:pos="9360"/>
      </w:tabs>
      <w:spacing w:line="240" w:lineRule="auto"/>
    </w:pPr>
  </w:style>
  <w:style w:type="character" w:customStyle="1" w:styleId="FooterChar">
    <w:name w:val="Footer Char"/>
    <w:basedOn w:val="DefaultParagraphFont"/>
    <w:link w:val="Footer"/>
    <w:uiPriority w:val="99"/>
    <w:rsid w:val="00F1008C"/>
  </w:style>
  <w:style w:type="character" w:styleId="CommentReference">
    <w:name w:val="annotation reference"/>
    <w:basedOn w:val="DefaultParagraphFont"/>
    <w:uiPriority w:val="99"/>
    <w:semiHidden/>
    <w:unhideWhenUsed/>
    <w:rsid w:val="00F1008C"/>
    <w:rPr>
      <w:sz w:val="16"/>
      <w:szCs w:val="16"/>
    </w:rPr>
  </w:style>
  <w:style w:type="paragraph" w:styleId="CommentText">
    <w:name w:val="annotation text"/>
    <w:basedOn w:val="Normal"/>
    <w:link w:val="CommentTextChar"/>
    <w:uiPriority w:val="99"/>
    <w:unhideWhenUsed/>
    <w:rsid w:val="00F1008C"/>
    <w:pPr>
      <w:spacing w:line="240" w:lineRule="auto"/>
    </w:pPr>
    <w:rPr>
      <w:sz w:val="20"/>
      <w:szCs w:val="20"/>
    </w:rPr>
  </w:style>
  <w:style w:type="character" w:customStyle="1" w:styleId="CommentTextChar">
    <w:name w:val="Comment Text Char"/>
    <w:basedOn w:val="DefaultParagraphFont"/>
    <w:link w:val="CommentText"/>
    <w:uiPriority w:val="99"/>
    <w:rsid w:val="00F1008C"/>
    <w:rPr>
      <w:sz w:val="20"/>
      <w:szCs w:val="20"/>
    </w:rPr>
  </w:style>
  <w:style w:type="paragraph" w:styleId="CommentSubject">
    <w:name w:val="annotation subject"/>
    <w:basedOn w:val="CommentText"/>
    <w:next w:val="CommentText"/>
    <w:link w:val="CommentSubjectChar"/>
    <w:uiPriority w:val="99"/>
    <w:semiHidden/>
    <w:unhideWhenUsed/>
    <w:rsid w:val="00F1008C"/>
    <w:rPr>
      <w:b/>
      <w:bCs/>
    </w:rPr>
  </w:style>
  <w:style w:type="character" w:customStyle="1" w:styleId="CommentSubjectChar">
    <w:name w:val="Comment Subject Char"/>
    <w:basedOn w:val="CommentTextChar"/>
    <w:link w:val="CommentSubject"/>
    <w:uiPriority w:val="99"/>
    <w:semiHidden/>
    <w:rsid w:val="00F1008C"/>
    <w:rPr>
      <w:b/>
      <w:bCs/>
      <w:sz w:val="20"/>
      <w:szCs w:val="20"/>
    </w:rPr>
  </w:style>
  <w:style w:type="paragraph" w:styleId="NormalWeb">
    <w:name w:val="Normal (Web)"/>
    <w:basedOn w:val="Normal"/>
    <w:uiPriority w:val="99"/>
    <w:semiHidden/>
    <w:unhideWhenUsed/>
    <w:rsid w:val="00CE594C"/>
    <w:rPr>
      <w:rFonts w:ascii="Times New Roman" w:hAnsi="Times New Roman" w:cs="Times New Roman"/>
    </w:rPr>
  </w:style>
  <w:style w:type="paragraph" w:styleId="TOC1">
    <w:name w:val="toc 1"/>
    <w:basedOn w:val="Normal"/>
    <w:next w:val="Normal"/>
    <w:autoRedefine/>
    <w:uiPriority w:val="39"/>
    <w:unhideWhenUsed/>
    <w:rsid w:val="00171781"/>
    <w:pPr>
      <w:spacing w:after="100"/>
    </w:pPr>
  </w:style>
  <w:style w:type="paragraph" w:styleId="TOC2">
    <w:name w:val="toc 2"/>
    <w:basedOn w:val="Normal"/>
    <w:next w:val="Normal"/>
    <w:autoRedefine/>
    <w:uiPriority w:val="39"/>
    <w:unhideWhenUsed/>
    <w:rsid w:val="00171781"/>
    <w:pPr>
      <w:spacing w:after="100"/>
      <w:ind w:left="240"/>
    </w:pPr>
  </w:style>
  <w:style w:type="character" w:styleId="Hyperlink">
    <w:name w:val="Hyperlink"/>
    <w:basedOn w:val="DefaultParagraphFont"/>
    <w:uiPriority w:val="99"/>
    <w:unhideWhenUsed/>
    <w:rsid w:val="00171781"/>
    <w:rPr>
      <w:color w:val="0000FF" w:themeColor="hyperlink"/>
      <w:u w:val="single"/>
    </w:rPr>
  </w:style>
  <w:style w:type="paragraph" w:styleId="BalloonText">
    <w:name w:val="Balloon Text"/>
    <w:basedOn w:val="Normal"/>
    <w:link w:val="BalloonTextChar"/>
    <w:uiPriority w:val="99"/>
    <w:semiHidden/>
    <w:unhideWhenUsed/>
    <w:rsid w:val="003C054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054F"/>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29DD68-10BF-4DB3-B3F7-9C3721AE48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Pages>
  <Words>4155</Words>
  <Characters>23690</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Admin</cp:lastModifiedBy>
  <cp:revision>6</cp:revision>
  <dcterms:created xsi:type="dcterms:W3CDTF">2026-10-22T07:23:00Z</dcterms:created>
  <dcterms:modified xsi:type="dcterms:W3CDTF">2026-10-22T10:07:00Z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43871cfd224e44fc870b91761eb338890e1288b22a8f57570b8ca4c6f35ec5e1</vt:lpwstr>
  </property>
</Properties>
</file>