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94938" w14:textId="5913E090" w:rsidR="00FC3F38" w:rsidRPr="007A3965" w:rsidRDefault="00FC3F38" w:rsidP="00B57F7E">
      <w:pPr>
        <w:spacing w:line="240" w:lineRule="auto"/>
        <w:rPr>
          <w:b/>
          <w:bCs/>
          <w:u w:val="single"/>
        </w:rPr>
      </w:pPr>
      <w:r w:rsidRPr="004F4199">
        <w:rPr>
          <w:b/>
          <w:bCs/>
          <w:u w:val="single"/>
        </w:rPr>
        <w:t>How useful is the Bayeux Tapestry as a source for the events surrounding the Norman invasion of England?</w:t>
      </w:r>
    </w:p>
    <w:p w14:paraId="1C456704" w14:textId="61F3309C" w:rsidR="002968EE" w:rsidRDefault="005B2478" w:rsidP="002968EE">
      <w:pPr>
        <w:spacing w:line="240" w:lineRule="auto"/>
      </w:pPr>
      <w:r>
        <w:t>The first time the tapestry is mentioned in any historical record is in 1476, in a list of inventories for the treasury of the Bayeux Cathedral, described as a “long and narrow hanging, embroidered with images and writing depicting the conquest of England”.</w:t>
      </w:r>
      <w:r w:rsidRPr="005B2478">
        <w:t xml:space="preserve"> </w:t>
      </w:r>
      <w:r>
        <w:t>There is a myth that was popularised during the romantic period</w:t>
      </w:r>
      <w:r w:rsidR="00055A68">
        <w:t xml:space="preserve">, mostly by </w:t>
      </w:r>
      <w:r w:rsidR="00001160">
        <w:t xml:space="preserve">Father </w:t>
      </w:r>
      <w:r w:rsidR="00055A68">
        <w:t xml:space="preserve">Montfaucon </w:t>
      </w:r>
      <w:r w:rsidR="00001160">
        <w:t xml:space="preserve">(a Benedictine of Saint Maur) </w:t>
      </w:r>
      <w:r w:rsidR="00055A68">
        <w:t>and his belief that the tapestry must have been a contemporary piece due to the style of it,</w:t>
      </w:r>
      <w:r>
        <w:t xml:space="preserve"> that the tapestry was made by William the Conqueror’s queen, Matilda, </w:t>
      </w:r>
      <w:r w:rsidR="00055A68">
        <w:t xml:space="preserve">meant to go on William’s coronation and it is incomplete due to the Queen’s death in 1083, </w:t>
      </w:r>
      <w:r w:rsidR="00055A68">
        <w:rPr>
          <w:rStyle w:val="FootnoteReference"/>
        </w:rPr>
        <w:footnoteReference w:id="1"/>
      </w:r>
      <w:r w:rsidR="00055A68">
        <w:t xml:space="preserve"> </w:t>
      </w:r>
      <w:r>
        <w:t>earning it the nickname ‘</w:t>
      </w:r>
      <w:r w:rsidR="00191FC4">
        <w:t>The</w:t>
      </w:r>
      <w:r>
        <w:t xml:space="preserve"> Tapestry</w:t>
      </w:r>
      <w:r w:rsidR="00191FC4">
        <w:t xml:space="preserve"> of Queen Matilda’</w:t>
      </w:r>
      <w:r>
        <w:t>. There is, however, no</w:t>
      </w:r>
      <w:r w:rsidR="00055A68">
        <w:t xml:space="preserve"> physical</w:t>
      </w:r>
      <w:r>
        <w:t xml:space="preserve"> evidence at all that this was actually the case.</w:t>
      </w:r>
      <w:r w:rsidR="00B4693B">
        <w:t xml:space="preserve"> There is </w:t>
      </w:r>
      <w:r w:rsidR="002968EE">
        <w:t>no proof or documentation of the tapestry’s creation, like when exactly it was made or who made it or where precisely it originated from.</w:t>
      </w:r>
      <w:r>
        <w:t xml:space="preserve"> </w:t>
      </w:r>
      <w:r>
        <w:rPr>
          <w:rStyle w:val="FootnoteReference"/>
        </w:rPr>
        <w:footnoteReference w:id="2"/>
      </w:r>
      <w:r w:rsidR="007A3965">
        <w:t xml:space="preserve"> </w:t>
      </w:r>
      <w:r w:rsidR="00F40B78">
        <w:t>It is extremely likely that the tapestry originates from the eleventh century</w:t>
      </w:r>
      <w:r w:rsidR="00956D32">
        <w:t xml:space="preserve">, due to </w:t>
      </w:r>
      <w:r w:rsidR="001776EB">
        <w:t xml:space="preserve">the technical details and artistic style having been determined to be too authentic to the eleventh century </w:t>
      </w:r>
      <w:r w:rsidR="00282A4D">
        <w:t>for them to have been recreated at a later date. The tapestry is believed to almost definitely be from North Western Europe, showing signs of influence form both Normandy and from Anglo Saxon England.</w:t>
      </w:r>
      <w:r w:rsidR="00FA3BBF">
        <w:t xml:space="preserve"> The belief of the tapestry being from Bayeux, apart from it being mentioned in the Bayeux Cathedrals inventory of the treasury, is that Bayeux is one of two places in Normandy actually mentioned by name, the other being Mont Saint Michael.</w:t>
      </w:r>
      <w:r w:rsidR="00FA3BBF">
        <w:rPr>
          <w:rStyle w:val="FootnoteReference"/>
        </w:rPr>
        <w:footnoteReference w:id="3"/>
      </w:r>
      <w:r w:rsidR="007A3965">
        <w:t xml:space="preserve"> </w:t>
      </w:r>
      <w:r w:rsidR="002968EE">
        <w:t xml:space="preserve">It is clear that there have been alterations made to the tapestry over the years through its restoration, particularly the ending scene, where in the eighteenth and nineteenth centuries it was decided that the caption is a forgery and some of the writing is completely gone due to the </w:t>
      </w:r>
      <w:proofErr w:type="spellStart"/>
      <w:r w:rsidR="002968EE">
        <w:t>anti English</w:t>
      </w:r>
      <w:proofErr w:type="spellEnd"/>
      <w:r w:rsidR="002968EE">
        <w:t xml:space="preserve"> feelings in France around 1814. </w:t>
      </w:r>
      <w:r w:rsidR="002968EE">
        <w:rPr>
          <w:rStyle w:val="FootnoteReference"/>
        </w:rPr>
        <w:footnoteReference w:id="4"/>
      </w:r>
      <w:r w:rsidR="007A3965">
        <w:t xml:space="preserve"> All this to say, </w:t>
      </w:r>
      <w:r w:rsidR="00877D38">
        <w:t>there is clear inconsistencies as to the exact origins of the tapestry, meaning it can be challenging to take it at face value as a wholly accurate account of the events surrounding the Norman invasion of England.</w:t>
      </w:r>
    </w:p>
    <w:p w14:paraId="667ECEBF" w14:textId="72194672" w:rsidR="00877D38" w:rsidRDefault="00C82BB0" w:rsidP="002968EE">
      <w:pPr>
        <w:spacing w:line="240" w:lineRule="auto"/>
      </w:pPr>
      <w:r>
        <w:t>The tapestry contains over 58 separate scenes that chronicle the Norman invasion of England and includes 627 different characters.</w:t>
      </w:r>
      <w:r w:rsidR="006D7ABC">
        <w:t xml:space="preserve"> These characters have clear defining qualities about them to make them identifiable, like the English and the Normans having different hair, clothes and weapons, and the most important characters like William, Edward and Harold being labelled with their names, being taller than the other characters, and holding key objects like a crown or sceptre or animal</w:t>
      </w:r>
      <w:r>
        <w:t xml:space="preserve"> </w:t>
      </w:r>
      <w:r w:rsidR="006D7ABC">
        <w:t xml:space="preserve">to help identify them. These indications show that it was considered important to be able to clearly identify who was who, making the tapestry a useful source to understand what was considered </w:t>
      </w:r>
      <w:r w:rsidR="00D10A40">
        <w:t xml:space="preserve">a desirable representation of the events by the creator, presumably the Normans, but may indicate a certain degree of bias towards the representation of what truly happened and therefore not the most reliable source for the invasion of England. </w:t>
      </w:r>
      <w:r w:rsidR="00901ACA">
        <w:rPr>
          <w:rStyle w:val="FootnoteReference"/>
        </w:rPr>
        <w:footnoteReference w:id="5"/>
      </w:r>
    </w:p>
    <w:p w14:paraId="64DB7463" w14:textId="19621148" w:rsidR="00D10A40" w:rsidRDefault="00D10A40" w:rsidP="002968EE">
      <w:pPr>
        <w:spacing w:line="240" w:lineRule="auto"/>
      </w:pPr>
      <w:r>
        <w:lastRenderedPageBreak/>
        <w:t xml:space="preserve">Since the tapestry does utilise captions that identify particular individuals and places, it is useful to recognise which potential individuals could have been at which potential places and what events allegedly took place there, which can be particularly helpful in trying to cross reference the events with other contemporary sources to verify the information. </w:t>
      </w:r>
      <w:r>
        <w:rPr>
          <w:rStyle w:val="FootnoteReference"/>
        </w:rPr>
        <w:footnoteReference w:id="6"/>
      </w:r>
    </w:p>
    <w:p w14:paraId="303E854D" w14:textId="24BE0A0F" w:rsidR="00E3001F" w:rsidRDefault="00E3001F" w:rsidP="002968EE">
      <w:pPr>
        <w:spacing w:line="240" w:lineRule="auto"/>
      </w:pPr>
      <w:r>
        <w:t xml:space="preserve">It’s interesting to note that there doesn’t seem to be much dramatizing or romanticising of the events, the telling of them seem to stay down to earth and connected to the supposed real events, which lends credence to the tapestry being an accurate depiction of the invasion of England and therefore a useful source of information for that event. However, some details are indistinct. A huge example of this is the death scene of Harold, as due to the lack of distinguishing features in the characters makes it not possible to accurately and confidently identify which figure is Harold, so in cases like this, the tapestry cannot be used as a useful source on the events of the invasion of England due to </w:t>
      </w:r>
      <w:r w:rsidR="001C032E">
        <w:t>its ambiguity.</w:t>
      </w:r>
      <w:r>
        <w:t xml:space="preserve"> </w:t>
      </w:r>
      <w:r>
        <w:rPr>
          <w:rStyle w:val="FootnoteReference"/>
        </w:rPr>
        <w:footnoteReference w:id="7"/>
      </w:r>
    </w:p>
    <w:p w14:paraId="3790DDFB" w14:textId="351C9382" w:rsidR="00C70C93" w:rsidRDefault="00881DBF" w:rsidP="00B57F7E">
      <w:pPr>
        <w:spacing w:line="240" w:lineRule="auto"/>
      </w:pPr>
      <w:r>
        <w:t xml:space="preserve">According to Stephen White, the tapestry cannot be used as a reliable source of information on the Norman invasion of England due to its inability to tell a coherent tale of the events in a consecutive and individually understandable fashion. </w:t>
      </w:r>
      <w:r>
        <w:rPr>
          <w:rStyle w:val="FootnoteReference"/>
        </w:rPr>
        <w:footnoteReference w:id="8"/>
      </w:r>
    </w:p>
    <w:p w14:paraId="6F278C8B" w14:textId="1871EF19" w:rsidR="00C70C93" w:rsidRDefault="0063259B">
      <w:r>
        <w:t xml:space="preserve">Overall, the tapestry can be a useful source of information of the Norman invasion of England, however there is a risk of bias affecting the telling of the events, the representation of the narrative is unclear, and the uncertainty of the tapestry’s production leads to doubts about its usefulness. </w:t>
      </w:r>
    </w:p>
    <w:p w14:paraId="529280EE" w14:textId="77777777" w:rsidR="007A3965" w:rsidRDefault="007A3965"/>
    <w:p w14:paraId="2EA59AD3" w14:textId="77777777" w:rsidR="007A3965" w:rsidRDefault="007A3965"/>
    <w:p w14:paraId="5B0BE9C0" w14:textId="6554EE79" w:rsidR="007A3965" w:rsidRDefault="007A3965"/>
    <w:p w14:paraId="4463903A" w14:textId="47DF0A92" w:rsidR="007A3965" w:rsidRPr="007A3965" w:rsidRDefault="007A3965">
      <w:pPr>
        <w:rPr>
          <w:b/>
          <w:bCs/>
        </w:rPr>
      </w:pPr>
      <w:r w:rsidRPr="007A3965">
        <w:rPr>
          <w:b/>
          <w:bCs/>
        </w:rPr>
        <w:t>Bibliography</w:t>
      </w:r>
    </w:p>
    <w:p w14:paraId="25F03EE0" w14:textId="7426EB8F" w:rsidR="007A3965" w:rsidRDefault="007A3965" w:rsidP="007A3965">
      <w:proofErr w:type="spellStart"/>
      <w:r>
        <w:t>Gameson</w:t>
      </w:r>
      <w:proofErr w:type="spellEnd"/>
      <w:r>
        <w:t>, Richard</w:t>
      </w:r>
      <w:r>
        <w:t>,</w:t>
      </w:r>
      <w:r>
        <w:t xml:space="preserve"> </w:t>
      </w:r>
      <w:r w:rsidRPr="007A3965">
        <w:rPr>
          <w:i/>
          <w:iCs/>
        </w:rPr>
        <w:t>The Study of the Bayeux Tapestry</w:t>
      </w:r>
      <w:r>
        <w:t>, (Suffolk: Boydell Press, 1997)</w:t>
      </w:r>
    </w:p>
    <w:p w14:paraId="2BAFA382" w14:textId="61A7FD12" w:rsidR="007A3965" w:rsidRDefault="007A3965" w:rsidP="007A3965">
      <w:r>
        <w:t>Musset, Lucien</w:t>
      </w:r>
      <w:r>
        <w:t>,</w:t>
      </w:r>
      <w:r>
        <w:t xml:space="preserve"> </w:t>
      </w:r>
      <w:r w:rsidRPr="007A3965">
        <w:rPr>
          <w:i/>
          <w:iCs/>
        </w:rPr>
        <w:t>The Bayeux Tapestry</w:t>
      </w:r>
      <w:r>
        <w:t>, (Suffolk: Boydell Press, 2005)</w:t>
      </w:r>
    </w:p>
    <w:p w14:paraId="239D52B9" w14:textId="4198F7C0" w:rsidR="00901ACA" w:rsidRDefault="00901ACA" w:rsidP="007A3965">
      <w:r w:rsidRPr="00901ACA">
        <w:t>Lewis, Michael John</w:t>
      </w:r>
      <w:r>
        <w:t>,</w:t>
      </w:r>
      <w:r w:rsidRPr="00901ACA">
        <w:t xml:space="preserve"> </w:t>
      </w:r>
      <w:r w:rsidRPr="00901ACA">
        <w:rPr>
          <w:i/>
          <w:iCs/>
        </w:rPr>
        <w:t>Identity And Status In The Bayeux Tapestry: The Iconographic And Artefactual Evidence</w:t>
      </w:r>
      <w:r w:rsidRPr="00901ACA">
        <w:t>, &lt; https://d1wqtxts1xzle7.cloudfront.net/36182469/Lewis_Anglo-Norman_Studies-libre.pdf?1420646558=&amp;response-content-disposition=inline%3B+filename%3DIdentity_and_Status_in_the_Bayeux_Tapest.pdf&amp;Expires=1742948844&amp;Signature=GZ4QwzjU8vMiGeG9ZGRR6AxLLF-Y4sr58myvx-Pkne3YSVlZzSQ47LZoT9VDsPZALBoq7rvCOl7GAAs9eeqsdNXXvVZO62gb9akKZza6oPSCjV-NuVKUgdgQo1Hu3TEhuM5dr5oN8duDgAcrjj7guUgvSCYerVjdGdWsYQYqMFajw794yJ6l-YxczFKNZTEaa-FgA9MbqyKrWngJ-wQiDRWV4R5lm-9Qj-2YyzPcixN5eYCubV1mBtrYyGv93nQG~iEenD2VJmx-LtIKZguRX-hkdBCyjTSys9FJGo2j3lZSE1xVy--uFAHFnQmuGVQca-Ykpnt-YPxKgx7RXr9BtQ__&amp;Key-Pair-Id=APKAJLOHF5GGSLRBV4ZA&gt; [Accessed 25 March 2025]</w:t>
      </w:r>
    </w:p>
    <w:sectPr w:rsidR="00901A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641B0" w14:textId="77777777" w:rsidR="00C3192F" w:rsidRDefault="00C3192F" w:rsidP="005B2478">
      <w:pPr>
        <w:spacing w:after="0" w:line="240" w:lineRule="auto"/>
      </w:pPr>
      <w:r>
        <w:separator/>
      </w:r>
    </w:p>
  </w:endnote>
  <w:endnote w:type="continuationSeparator" w:id="0">
    <w:p w14:paraId="5FDF7DF4" w14:textId="77777777" w:rsidR="00C3192F" w:rsidRDefault="00C3192F" w:rsidP="005B2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9B3E8" w14:textId="77777777" w:rsidR="00C3192F" w:rsidRDefault="00C3192F" w:rsidP="005B2478">
      <w:pPr>
        <w:spacing w:after="0" w:line="240" w:lineRule="auto"/>
      </w:pPr>
      <w:r>
        <w:separator/>
      </w:r>
    </w:p>
  </w:footnote>
  <w:footnote w:type="continuationSeparator" w:id="0">
    <w:p w14:paraId="7A0F1C59" w14:textId="77777777" w:rsidR="00C3192F" w:rsidRDefault="00C3192F" w:rsidP="005B2478">
      <w:pPr>
        <w:spacing w:after="0" w:line="240" w:lineRule="auto"/>
      </w:pPr>
      <w:r>
        <w:continuationSeparator/>
      </w:r>
    </w:p>
  </w:footnote>
  <w:footnote w:id="1">
    <w:p w14:paraId="75C05048" w14:textId="1E23A8EA" w:rsidR="00055A68" w:rsidRDefault="00055A68">
      <w:pPr>
        <w:pStyle w:val="FootnoteText"/>
      </w:pPr>
      <w:r>
        <w:rPr>
          <w:rStyle w:val="FootnoteReference"/>
        </w:rPr>
        <w:footnoteRef/>
      </w:r>
      <w:r>
        <w:t xml:space="preserve"> </w:t>
      </w:r>
      <w:r w:rsidRPr="00055A68">
        <w:t xml:space="preserve">Richard </w:t>
      </w:r>
      <w:proofErr w:type="spellStart"/>
      <w:r w:rsidRPr="00055A68">
        <w:t>Gameson</w:t>
      </w:r>
      <w:proofErr w:type="spellEnd"/>
      <w:r>
        <w:t xml:space="preserve">, </w:t>
      </w:r>
      <w:r w:rsidRPr="00055A68">
        <w:rPr>
          <w:i/>
          <w:iCs/>
        </w:rPr>
        <w:t>The Study of the Bayeux Tapestry</w:t>
      </w:r>
      <w:r>
        <w:rPr>
          <w:i/>
          <w:iCs/>
        </w:rPr>
        <w:t>,</w:t>
      </w:r>
      <w:r>
        <w:t xml:space="preserve"> (</w:t>
      </w:r>
      <w:r w:rsidR="007A3965">
        <w:t xml:space="preserve">Suffolk: </w:t>
      </w:r>
      <w:r w:rsidR="007A3965" w:rsidRPr="007A3965">
        <w:t xml:space="preserve">Boydell </w:t>
      </w:r>
      <w:r w:rsidR="007A3965">
        <w:t>Press</w:t>
      </w:r>
      <w:r w:rsidR="007A3965" w:rsidRPr="007A3965">
        <w:t>, 1997</w:t>
      </w:r>
      <w:r w:rsidR="007A3965">
        <w:t>) pp. 8</w:t>
      </w:r>
    </w:p>
  </w:footnote>
  <w:footnote w:id="2">
    <w:p w14:paraId="13EA12FF" w14:textId="50103730" w:rsidR="005B2478" w:rsidRDefault="005B2478">
      <w:pPr>
        <w:pStyle w:val="FootnoteText"/>
      </w:pPr>
      <w:r>
        <w:rPr>
          <w:rStyle w:val="FootnoteReference"/>
        </w:rPr>
        <w:footnoteRef/>
      </w:r>
      <w:r>
        <w:t xml:space="preserve"> </w:t>
      </w:r>
      <w:r w:rsidRPr="005B2478">
        <w:t>Lucien Musset</w:t>
      </w:r>
      <w:r>
        <w:t xml:space="preserve">, </w:t>
      </w:r>
      <w:r w:rsidRPr="005B2478">
        <w:rPr>
          <w:i/>
          <w:iCs/>
        </w:rPr>
        <w:t>The Bayeux Tapestry</w:t>
      </w:r>
      <w:r>
        <w:t xml:space="preserve">, (Suffolk: </w:t>
      </w:r>
      <w:r w:rsidRPr="005B2478">
        <w:t>Boydell Press, 2005</w:t>
      </w:r>
      <w:r>
        <w:t>)</w:t>
      </w:r>
      <w:r w:rsidR="00BB124D">
        <w:t xml:space="preserve"> pp. 14-15</w:t>
      </w:r>
    </w:p>
  </w:footnote>
  <w:footnote w:id="3">
    <w:p w14:paraId="7AE29426" w14:textId="00B445AB" w:rsidR="00FA3BBF" w:rsidRDefault="00FA3BBF">
      <w:pPr>
        <w:pStyle w:val="FootnoteText"/>
      </w:pPr>
      <w:r>
        <w:rPr>
          <w:rStyle w:val="FootnoteReference"/>
        </w:rPr>
        <w:footnoteRef/>
      </w:r>
      <w:r>
        <w:t xml:space="preserve"> </w:t>
      </w:r>
      <w:r w:rsidRPr="005B2478">
        <w:t>Lucien Musset</w:t>
      </w:r>
      <w:r>
        <w:t xml:space="preserve">, </w:t>
      </w:r>
      <w:r w:rsidRPr="005B2478">
        <w:rPr>
          <w:i/>
          <w:iCs/>
        </w:rPr>
        <w:t>The Bayeux Tapestry</w:t>
      </w:r>
      <w:r>
        <w:t xml:space="preserve">, (Suffolk: </w:t>
      </w:r>
      <w:r w:rsidRPr="005B2478">
        <w:t>Boydell Press, 2005</w:t>
      </w:r>
      <w:r>
        <w:t>) pp. 16</w:t>
      </w:r>
    </w:p>
  </w:footnote>
  <w:footnote w:id="4">
    <w:p w14:paraId="0817D1D3" w14:textId="0BE3943B" w:rsidR="002968EE" w:rsidRDefault="002968EE">
      <w:pPr>
        <w:pStyle w:val="FootnoteText"/>
      </w:pPr>
      <w:r>
        <w:rPr>
          <w:rStyle w:val="FootnoteReference"/>
        </w:rPr>
        <w:footnoteRef/>
      </w:r>
      <w:r>
        <w:t xml:space="preserve"> </w:t>
      </w:r>
      <w:r w:rsidR="00E37DC6">
        <w:t>Ibid, pp. 16</w:t>
      </w:r>
    </w:p>
  </w:footnote>
  <w:footnote w:id="5">
    <w:p w14:paraId="521887E1" w14:textId="65AD0C20" w:rsidR="00901ACA" w:rsidRDefault="00901ACA" w:rsidP="00901ACA">
      <w:pPr>
        <w:pStyle w:val="FootnoteText"/>
      </w:pPr>
      <w:r>
        <w:rPr>
          <w:rStyle w:val="FootnoteReference"/>
        </w:rPr>
        <w:footnoteRef/>
      </w:r>
      <w:r>
        <w:t xml:space="preserve"> </w:t>
      </w:r>
      <w:r w:rsidRPr="00901ACA">
        <w:t>Michael John Lewis</w:t>
      </w:r>
      <w:r>
        <w:t xml:space="preserve">, </w:t>
      </w:r>
      <w:r w:rsidRPr="00901ACA">
        <w:rPr>
          <w:i/>
          <w:iCs/>
        </w:rPr>
        <w:t>Identity And Status In The Bayeux Tapestry: The Iconographic And Artefactual Evidence,</w:t>
      </w:r>
      <w:r>
        <w:t xml:space="preserve"> &lt;</w:t>
      </w:r>
      <w:r w:rsidRPr="00901ACA">
        <w:t xml:space="preserve"> </w:t>
      </w:r>
      <w:r w:rsidRPr="00901ACA">
        <w:t>https://d1wqtxts1xzle7.cloudfront.net/36182469/Lewis_Anglo-Norman_Studies-libre.pdf?1420646558=&amp;response-content-disposition=inline%3B+filename%3DIdentity_and_Status_in_the_Bayeux_Tapest.pdf&amp;Expires=1742948844&amp;Signature=GZ4QwzjU8vMiGeG9ZGRR6AxLLF-Y4sr58myvx-Pkne3YSVlZzSQ47LZoT9VDsPZALBoq7rvCOl7GAAs9eeqsdNXXvVZO62gb9akKZza6oPSCjV-NuVKUgdgQo1Hu3TEhuM5dr5oN8duDgAcrjj7guUgvSCYerVjdGdWsYQYqMFajw794yJ6l-YxczFKNZTEaa-FgA9MbqyKrWngJ-wQiDRWV4R5lm-9Qj-2YyzPcixN5eYCubV1mBtrYyGv93nQG~iEenD2VJmx-LtIKZguRX-hkdBCyjTSys9FJGo2j3lZSE1xVy--uFAHFnQmuGVQca-Ykpnt-YPxKgx7RXr9BtQ__&amp;Key-Pair-Id=APKAJLOHF5GGSLRBV4ZA</w:t>
      </w:r>
      <w:r>
        <w:t>&gt; [Accessed 25 March 2025]</w:t>
      </w:r>
    </w:p>
  </w:footnote>
  <w:footnote w:id="6">
    <w:p w14:paraId="0B2953D2" w14:textId="4B5D3B72" w:rsidR="00E3001F" w:rsidRDefault="00D10A40">
      <w:pPr>
        <w:pStyle w:val="FootnoteText"/>
      </w:pPr>
      <w:r>
        <w:rPr>
          <w:rStyle w:val="FootnoteReference"/>
        </w:rPr>
        <w:footnoteRef/>
      </w:r>
      <w:r>
        <w:t xml:space="preserve"> </w:t>
      </w:r>
      <w:r w:rsidRPr="005B2478">
        <w:t>Lucien Musset</w:t>
      </w:r>
      <w:r>
        <w:t xml:space="preserve">, </w:t>
      </w:r>
      <w:r w:rsidRPr="005B2478">
        <w:rPr>
          <w:i/>
          <w:iCs/>
        </w:rPr>
        <w:t>The Bayeux Tapestry</w:t>
      </w:r>
      <w:r>
        <w:t xml:space="preserve">, (Suffolk: </w:t>
      </w:r>
      <w:r w:rsidRPr="005B2478">
        <w:t>Boydell Press, 2005</w:t>
      </w:r>
      <w:r>
        <w:t xml:space="preserve">) pp. </w:t>
      </w:r>
      <w:r>
        <w:t>34</w:t>
      </w:r>
    </w:p>
  </w:footnote>
  <w:footnote w:id="7">
    <w:p w14:paraId="13B41BD4" w14:textId="3AD9933E" w:rsidR="00E3001F" w:rsidRDefault="00E3001F">
      <w:pPr>
        <w:pStyle w:val="FootnoteText"/>
      </w:pPr>
      <w:r>
        <w:rPr>
          <w:rStyle w:val="FootnoteReference"/>
        </w:rPr>
        <w:footnoteRef/>
      </w:r>
      <w:r>
        <w:t xml:space="preserve"> </w:t>
      </w:r>
      <w:r w:rsidRPr="005B2478">
        <w:t>Lucien Musset</w:t>
      </w:r>
      <w:r>
        <w:t xml:space="preserve">, </w:t>
      </w:r>
      <w:r w:rsidRPr="005B2478">
        <w:rPr>
          <w:i/>
          <w:iCs/>
        </w:rPr>
        <w:t>The Bayeux Tapestry</w:t>
      </w:r>
      <w:r>
        <w:t xml:space="preserve">, (Suffolk: </w:t>
      </w:r>
      <w:r w:rsidRPr="005B2478">
        <w:t>Boydell Press, 2005</w:t>
      </w:r>
      <w:r>
        <w:t>) pp. 39</w:t>
      </w:r>
      <w:r w:rsidR="001C032E">
        <w:t>-41</w:t>
      </w:r>
    </w:p>
  </w:footnote>
  <w:footnote w:id="8">
    <w:p w14:paraId="2453BC5E" w14:textId="7787D41F" w:rsidR="00881DBF" w:rsidRDefault="00881DBF">
      <w:pPr>
        <w:pStyle w:val="FootnoteText"/>
      </w:pPr>
      <w:r>
        <w:rPr>
          <w:rStyle w:val="FootnoteReference"/>
        </w:rPr>
        <w:footnoteRef/>
      </w:r>
      <w:r>
        <w:t xml:space="preserve"> </w:t>
      </w:r>
      <w:r w:rsidRPr="00881DBF">
        <w:t>Stephen D. White</w:t>
      </w:r>
      <w:r>
        <w:t>, ‘</w:t>
      </w:r>
      <w:r w:rsidRPr="00881DBF">
        <w:t>Is The Bayeux Tapestry a Record of Events?</w:t>
      </w:r>
      <w:r>
        <w:t>’</w:t>
      </w:r>
      <w:r w:rsidRPr="00881DBF">
        <w:t>,</w:t>
      </w:r>
      <w:r>
        <w:t xml:space="preserve"> in </w:t>
      </w:r>
      <w:r w:rsidRPr="00881DBF">
        <w:t>The Bayeux Tapestry and Its Contexts: A Reassessment</w:t>
      </w:r>
      <w:r>
        <w:t xml:space="preserve">, ed. by </w:t>
      </w:r>
      <w:r w:rsidR="0063259B" w:rsidRPr="0063259B">
        <w:t xml:space="preserve">Elizabeth Carson </w:t>
      </w:r>
      <w:proofErr w:type="spellStart"/>
      <w:r w:rsidR="0063259B" w:rsidRPr="0063259B">
        <w:t>Pastan</w:t>
      </w:r>
      <w:proofErr w:type="spellEnd"/>
      <w:r w:rsidR="0063259B" w:rsidRPr="0063259B">
        <w:t>, Stephen D. White</w:t>
      </w:r>
      <w:r w:rsidR="0063259B">
        <w:t xml:space="preserve"> and</w:t>
      </w:r>
      <w:r w:rsidR="0063259B" w:rsidRPr="0063259B">
        <w:t xml:space="preserve"> Kate Gilbert</w:t>
      </w:r>
      <w:r w:rsidR="0063259B">
        <w:t xml:space="preserve"> (</w:t>
      </w:r>
      <w:r w:rsidR="0063259B">
        <w:t xml:space="preserve">Suffolk: </w:t>
      </w:r>
      <w:r w:rsidR="0063259B" w:rsidRPr="005B2478">
        <w:t>Boydell Press, 20</w:t>
      </w:r>
      <w:r w:rsidR="0063259B">
        <w:t>14</w:t>
      </w:r>
      <w:r w:rsidR="0063259B">
        <w:t>)</w:t>
      </w:r>
      <w:r w:rsidR="0063259B">
        <w:t xml:space="preserve"> pp. 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27E7B"/>
    <w:multiLevelType w:val="hybridMultilevel"/>
    <w:tmpl w:val="B5B8E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B164A2"/>
    <w:multiLevelType w:val="hybridMultilevel"/>
    <w:tmpl w:val="E868A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7693106">
    <w:abstractNumId w:val="0"/>
  </w:num>
  <w:num w:numId="2" w16cid:durableId="1393505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0D5"/>
    <w:rsid w:val="00001160"/>
    <w:rsid w:val="00045399"/>
    <w:rsid w:val="00055A68"/>
    <w:rsid w:val="00123159"/>
    <w:rsid w:val="00145F69"/>
    <w:rsid w:val="001776EB"/>
    <w:rsid w:val="00191FC4"/>
    <w:rsid w:val="001C032E"/>
    <w:rsid w:val="00282A4D"/>
    <w:rsid w:val="002968EE"/>
    <w:rsid w:val="002C447E"/>
    <w:rsid w:val="003E3207"/>
    <w:rsid w:val="003E4789"/>
    <w:rsid w:val="004F4199"/>
    <w:rsid w:val="005B2478"/>
    <w:rsid w:val="0063259B"/>
    <w:rsid w:val="006A710D"/>
    <w:rsid w:val="006D7ABC"/>
    <w:rsid w:val="007A3965"/>
    <w:rsid w:val="007C107C"/>
    <w:rsid w:val="007D1297"/>
    <w:rsid w:val="00877D38"/>
    <w:rsid w:val="00881DBF"/>
    <w:rsid w:val="008C2176"/>
    <w:rsid w:val="00901ACA"/>
    <w:rsid w:val="00956D32"/>
    <w:rsid w:val="00A213DE"/>
    <w:rsid w:val="00A6190E"/>
    <w:rsid w:val="00B4693B"/>
    <w:rsid w:val="00B57F7E"/>
    <w:rsid w:val="00BA32CC"/>
    <w:rsid w:val="00BB124D"/>
    <w:rsid w:val="00C3192F"/>
    <w:rsid w:val="00C70C93"/>
    <w:rsid w:val="00C82BB0"/>
    <w:rsid w:val="00D10A40"/>
    <w:rsid w:val="00D220D5"/>
    <w:rsid w:val="00E3001F"/>
    <w:rsid w:val="00E37DC6"/>
    <w:rsid w:val="00F40B78"/>
    <w:rsid w:val="00FA3BBF"/>
    <w:rsid w:val="00FC3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13038"/>
  <w15:chartTrackingRefBased/>
  <w15:docId w15:val="{B04B7FBC-99A8-4F42-8393-21D0038CD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0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20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20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0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0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0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0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0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0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0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20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20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0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0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0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0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0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0D5"/>
    <w:rPr>
      <w:rFonts w:eastAsiaTheme="majorEastAsia" w:cstheme="majorBidi"/>
      <w:color w:val="272727" w:themeColor="text1" w:themeTint="D8"/>
    </w:rPr>
  </w:style>
  <w:style w:type="paragraph" w:styleId="Title">
    <w:name w:val="Title"/>
    <w:basedOn w:val="Normal"/>
    <w:next w:val="Normal"/>
    <w:link w:val="TitleChar"/>
    <w:uiPriority w:val="10"/>
    <w:qFormat/>
    <w:rsid w:val="00D220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0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0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0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0D5"/>
    <w:pPr>
      <w:spacing w:before="160"/>
      <w:jc w:val="center"/>
    </w:pPr>
    <w:rPr>
      <w:i/>
      <w:iCs/>
      <w:color w:val="404040" w:themeColor="text1" w:themeTint="BF"/>
    </w:rPr>
  </w:style>
  <w:style w:type="character" w:customStyle="1" w:styleId="QuoteChar">
    <w:name w:val="Quote Char"/>
    <w:basedOn w:val="DefaultParagraphFont"/>
    <w:link w:val="Quote"/>
    <w:uiPriority w:val="29"/>
    <w:rsid w:val="00D220D5"/>
    <w:rPr>
      <w:i/>
      <w:iCs/>
      <w:color w:val="404040" w:themeColor="text1" w:themeTint="BF"/>
    </w:rPr>
  </w:style>
  <w:style w:type="paragraph" w:styleId="ListParagraph">
    <w:name w:val="List Paragraph"/>
    <w:basedOn w:val="Normal"/>
    <w:uiPriority w:val="34"/>
    <w:qFormat/>
    <w:rsid w:val="00D220D5"/>
    <w:pPr>
      <w:ind w:left="720"/>
      <w:contextualSpacing/>
    </w:pPr>
  </w:style>
  <w:style w:type="character" w:styleId="IntenseEmphasis">
    <w:name w:val="Intense Emphasis"/>
    <w:basedOn w:val="DefaultParagraphFont"/>
    <w:uiPriority w:val="21"/>
    <w:qFormat/>
    <w:rsid w:val="00D220D5"/>
    <w:rPr>
      <w:i/>
      <w:iCs/>
      <w:color w:val="0F4761" w:themeColor="accent1" w:themeShade="BF"/>
    </w:rPr>
  </w:style>
  <w:style w:type="paragraph" w:styleId="IntenseQuote">
    <w:name w:val="Intense Quote"/>
    <w:basedOn w:val="Normal"/>
    <w:next w:val="Normal"/>
    <w:link w:val="IntenseQuoteChar"/>
    <w:uiPriority w:val="30"/>
    <w:qFormat/>
    <w:rsid w:val="00D220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0D5"/>
    <w:rPr>
      <w:i/>
      <w:iCs/>
      <w:color w:val="0F4761" w:themeColor="accent1" w:themeShade="BF"/>
    </w:rPr>
  </w:style>
  <w:style w:type="character" w:styleId="IntenseReference">
    <w:name w:val="Intense Reference"/>
    <w:basedOn w:val="DefaultParagraphFont"/>
    <w:uiPriority w:val="32"/>
    <w:qFormat/>
    <w:rsid w:val="00D220D5"/>
    <w:rPr>
      <w:b/>
      <w:bCs/>
      <w:smallCaps/>
      <w:color w:val="0F4761" w:themeColor="accent1" w:themeShade="BF"/>
      <w:spacing w:val="5"/>
    </w:rPr>
  </w:style>
  <w:style w:type="paragraph" w:styleId="FootnoteText">
    <w:name w:val="footnote text"/>
    <w:basedOn w:val="Normal"/>
    <w:link w:val="FootnoteTextChar"/>
    <w:uiPriority w:val="99"/>
    <w:semiHidden/>
    <w:unhideWhenUsed/>
    <w:rsid w:val="005B24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2478"/>
    <w:rPr>
      <w:sz w:val="20"/>
      <w:szCs w:val="20"/>
    </w:rPr>
  </w:style>
  <w:style w:type="character" w:styleId="FootnoteReference">
    <w:name w:val="footnote reference"/>
    <w:basedOn w:val="DefaultParagraphFont"/>
    <w:uiPriority w:val="99"/>
    <w:semiHidden/>
    <w:unhideWhenUsed/>
    <w:rsid w:val="005B2478"/>
    <w:rPr>
      <w:vertAlign w:val="superscript"/>
    </w:rPr>
  </w:style>
  <w:style w:type="character" w:styleId="Hyperlink">
    <w:name w:val="Hyperlink"/>
    <w:basedOn w:val="DefaultParagraphFont"/>
    <w:uiPriority w:val="99"/>
    <w:unhideWhenUsed/>
    <w:rsid w:val="00901ACA"/>
    <w:rPr>
      <w:color w:val="467886" w:themeColor="hyperlink"/>
      <w:u w:val="single"/>
    </w:rPr>
  </w:style>
  <w:style w:type="character" w:styleId="UnresolvedMention">
    <w:name w:val="Unresolved Mention"/>
    <w:basedOn w:val="DefaultParagraphFont"/>
    <w:uiPriority w:val="99"/>
    <w:semiHidden/>
    <w:unhideWhenUsed/>
    <w:rsid w:val="00901A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DF76C-2DED-424B-8949-70CFF66FB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2259</TotalTime>
  <Pages>2</Pages>
  <Words>849</Words>
  <Characters>4841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Emmett Leitch (2305899)</dc:creator>
  <cp:keywords/>
  <dc:description/>
  <cp:lastModifiedBy>Emmett Leitch (2305899)</cp:lastModifiedBy>
  <cp:revision>6</cp:revision>
  <dcterms:created xsi:type="dcterms:W3CDTF">2025-03-24T10:26:00Z</dcterms:created>
  <dcterms:modified xsi:type="dcterms:W3CDTF">2025-03-26T01:22:00Z</dcterms:modified>
</cp:coreProperties>
</file>