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D47A69"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652BFD3B"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2224F5">
        <w:rPr>
          <w:rFonts w:ascii="Arial" w:hAnsi="Arial" w:cs="Arial"/>
          <w:sz w:val="28"/>
          <w:szCs w:val="28"/>
          <w:lang w:val="nl-NL"/>
        </w:rPr>
        <w:t xml:space="preserve">Introduction to Health and Social care </w:t>
      </w:r>
    </w:p>
    <w:p w14:paraId="537571AF" w14:textId="1E0A3913"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2224F5">
        <w:rPr>
          <w:rFonts w:ascii="Arial" w:hAnsi="Arial" w:cs="Arial"/>
          <w:sz w:val="28"/>
          <w:szCs w:val="28"/>
        </w:rPr>
        <w:t xml:space="preserve"> LCHS4003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5DA96585"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2224F5">
        <w:rPr>
          <w:rFonts w:ascii="Arial" w:hAnsi="Arial" w:cs="Arial"/>
          <w:sz w:val="28"/>
          <w:szCs w:val="28"/>
          <w:lang w:val="nl-NL"/>
        </w:rPr>
        <w:t xml:space="preserve"> Tosin Awodesu</w:t>
      </w:r>
    </w:p>
    <w:p w14:paraId="39AA4413" w14:textId="2F2BFA3D"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2224F5">
        <w:rPr>
          <w:rFonts w:ascii="Arial" w:hAnsi="Arial" w:cs="Arial"/>
          <w:sz w:val="28"/>
          <w:szCs w:val="28"/>
          <w:lang w:val="nl-NL"/>
        </w:rPr>
        <w:t xml:space="preserve"> 2442948</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003D22A4"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2224F5">
        <w:rPr>
          <w:rFonts w:ascii="Arial" w:hAnsi="Arial" w:cs="Arial"/>
          <w:sz w:val="28"/>
          <w:szCs w:val="28"/>
        </w:rPr>
        <w:t xml:space="preserve"> Sam Parker</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5E12E5">
      <w:pPr>
        <w:pStyle w:val="Heading1"/>
        <w:rPr>
          <w:color w:val="171717" w:themeColor="background2" w:themeShade="1A"/>
        </w:rPr>
      </w:pPr>
      <w:r w:rsidRPr="00CD33A8">
        <w:rPr>
          <w:color w:val="171717" w:themeColor="background2" w:themeShade="1A"/>
        </w:rPr>
        <w:lastRenderedPageBreak/>
        <w:t>Table of contents</w:t>
      </w:r>
    </w:p>
    <w:p w14:paraId="5B639DD8" w14:textId="0ED268A5" w:rsidR="002224F5" w:rsidRDefault="002224F5" w:rsidP="005E12E5">
      <w:pPr>
        <w:pStyle w:val="Heading1"/>
        <w:rPr>
          <w:color w:val="171717" w:themeColor="background2" w:themeShade="1A"/>
        </w:rPr>
      </w:pPr>
    </w:p>
    <w:p w14:paraId="7F585B50" w14:textId="021DDD9A" w:rsidR="002224F5" w:rsidRPr="00047957" w:rsidRDefault="002224F5" w:rsidP="005E12E5">
      <w:pPr>
        <w:pStyle w:val="Heading1"/>
        <w:rPr>
          <w:color w:val="171717" w:themeColor="background2" w:themeShade="1A"/>
        </w:rPr>
      </w:pPr>
      <w:hyperlink w:anchor="Page3" w:history="1">
        <w:r w:rsidRPr="00047957">
          <w:rPr>
            <w:rStyle w:val="Hyperlink"/>
            <w:color w:val="171717" w:themeColor="background2" w:themeShade="1A"/>
            <w:u w:val="none"/>
            <w14:textFill>
              <w14:solidFill>
                <w14:schemeClr w14:val="bg2">
                  <w14:lumMod w14:val="10000"/>
                  <w14:lumMod w14:val="10000"/>
                </w14:schemeClr>
              </w14:solidFill>
            </w14:textFill>
          </w:rPr>
          <w:t>Introduction</w:t>
        </w:r>
        <w:r w:rsidR="001C5324" w:rsidRPr="00047957">
          <w:rPr>
            <w:rStyle w:val="Hyperlink"/>
            <w:color w:val="171717" w:themeColor="background2" w:themeShade="1A"/>
            <w:u w:val="none"/>
            <w14:textFill>
              <w14:solidFill>
                <w14:schemeClr w14:val="bg2">
                  <w14:lumMod w14:val="10000"/>
                  <w14:lumMod w14:val="10000"/>
                </w14:schemeClr>
              </w14:solidFill>
            </w14:textFill>
          </w:rPr>
          <w:t>……………………………………………….</w:t>
        </w:r>
        <w:r w:rsidR="00047957" w:rsidRPr="00047957">
          <w:rPr>
            <w:rStyle w:val="Hyperlink"/>
            <w:color w:val="171717" w:themeColor="background2" w:themeShade="1A"/>
            <w:u w:val="none"/>
            <w14:textFill>
              <w14:solidFill>
                <w14:schemeClr w14:val="bg2">
                  <w14:lumMod w14:val="10000"/>
                  <w14:lumMod w14:val="10000"/>
                </w14:schemeClr>
              </w14:solidFill>
            </w14:textFill>
          </w:rPr>
          <w:t>3</w:t>
        </w:r>
      </w:hyperlink>
    </w:p>
    <w:p w14:paraId="0514D057" w14:textId="092BC131" w:rsidR="002224F5" w:rsidRPr="00047957" w:rsidRDefault="002224F5" w:rsidP="005E12E5">
      <w:pPr>
        <w:pStyle w:val="Heading1"/>
        <w:rPr>
          <w:color w:val="171717" w:themeColor="background2" w:themeShade="1A"/>
        </w:rPr>
      </w:pPr>
      <w:hyperlink w:anchor="Page31" w:history="1">
        <w:r w:rsidRPr="00047957">
          <w:rPr>
            <w:rStyle w:val="Hyperlink"/>
            <w:color w:val="171717" w:themeColor="background2" w:themeShade="1A"/>
            <w:u w:val="none"/>
            <w14:textFill>
              <w14:solidFill>
                <w14:schemeClr w14:val="bg2">
                  <w14:lumMod w14:val="10000"/>
                  <w14:lumMod w14:val="10000"/>
                </w14:schemeClr>
              </w14:solidFill>
            </w14:textFill>
          </w:rPr>
          <w:t>Importance of effective communication</w:t>
        </w:r>
        <w:r w:rsidR="001C5324" w:rsidRPr="00047957">
          <w:rPr>
            <w:rStyle w:val="Hyperlink"/>
            <w:color w:val="171717" w:themeColor="background2" w:themeShade="1A"/>
            <w:u w:val="none"/>
            <w14:textFill>
              <w14:solidFill>
                <w14:schemeClr w14:val="bg2">
                  <w14:lumMod w14:val="10000"/>
                  <w14:lumMod w14:val="10000"/>
                </w14:schemeClr>
              </w14:solidFill>
            </w14:textFill>
          </w:rPr>
          <w:t>……………..</w:t>
        </w:r>
        <w:r w:rsidR="00047957" w:rsidRPr="00047957">
          <w:rPr>
            <w:rStyle w:val="Hyperlink"/>
            <w:color w:val="171717" w:themeColor="background2" w:themeShade="1A"/>
            <w:u w:val="none"/>
            <w14:textFill>
              <w14:solidFill>
                <w14:schemeClr w14:val="bg2">
                  <w14:lumMod w14:val="10000"/>
                  <w14:lumMod w14:val="10000"/>
                </w14:schemeClr>
              </w14:solidFill>
            </w14:textFill>
          </w:rPr>
          <w:t>3</w:t>
        </w:r>
      </w:hyperlink>
    </w:p>
    <w:p w14:paraId="0A3408A5" w14:textId="68DDC2B2" w:rsidR="002224F5" w:rsidRPr="00047957" w:rsidRDefault="002224F5" w:rsidP="005E12E5">
      <w:pPr>
        <w:pStyle w:val="Heading1"/>
        <w:rPr>
          <w:color w:val="171717" w:themeColor="background2" w:themeShade="1A"/>
        </w:rPr>
      </w:pPr>
      <w:hyperlink w:anchor="Page5" w:history="1">
        <w:r w:rsidRPr="00047957">
          <w:rPr>
            <w:rStyle w:val="Hyperlink"/>
            <w:color w:val="171717" w:themeColor="background2" w:themeShade="1A"/>
            <w:u w:val="none"/>
            <w14:textFill>
              <w14:solidFill>
                <w14:schemeClr w14:val="bg2">
                  <w14:lumMod w14:val="10000"/>
                  <w14:lumMod w14:val="10000"/>
                </w14:schemeClr>
              </w14:solidFill>
            </w14:textFill>
          </w:rPr>
          <w:t xml:space="preserve">Importance of good administrative skills </w:t>
        </w:r>
        <w:r w:rsidR="001C5324" w:rsidRPr="00047957">
          <w:rPr>
            <w:rStyle w:val="Hyperlink"/>
            <w:color w:val="171717" w:themeColor="background2" w:themeShade="1A"/>
            <w:u w:val="none"/>
            <w14:textFill>
              <w14:solidFill>
                <w14:schemeClr w14:val="bg2">
                  <w14:lumMod w14:val="10000"/>
                  <w14:lumMod w14:val="10000"/>
                </w14:schemeClr>
              </w14:solidFill>
            </w14:textFill>
          </w:rPr>
          <w:t>…………..</w:t>
        </w:r>
        <w:r w:rsidR="00047957" w:rsidRPr="00047957">
          <w:rPr>
            <w:rStyle w:val="Hyperlink"/>
            <w:color w:val="171717" w:themeColor="background2" w:themeShade="1A"/>
            <w:u w:val="none"/>
            <w14:textFill>
              <w14:solidFill>
                <w14:schemeClr w14:val="bg2">
                  <w14:lumMod w14:val="10000"/>
                  <w14:lumMod w14:val="10000"/>
                </w14:schemeClr>
              </w14:solidFill>
            </w14:textFill>
          </w:rPr>
          <w:t>5</w:t>
        </w:r>
      </w:hyperlink>
    </w:p>
    <w:p w14:paraId="7FEC32F7" w14:textId="54B87081" w:rsidR="002224F5" w:rsidRPr="00047957" w:rsidRDefault="002224F5" w:rsidP="005E12E5">
      <w:pPr>
        <w:pStyle w:val="Heading1"/>
        <w:rPr>
          <w:color w:val="171717" w:themeColor="background2" w:themeShade="1A"/>
        </w:rPr>
      </w:pPr>
      <w:hyperlink w:anchor="Page6" w:history="1">
        <w:r w:rsidRPr="00047957">
          <w:rPr>
            <w:rStyle w:val="Hyperlink"/>
            <w:color w:val="171717" w:themeColor="background2" w:themeShade="1A"/>
            <w:u w:val="none"/>
            <w14:textFill>
              <w14:solidFill>
                <w14:schemeClr w14:val="bg2">
                  <w14:lumMod w14:val="10000"/>
                  <w14:lumMod w14:val="10000"/>
                </w14:schemeClr>
              </w14:solidFill>
            </w14:textFill>
          </w:rPr>
          <w:t>Importance of working collaboratively</w:t>
        </w:r>
        <w:r w:rsidR="001C5324" w:rsidRPr="00047957">
          <w:rPr>
            <w:rStyle w:val="Hyperlink"/>
            <w:color w:val="171717" w:themeColor="background2" w:themeShade="1A"/>
            <w:u w:val="none"/>
            <w14:textFill>
              <w14:solidFill>
                <w14:schemeClr w14:val="bg2">
                  <w14:lumMod w14:val="10000"/>
                  <w14:lumMod w14:val="10000"/>
                </w14:schemeClr>
              </w14:solidFill>
            </w14:textFill>
          </w:rPr>
          <w:t>………………</w:t>
        </w:r>
        <w:r w:rsidR="00047957" w:rsidRPr="00047957">
          <w:rPr>
            <w:rStyle w:val="Hyperlink"/>
            <w:color w:val="171717" w:themeColor="background2" w:themeShade="1A"/>
            <w:u w:val="none"/>
            <w14:textFill>
              <w14:solidFill>
                <w14:schemeClr w14:val="bg2">
                  <w14:lumMod w14:val="10000"/>
                  <w14:lumMod w14:val="10000"/>
                </w14:schemeClr>
              </w14:solidFill>
            </w14:textFill>
          </w:rPr>
          <w:t>6</w:t>
        </w:r>
      </w:hyperlink>
    </w:p>
    <w:p w14:paraId="289425A5" w14:textId="7E2EA49D" w:rsidR="001C5324" w:rsidRPr="00047957" w:rsidRDefault="002224F5" w:rsidP="005E12E5">
      <w:pPr>
        <w:pStyle w:val="Heading1"/>
        <w:rPr>
          <w:color w:val="171717" w:themeColor="background2" w:themeShade="1A"/>
        </w:rPr>
      </w:pPr>
      <w:hyperlink w:anchor="Page7" w:history="1">
        <w:r w:rsidRPr="00047957">
          <w:rPr>
            <w:rStyle w:val="Hyperlink"/>
            <w:color w:val="171717" w:themeColor="background2" w:themeShade="1A"/>
            <w:u w:val="none"/>
            <w14:textFill>
              <w14:solidFill>
                <w14:schemeClr w14:val="bg2">
                  <w14:lumMod w14:val="10000"/>
                  <w14:lumMod w14:val="10000"/>
                </w14:schemeClr>
              </w14:solidFill>
            </w14:textFill>
          </w:rPr>
          <w:t>Conclusion</w:t>
        </w:r>
        <w:r w:rsidR="001C5324" w:rsidRPr="00047957">
          <w:rPr>
            <w:rStyle w:val="Hyperlink"/>
            <w:color w:val="171717" w:themeColor="background2" w:themeShade="1A"/>
            <w:u w:val="none"/>
            <w14:textFill>
              <w14:solidFill>
                <w14:schemeClr w14:val="bg2">
                  <w14:lumMod w14:val="10000"/>
                  <w14:lumMod w14:val="10000"/>
                </w14:schemeClr>
              </w14:solidFill>
            </w14:textFill>
          </w:rPr>
          <w:t>………………………………………………..</w:t>
        </w:r>
        <w:r w:rsidR="00047957" w:rsidRPr="00047957">
          <w:rPr>
            <w:rStyle w:val="Hyperlink"/>
            <w:color w:val="171717" w:themeColor="background2" w:themeShade="1A"/>
            <w:u w:val="none"/>
            <w14:textFill>
              <w14:solidFill>
                <w14:schemeClr w14:val="bg2">
                  <w14:lumMod w14:val="10000"/>
                  <w14:lumMod w14:val="10000"/>
                </w14:schemeClr>
              </w14:solidFill>
            </w14:textFill>
          </w:rPr>
          <w:t>7</w:t>
        </w:r>
      </w:hyperlink>
    </w:p>
    <w:p w14:paraId="478FC84D" w14:textId="1F156150" w:rsidR="001C5324" w:rsidRPr="005E12E5" w:rsidRDefault="005E12E5" w:rsidP="005E12E5">
      <w:pPr>
        <w:pStyle w:val="Heading1"/>
        <w:rPr>
          <w:color w:val="171717" w:themeColor="background2" w:themeShade="1A"/>
        </w:rPr>
      </w:pPr>
      <w:hyperlink w:anchor="Page9" w:history="1">
        <w:r w:rsidR="001C5324" w:rsidRPr="005E12E5">
          <w:rPr>
            <w:rStyle w:val="Hyperlink"/>
            <w:b/>
            <w:bCs w:val="0"/>
            <w:color w:val="171717" w:themeColor="background2" w:themeShade="1A"/>
            <w:u w:val="none"/>
          </w:rPr>
          <w:t>References………………………………………………..</w:t>
        </w:r>
        <w:r w:rsidRPr="005E12E5">
          <w:rPr>
            <w:rStyle w:val="Hyperlink"/>
            <w:b/>
            <w:bCs w:val="0"/>
            <w:color w:val="171717" w:themeColor="background2" w:themeShade="1A"/>
            <w:u w:val="none"/>
          </w:rPr>
          <w:t>8</w:t>
        </w:r>
      </w:hyperlink>
    </w:p>
    <w:p w14:paraId="409CEEC6" w14:textId="77777777" w:rsidR="002224F5" w:rsidRPr="00047957" w:rsidRDefault="002224F5" w:rsidP="002224F5">
      <w:pPr>
        <w:tabs>
          <w:tab w:val="left" w:pos="6540"/>
        </w:tabs>
        <w:spacing w:line="360" w:lineRule="auto"/>
        <w:rPr>
          <w:rFonts w:asciiTheme="minorBidi" w:hAnsiTheme="minorBidi"/>
          <w:color w:val="000000" w:themeColor="text1"/>
          <w:sz w:val="22"/>
        </w:rPr>
      </w:pPr>
    </w:p>
    <w:p w14:paraId="5F80FBB1" w14:textId="77777777" w:rsidR="002224F5" w:rsidRPr="00CD33A8" w:rsidRDefault="002224F5" w:rsidP="002224F5">
      <w:pPr>
        <w:tabs>
          <w:tab w:val="left" w:pos="6540"/>
        </w:tabs>
        <w:spacing w:line="360" w:lineRule="auto"/>
        <w:rPr>
          <w:rFonts w:asciiTheme="minorBidi" w:hAnsiTheme="minorBidi"/>
          <w:sz w:val="22"/>
        </w:rPr>
      </w:pPr>
    </w:p>
    <w:p w14:paraId="7244A65D" w14:textId="77777777" w:rsidR="002224F5" w:rsidRPr="00CD33A8" w:rsidRDefault="002224F5" w:rsidP="002224F5">
      <w:pPr>
        <w:tabs>
          <w:tab w:val="left" w:pos="6540"/>
        </w:tabs>
        <w:spacing w:line="360" w:lineRule="auto"/>
        <w:rPr>
          <w:rFonts w:asciiTheme="minorBidi" w:hAnsiTheme="minorBidi"/>
          <w:sz w:val="22"/>
        </w:rPr>
      </w:pPr>
    </w:p>
    <w:p w14:paraId="4EAF41A9" w14:textId="77777777" w:rsidR="002224F5" w:rsidRPr="00CD33A8" w:rsidRDefault="002224F5" w:rsidP="002224F5">
      <w:pPr>
        <w:tabs>
          <w:tab w:val="left" w:pos="6540"/>
        </w:tabs>
        <w:spacing w:line="360" w:lineRule="auto"/>
        <w:rPr>
          <w:rFonts w:asciiTheme="minorBidi" w:hAnsiTheme="minorBidi"/>
          <w:sz w:val="22"/>
        </w:rPr>
      </w:pPr>
    </w:p>
    <w:p w14:paraId="3476BE3F" w14:textId="77777777" w:rsidR="002224F5" w:rsidRPr="00CD33A8" w:rsidRDefault="002224F5" w:rsidP="002224F5">
      <w:pPr>
        <w:tabs>
          <w:tab w:val="left" w:pos="6540"/>
        </w:tabs>
        <w:spacing w:line="360" w:lineRule="auto"/>
        <w:rPr>
          <w:rFonts w:asciiTheme="minorBidi" w:hAnsiTheme="minorBidi"/>
          <w:sz w:val="22"/>
        </w:rPr>
      </w:pPr>
    </w:p>
    <w:p w14:paraId="4A6D4629" w14:textId="77777777" w:rsidR="002224F5" w:rsidRDefault="002224F5" w:rsidP="002224F5">
      <w:pPr>
        <w:rPr>
          <w:rFonts w:asciiTheme="minorBidi" w:eastAsiaTheme="majorEastAsia" w:hAnsiTheme="minorBidi"/>
          <w:b/>
          <w:sz w:val="28"/>
        </w:rPr>
      </w:pPr>
      <w:r>
        <w:br w:type="page"/>
      </w:r>
    </w:p>
    <w:p w14:paraId="7AE771D5" w14:textId="1C06E45A" w:rsidR="00B87E75" w:rsidRPr="00EF10BB" w:rsidRDefault="00B87E75" w:rsidP="00CD33A8">
      <w:pPr>
        <w:spacing w:line="360" w:lineRule="auto"/>
        <w:rPr>
          <w:rFonts w:ascii="Arial" w:hAnsi="Arial" w:cs="Arial"/>
          <w:b/>
          <w:bCs/>
          <w:sz w:val="32"/>
          <w:szCs w:val="32"/>
        </w:rPr>
      </w:pPr>
    </w:p>
    <w:p w14:paraId="12D76753" w14:textId="2FA0A731" w:rsidR="00B87E75" w:rsidRPr="00EF10BB" w:rsidRDefault="00B87E75" w:rsidP="00EF10BB">
      <w:pPr>
        <w:spacing w:line="360" w:lineRule="auto"/>
        <w:rPr>
          <w:rFonts w:ascii="Arial" w:hAnsi="Arial" w:cs="Arial"/>
          <w:b/>
          <w:bCs/>
          <w:sz w:val="32"/>
          <w:szCs w:val="32"/>
        </w:rPr>
      </w:pPr>
      <w:bookmarkStart w:id="0" w:name="Page3"/>
      <w:bookmarkEnd w:id="0"/>
      <w:r w:rsidRPr="00EF10BB">
        <w:rPr>
          <w:rFonts w:ascii="Arial" w:hAnsi="Arial" w:cs="Arial"/>
          <w:b/>
          <w:bCs/>
          <w:sz w:val="32"/>
          <w:szCs w:val="32"/>
        </w:rPr>
        <w:t>1. Introduction</w:t>
      </w:r>
    </w:p>
    <w:p w14:paraId="373BFE6A" w14:textId="77777777" w:rsidR="005E12E5" w:rsidRPr="005E12E5" w:rsidRDefault="005E12E5" w:rsidP="005E12E5">
      <w:pPr>
        <w:tabs>
          <w:tab w:val="left" w:pos="6540"/>
        </w:tabs>
        <w:spacing w:line="360" w:lineRule="auto"/>
        <w:rPr>
          <w:rFonts w:ascii="Arial" w:hAnsi="Arial" w:cs="Arial"/>
          <w:sz w:val="22"/>
          <w:lang w:val="en-US"/>
        </w:rPr>
      </w:pPr>
      <w:proofErr w:type="spellStart"/>
      <w:r w:rsidRPr="005E12E5">
        <w:rPr>
          <w:rFonts w:ascii="Arial" w:hAnsi="Arial" w:cs="Arial"/>
          <w:sz w:val="22"/>
          <w:lang w:val="en-US"/>
        </w:rPr>
        <w:t>Mrs</w:t>
      </w:r>
      <w:proofErr w:type="spellEnd"/>
      <w:r w:rsidRPr="005E12E5">
        <w:rPr>
          <w:rFonts w:ascii="Arial" w:hAnsi="Arial" w:cs="Arial"/>
          <w:sz w:val="22"/>
          <w:lang w:val="en-US"/>
        </w:rPr>
        <w:t xml:space="preserve"> Thompson is an 84-year-old woman who has recently returned home after hospital treatment for pneumonia. She lives alone in sheltered housing and receives domiciliary care twice each day. She has mild dementia and has recently missed two days of medication, followed by increased confusion. She was also found outside during cold weather without suitable clothing, leading the local council to review the incident. These events suggest that her needs may have changed and that her current support should be reviewed.</w:t>
      </w:r>
      <w:r w:rsidRPr="005E12E5">
        <w:rPr>
          <w:rFonts w:ascii="Arial" w:hAnsi="Arial" w:cs="Arial"/>
          <w:sz w:val="22"/>
          <w:lang w:val="en-US"/>
        </w:rPr>
        <w:br/>
      </w:r>
      <w:r w:rsidRPr="005E12E5">
        <w:rPr>
          <w:rFonts w:ascii="Arial" w:hAnsi="Arial" w:cs="Arial"/>
          <w:sz w:val="22"/>
          <w:lang w:val="en-US"/>
        </w:rPr>
        <w:br/>
        <w:t xml:space="preserve">This report examines effective communication, good administrative practice and collaborative working in relation to </w:t>
      </w:r>
      <w:proofErr w:type="spellStart"/>
      <w:r w:rsidRPr="005E12E5">
        <w:rPr>
          <w:rFonts w:ascii="Arial" w:hAnsi="Arial" w:cs="Arial"/>
          <w:sz w:val="22"/>
          <w:lang w:val="en-US"/>
        </w:rPr>
        <w:t>Mrs</w:t>
      </w:r>
      <w:proofErr w:type="spellEnd"/>
      <w:r w:rsidRPr="005E12E5">
        <w:rPr>
          <w:rFonts w:ascii="Arial" w:hAnsi="Arial" w:cs="Arial"/>
          <w:sz w:val="22"/>
          <w:lang w:val="en-US"/>
        </w:rPr>
        <w:t xml:space="preserve"> Thompson. </w:t>
      </w:r>
      <w:proofErr w:type="gramStart"/>
      <w:r w:rsidRPr="005E12E5">
        <w:rPr>
          <w:rFonts w:ascii="Arial" w:hAnsi="Arial" w:cs="Arial"/>
          <w:sz w:val="22"/>
          <w:lang w:val="en-US"/>
        </w:rPr>
        <w:t>Particular attention</w:t>
      </w:r>
      <w:proofErr w:type="gramEnd"/>
      <w:r w:rsidRPr="005E12E5">
        <w:rPr>
          <w:rFonts w:ascii="Arial" w:hAnsi="Arial" w:cs="Arial"/>
          <w:sz w:val="22"/>
          <w:lang w:val="en-US"/>
        </w:rPr>
        <w:t xml:space="preserve"> is given to Berlo’s (1960) Source–Message–Channel–Receiver (SMCR) model and how its four elements can be applied in practice. The report also considers the Equality Act 2010, Mental Capacity Act 2005, Data Protection Act 2018 and Care Act 2014. The aim is to show how clear, respectful and coordinated practice can protect </w:t>
      </w:r>
      <w:proofErr w:type="spellStart"/>
      <w:r w:rsidRPr="005E12E5">
        <w:rPr>
          <w:rFonts w:ascii="Arial" w:hAnsi="Arial" w:cs="Arial"/>
          <w:sz w:val="22"/>
          <w:lang w:val="en-US"/>
        </w:rPr>
        <w:t>Mrs</w:t>
      </w:r>
      <w:proofErr w:type="spellEnd"/>
      <w:r w:rsidRPr="005E12E5">
        <w:rPr>
          <w:rFonts w:ascii="Arial" w:hAnsi="Arial" w:cs="Arial"/>
          <w:sz w:val="22"/>
          <w:lang w:val="en-US"/>
        </w:rPr>
        <w:t xml:space="preserve"> Thompson’s safety while supporting her dignity, independence and wellbeing.</w:t>
      </w:r>
    </w:p>
    <w:p w14:paraId="52010A5E" w14:textId="77777777" w:rsidR="0026393A" w:rsidRPr="00CD33A8" w:rsidRDefault="0026393A" w:rsidP="00CD33A8">
      <w:pPr>
        <w:tabs>
          <w:tab w:val="left" w:pos="6540"/>
        </w:tabs>
        <w:spacing w:line="360" w:lineRule="auto"/>
        <w:rPr>
          <w:rFonts w:ascii="Arial" w:hAnsi="Arial" w:cs="Arial"/>
          <w:sz w:val="22"/>
        </w:rPr>
      </w:pPr>
    </w:p>
    <w:p w14:paraId="73B07562" w14:textId="0E99FAFE" w:rsidR="008E3943" w:rsidRDefault="0026393A" w:rsidP="005E12E5">
      <w:pPr>
        <w:pStyle w:val="Heading1"/>
        <w:rPr>
          <w:color w:val="171717" w:themeColor="background2" w:themeShade="1A"/>
        </w:rPr>
      </w:pPr>
      <w:bookmarkStart w:id="1" w:name="Page31"/>
      <w:bookmarkEnd w:id="1"/>
      <w:r w:rsidRPr="00CD33A8">
        <w:rPr>
          <w:color w:val="171717" w:themeColor="background2" w:themeShade="1A"/>
        </w:rPr>
        <w:t xml:space="preserve">2. </w:t>
      </w:r>
      <w:r w:rsidR="008E3943">
        <w:rPr>
          <w:color w:val="171717" w:themeColor="background2" w:themeShade="1A"/>
        </w:rPr>
        <w:t>I</w:t>
      </w:r>
      <w:r w:rsidR="008E3943" w:rsidRPr="008E3943">
        <w:rPr>
          <w:color w:val="171717" w:themeColor="background2" w:themeShade="1A"/>
        </w:rPr>
        <w:t>mportance of effective communication</w:t>
      </w:r>
    </w:p>
    <w:p w14:paraId="476AA471" w14:textId="77777777" w:rsidR="005E12E5" w:rsidRPr="005E12E5" w:rsidRDefault="005E12E5" w:rsidP="005E12E5">
      <w:pPr>
        <w:tabs>
          <w:tab w:val="left" w:pos="6540"/>
        </w:tabs>
        <w:spacing w:line="360" w:lineRule="auto"/>
        <w:rPr>
          <w:rFonts w:asciiTheme="minorBidi" w:hAnsiTheme="minorBidi"/>
          <w:sz w:val="22"/>
          <w:lang w:val="en-US"/>
        </w:rPr>
      </w:pPr>
      <w:r w:rsidRPr="005E12E5">
        <w:rPr>
          <w:rFonts w:asciiTheme="minorBidi" w:hAnsiTheme="minorBidi"/>
          <w:sz w:val="22"/>
          <w:lang w:val="en-US"/>
        </w:rPr>
        <w:t>Effective communication is central to safe and person-</w:t>
      </w:r>
      <w:proofErr w:type="spellStart"/>
      <w:r w:rsidRPr="005E12E5">
        <w:rPr>
          <w:rFonts w:asciiTheme="minorBidi" w:hAnsiTheme="minorBidi"/>
          <w:sz w:val="22"/>
          <w:lang w:val="en-US"/>
        </w:rPr>
        <w:t>centred</w:t>
      </w:r>
      <w:proofErr w:type="spellEnd"/>
      <w:r w:rsidRPr="005E12E5">
        <w:rPr>
          <w:rFonts w:asciiTheme="minorBidi" w:hAnsiTheme="minorBidi"/>
          <w:sz w:val="22"/>
          <w:lang w:val="en-US"/>
        </w:rPr>
        <w:t xml:space="preserve"> health and social care. In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Thompson’s case, communication is particularly important because her dementia may affect memory, concentration and her ability to process information. NICE (2018) recommends enabling people living with dementia to express their views and using modified communication, such as simplified information or visual aids, when needed.</w:t>
      </w:r>
      <w:r w:rsidRPr="005E12E5">
        <w:rPr>
          <w:rFonts w:asciiTheme="minorBidi" w:hAnsiTheme="minorBidi"/>
          <w:sz w:val="22"/>
          <w:lang w:val="en-US"/>
        </w:rPr>
        <w:br/>
      </w:r>
      <w:r w:rsidRPr="005E12E5">
        <w:rPr>
          <w:rFonts w:asciiTheme="minorBidi" w:hAnsiTheme="minorBidi"/>
          <w:sz w:val="22"/>
          <w:lang w:val="en-US"/>
        </w:rPr>
        <w:br/>
        <w:t>Berlo’s (1960) communication model is known as the Source–Message–Channel–Receiver (SMCR) model. It explains communication through four connected elements. The source is the person who begins the communication; the message is the information being communicated; the channel is the way the information is transmitted; and the receiver is the person who receives and interprets it. Berlo also considered factors such as communication skills, knowledge, attitudes, social background and culture because these can affect how a message is created and understood. It is useful in care because it encourages professionals to consider whether each part of communication is suitable.</w:t>
      </w:r>
      <w:r w:rsidRPr="005E12E5">
        <w:rPr>
          <w:rFonts w:asciiTheme="minorBidi" w:hAnsiTheme="minorBidi"/>
          <w:sz w:val="22"/>
          <w:lang w:val="en-US"/>
        </w:rPr>
        <w:br/>
      </w:r>
      <w:r w:rsidRPr="005E12E5">
        <w:rPr>
          <w:rFonts w:asciiTheme="minorBidi" w:hAnsiTheme="minorBidi"/>
          <w:sz w:val="22"/>
          <w:lang w:val="en-US"/>
        </w:rPr>
        <w:br/>
      </w:r>
      <w:r w:rsidRPr="005E12E5">
        <w:rPr>
          <w:rFonts w:asciiTheme="minorBidi" w:hAnsiTheme="minorBidi"/>
          <w:sz w:val="22"/>
          <w:lang w:val="en-US"/>
        </w:rPr>
        <w:lastRenderedPageBreak/>
        <w:t xml:space="preserve">The first element, the source, can be applied to a domiciliary care worker speaking with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 The worker needs appropriate communication skills and knowledge about dementia, medication and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Thompson’s individual needs. Their attitude is also important. If the worker speaks impatiently or treats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 as incapable, the quality of the communication may be reduced. A respectful attitude can help build trust and encourage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 to express concerns. This links with person-</w:t>
      </w:r>
      <w:proofErr w:type="spellStart"/>
      <w:r w:rsidRPr="005E12E5">
        <w:rPr>
          <w:rFonts w:asciiTheme="minorBidi" w:hAnsiTheme="minorBidi"/>
          <w:sz w:val="22"/>
          <w:lang w:val="en-US"/>
        </w:rPr>
        <w:t>centred</w:t>
      </w:r>
      <w:proofErr w:type="spellEnd"/>
      <w:r w:rsidRPr="005E12E5">
        <w:rPr>
          <w:rFonts w:asciiTheme="minorBidi" w:hAnsiTheme="minorBidi"/>
          <w:sz w:val="22"/>
          <w:lang w:val="en-US"/>
        </w:rPr>
        <w:t xml:space="preserve"> practice because the individual should be treated as a person rather than being defined by their diagnosis (NICE, 2018).</w:t>
      </w:r>
      <w:r w:rsidRPr="005E12E5">
        <w:rPr>
          <w:rFonts w:asciiTheme="minorBidi" w:hAnsiTheme="minorBidi"/>
          <w:sz w:val="22"/>
          <w:lang w:val="en-US"/>
        </w:rPr>
        <w:br/>
      </w:r>
      <w:r w:rsidRPr="005E12E5">
        <w:rPr>
          <w:rFonts w:asciiTheme="minorBidi" w:hAnsiTheme="minorBidi"/>
          <w:sz w:val="22"/>
          <w:lang w:val="en-US"/>
        </w:rPr>
        <w:br/>
        <w:t xml:space="preserve">The second element is the message. The message should be clear, relevant and suitable for the receiver. For example, if a care worker needs to remind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 about taking medication, a long explanation containing medical terms may be difficult to understand. A better message would use simple language and one instruction at a time. The Equality Act 2010 protects age and disability as characteristics, so professionals should not discriminate against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 because she is older or has a cognitive impairment (Equality Act 2010).</w:t>
      </w:r>
      <w:r w:rsidRPr="005E12E5">
        <w:rPr>
          <w:rFonts w:asciiTheme="minorBidi" w:hAnsiTheme="minorBidi"/>
          <w:sz w:val="22"/>
          <w:lang w:val="en-US"/>
        </w:rPr>
        <w:br/>
      </w:r>
      <w:r w:rsidRPr="005E12E5">
        <w:rPr>
          <w:rFonts w:asciiTheme="minorBidi" w:hAnsiTheme="minorBidi"/>
          <w:sz w:val="22"/>
          <w:lang w:val="en-US"/>
        </w:rPr>
        <w:br/>
        <w:t xml:space="preserve">The third element is the channel. Berlo’s model highlights that communication can be carried through different forms, so professionals need to consider which channel is most appropriate. With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 face-to-face communication may be helpful because the worker can use speech, facial expression, gestures and written or visual prompts. If hearing difficulties, background noise or tiredness are present, the channel may need to be changed. For example, the worker could move to a quieter area, speak clearly and use a written reminder. NICE (2018) supports the use of additional or modified ways of communicating when required.</w:t>
      </w:r>
      <w:r w:rsidRPr="005E12E5">
        <w:rPr>
          <w:rFonts w:asciiTheme="minorBidi" w:hAnsiTheme="minorBidi"/>
          <w:sz w:val="22"/>
          <w:lang w:val="en-US"/>
        </w:rPr>
        <w:br/>
      </w:r>
      <w:r w:rsidRPr="005E12E5">
        <w:rPr>
          <w:rFonts w:asciiTheme="minorBidi" w:hAnsiTheme="minorBidi"/>
          <w:sz w:val="22"/>
          <w:lang w:val="en-US"/>
        </w:rPr>
        <w:br/>
        <w:t xml:space="preserve">The fourth element is the receiver.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 is the receiver when a care worker provides information, but she is also an active participant in her care rather than simply someone who receives instructions. The receiver must interpret the message, and dementia may make this more difficult at certain times. The worker could therefore check understanding by asking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 to explain the information in her own words. Communication should also allow time for a response.</w:t>
      </w:r>
      <w:r w:rsidRPr="005E12E5">
        <w:rPr>
          <w:rFonts w:asciiTheme="minorBidi" w:hAnsiTheme="minorBidi"/>
          <w:sz w:val="22"/>
          <w:lang w:val="en-US"/>
        </w:rPr>
        <w:br/>
      </w:r>
      <w:r w:rsidRPr="005E12E5">
        <w:rPr>
          <w:rFonts w:asciiTheme="minorBidi" w:hAnsiTheme="minorBidi"/>
          <w:sz w:val="22"/>
          <w:lang w:val="en-US"/>
        </w:rPr>
        <w:br/>
        <w:t xml:space="preserve">Although Berlo’s model provides a useful structure, it has a limitation in this situation. It is a linear model, so it can make communication appear to move in one direction. In real health and social care practice, communication is more interactive.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Thompson’s response, facial expression or </w:t>
      </w:r>
      <w:proofErr w:type="spellStart"/>
      <w:r w:rsidRPr="005E12E5">
        <w:rPr>
          <w:rFonts w:asciiTheme="minorBidi" w:hAnsiTheme="minorBidi"/>
          <w:sz w:val="22"/>
          <w:lang w:val="en-US"/>
        </w:rPr>
        <w:t>behaviour</w:t>
      </w:r>
      <w:proofErr w:type="spellEnd"/>
      <w:r w:rsidRPr="005E12E5">
        <w:rPr>
          <w:rFonts w:asciiTheme="minorBidi" w:hAnsiTheme="minorBidi"/>
          <w:sz w:val="22"/>
          <w:lang w:val="en-US"/>
        </w:rPr>
        <w:t xml:space="preserve"> may provide feedback to the worker, who can then adapt the </w:t>
      </w:r>
      <w:r w:rsidRPr="005E12E5">
        <w:rPr>
          <w:rFonts w:asciiTheme="minorBidi" w:hAnsiTheme="minorBidi"/>
          <w:sz w:val="22"/>
          <w:lang w:val="en-US"/>
        </w:rPr>
        <w:lastRenderedPageBreak/>
        <w:t>message. Therefore, Berlo’s model should be used as a framework rather than as a complete explanation of communication. This is especially important when supporting someone with dementia.</w:t>
      </w:r>
      <w:r w:rsidRPr="005E12E5">
        <w:rPr>
          <w:rFonts w:asciiTheme="minorBidi" w:hAnsiTheme="minorBidi"/>
          <w:sz w:val="22"/>
          <w:lang w:val="en-US"/>
        </w:rPr>
        <w:br/>
      </w:r>
      <w:r w:rsidRPr="005E12E5">
        <w:rPr>
          <w:rFonts w:asciiTheme="minorBidi" w:hAnsiTheme="minorBidi"/>
          <w:sz w:val="22"/>
          <w:lang w:val="en-US"/>
        </w:rPr>
        <w:br/>
        <w:t xml:space="preserve">The Mental Capacity Act 2005 is also relevant.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 should not be assumed to lack capacity simply because she has dementia. Capacity should be considered for the </w:t>
      </w:r>
      <w:proofErr w:type="gramStart"/>
      <w:r w:rsidRPr="005E12E5">
        <w:rPr>
          <w:rFonts w:asciiTheme="minorBidi" w:hAnsiTheme="minorBidi"/>
          <w:sz w:val="22"/>
          <w:lang w:val="en-US"/>
        </w:rPr>
        <w:t>particular decision</w:t>
      </w:r>
      <w:proofErr w:type="gramEnd"/>
      <w:r w:rsidRPr="005E12E5">
        <w:rPr>
          <w:rFonts w:asciiTheme="minorBidi" w:hAnsiTheme="minorBidi"/>
          <w:sz w:val="22"/>
          <w:lang w:val="en-US"/>
        </w:rPr>
        <w:t xml:space="preserve">, and any decision made for someone who lacks capacity must follow the legal principles, including acting in their best interests. This means that professionals should involve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 as much as possible and use communication methods that support her understanding (Department of Health, 2007). Family members may provide useful information about her routines and preferences, but professionals must still respect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Thompson’s wishes and confidentiality.</w:t>
      </w:r>
      <w:r w:rsidRPr="005E12E5">
        <w:rPr>
          <w:rFonts w:asciiTheme="minorBidi" w:hAnsiTheme="minorBidi"/>
          <w:sz w:val="22"/>
          <w:lang w:val="en-US"/>
        </w:rPr>
        <w:br/>
      </w:r>
      <w:r w:rsidRPr="005E12E5">
        <w:rPr>
          <w:rFonts w:asciiTheme="minorBidi" w:hAnsiTheme="minorBidi"/>
          <w:sz w:val="22"/>
          <w:lang w:val="en-US"/>
        </w:rPr>
        <w:br/>
        <w:t xml:space="preserve">Good communication is therefore more than passing information from one person to another. In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Thompson’s case, it requires the source, message, channel and receiver to be considered together. Using Berlo’s model alongside person-</w:t>
      </w:r>
      <w:proofErr w:type="spellStart"/>
      <w:r w:rsidRPr="005E12E5">
        <w:rPr>
          <w:rFonts w:asciiTheme="minorBidi" w:hAnsiTheme="minorBidi"/>
          <w:sz w:val="22"/>
          <w:lang w:val="en-US"/>
        </w:rPr>
        <w:t>centred</w:t>
      </w:r>
      <w:proofErr w:type="spellEnd"/>
      <w:r w:rsidRPr="005E12E5">
        <w:rPr>
          <w:rFonts w:asciiTheme="minorBidi" w:hAnsiTheme="minorBidi"/>
          <w:sz w:val="22"/>
          <w:lang w:val="en-US"/>
        </w:rPr>
        <w:t xml:space="preserve"> practice and legal duties can reduce misunderstandings, support medication safety and help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 remain involved in decisions about her care.</w:t>
      </w:r>
    </w:p>
    <w:p w14:paraId="0537CEF5" w14:textId="02F630C8" w:rsidR="003E4ECF" w:rsidRDefault="003E4ECF" w:rsidP="005B1FB7">
      <w:pPr>
        <w:tabs>
          <w:tab w:val="left" w:pos="6540"/>
        </w:tabs>
        <w:spacing w:line="360" w:lineRule="auto"/>
        <w:rPr>
          <w:rFonts w:asciiTheme="minorBidi" w:hAnsiTheme="minorBidi"/>
          <w:sz w:val="22"/>
        </w:rPr>
      </w:pPr>
    </w:p>
    <w:p w14:paraId="60B2CDC3" w14:textId="12EE5464" w:rsidR="00B87E75" w:rsidRPr="00CD33A8" w:rsidRDefault="0026393A" w:rsidP="005E12E5">
      <w:pPr>
        <w:pStyle w:val="Heading1"/>
        <w:rPr>
          <w:color w:val="171717" w:themeColor="background2" w:themeShade="1A"/>
        </w:rPr>
      </w:pPr>
      <w:bookmarkStart w:id="2" w:name="Page5"/>
      <w:bookmarkEnd w:id="2"/>
      <w:r w:rsidRPr="00CD33A8">
        <w:rPr>
          <w:color w:val="171717" w:themeColor="background2" w:themeShade="1A"/>
        </w:rPr>
        <w:t>3</w:t>
      </w:r>
      <w:r w:rsidR="00B87E75" w:rsidRPr="00CD33A8">
        <w:rPr>
          <w:color w:val="171717" w:themeColor="background2" w:themeShade="1A"/>
        </w:rPr>
        <w:t>.</w:t>
      </w:r>
      <w:r w:rsidR="008E3943">
        <w:rPr>
          <w:color w:val="171717" w:themeColor="background2" w:themeShade="1A"/>
        </w:rPr>
        <w:t xml:space="preserve"> I</w:t>
      </w:r>
      <w:r w:rsidR="008E3943" w:rsidRPr="008E3943">
        <w:rPr>
          <w:color w:val="171717" w:themeColor="background2" w:themeShade="1A"/>
        </w:rPr>
        <w:t xml:space="preserve">mportance of good administrative skills </w:t>
      </w:r>
    </w:p>
    <w:p w14:paraId="4FC14C6B" w14:textId="3BF19F51" w:rsidR="00B87E75" w:rsidRPr="005E12E5" w:rsidRDefault="005E12E5" w:rsidP="00CD33A8">
      <w:pPr>
        <w:tabs>
          <w:tab w:val="left" w:pos="6540"/>
        </w:tabs>
        <w:spacing w:line="360" w:lineRule="auto"/>
        <w:rPr>
          <w:rFonts w:asciiTheme="minorBidi" w:hAnsiTheme="minorBidi"/>
          <w:sz w:val="22"/>
          <w:lang w:val="en-US"/>
        </w:rPr>
      </w:pPr>
      <w:r w:rsidRPr="005E12E5">
        <w:rPr>
          <w:rFonts w:asciiTheme="minorBidi" w:hAnsiTheme="minorBidi"/>
          <w:sz w:val="22"/>
          <w:lang w:val="en-US"/>
        </w:rPr>
        <w:t xml:space="preserve">Good administrative skills are essential because safe care depends on accurate information. For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 the two missed days of medication, increased confusion and incident of being outside without suitable clothing should be recorded clearly. Records should state what was observed, when it happened, what action was taken and who was informed. Writing that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 “appeared more confused than usual and had missed medication for two days” is more objective than describing her as “difficult”.</w:t>
      </w:r>
      <w:r w:rsidRPr="005E12E5">
        <w:rPr>
          <w:rFonts w:asciiTheme="minorBidi" w:hAnsiTheme="minorBidi"/>
          <w:sz w:val="22"/>
          <w:lang w:val="en-US"/>
        </w:rPr>
        <w:br/>
      </w:r>
      <w:r w:rsidRPr="005E12E5">
        <w:rPr>
          <w:rFonts w:asciiTheme="minorBidi" w:hAnsiTheme="minorBidi"/>
          <w:sz w:val="22"/>
          <w:lang w:val="en-US"/>
        </w:rPr>
        <w:br/>
        <w:t xml:space="preserve">Accurate records help professionals identify patterns and make informed decisions. A GP or community nurse reviewing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Thompson’s medication would need to know about the missed doses and changes in her presentation. Records can also support safeguarding and care-plan reviews. The incident outside should not automatically be blamed on dementia. Professionals should consider whether confusion, unmet needs, environmental factors, mobility problems or insufficient support may have contributed.</w:t>
      </w:r>
      <w:r w:rsidRPr="005E12E5">
        <w:rPr>
          <w:rFonts w:asciiTheme="minorBidi" w:hAnsiTheme="minorBidi"/>
          <w:sz w:val="22"/>
          <w:lang w:val="en-US"/>
        </w:rPr>
        <w:br/>
      </w:r>
      <w:r w:rsidRPr="005E12E5">
        <w:rPr>
          <w:rFonts w:asciiTheme="minorBidi" w:hAnsiTheme="minorBidi"/>
          <w:sz w:val="22"/>
          <w:lang w:val="en-US"/>
        </w:rPr>
        <w:br/>
        <w:t xml:space="preserve">Confidentiality is also important. Under the Data Protection Act 2018 and UK GDPR, health </w:t>
      </w:r>
      <w:r w:rsidRPr="005E12E5">
        <w:rPr>
          <w:rFonts w:asciiTheme="minorBidi" w:hAnsiTheme="minorBidi"/>
          <w:sz w:val="22"/>
          <w:lang w:val="en-US"/>
        </w:rPr>
        <w:lastRenderedPageBreak/>
        <w:t xml:space="preserve">information is special category data and must be handled lawfully and securely. Professionals should only access and share information relevant to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Thompson’s care and should follow </w:t>
      </w:r>
      <w:proofErr w:type="spellStart"/>
      <w:r w:rsidRPr="005E12E5">
        <w:rPr>
          <w:rFonts w:asciiTheme="minorBidi" w:hAnsiTheme="minorBidi"/>
          <w:sz w:val="22"/>
          <w:lang w:val="en-US"/>
        </w:rPr>
        <w:t>organisational</w:t>
      </w:r>
      <w:proofErr w:type="spellEnd"/>
      <w:r w:rsidRPr="005E12E5">
        <w:rPr>
          <w:rFonts w:asciiTheme="minorBidi" w:hAnsiTheme="minorBidi"/>
          <w:sz w:val="22"/>
          <w:lang w:val="en-US"/>
        </w:rPr>
        <w:t xml:space="preserve"> procedures for storing records, passwords and reporting data breaches. Data protection should not, however, be treated as a complete barrier to appropriate information sharing where there is a lawful basis.</w:t>
      </w:r>
      <w:r w:rsidRPr="005E12E5">
        <w:rPr>
          <w:rFonts w:asciiTheme="minorBidi" w:hAnsiTheme="minorBidi"/>
          <w:sz w:val="22"/>
          <w:lang w:val="en-US"/>
        </w:rPr>
        <w:br/>
      </w:r>
      <w:r w:rsidRPr="005E12E5">
        <w:rPr>
          <w:rFonts w:asciiTheme="minorBidi" w:hAnsiTheme="minorBidi"/>
          <w:sz w:val="22"/>
          <w:lang w:val="en-US"/>
        </w:rPr>
        <w:br/>
        <w:t xml:space="preserve">Good administration therefore supports communication, safeguarding and accountability. If a </w:t>
      </w:r>
      <w:proofErr w:type="gramStart"/>
      <w:r w:rsidRPr="005E12E5">
        <w:rPr>
          <w:rFonts w:asciiTheme="minorBidi" w:hAnsiTheme="minorBidi"/>
          <w:sz w:val="22"/>
          <w:lang w:val="en-US"/>
        </w:rPr>
        <w:t>care worker notices</w:t>
      </w:r>
      <w:proofErr w:type="gramEnd"/>
      <w:r w:rsidRPr="005E12E5">
        <w:rPr>
          <w:rFonts w:asciiTheme="minorBidi" w:hAnsiTheme="minorBidi"/>
          <w:sz w:val="22"/>
          <w:lang w:val="en-US"/>
        </w:rPr>
        <w:t xml:space="preserve"> increased confusion but does not record or report it, other professionals may not know that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Thompson’s situation has changed. Accurate records create a reliable information trail and support continuity of care.</w:t>
      </w:r>
    </w:p>
    <w:p w14:paraId="2B008FF6" w14:textId="77777777" w:rsidR="008E3943" w:rsidRPr="00CD33A8" w:rsidRDefault="008E3943" w:rsidP="00CD33A8">
      <w:pPr>
        <w:tabs>
          <w:tab w:val="left" w:pos="6540"/>
        </w:tabs>
        <w:spacing w:line="360" w:lineRule="auto"/>
        <w:rPr>
          <w:rFonts w:asciiTheme="minorBidi" w:hAnsiTheme="minorBidi"/>
          <w:sz w:val="22"/>
        </w:rPr>
      </w:pPr>
    </w:p>
    <w:p w14:paraId="581C99BF" w14:textId="264B49DF" w:rsidR="00B87E75" w:rsidRPr="00CD33A8" w:rsidRDefault="004A736E" w:rsidP="005E12E5">
      <w:pPr>
        <w:pStyle w:val="Heading1"/>
        <w:rPr>
          <w:color w:val="171717" w:themeColor="background2" w:themeShade="1A"/>
        </w:rPr>
      </w:pPr>
      <w:bookmarkStart w:id="3" w:name="Page6"/>
      <w:bookmarkEnd w:id="3"/>
      <w:r w:rsidRPr="00CD33A8">
        <w:rPr>
          <w:color w:val="171717" w:themeColor="background2" w:themeShade="1A"/>
        </w:rPr>
        <w:t>4</w:t>
      </w:r>
      <w:r w:rsidR="00B87E75" w:rsidRPr="00CD33A8">
        <w:rPr>
          <w:color w:val="171717" w:themeColor="background2" w:themeShade="1A"/>
        </w:rPr>
        <w:t xml:space="preserve">. </w:t>
      </w:r>
      <w:r w:rsidR="008E3943">
        <w:rPr>
          <w:color w:val="171717" w:themeColor="background2" w:themeShade="1A"/>
        </w:rPr>
        <w:t>I</w:t>
      </w:r>
      <w:r w:rsidR="008E3943" w:rsidRPr="008E3943">
        <w:rPr>
          <w:color w:val="171717" w:themeColor="background2" w:themeShade="1A"/>
        </w:rPr>
        <w:t>mportance of working collaboratively</w:t>
      </w:r>
    </w:p>
    <w:p w14:paraId="47BCF2EA" w14:textId="77777777" w:rsidR="005E12E5" w:rsidRPr="005E12E5" w:rsidRDefault="005E12E5" w:rsidP="005E12E5">
      <w:pPr>
        <w:spacing w:line="360" w:lineRule="auto"/>
        <w:rPr>
          <w:rFonts w:ascii="Arial" w:hAnsi="Arial"/>
          <w:sz w:val="22"/>
          <w:lang w:val="en-US"/>
        </w:rPr>
      </w:pPr>
      <w:proofErr w:type="spellStart"/>
      <w:r w:rsidRPr="005E12E5">
        <w:rPr>
          <w:rFonts w:ascii="Arial" w:hAnsi="Arial"/>
          <w:sz w:val="22"/>
          <w:lang w:val="en-US"/>
        </w:rPr>
        <w:t>Mrs</w:t>
      </w:r>
      <w:proofErr w:type="spellEnd"/>
      <w:r w:rsidRPr="005E12E5">
        <w:rPr>
          <w:rFonts w:ascii="Arial" w:hAnsi="Arial"/>
          <w:sz w:val="22"/>
          <w:lang w:val="en-US"/>
        </w:rPr>
        <w:t xml:space="preserve"> Thompson’s needs involve both health and social care, so collaborative working is necessary. The GP, community nurse, domiciliary care workers, social care professionals and, where appropriate, family members can contribute different knowledge. Care workers may notice changes in her routine and </w:t>
      </w:r>
      <w:proofErr w:type="spellStart"/>
      <w:r w:rsidRPr="005E12E5">
        <w:rPr>
          <w:rFonts w:ascii="Arial" w:hAnsi="Arial"/>
          <w:sz w:val="22"/>
          <w:lang w:val="en-US"/>
        </w:rPr>
        <w:t>behaviour</w:t>
      </w:r>
      <w:proofErr w:type="spellEnd"/>
      <w:r w:rsidRPr="005E12E5">
        <w:rPr>
          <w:rFonts w:ascii="Arial" w:hAnsi="Arial"/>
          <w:sz w:val="22"/>
          <w:lang w:val="en-US"/>
        </w:rPr>
        <w:t>. The GP can review her medical condition and medication, while the community nurse can consider her recovery after pneumonia. Social care professionals can review whether her current support remains suitable.</w:t>
      </w:r>
      <w:r w:rsidRPr="005E12E5">
        <w:rPr>
          <w:rFonts w:ascii="Arial" w:hAnsi="Arial"/>
          <w:sz w:val="22"/>
          <w:lang w:val="en-US"/>
        </w:rPr>
        <w:br/>
      </w:r>
      <w:r w:rsidRPr="005E12E5">
        <w:rPr>
          <w:rFonts w:ascii="Arial" w:hAnsi="Arial"/>
          <w:sz w:val="22"/>
          <w:lang w:val="en-US"/>
        </w:rPr>
        <w:br/>
        <w:t xml:space="preserve">Effective collaboration depends on clear communication, accurate records, defined responsibilities and respect between professionals. NICE (2018) recommends coordinated care for people living with dementia, including a named professional responsible for coordinating care and a care plan reviewed with the person, family or carers and relevant professionals. This could be useful for </w:t>
      </w:r>
      <w:proofErr w:type="spellStart"/>
      <w:r w:rsidRPr="005E12E5">
        <w:rPr>
          <w:rFonts w:ascii="Arial" w:hAnsi="Arial"/>
          <w:sz w:val="22"/>
          <w:lang w:val="en-US"/>
        </w:rPr>
        <w:t>Mrs</w:t>
      </w:r>
      <w:proofErr w:type="spellEnd"/>
      <w:r w:rsidRPr="005E12E5">
        <w:rPr>
          <w:rFonts w:ascii="Arial" w:hAnsi="Arial"/>
          <w:sz w:val="22"/>
          <w:lang w:val="en-US"/>
        </w:rPr>
        <w:t xml:space="preserve"> Thompson because several concerns have occurred close together.</w:t>
      </w:r>
      <w:r w:rsidRPr="005E12E5">
        <w:rPr>
          <w:rFonts w:ascii="Arial" w:hAnsi="Arial"/>
          <w:sz w:val="22"/>
          <w:lang w:val="en-US"/>
        </w:rPr>
        <w:br/>
      </w:r>
      <w:r w:rsidRPr="005E12E5">
        <w:rPr>
          <w:rFonts w:ascii="Arial" w:hAnsi="Arial"/>
          <w:sz w:val="22"/>
          <w:lang w:val="en-US"/>
        </w:rPr>
        <w:br/>
        <w:t>There can be barriers to collaborative working. Different services may use separate systems, professionals may have different priorities, and information may not be passed on quickly. Regular reviews, clear referral routes and agreed responsibilities can reduce these gaps.</w:t>
      </w:r>
      <w:r w:rsidRPr="005E12E5">
        <w:rPr>
          <w:rFonts w:ascii="Arial" w:hAnsi="Arial"/>
          <w:sz w:val="22"/>
          <w:lang w:val="en-US"/>
        </w:rPr>
        <w:br/>
      </w:r>
      <w:r w:rsidRPr="005E12E5">
        <w:rPr>
          <w:rFonts w:ascii="Arial" w:hAnsi="Arial"/>
          <w:sz w:val="22"/>
          <w:lang w:val="en-US"/>
        </w:rPr>
        <w:br/>
        <w:t xml:space="preserve">The Care Act 2014 places wellbeing at the </w:t>
      </w:r>
      <w:proofErr w:type="spellStart"/>
      <w:r w:rsidRPr="005E12E5">
        <w:rPr>
          <w:rFonts w:ascii="Arial" w:hAnsi="Arial"/>
          <w:sz w:val="22"/>
          <w:lang w:val="en-US"/>
        </w:rPr>
        <w:t>centre</w:t>
      </w:r>
      <w:proofErr w:type="spellEnd"/>
      <w:r w:rsidRPr="005E12E5">
        <w:rPr>
          <w:rFonts w:ascii="Arial" w:hAnsi="Arial"/>
          <w:sz w:val="22"/>
          <w:lang w:val="en-US"/>
        </w:rPr>
        <w:t xml:space="preserve"> of adult social care and supports cooperation between relevant </w:t>
      </w:r>
      <w:proofErr w:type="spellStart"/>
      <w:r w:rsidRPr="005E12E5">
        <w:rPr>
          <w:rFonts w:ascii="Arial" w:hAnsi="Arial"/>
          <w:sz w:val="22"/>
          <w:lang w:val="en-US"/>
        </w:rPr>
        <w:t>organisations</w:t>
      </w:r>
      <w:proofErr w:type="spellEnd"/>
      <w:r w:rsidRPr="005E12E5">
        <w:rPr>
          <w:rFonts w:ascii="Arial" w:hAnsi="Arial"/>
          <w:sz w:val="22"/>
          <w:lang w:val="en-US"/>
        </w:rPr>
        <w:t xml:space="preserve">. For </w:t>
      </w:r>
      <w:proofErr w:type="spellStart"/>
      <w:r w:rsidRPr="005E12E5">
        <w:rPr>
          <w:rFonts w:ascii="Arial" w:hAnsi="Arial"/>
          <w:sz w:val="22"/>
          <w:lang w:val="en-US"/>
        </w:rPr>
        <w:t>Mrs</w:t>
      </w:r>
      <w:proofErr w:type="spellEnd"/>
      <w:r w:rsidRPr="005E12E5">
        <w:rPr>
          <w:rFonts w:ascii="Arial" w:hAnsi="Arial"/>
          <w:sz w:val="22"/>
          <w:lang w:val="en-US"/>
        </w:rPr>
        <w:t xml:space="preserve"> Thompson, wellbeing includes dignity, mental wellbeing, control over daily life, protection from abuse and neglect and suitable accommodation. A multi-agency review should consider whether her care package is still meeting these needs.</w:t>
      </w:r>
      <w:r w:rsidRPr="005E12E5">
        <w:rPr>
          <w:rFonts w:ascii="Arial" w:hAnsi="Arial"/>
          <w:sz w:val="22"/>
          <w:lang w:val="en-US"/>
        </w:rPr>
        <w:br/>
      </w:r>
      <w:r w:rsidRPr="005E12E5">
        <w:rPr>
          <w:rFonts w:ascii="Arial" w:hAnsi="Arial"/>
          <w:sz w:val="22"/>
          <w:lang w:val="en-US"/>
        </w:rPr>
        <w:lastRenderedPageBreak/>
        <w:br/>
        <w:t xml:space="preserve">Possible actions include reviewing medication support, increasing care visits, using medication prompts, checking the home environment or arranging community support. The least restrictive option should be considered first so that safety is improved without unnecessarily removing </w:t>
      </w:r>
      <w:proofErr w:type="spellStart"/>
      <w:r w:rsidRPr="005E12E5">
        <w:rPr>
          <w:rFonts w:ascii="Arial" w:hAnsi="Arial"/>
          <w:sz w:val="22"/>
          <w:lang w:val="en-US"/>
        </w:rPr>
        <w:t>Mrs</w:t>
      </w:r>
      <w:proofErr w:type="spellEnd"/>
      <w:r w:rsidRPr="005E12E5">
        <w:rPr>
          <w:rFonts w:ascii="Arial" w:hAnsi="Arial"/>
          <w:sz w:val="22"/>
          <w:lang w:val="en-US"/>
        </w:rPr>
        <w:t xml:space="preserve"> Thompson’s independence. Her own views should remain central wherever possible.</w:t>
      </w:r>
    </w:p>
    <w:p w14:paraId="49199231" w14:textId="77777777" w:rsidR="005E12E5" w:rsidRDefault="005E12E5" w:rsidP="005E12E5">
      <w:pPr>
        <w:pStyle w:val="Heading1"/>
        <w:rPr>
          <w:color w:val="171717" w:themeColor="background2" w:themeShade="1A"/>
        </w:rPr>
      </w:pPr>
    </w:p>
    <w:p w14:paraId="16FAF0EA" w14:textId="28BF2C77" w:rsidR="00B87E75" w:rsidRPr="00CD33A8" w:rsidRDefault="008E3943" w:rsidP="005E12E5">
      <w:pPr>
        <w:pStyle w:val="Heading1"/>
        <w:rPr>
          <w:color w:val="171717" w:themeColor="background2" w:themeShade="1A"/>
        </w:rPr>
      </w:pPr>
      <w:r>
        <w:rPr>
          <w:color w:val="171717" w:themeColor="background2" w:themeShade="1A"/>
        </w:rPr>
        <w:t>5</w:t>
      </w:r>
      <w:r w:rsidR="00B87E75" w:rsidRPr="00CD33A8">
        <w:rPr>
          <w:color w:val="171717" w:themeColor="background2" w:themeShade="1A"/>
        </w:rPr>
        <w:t>. Conclusion</w:t>
      </w:r>
      <w:r w:rsidR="00CD33A8">
        <w:rPr>
          <w:color w:val="171717" w:themeColor="background2" w:themeShade="1A"/>
        </w:rPr>
        <w:t xml:space="preserve"> </w:t>
      </w:r>
    </w:p>
    <w:p w14:paraId="424D35F2" w14:textId="77777777" w:rsidR="005E12E5" w:rsidRPr="005E12E5" w:rsidRDefault="005E12E5" w:rsidP="005E12E5">
      <w:pPr>
        <w:tabs>
          <w:tab w:val="left" w:pos="6540"/>
        </w:tabs>
        <w:spacing w:line="360" w:lineRule="auto"/>
        <w:rPr>
          <w:rFonts w:asciiTheme="minorBidi" w:hAnsiTheme="minorBidi"/>
          <w:sz w:val="22"/>
          <w:lang w:val="en-US"/>
        </w:rPr>
      </w:pP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Thompson’s case shows why communication, administration and collaborative working must be connected in health and social care. Her missed medication, increased confusion and incident outside suggest that her needs may be changing and should be reviewed rather than treated as separate events.</w:t>
      </w:r>
      <w:r w:rsidRPr="005E12E5">
        <w:rPr>
          <w:rFonts w:asciiTheme="minorBidi" w:hAnsiTheme="minorBidi"/>
          <w:sz w:val="22"/>
          <w:lang w:val="en-US"/>
        </w:rPr>
        <w:br/>
      </w:r>
      <w:r w:rsidRPr="005E12E5">
        <w:rPr>
          <w:rFonts w:asciiTheme="minorBidi" w:hAnsiTheme="minorBidi"/>
          <w:sz w:val="22"/>
          <w:lang w:val="en-US"/>
        </w:rPr>
        <w:br/>
        <w:t xml:space="preserve">Berlo’s (1960) SMCR model provides a useful framework by considering the source, message, channel and receiver. Applying these elements means professionals can adapt communication, use clear language and check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Thompson’s understanding. However, because the model is linear, it should be supported by person-</w:t>
      </w:r>
      <w:proofErr w:type="spellStart"/>
      <w:r w:rsidRPr="005E12E5">
        <w:rPr>
          <w:rFonts w:asciiTheme="minorBidi" w:hAnsiTheme="minorBidi"/>
          <w:sz w:val="22"/>
          <w:lang w:val="en-US"/>
        </w:rPr>
        <w:t>centred</w:t>
      </w:r>
      <w:proofErr w:type="spellEnd"/>
      <w:r w:rsidRPr="005E12E5">
        <w:rPr>
          <w:rFonts w:asciiTheme="minorBidi" w:hAnsiTheme="minorBidi"/>
          <w:sz w:val="22"/>
          <w:lang w:val="en-US"/>
        </w:rPr>
        <w:t xml:space="preserve"> practice and attention to feedback.</w:t>
      </w:r>
      <w:r w:rsidRPr="005E12E5">
        <w:rPr>
          <w:rFonts w:asciiTheme="minorBidi" w:hAnsiTheme="minorBidi"/>
          <w:sz w:val="22"/>
          <w:lang w:val="en-US"/>
        </w:rPr>
        <w:br/>
      </w:r>
      <w:r w:rsidRPr="005E12E5">
        <w:rPr>
          <w:rFonts w:asciiTheme="minorBidi" w:hAnsiTheme="minorBidi"/>
          <w:sz w:val="22"/>
          <w:lang w:val="en-US"/>
        </w:rPr>
        <w:br/>
        <w:t xml:space="preserve">Legislation provides further protection. The Equality Act 2010 supports fair treatment, the Mental Capacity Act 2005 protects decision-making rights, the Data Protection Act 2018 supports lawful information handling, and the Care Act 2014 promotes wellbeing and cooperation. Overall, a coordinated review should balance safety with independence. Clear communication, accurate records and effective teamwork can support informed decisions while respecting </w:t>
      </w:r>
      <w:proofErr w:type="spellStart"/>
      <w:r w:rsidRPr="005E12E5">
        <w:rPr>
          <w:rFonts w:asciiTheme="minorBidi" w:hAnsiTheme="minorBidi"/>
          <w:sz w:val="22"/>
          <w:lang w:val="en-US"/>
        </w:rPr>
        <w:t>Mrs</w:t>
      </w:r>
      <w:proofErr w:type="spellEnd"/>
      <w:r w:rsidRPr="005E12E5">
        <w:rPr>
          <w:rFonts w:asciiTheme="minorBidi" w:hAnsiTheme="minorBidi"/>
          <w:sz w:val="22"/>
          <w:lang w:val="en-US"/>
        </w:rPr>
        <w:t xml:space="preserve"> Thompson’s dignity, choices and wellbeing.</w:t>
      </w:r>
    </w:p>
    <w:p w14:paraId="61A723EE" w14:textId="77777777" w:rsidR="005E12E5" w:rsidRDefault="005E12E5" w:rsidP="005E12E5">
      <w:pPr>
        <w:tabs>
          <w:tab w:val="left" w:pos="6540"/>
        </w:tabs>
        <w:spacing w:line="360" w:lineRule="auto"/>
        <w:rPr>
          <w:rFonts w:asciiTheme="minorBidi" w:hAnsiTheme="minorBidi"/>
          <w:sz w:val="22"/>
          <w:lang w:val="en-US"/>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597FD84B" w:rsidR="00B87E75" w:rsidRDefault="00B87E75" w:rsidP="005E12E5">
      <w:pPr>
        <w:pStyle w:val="Heading1"/>
        <w:rPr>
          <w:color w:val="171717" w:themeColor="background2" w:themeShade="1A"/>
        </w:rPr>
      </w:pPr>
      <w:bookmarkStart w:id="4" w:name="Page9"/>
      <w:bookmarkEnd w:id="4"/>
      <w:r w:rsidRPr="00CD33A8">
        <w:rPr>
          <w:color w:val="171717" w:themeColor="background2" w:themeShade="1A"/>
        </w:rPr>
        <w:lastRenderedPageBreak/>
        <w:t>References</w:t>
      </w:r>
    </w:p>
    <w:p w14:paraId="142FE6E7" w14:textId="77777777" w:rsidR="005E12E5" w:rsidRPr="005E12E5" w:rsidRDefault="005E12E5" w:rsidP="005E12E5"/>
    <w:p w14:paraId="10649EEB" w14:textId="77777777" w:rsidR="005E12E5" w:rsidRDefault="005E12E5" w:rsidP="005E12E5">
      <w:pPr>
        <w:spacing w:line="360" w:lineRule="auto"/>
      </w:pPr>
      <w:r>
        <w:rPr>
          <w:rFonts w:ascii="Arial" w:hAnsi="Arial"/>
          <w:sz w:val="22"/>
        </w:rPr>
        <w:t>Berlo, D.K. (1960) The Process of Communication: An Introduction to Theory and Practice. New York: Holt, Rinehart and Winston.</w:t>
      </w:r>
    </w:p>
    <w:p w14:paraId="7F315603" w14:textId="77777777" w:rsidR="005E12E5" w:rsidRDefault="005E12E5" w:rsidP="005E12E5">
      <w:pPr>
        <w:spacing w:line="360" w:lineRule="auto"/>
      </w:pPr>
      <w:r>
        <w:rPr>
          <w:rFonts w:ascii="Arial" w:hAnsi="Arial"/>
          <w:sz w:val="22"/>
        </w:rPr>
        <w:t>Care Act 2014, c.23. Available at: https://www.legislation.gov.uk/ukpga/2014/23/contents (Accessed: 28 August 2026).</w:t>
      </w:r>
    </w:p>
    <w:p w14:paraId="22BDBD95" w14:textId="77777777" w:rsidR="005E12E5" w:rsidRDefault="005E12E5" w:rsidP="005E12E5">
      <w:pPr>
        <w:spacing w:line="360" w:lineRule="auto"/>
      </w:pPr>
      <w:r>
        <w:rPr>
          <w:rFonts w:ascii="Arial" w:hAnsi="Arial"/>
          <w:sz w:val="22"/>
        </w:rPr>
        <w:t>Data Protection Act 2018, c.12. Available at: https://www.legislation.gov.uk/ukpga/2018/12/contents (Accessed: 28 August 2026).</w:t>
      </w:r>
    </w:p>
    <w:p w14:paraId="641EC6C8" w14:textId="77777777" w:rsidR="005E12E5" w:rsidRDefault="005E12E5" w:rsidP="005E12E5">
      <w:pPr>
        <w:spacing w:line="360" w:lineRule="auto"/>
      </w:pPr>
      <w:r>
        <w:rPr>
          <w:rFonts w:ascii="Arial" w:hAnsi="Arial"/>
          <w:sz w:val="22"/>
        </w:rPr>
        <w:t>Department of Health (2007) Mental Capacity Act 2005: Code of Practice. London: The Stationery Office. Available at: https://www.gov.uk/government/publications/mental-capacity-act-code-of-practice (Accessed: 28 August 2026).</w:t>
      </w:r>
    </w:p>
    <w:p w14:paraId="0BBCD5B4" w14:textId="77777777" w:rsidR="005E12E5" w:rsidRDefault="005E12E5" w:rsidP="005E12E5">
      <w:pPr>
        <w:spacing w:line="360" w:lineRule="auto"/>
      </w:pPr>
      <w:r>
        <w:rPr>
          <w:rFonts w:ascii="Arial" w:hAnsi="Arial"/>
          <w:sz w:val="22"/>
        </w:rPr>
        <w:t>Equality Act 2010, c.15. Available at: https://www.legislation.gov.uk/ukpga/2010/15/contents (Accessed: 28 August 2026).</w:t>
      </w:r>
    </w:p>
    <w:p w14:paraId="665F1535" w14:textId="77777777" w:rsidR="005E12E5" w:rsidRDefault="005E12E5" w:rsidP="005E12E5">
      <w:pPr>
        <w:spacing w:line="360" w:lineRule="auto"/>
      </w:pPr>
      <w:r>
        <w:rPr>
          <w:rFonts w:ascii="Arial" w:hAnsi="Arial"/>
          <w:sz w:val="22"/>
        </w:rPr>
        <w:t xml:space="preserve">NICE (2018) Dementia: assessment, management and support for people living with dementia and their </w:t>
      </w:r>
      <w:proofErr w:type="spellStart"/>
      <w:r>
        <w:rPr>
          <w:rFonts w:ascii="Arial" w:hAnsi="Arial"/>
          <w:sz w:val="22"/>
        </w:rPr>
        <w:t>carers</w:t>
      </w:r>
      <w:proofErr w:type="spellEnd"/>
      <w:r>
        <w:rPr>
          <w:rFonts w:ascii="Arial" w:hAnsi="Arial"/>
          <w:sz w:val="22"/>
        </w:rPr>
        <w:t>. NICE guideline NG97. Available at: https://www.nice.org.uk/guidance/ng97 (Accessed: 28 August 2026).</w:t>
      </w:r>
    </w:p>
    <w:p w14:paraId="68BD82A5" w14:textId="77777777" w:rsidR="005E12E5" w:rsidRPr="00857FB8" w:rsidRDefault="005E12E5" w:rsidP="005E12E5">
      <w:pPr>
        <w:rPr>
          <w:b/>
          <w:bCs/>
          <w:sz w:val="32"/>
          <w:szCs w:val="32"/>
        </w:rPr>
      </w:pP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8D9F4" w14:textId="77777777" w:rsidR="00D17A5E" w:rsidRDefault="00D17A5E" w:rsidP="003E4ECF">
      <w:pPr>
        <w:spacing w:after="0" w:line="240" w:lineRule="auto"/>
      </w:pPr>
      <w:r>
        <w:separator/>
      </w:r>
    </w:p>
  </w:endnote>
  <w:endnote w:type="continuationSeparator" w:id="0">
    <w:p w14:paraId="0701B365" w14:textId="77777777" w:rsidR="00D17A5E" w:rsidRDefault="00D17A5E"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01D9D" w14:textId="77777777" w:rsidR="00D17A5E" w:rsidRDefault="00D17A5E" w:rsidP="003E4ECF">
      <w:pPr>
        <w:spacing w:after="0" w:line="240" w:lineRule="auto"/>
      </w:pPr>
      <w:r>
        <w:separator/>
      </w:r>
    </w:p>
  </w:footnote>
  <w:footnote w:type="continuationSeparator" w:id="0">
    <w:p w14:paraId="434CFFC5" w14:textId="77777777" w:rsidR="00D17A5E" w:rsidRDefault="00D17A5E"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47957"/>
    <w:rsid w:val="000572BF"/>
    <w:rsid w:val="00074402"/>
    <w:rsid w:val="00146B93"/>
    <w:rsid w:val="001C5324"/>
    <w:rsid w:val="001D7C03"/>
    <w:rsid w:val="00216C85"/>
    <w:rsid w:val="002224F5"/>
    <w:rsid w:val="0026393A"/>
    <w:rsid w:val="00273EDD"/>
    <w:rsid w:val="002C3965"/>
    <w:rsid w:val="002E62A0"/>
    <w:rsid w:val="00321C4C"/>
    <w:rsid w:val="00392BBC"/>
    <w:rsid w:val="003E4ECF"/>
    <w:rsid w:val="00482A8A"/>
    <w:rsid w:val="004A736E"/>
    <w:rsid w:val="005B1FB7"/>
    <w:rsid w:val="005E12E5"/>
    <w:rsid w:val="006660BC"/>
    <w:rsid w:val="006925AA"/>
    <w:rsid w:val="00725177"/>
    <w:rsid w:val="007A1B8D"/>
    <w:rsid w:val="00814A9E"/>
    <w:rsid w:val="008239FA"/>
    <w:rsid w:val="00854F3A"/>
    <w:rsid w:val="008E3943"/>
    <w:rsid w:val="0090040D"/>
    <w:rsid w:val="009D052C"/>
    <w:rsid w:val="009D1D1E"/>
    <w:rsid w:val="00A035FD"/>
    <w:rsid w:val="00AD23A0"/>
    <w:rsid w:val="00B54C31"/>
    <w:rsid w:val="00B87E75"/>
    <w:rsid w:val="00BE62EC"/>
    <w:rsid w:val="00CD33A8"/>
    <w:rsid w:val="00D17A5E"/>
    <w:rsid w:val="00D47A69"/>
    <w:rsid w:val="00DB4613"/>
    <w:rsid w:val="00DB5252"/>
    <w:rsid w:val="00E569FD"/>
    <w:rsid w:val="00E620E7"/>
    <w:rsid w:val="00EB0585"/>
    <w:rsid w:val="00EF10BB"/>
    <w:rsid w:val="00F575A9"/>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E12E5"/>
    <w:pPr>
      <w:keepNext/>
      <w:keepLines/>
      <w:spacing w:before="240" w:after="0" w:line="360" w:lineRule="auto"/>
      <w:outlineLvl w:val="0"/>
    </w:pPr>
    <w:rPr>
      <w:rFonts w:ascii="Arial" w:eastAsiaTheme="majorEastAsia" w:hAnsi="Arial"/>
      <w:bCs/>
      <w:color w:val="171717" w:themeColor="background2" w:themeShade="1A"/>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2E5"/>
    <w:rPr>
      <w:rFonts w:ascii="Arial" w:eastAsiaTheme="majorEastAsia" w:hAnsi="Arial"/>
      <w:bCs/>
      <w:color w:val="171717" w:themeColor="background2" w:themeShade="1A"/>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2E62A0"/>
    <w:rPr>
      <w:color w:val="0563C1" w:themeColor="hyperlink"/>
      <w:u w:val="single"/>
    </w:rPr>
  </w:style>
  <w:style w:type="character" w:styleId="UnresolvedMention">
    <w:name w:val="Unresolved Mention"/>
    <w:basedOn w:val="DefaultParagraphFont"/>
    <w:uiPriority w:val="99"/>
    <w:semiHidden/>
    <w:unhideWhenUsed/>
    <w:rsid w:val="00047957"/>
    <w:rPr>
      <w:color w:val="605E5C"/>
      <w:shd w:val="clear" w:color="auto" w:fill="E1DFDD"/>
    </w:rPr>
  </w:style>
  <w:style w:type="character" w:styleId="FollowedHyperlink">
    <w:name w:val="FollowedHyperlink"/>
    <w:basedOn w:val="DefaultParagraphFont"/>
    <w:uiPriority w:val="99"/>
    <w:semiHidden/>
    <w:unhideWhenUsed/>
    <w:rsid w:val="000479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1897</Words>
  <Characters>10813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Tosin Awodesu (2442948)</cp:lastModifiedBy>
  <cp:revision>2</cp:revision>
  <dcterms:created xsi:type="dcterms:W3CDTF">2026-08-28T12:59:00Z</dcterms:created>
  <dcterms:modified xsi:type="dcterms:W3CDTF">2026-08-28T12:59:00Z</dcterms:modified>
</cp:coreProperties>
</file>