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drawings/drawing1.xml" ContentType="application/vnd.openxmlformats-officedocument.drawingml.chartshap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b/>
          <w:color w:val="5B9BD5" w:themeColor="accent1"/>
          <w:lang w:val="en-GB"/>
        </w:rPr>
        <w:id w:val="-1591924401"/>
        <w:docPartObj>
          <w:docPartGallery w:val="Cover Pages"/>
          <w:docPartUnique/>
        </w:docPartObj>
      </w:sdtPr>
      <w:sdtEndPr>
        <w:rPr>
          <w:rFonts w:ascii="Arial" w:hAnsi="Arial" w:cs="Arial"/>
          <w:color w:val="auto"/>
          <w:sz w:val="24"/>
          <w:szCs w:val="24"/>
        </w:rPr>
      </w:sdtEndPr>
      <w:sdtContent>
        <w:p w14:paraId="1A6582EF" w14:textId="77777777" w:rsidR="00EF0703" w:rsidRPr="00FB1269" w:rsidRDefault="00EF0703">
          <w:pPr>
            <w:pStyle w:val="NoSpacing"/>
            <w:spacing w:before="1540" w:after="240"/>
            <w:jc w:val="center"/>
            <w:rPr>
              <w:b/>
              <w:color w:val="5B9BD5" w:themeColor="accent1"/>
            </w:rPr>
          </w:pPr>
          <w:r w:rsidRPr="00FB1269">
            <w:rPr>
              <w:b/>
              <w:noProof/>
              <w:color w:val="5B9BD5" w:themeColor="accent1"/>
            </w:rPr>
            <w:drawing>
              <wp:inline distT="0" distB="0" distL="0" distR="0" wp14:anchorId="4B369AD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i/>
              <w:sz w:val="40"/>
              <w:szCs w:val="40"/>
            </w:rPr>
            <w:alias w:val="Title"/>
            <w:tag w:val=""/>
            <w:id w:val="1735040861"/>
            <w:placeholder>
              <w:docPart w:val="474955919586460BA9F0996AD4D343A9"/>
            </w:placeholder>
            <w:dataBinding w:prefixMappings="xmlns:ns0='http://purl.org/dc/elements/1.1/' xmlns:ns1='http://schemas.openxmlformats.org/package/2006/metadata/core-properties' " w:xpath="/ns1:coreProperties[1]/ns0:title[1]" w:storeItemID="{6C3C8BC8-F283-45AE-878A-BAB7291924A1}"/>
            <w:text/>
          </w:sdtPr>
          <w:sdtContent>
            <w:p w14:paraId="435CD00F" w14:textId="747677BB" w:rsidR="00EF0703" w:rsidRPr="00FB1269" w:rsidRDefault="00C13F0C">
              <w:pPr>
                <w:pStyle w:val="NoSpacing"/>
                <w:pBdr>
                  <w:top w:val="single" w:sz="6" w:space="6" w:color="5B9BD5" w:themeColor="accent1"/>
                  <w:bottom w:val="single" w:sz="6" w:space="6" w:color="5B9BD5" w:themeColor="accent1"/>
                </w:pBdr>
                <w:spacing w:after="240"/>
                <w:jc w:val="center"/>
                <w:rPr>
                  <w:rFonts w:ascii="Arial" w:eastAsiaTheme="majorEastAsia" w:hAnsi="Arial" w:cs="Arial"/>
                  <w:b/>
                  <w:i/>
                  <w:caps/>
                  <w:color w:val="5B9BD5" w:themeColor="accent1"/>
                  <w:sz w:val="40"/>
                  <w:szCs w:val="40"/>
                </w:rPr>
              </w:pPr>
              <w:r>
                <w:rPr>
                  <w:rFonts w:ascii="Arial" w:hAnsi="Arial" w:cs="Arial"/>
                  <w:b/>
                  <w:i/>
                  <w:sz w:val="40"/>
                  <w:szCs w:val="40"/>
                </w:rPr>
                <w:t>The Seacrest Lodge UK</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5AA6B9FF" w14:textId="606F9F11" w:rsidR="00EF0703" w:rsidRDefault="00C13F0C">
              <w:pPr>
                <w:pStyle w:val="NoSpacing"/>
                <w:jc w:val="center"/>
                <w:rPr>
                  <w:color w:val="5B9BD5" w:themeColor="accent1"/>
                  <w:sz w:val="28"/>
                  <w:szCs w:val="28"/>
                </w:rPr>
              </w:pPr>
              <w:r>
                <w:rPr>
                  <w:color w:val="5B9BD5" w:themeColor="accent1"/>
                  <w:sz w:val="28"/>
                  <w:szCs w:val="28"/>
                </w:rPr>
                <w:t xml:space="preserve">     </w:t>
              </w:r>
            </w:p>
          </w:sdtContent>
        </w:sdt>
        <w:p w14:paraId="493A50B7" w14:textId="77777777" w:rsidR="00EF0703" w:rsidRDefault="00000000">
          <w:pPr>
            <w:pStyle w:val="NoSpacing"/>
            <w:spacing w:before="480"/>
            <w:jc w:val="center"/>
            <w:rPr>
              <w:color w:val="5B9BD5" w:themeColor="accent1"/>
            </w:rPr>
          </w:pPr>
          <w:r>
            <w:rPr>
              <w:noProof/>
              <w:color w:val="5B9BD5" w:themeColor="accent1"/>
              <w:lang w:val="en-GB" w:eastAsia="en-GB"/>
            </w:rPr>
            <w:pict w14:anchorId="08DF5AB7">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C247E34" w14:textId="77777777" w:rsidR="00EF0703" w:rsidRDefault="00EF0703">
                      <w:pPr>
                        <w:pStyle w:val="NoSpacing"/>
                        <w:jc w:val="center"/>
                        <w:rPr>
                          <w:color w:val="5B9BD5" w:themeColor="accent1"/>
                        </w:rPr>
                      </w:pPr>
                    </w:p>
                  </w:txbxContent>
                </v:textbox>
                <w10:wrap anchorx="margin" anchory="page"/>
              </v:shape>
            </w:pict>
          </w:r>
          <w:r w:rsidR="00EF0703">
            <w:rPr>
              <w:noProof/>
              <w:color w:val="5B9BD5" w:themeColor="accent1"/>
            </w:rPr>
            <w:drawing>
              <wp:inline distT="0" distB="0" distL="0" distR="0" wp14:anchorId="7BA7D6D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D375798" w14:textId="77777777" w:rsidR="00EF0703" w:rsidRDefault="00000000">
          <w:pPr>
            <w:rPr>
              <w:rFonts w:ascii="Arial" w:hAnsi="Arial" w:cs="Arial"/>
              <w:b/>
              <w:sz w:val="24"/>
              <w:szCs w:val="24"/>
            </w:rPr>
          </w:pPr>
          <w:r>
            <w:rPr>
              <w:rFonts w:ascii="Arial" w:hAnsi="Arial" w:cs="Arial"/>
              <w:b/>
              <w:noProof/>
              <w:sz w:val="24"/>
              <w:szCs w:val="24"/>
              <w:lang w:eastAsia="en-GB"/>
            </w:rPr>
            <w:pict w14:anchorId="70E94D44">
              <v:shape id="Text Box 8" o:spid="_x0000_s1027" type="#_x0000_t202" style="position:absolute;margin-left:132pt;margin-top:313.8pt;width:198pt;height:106.2pt;z-index:2516623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" fillcolor="white [3201]" stroked="f" strokeweight=".5pt">
                <v:textbox>
                  <w:txbxContent>
                    <w:p w14:paraId="1BDBAE8F" w14:textId="6C649305" w:rsidR="00EA07D7" w:rsidRDefault="00EA07D7">
                      <w:r>
                        <w:t>Submitted to:</w:t>
                      </w:r>
                      <w:r w:rsidR="00C13F0C">
                        <w:t xml:space="preserve"> Tristan Hawkins</w:t>
                      </w:r>
                    </w:p>
                    <w:p w14:paraId="55C46669" w14:textId="364A23A5" w:rsidR="00EA07D7" w:rsidRDefault="00EA07D7">
                      <w:r>
                        <w:t>Submitted by</w:t>
                      </w:r>
                      <w:r w:rsidR="002432C3">
                        <w:t>: Khaleda Hayder</w:t>
                      </w:r>
                      <w:r w:rsidR="00C13F0C">
                        <w:t xml:space="preserve"> 2214476</w:t>
                      </w:r>
                    </w:p>
                    <w:p w14:paraId="6A99A867" w14:textId="3D04E754" w:rsidR="00EA07D7" w:rsidRDefault="00EA07D7">
                      <w:r>
                        <w:t>Module Code:</w:t>
                      </w:r>
                      <w:r w:rsidR="00C13F0C">
                        <w:t xml:space="preserve"> BMIH5007</w:t>
                      </w:r>
                    </w:p>
                    <w:p w14:paraId="23DE6497" w14:textId="3C0B376A" w:rsidR="00EA07D7" w:rsidRDefault="00EA07D7">
                      <w:r>
                        <w:t>Module Title</w:t>
                      </w:r>
                      <w:r w:rsidR="00C13F0C">
                        <w:t>: Financial Management</w:t>
                      </w:r>
                    </w:p>
                  </w:txbxContent>
                </v:textbox>
              </v:shape>
            </w:pict>
          </w:r>
          <w:r w:rsidR="00EF0703">
            <w:rPr>
              <w:rFonts w:ascii="Arial" w:hAnsi="Arial" w:cs="Arial"/>
              <w:b/>
              <w:sz w:val="24"/>
              <w:szCs w:val="24"/>
            </w:rPr>
            <w:br w:type="page"/>
          </w:r>
        </w:p>
        <w:p w14:paraId="2F283744" w14:textId="77777777" w:rsidR="00DD7748" w:rsidRDefault="00000000">
          <w:pPr>
            <w:rPr>
              <w:rFonts w:ascii="Arial" w:hAnsi="Arial" w:cs="Arial"/>
              <w:b/>
              <w:sz w:val="24"/>
              <w:szCs w:val="24"/>
            </w:rPr>
          </w:pPr>
        </w:p>
      </w:sdtContent>
    </w:sdt>
    <w:sdt>
      <w:sdtPr>
        <w:rPr>
          <w:rFonts w:asciiTheme="minorHAnsi" w:eastAsiaTheme="minorHAnsi" w:hAnsiTheme="minorHAnsi" w:cstheme="minorBidi"/>
          <w:color w:val="auto"/>
          <w:sz w:val="22"/>
          <w:szCs w:val="22"/>
          <w:lang w:val="en-GB"/>
        </w:rPr>
        <w:id w:val="-1162315405"/>
        <w:docPartObj>
          <w:docPartGallery w:val="Table of Contents"/>
          <w:docPartUnique/>
        </w:docPartObj>
      </w:sdtPr>
      <w:sdtEndPr>
        <w:rPr>
          <w:rFonts w:ascii="Arial" w:hAnsi="Arial"/>
          <w:b/>
          <w:bCs/>
          <w:noProof/>
          <w:sz w:val="24"/>
        </w:rPr>
      </w:sdtEndPr>
      <w:sdtContent>
        <w:p w14:paraId="34DCE566" w14:textId="77777777" w:rsidR="00EF0703" w:rsidRPr="00257C52" w:rsidRDefault="00EF0703" w:rsidP="00A6591E">
          <w:pPr>
            <w:pStyle w:val="TOCHeading"/>
          </w:pPr>
          <w:r w:rsidRPr="00257C52">
            <w:t>Contents</w:t>
          </w:r>
        </w:p>
        <w:p w14:paraId="19594EA7" w14:textId="77777777" w:rsidR="00257C52" w:rsidRPr="00257C52" w:rsidRDefault="0098715C">
          <w:pPr>
            <w:pStyle w:val="TOC1"/>
            <w:tabs>
              <w:tab w:val="right" w:leader="dot" w:pos="9016"/>
            </w:tabs>
            <w:rPr>
              <w:rFonts w:ascii="Arial" w:eastAsiaTheme="minorEastAsia" w:hAnsi="Arial" w:cs="Arial"/>
              <w:noProof/>
              <w:sz w:val="24"/>
              <w:szCs w:val="24"/>
              <w:lang w:eastAsia="en-GB"/>
            </w:rPr>
          </w:pPr>
          <w:r w:rsidRPr="00257C52">
            <w:rPr>
              <w:rFonts w:ascii="Arial" w:hAnsi="Arial" w:cs="Arial"/>
              <w:sz w:val="24"/>
              <w:szCs w:val="24"/>
            </w:rPr>
            <w:fldChar w:fldCharType="begin"/>
          </w:r>
          <w:r w:rsidR="00EF0703" w:rsidRPr="00257C52">
            <w:rPr>
              <w:rFonts w:ascii="Arial" w:hAnsi="Arial" w:cs="Arial"/>
              <w:sz w:val="24"/>
              <w:szCs w:val="24"/>
            </w:rPr>
            <w:instrText xml:space="preserve"> TOC \o "1-3" \h \z \u </w:instrText>
          </w:r>
          <w:r w:rsidRPr="00257C52">
            <w:rPr>
              <w:rFonts w:ascii="Arial" w:hAnsi="Arial" w:cs="Arial"/>
              <w:sz w:val="24"/>
              <w:szCs w:val="24"/>
            </w:rPr>
            <w:fldChar w:fldCharType="separate"/>
          </w:r>
          <w:hyperlink w:anchor="_Toc158680906" w:history="1">
            <w:r w:rsidR="00257C52" w:rsidRPr="00257C52">
              <w:rPr>
                <w:rStyle w:val="Hyperlink"/>
                <w:rFonts w:ascii="Arial" w:hAnsi="Arial" w:cs="Arial"/>
                <w:noProof/>
                <w:sz w:val="24"/>
                <w:szCs w:val="24"/>
              </w:rPr>
              <w:t>Executive Summary</w:t>
            </w:r>
            <w:r w:rsidR="00257C52" w:rsidRPr="00257C52">
              <w:rPr>
                <w:rFonts w:ascii="Arial" w:hAnsi="Arial" w:cs="Arial"/>
                <w:noProof/>
                <w:webHidden/>
                <w:sz w:val="24"/>
                <w:szCs w:val="24"/>
              </w:rPr>
              <w:tab/>
            </w:r>
            <w:r w:rsidRPr="00257C52">
              <w:rPr>
                <w:rFonts w:ascii="Arial" w:hAnsi="Arial" w:cs="Arial"/>
                <w:noProof/>
                <w:webHidden/>
                <w:sz w:val="24"/>
                <w:szCs w:val="24"/>
              </w:rPr>
              <w:fldChar w:fldCharType="begin"/>
            </w:r>
            <w:r w:rsidR="00257C52" w:rsidRPr="00257C52">
              <w:rPr>
                <w:rFonts w:ascii="Arial" w:hAnsi="Arial" w:cs="Arial"/>
                <w:noProof/>
                <w:webHidden/>
                <w:sz w:val="24"/>
                <w:szCs w:val="24"/>
              </w:rPr>
              <w:instrText xml:space="preserve"> PAGEREF _Toc158680906 \h </w:instrText>
            </w:r>
            <w:r w:rsidRPr="00257C52">
              <w:rPr>
                <w:rFonts w:ascii="Arial" w:hAnsi="Arial" w:cs="Arial"/>
                <w:noProof/>
                <w:webHidden/>
                <w:sz w:val="24"/>
                <w:szCs w:val="24"/>
              </w:rPr>
            </w:r>
            <w:r w:rsidRPr="00257C52">
              <w:rPr>
                <w:rFonts w:ascii="Arial" w:hAnsi="Arial" w:cs="Arial"/>
                <w:noProof/>
                <w:webHidden/>
                <w:sz w:val="24"/>
                <w:szCs w:val="24"/>
              </w:rPr>
              <w:fldChar w:fldCharType="separate"/>
            </w:r>
            <w:r w:rsidR="00257C52" w:rsidRPr="00257C52">
              <w:rPr>
                <w:rFonts w:ascii="Arial" w:hAnsi="Arial" w:cs="Arial"/>
                <w:noProof/>
                <w:webHidden/>
                <w:sz w:val="24"/>
                <w:szCs w:val="24"/>
              </w:rPr>
              <w:t>2</w:t>
            </w:r>
            <w:r w:rsidRPr="00257C52">
              <w:rPr>
                <w:rFonts w:ascii="Arial" w:hAnsi="Arial" w:cs="Arial"/>
                <w:noProof/>
                <w:webHidden/>
                <w:sz w:val="24"/>
                <w:szCs w:val="24"/>
              </w:rPr>
              <w:fldChar w:fldCharType="end"/>
            </w:r>
          </w:hyperlink>
        </w:p>
        <w:p w14:paraId="122B12EB" w14:textId="77777777" w:rsidR="00257C52" w:rsidRPr="00257C52" w:rsidRDefault="00000000">
          <w:pPr>
            <w:pStyle w:val="TOC1"/>
            <w:tabs>
              <w:tab w:val="right" w:leader="dot" w:pos="9016"/>
            </w:tabs>
            <w:rPr>
              <w:rFonts w:ascii="Arial" w:eastAsiaTheme="minorEastAsia" w:hAnsi="Arial" w:cs="Arial"/>
              <w:noProof/>
              <w:sz w:val="24"/>
              <w:szCs w:val="24"/>
              <w:lang w:eastAsia="en-GB"/>
            </w:rPr>
          </w:pPr>
          <w:hyperlink w:anchor="_Toc158680907" w:history="1">
            <w:r w:rsidR="00257C52" w:rsidRPr="00257C52">
              <w:rPr>
                <w:rStyle w:val="Hyperlink"/>
                <w:rFonts w:ascii="Arial" w:hAnsi="Arial" w:cs="Arial"/>
                <w:noProof/>
                <w:sz w:val="24"/>
                <w:szCs w:val="24"/>
              </w:rPr>
              <w:t>Introduction:</w:t>
            </w:r>
            <w:r w:rsidR="00257C52" w:rsidRPr="00257C52">
              <w:rPr>
                <w:rFonts w:ascii="Arial" w:hAnsi="Arial" w:cs="Arial"/>
                <w:noProof/>
                <w:webHidden/>
                <w:sz w:val="24"/>
                <w:szCs w:val="24"/>
              </w:rPr>
              <w:tab/>
            </w:r>
            <w:r w:rsidR="0098715C" w:rsidRPr="00257C52">
              <w:rPr>
                <w:rFonts w:ascii="Arial" w:hAnsi="Arial" w:cs="Arial"/>
                <w:noProof/>
                <w:webHidden/>
                <w:sz w:val="24"/>
                <w:szCs w:val="24"/>
              </w:rPr>
              <w:fldChar w:fldCharType="begin"/>
            </w:r>
            <w:r w:rsidR="00257C52" w:rsidRPr="00257C52">
              <w:rPr>
                <w:rFonts w:ascii="Arial" w:hAnsi="Arial" w:cs="Arial"/>
                <w:noProof/>
                <w:webHidden/>
                <w:sz w:val="24"/>
                <w:szCs w:val="24"/>
              </w:rPr>
              <w:instrText xml:space="preserve"> PAGEREF _Toc158680907 \h </w:instrText>
            </w:r>
            <w:r w:rsidR="0098715C" w:rsidRPr="00257C52">
              <w:rPr>
                <w:rFonts w:ascii="Arial" w:hAnsi="Arial" w:cs="Arial"/>
                <w:noProof/>
                <w:webHidden/>
                <w:sz w:val="24"/>
                <w:szCs w:val="24"/>
              </w:rPr>
            </w:r>
            <w:r w:rsidR="0098715C" w:rsidRPr="00257C52">
              <w:rPr>
                <w:rFonts w:ascii="Arial" w:hAnsi="Arial" w:cs="Arial"/>
                <w:noProof/>
                <w:webHidden/>
                <w:sz w:val="24"/>
                <w:szCs w:val="24"/>
              </w:rPr>
              <w:fldChar w:fldCharType="separate"/>
            </w:r>
            <w:r w:rsidR="00257C52" w:rsidRPr="00257C52">
              <w:rPr>
                <w:rFonts w:ascii="Arial" w:hAnsi="Arial" w:cs="Arial"/>
                <w:noProof/>
                <w:webHidden/>
                <w:sz w:val="24"/>
                <w:szCs w:val="24"/>
              </w:rPr>
              <w:t>3</w:t>
            </w:r>
            <w:r w:rsidR="0098715C" w:rsidRPr="00257C52">
              <w:rPr>
                <w:rFonts w:ascii="Arial" w:hAnsi="Arial" w:cs="Arial"/>
                <w:noProof/>
                <w:webHidden/>
                <w:sz w:val="24"/>
                <w:szCs w:val="24"/>
              </w:rPr>
              <w:fldChar w:fldCharType="end"/>
            </w:r>
          </w:hyperlink>
        </w:p>
        <w:p w14:paraId="19818855" w14:textId="77777777" w:rsidR="00257C52" w:rsidRPr="00257C52" w:rsidRDefault="00000000">
          <w:pPr>
            <w:pStyle w:val="TOC1"/>
            <w:tabs>
              <w:tab w:val="right" w:leader="dot" w:pos="9016"/>
            </w:tabs>
            <w:rPr>
              <w:rFonts w:ascii="Arial" w:eastAsiaTheme="minorEastAsia" w:hAnsi="Arial" w:cs="Arial"/>
              <w:noProof/>
              <w:sz w:val="24"/>
              <w:szCs w:val="24"/>
              <w:lang w:eastAsia="en-GB"/>
            </w:rPr>
          </w:pPr>
          <w:hyperlink w:anchor="_Toc158680908" w:history="1">
            <w:r w:rsidR="00257C52" w:rsidRPr="00257C52">
              <w:rPr>
                <w:rStyle w:val="Hyperlink"/>
                <w:rFonts w:ascii="Arial" w:hAnsi="Arial" w:cs="Arial"/>
                <w:noProof/>
                <w:sz w:val="24"/>
                <w:szCs w:val="24"/>
              </w:rPr>
              <w:t>Financial Performance</w:t>
            </w:r>
            <w:r w:rsidR="00257C52" w:rsidRPr="00257C52">
              <w:rPr>
                <w:rFonts w:ascii="Arial" w:hAnsi="Arial" w:cs="Arial"/>
                <w:noProof/>
                <w:webHidden/>
                <w:sz w:val="24"/>
                <w:szCs w:val="24"/>
              </w:rPr>
              <w:tab/>
            </w:r>
            <w:r w:rsidR="0098715C" w:rsidRPr="00257C52">
              <w:rPr>
                <w:rFonts w:ascii="Arial" w:hAnsi="Arial" w:cs="Arial"/>
                <w:noProof/>
                <w:webHidden/>
                <w:sz w:val="24"/>
                <w:szCs w:val="24"/>
              </w:rPr>
              <w:fldChar w:fldCharType="begin"/>
            </w:r>
            <w:r w:rsidR="00257C52" w:rsidRPr="00257C52">
              <w:rPr>
                <w:rFonts w:ascii="Arial" w:hAnsi="Arial" w:cs="Arial"/>
                <w:noProof/>
                <w:webHidden/>
                <w:sz w:val="24"/>
                <w:szCs w:val="24"/>
              </w:rPr>
              <w:instrText xml:space="preserve"> PAGEREF _Toc158680908 \h </w:instrText>
            </w:r>
            <w:r w:rsidR="0098715C" w:rsidRPr="00257C52">
              <w:rPr>
                <w:rFonts w:ascii="Arial" w:hAnsi="Arial" w:cs="Arial"/>
                <w:noProof/>
                <w:webHidden/>
                <w:sz w:val="24"/>
                <w:szCs w:val="24"/>
              </w:rPr>
            </w:r>
            <w:r w:rsidR="0098715C" w:rsidRPr="00257C52">
              <w:rPr>
                <w:rFonts w:ascii="Arial" w:hAnsi="Arial" w:cs="Arial"/>
                <w:noProof/>
                <w:webHidden/>
                <w:sz w:val="24"/>
                <w:szCs w:val="24"/>
              </w:rPr>
              <w:fldChar w:fldCharType="separate"/>
            </w:r>
            <w:r w:rsidR="00257C52" w:rsidRPr="00257C52">
              <w:rPr>
                <w:rFonts w:ascii="Arial" w:hAnsi="Arial" w:cs="Arial"/>
                <w:noProof/>
                <w:webHidden/>
                <w:sz w:val="24"/>
                <w:szCs w:val="24"/>
              </w:rPr>
              <w:t>3</w:t>
            </w:r>
            <w:r w:rsidR="0098715C" w:rsidRPr="00257C52">
              <w:rPr>
                <w:rFonts w:ascii="Arial" w:hAnsi="Arial" w:cs="Arial"/>
                <w:noProof/>
                <w:webHidden/>
                <w:sz w:val="24"/>
                <w:szCs w:val="24"/>
              </w:rPr>
              <w:fldChar w:fldCharType="end"/>
            </w:r>
          </w:hyperlink>
        </w:p>
        <w:p w14:paraId="1957D8E2" w14:textId="77777777" w:rsidR="00257C52" w:rsidRPr="00257C52" w:rsidRDefault="00000000">
          <w:pPr>
            <w:pStyle w:val="TOC2"/>
            <w:tabs>
              <w:tab w:val="right" w:leader="dot" w:pos="9016"/>
            </w:tabs>
            <w:rPr>
              <w:rFonts w:ascii="Arial" w:eastAsiaTheme="minorEastAsia" w:hAnsi="Arial" w:cs="Arial"/>
              <w:noProof/>
              <w:sz w:val="24"/>
              <w:szCs w:val="24"/>
              <w:lang w:eastAsia="en-GB"/>
            </w:rPr>
          </w:pPr>
          <w:hyperlink w:anchor="_Toc158680909" w:history="1">
            <w:r w:rsidR="00257C52" w:rsidRPr="00257C52">
              <w:rPr>
                <w:rStyle w:val="Hyperlink"/>
                <w:rFonts w:ascii="Arial" w:hAnsi="Arial" w:cs="Arial"/>
                <w:noProof/>
                <w:sz w:val="24"/>
                <w:szCs w:val="24"/>
              </w:rPr>
              <w:t>Income Statement</w:t>
            </w:r>
            <w:r w:rsidR="00257C52" w:rsidRPr="00257C52">
              <w:rPr>
                <w:rFonts w:ascii="Arial" w:hAnsi="Arial" w:cs="Arial"/>
                <w:noProof/>
                <w:webHidden/>
                <w:sz w:val="24"/>
                <w:szCs w:val="24"/>
              </w:rPr>
              <w:tab/>
            </w:r>
            <w:r w:rsidR="0098715C" w:rsidRPr="00257C52">
              <w:rPr>
                <w:rFonts w:ascii="Arial" w:hAnsi="Arial" w:cs="Arial"/>
                <w:noProof/>
                <w:webHidden/>
                <w:sz w:val="24"/>
                <w:szCs w:val="24"/>
              </w:rPr>
              <w:fldChar w:fldCharType="begin"/>
            </w:r>
            <w:r w:rsidR="00257C52" w:rsidRPr="00257C52">
              <w:rPr>
                <w:rFonts w:ascii="Arial" w:hAnsi="Arial" w:cs="Arial"/>
                <w:noProof/>
                <w:webHidden/>
                <w:sz w:val="24"/>
                <w:szCs w:val="24"/>
              </w:rPr>
              <w:instrText xml:space="preserve"> PAGEREF _Toc158680909 \h </w:instrText>
            </w:r>
            <w:r w:rsidR="0098715C" w:rsidRPr="00257C52">
              <w:rPr>
                <w:rFonts w:ascii="Arial" w:hAnsi="Arial" w:cs="Arial"/>
                <w:noProof/>
                <w:webHidden/>
                <w:sz w:val="24"/>
                <w:szCs w:val="24"/>
              </w:rPr>
            </w:r>
            <w:r w:rsidR="0098715C" w:rsidRPr="00257C52">
              <w:rPr>
                <w:rFonts w:ascii="Arial" w:hAnsi="Arial" w:cs="Arial"/>
                <w:noProof/>
                <w:webHidden/>
                <w:sz w:val="24"/>
                <w:szCs w:val="24"/>
              </w:rPr>
              <w:fldChar w:fldCharType="separate"/>
            </w:r>
            <w:r w:rsidR="00257C52" w:rsidRPr="00257C52">
              <w:rPr>
                <w:rFonts w:ascii="Arial" w:hAnsi="Arial" w:cs="Arial"/>
                <w:noProof/>
                <w:webHidden/>
                <w:sz w:val="24"/>
                <w:szCs w:val="24"/>
              </w:rPr>
              <w:t>3</w:t>
            </w:r>
            <w:r w:rsidR="0098715C" w:rsidRPr="00257C52">
              <w:rPr>
                <w:rFonts w:ascii="Arial" w:hAnsi="Arial" w:cs="Arial"/>
                <w:noProof/>
                <w:webHidden/>
                <w:sz w:val="24"/>
                <w:szCs w:val="24"/>
              </w:rPr>
              <w:fldChar w:fldCharType="end"/>
            </w:r>
          </w:hyperlink>
        </w:p>
        <w:p w14:paraId="5A280BD3" w14:textId="77777777" w:rsidR="00257C52" w:rsidRPr="00257C52" w:rsidRDefault="00000000">
          <w:pPr>
            <w:pStyle w:val="TOC2"/>
            <w:tabs>
              <w:tab w:val="right" w:leader="dot" w:pos="9016"/>
            </w:tabs>
            <w:rPr>
              <w:rFonts w:ascii="Arial" w:eastAsiaTheme="minorEastAsia" w:hAnsi="Arial" w:cs="Arial"/>
              <w:noProof/>
              <w:sz w:val="24"/>
              <w:szCs w:val="24"/>
              <w:lang w:eastAsia="en-GB"/>
            </w:rPr>
          </w:pPr>
          <w:hyperlink w:anchor="_Toc158680910" w:history="1">
            <w:r w:rsidR="00257C52" w:rsidRPr="00257C52">
              <w:rPr>
                <w:rStyle w:val="Hyperlink"/>
                <w:rFonts w:ascii="Arial" w:hAnsi="Arial" w:cs="Arial"/>
                <w:noProof/>
                <w:sz w:val="24"/>
                <w:szCs w:val="24"/>
              </w:rPr>
              <w:t>Balance Sheet</w:t>
            </w:r>
            <w:r w:rsidR="00257C52" w:rsidRPr="00257C52">
              <w:rPr>
                <w:rFonts w:ascii="Arial" w:hAnsi="Arial" w:cs="Arial"/>
                <w:noProof/>
                <w:webHidden/>
                <w:sz w:val="24"/>
                <w:szCs w:val="24"/>
              </w:rPr>
              <w:tab/>
            </w:r>
            <w:r w:rsidR="0098715C" w:rsidRPr="00257C52">
              <w:rPr>
                <w:rFonts w:ascii="Arial" w:hAnsi="Arial" w:cs="Arial"/>
                <w:noProof/>
                <w:webHidden/>
                <w:sz w:val="24"/>
                <w:szCs w:val="24"/>
              </w:rPr>
              <w:fldChar w:fldCharType="begin"/>
            </w:r>
            <w:r w:rsidR="00257C52" w:rsidRPr="00257C52">
              <w:rPr>
                <w:rFonts w:ascii="Arial" w:hAnsi="Arial" w:cs="Arial"/>
                <w:noProof/>
                <w:webHidden/>
                <w:sz w:val="24"/>
                <w:szCs w:val="24"/>
              </w:rPr>
              <w:instrText xml:space="preserve"> PAGEREF _Toc158680910 \h </w:instrText>
            </w:r>
            <w:r w:rsidR="0098715C" w:rsidRPr="00257C52">
              <w:rPr>
                <w:rFonts w:ascii="Arial" w:hAnsi="Arial" w:cs="Arial"/>
                <w:noProof/>
                <w:webHidden/>
                <w:sz w:val="24"/>
                <w:szCs w:val="24"/>
              </w:rPr>
            </w:r>
            <w:r w:rsidR="0098715C" w:rsidRPr="00257C52">
              <w:rPr>
                <w:rFonts w:ascii="Arial" w:hAnsi="Arial" w:cs="Arial"/>
                <w:noProof/>
                <w:webHidden/>
                <w:sz w:val="24"/>
                <w:szCs w:val="24"/>
              </w:rPr>
              <w:fldChar w:fldCharType="separate"/>
            </w:r>
            <w:r w:rsidR="00257C52" w:rsidRPr="00257C52">
              <w:rPr>
                <w:rFonts w:ascii="Arial" w:hAnsi="Arial" w:cs="Arial"/>
                <w:noProof/>
                <w:webHidden/>
                <w:sz w:val="24"/>
                <w:szCs w:val="24"/>
              </w:rPr>
              <w:t>4</w:t>
            </w:r>
            <w:r w:rsidR="0098715C" w:rsidRPr="00257C52">
              <w:rPr>
                <w:rFonts w:ascii="Arial" w:hAnsi="Arial" w:cs="Arial"/>
                <w:noProof/>
                <w:webHidden/>
                <w:sz w:val="24"/>
                <w:szCs w:val="24"/>
              </w:rPr>
              <w:fldChar w:fldCharType="end"/>
            </w:r>
          </w:hyperlink>
        </w:p>
        <w:p w14:paraId="4D5A808F" w14:textId="77777777" w:rsidR="00257C52" w:rsidRPr="00257C52" w:rsidRDefault="00000000">
          <w:pPr>
            <w:pStyle w:val="TOC2"/>
            <w:tabs>
              <w:tab w:val="right" w:leader="dot" w:pos="9016"/>
            </w:tabs>
            <w:rPr>
              <w:rFonts w:ascii="Arial" w:eastAsiaTheme="minorEastAsia" w:hAnsi="Arial" w:cs="Arial"/>
              <w:noProof/>
              <w:sz w:val="24"/>
              <w:szCs w:val="24"/>
              <w:lang w:eastAsia="en-GB"/>
            </w:rPr>
          </w:pPr>
          <w:hyperlink w:anchor="_Toc158680911" w:history="1">
            <w:r w:rsidR="00257C52" w:rsidRPr="00257C52">
              <w:rPr>
                <w:rStyle w:val="Hyperlink"/>
                <w:rFonts w:ascii="Arial" w:hAnsi="Arial" w:cs="Arial"/>
                <w:noProof/>
                <w:sz w:val="24"/>
                <w:szCs w:val="24"/>
              </w:rPr>
              <w:t>Average Room Rate</w:t>
            </w:r>
            <w:r w:rsidR="00257C52" w:rsidRPr="00257C52">
              <w:rPr>
                <w:rFonts w:ascii="Arial" w:hAnsi="Arial" w:cs="Arial"/>
                <w:noProof/>
                <w:webHidden/>
                <w:sz w:val="24"/>
                <w:szCs w:val="24"/>
              </w:rPr>
              <w:tab/>
            </w:r>
            <w:r w:rsidR="0098715C" w:rsidRPr="00257C52">
              <w:rPr>
                <w:rFonts w:ascii="Arial" w:hAnsi="Arial" w:cs="Arial"/>
                <w:noProof/>
                <w:webHidden/>
                <w:sz w:val="24"/>
                <w:szCs w:val="24"/>
              </w:rPr>
              <w:fldChar w:fldCharType="begin"/>
            </w:r>
            <w:r w:rsidR="00257C52" w:rsidRPr="00257C52">
              <w:rPr>
                <w:rFonts w:ascii="Arial" w:hAnsi="Arial" w:cs="Arial"/>
                <w:noProof/>
                <w:webHidden/>
                <w:sz w:val="24"/>
                <w:szCs w:val="24"/>
              </w:rPr>
              <w:instrText xml:space="preserve"> PAGEREF _Toc158680911 \h </w:instrText>
            </w:r>
            <w:r w:rsidR="0098715C" w:rsidRPr="00257C52">
              <w:rPr>
                <w:rFonts w:ascii="Arial" w:hAnsi="Arial" w:cs="Arial"/>
                <w:noProof/>
                <w:webHidden/>
                <w:sz w:val="24"/>
                <w:szCs w:val="24"/>
              </w:rPr>
            </w:r>
            <w:r w:rsidR="0098715C" w:rsidRPr="00257C52">
              <w:rPr>
                <w:rFonts w:ascii="Arial" w:hAnsi="Arial" w:cs="Arial"/>
                <w:noProof/>
                <w:webHidden/>
                <w:sz w:val="24"/>
                <w:szCs w:val="24"/>
              </w:rPr>
              <w:fldChar w:fldCharType="separate"/>
            </w:r>
            <w:r w:rsidR="00257C52" w:rsidRPr="00257C52">
              <w:rPr>
                <w:rFonts w:ascii="Arial" w:hAnsi="Arial" w:cs="Arial"/>
                <w:noProof/>
                <w:webHidden/>
                <w:sz w:val="24"/>
                <w:szCs w:val="24"/>
              </w:rPr>
              <w:t>5</w:t>
            </w:r>
            <w:r w:rsidR="0098715C" w:rsidRPr="00257C52">
              <w:rPr>
                <w:rFonts w:ascii="Arial" w:hAnsi="Arial" w:cs="Arial"/>
                <w:noProof/>
                <w:webHidden/>
                <w:sz w:val="24"/>
                <w:szCs w:val="24"/>
              </w:rPr>
              <w:fldChar w:fldCharType="end"/>
            </w:r>
          </w:hyperlink>
        </w:p>
        <w:p w14:paraId="2402BECD" w14:textId="77777777" w:rsidR="00257C52" w:rsidRPr="00257C52" w:rsidRDefault="00000000">
          <w:pPr>
            <w:pStyle w:val="TOC2"/>
            <w:tabs>
              <w:tab w:val="right" w:leader="dot" w:pos="9016"/>
            </w:tabs>
            <w:rPr>
              <w:rFonts w:ascii="Arial" w:eastAsiaTheme="minorEastAsia" w:hAnsi="Arial" w:cs="Arial"/>
              <w:noProof/>
              <w:sz w:val="24"/>
              <w:szCs w:val="24"/>
              <w:lang w:eastAsia="en-GB"/>
            </w:rPr>
          </w:pPr>
          <w:hyperlink w:anchor="_Toc158680912" w:history="1">
            <w:r w:rsidR="00257C52" w:rsidRPr="00257C52">
              <w:rPr>
                <w:rStyle w:val="Hyperlink"/>
                <w:rFonts w:ascii="Arial" w:hAnsi="Arial" w:cs="Arial"/>
                <w:noProof/>
                <w:sz w:val="24"/>
                <w:szCs w:val="24"/>
              </w:rPr>
              <w:t>Occupancy Rate</w:t>
            </w:r>
            <w:r w:rsidR="00257C52" w:rsidRPr="00257C52">
              <w:rPr>
                <w:rFonts w:ascii="Arial" w:hAnsi="Arial" w:cs="Arial"/>
                <w:noProof/>
                <w:webHidden/>
                <w:sz w:val="24"/>
                <w:szCs w:val="24"/>
              </w:rPr>
              <w:tab/>
            </w:r>
            <w:r w:rsidR="0098715C" w:rsidRPr="00257C52">
              <w:rPr>
                <w:rFonts w:ascii="Arial" w:hAnsi="Arial" w:cs="Arial"/>
                <w:noProof/>
                <w:webHidden/>
                <w:sz w:val="24"/>
                <w:szCs w:val="24"/>
              </w:rPr>
              <w:fldChar w:fldCharType="begin"/>
            </w:r>
            <w:r w:rsidR="00257C52" w:rsidRPr="00257C52">
              <w:rPr>
                <w:rFonts w:ascii="Arial" w:hAnsi="Arial" w:cs="Arial"/>
                <w:noProof/>
                <w:webHidden/>
                <w:sz w:val="24"/>
                <w:szCs w:val="24"/>
              </w:rPr>
              <w:instrText xml:space="preserve"> PAGEREF _Toc158680912 \h </w:instrText>
            </w:r>
            <w:r w:rsidR="0098715C" w:rsidRPr="00257C52">
              <w:rPr>
                <w:rFonts w:ascii="Arial" w:hAnsi="Arial" w:cs="Arial"/>
                <w:noProof/>
                <w:webHidden/>
                <w:sz w:val="24"/>
                <w:szCs w:val="24"/>
              </w:rPr>
            </w:r>
            <w:r w:rsidR="0098715C" w:rsidRPr="00257C52">
              <w:rPr>
                <w:rFonts w:ascii="Arial" w:hAnsi="Arial" w:cs="Arial"/>
                <w:noProof/>
                <w:webHidden/>
                <w:sz w:val="24"/>
                <w:szCs w:val="24"/>
              </w:rPr>
              <w:fldChar w:fldCharType="separate"/>
            </w:r>
            <w:r w:rsidR="00257C52" w:rsidRPr="00257C52">
              <w:rPr>
                <w:rFonts w:ascii="Arial" w:hAnsi="Arial" w:cs="Arial"/>
                <w:noProof/>
                <w:webHidden/>
                <w:sz w:val="24"/>
                <w:szCs w:val="24"/>
              </w:rPr>
              <w:t>6</w:t>
            </w:r>
            <w:r w:rsidR="0098715C" w:rsidRPr="00257C52">
              <w:rPr>
                <w:rFonts w:ascii="Arial" w:hAnsi="Arial" w:cs="Arial"/>
                <w:noProof/>
                <w:webHidden/>
                <w:sz w:val="24"/>
                <w:szCs w:val="24"/>
              </w:rPr>
              <w:fldChar w:fldCharType="end"/>
            </w:r>
          </w:hyperlink>
        </w:p>
        <w:p w14:paraId="185E7194" w14:textId="77777777" w:rsidR="00257C52" w:rsidRPr="00257C52" w:rsidRDefault="00000000">
          <w:pPr>
            <w:pStyle w:val="TOC1"/>
            <w:tabs>
              <w:tab w:val="right" w:leader="dot" w:pos="9016"/>
            </w:tabs>
            <w:rPr>
              <w:rFonts w:ascii="Arial" w:eastAsiaTheme="minorEastAsia" w:hAnsi="Arial" w:cs="Arial"/>
              <w:noProof/>
              <w:sz w:val="24"/>
              <w:szCs w:val="24"/>
              <w:lang w:eastAsia="en-GB"/>
            </w:rPr>
          </w:pPr>
          <w:hyperlink w:anchor="_Toc158680913" w:history="1">
            <w:r w:rsidR="00257C52" w:rsidRPr="00257C52">
              <w:rPr>
                <w:rStyle w:val="Hyperlink"/>
                <w:rFonts w:ascii="Arial" w:hAnsi="Arial" w:cs="Arial"/>
                <w:noProof/>
                <w:sz w:val="24"/>
                <w:szCs w:val="24"/>
              </w:rPr>
              <w:t>Decline In profitability</w:t>
            </w:r>
            <w:r w:rsidR="00257C52" w:rsidRPr="00257C52">
              <w:rPr>
                <w:rFonts w:ascii="Arial" w:hAnsi="Arial" w:cs="Arial"/>
                <w:noProof/>
                <w:webHidden/>
                <w:sz w:val="24"/>
                <w:szCs w:val="24"/>
              </w:rPr>
              <w:tab/>
            </w:r>
            <w:r w:rsidR="0098715C" w:rsidRPr="00257C52">
              <w:rPr>
                <w:rFonts w:ascii="Arial" w:hAnsi="Arial" w:cs="Arial"/>
                <w:noProof/>
                <w:webHidden/>
                <w:sz w:val="24"/>
                <w:szCs w:val="24"/>
              </w:rPr>
              <w:fldChar w:fldCharType="begin"/>
            </w:r>
            <w:r w:rsidR="00257C52" w:rsidRPr="00257C52">
              <w:rPr>
                <w:rFonts w:ascii="Arial" w:hAnsi="Arial" w:cs="Arial"/>
                <w:noProof/>
                <w:webHidden/>
                <w:sz w:val="24"/>
                <w:szCs w:val="24"/>
              </w:rPr>
              <w:instrText xml:space="preserve"> PAGEREF _Toc158680913 \h </w:instrText>
            </w:r>
            <w:r w:rsidR="0098715C" w:rsidRPr="00257C52">
              <w:rPr>
                <w:rFonts w:ascii="Arial" w:hAnsi="Arial" w:cs="Arial"/>
                <w:noProof/>
                <w:webHidden/>
                <w:sz w:val="24"/>
                <w:szCs w:val="24"/>
              </w:rPr>
            </w:r>
            <w:r w:rsidR="0098715C" w:rsidRPr="00257C52">
              <w:rPr>
                <w:rFonts w:ascii="Arial" w:hAnsi="Arial" w:cs="Arial"/>
                <w:noProof/>
                <w:webHidden/>
                <w:sz w:val="24"/>
                <w:szCs w:val="24"/>
              </w:rPr>
              <w:fldChar w:fldCharType="separate"/>
            </w:r>
            <w:r w:rsidR="00257C52" w:rsidRPr="00257C52">
              <w:rPr>
                <w:rFonts w:ascii="Arial" w:hAnsi="Arial" w:cs="Arial"/>
                <w:noProof/>
                <w:webHidden/>
                <w:sz w:val="24"/>
                <w:szCs w:val="24"/>
              </w:rPr>
              <w:t>6</w:t>
            </w:r>
            <w:r w:rsidR="0098715C" w:rsidRPr="00257C52">
              <w:rPr>
                <w:rFonts w:ascii="Arial" w:hAnsi="Arial" w:cs="Arial"/>
                <w:noProof/>
                <w:webHidden/>
                <w:sz w:val="24"/>
                <w:szCs w:val="24"/>
              </w:rPr>
              <w:fldChar w:fldCharType="end"/>
            </w:r>
          </w:hyperlink>
        </w:p>
        <w:p w14:paraId="7A37E998" w14:textId="77777777" w:rsidR="00257C52" w:rsidRPr="00257C52" w:rsidRDefault="00000000">
          <w:pPr>
            <w:pStyle w:val="TOC1"/>
            <w:tabs>
              <w:tab w:val="right" w:leader="dot" w:pos="9016"/>
            </w:tabs>
            <w:rPr>
              <w:rFonts w:ascii="Arial" w:eastAsiaTheme="minorEastAsia" w:hAnsi="Arial" w:cs="Arial"/>
              <w:noProof/>
              <w:sz w:val="24"/>
              <w:szCs w:val="24"/>
              <w:lang w:eastAsia="en-GB"/>
            </w:rPr>
          </w:pPr>
          <w:hyperlink w:anchor="_Toc158680914" w:history="1">
            <w:r w:rsidR="00257C52" w:rsidRPr="00257C52">
              <w:rPr>
                <w:rStyle w:val="Hyperlink"/>
                <w:rFonts w:ascii="Arial" w:hAnsi="Arial" w:cs="Arial"/>
                <w:noProof/>
                <w:sz w:val="24"/>
                <w:szCs w:val="24"/>
              </w:rPr>
              <w:t>Restore its Reputation as a Premier Vacation Destination</w:t>
            </w:r>
            <w:r w:rsidR="00257C52" w:rsidRPr="00257C52">
              <w:rPr>
                <w:rFonts w:ascii="Arial" w:hAnsi="Arial" w:cs="Arial"/>
                <w:noProof/>
                <w:webHidden/>
                <w:sz w:val="24"/>
                <w:szCs w:val="24"/>
              </w:rPr>
              <w:tab/>
            </w:r>
            <w:r w:rsidR="0098715C" w:rsidRPr="00257C52">
              <w:rPr>
                <w:rFonts w:ascii="Arial" w:hAnsi="Arial" w:cs="Arial"/>
                <w:noProof/>
                <w:webHidden/>
                <w:sz w:val="24"/>
                <w:szCs w:val="24"/>
              </w:rPr>
              <w:fldChar w:fldCharType="begin"/>
            </w:r>
            <w:r w:rsidR="00257C52" w:rsidRPr="00257C52">
              <w:rPr>
                <w:rFonts w:ascii="Arial" w:hAnsi="Arial" w:cs="Arial"/>
                <w:noProof/>
                <w:webHidden/>
                <w:sz w:val="24"/>
                <w:szCs w:val="24"/>
              </w:rPr>
              <w:instrText xml:space="preserve"> PAGEREF _Toc158680914 \h </w:instrText>
            </w:r>
            <w:r w:rsidR="0098715C" w:rsidRPr="00257C52">
              <w:rPr>
                <w:rFonts w:ascii="Arial" w:hAnsi="Arial" w:cs="Arial"/>
                <w:noProof/>
                <w:webHidden/>
                <w:sz w:val="24"/>
                <w:szCs w:val="24"/>
              </w:rPr>
            </w:r>
            <w:r w:rsidR="0098715C" w:rsidRPr="00257C52">
              <w:rPr>
                <w:rFonts w:ascii="Arial" w:hAnsi="Arial" w:cs="Arial"/>
                <w:noProof/>
                <w:webHidden/>
                <w:sz w:val="24"/>
                <w:szCs w:val="24"/>
              </w:rPr>
              <w:fldChar w:fldCharType="separate"/>
            </w:r>
            <w:r w:rsidR="00257C52" w:rsidRPr="00257C52">
              <w:rPr>
                <w:rFonts w:ascii="Arial" w:hAnsi="Arial" w:cs="Arial"/>
                <w:noProof/>
                <w:webHidden/>
                <w:sz w:val="24"/>
                <w:szCs w:val="24"/>
              </w:rPr>
              <w:t>8</w:t>
            </w:r>
            <w:r w:rsidR="0098715C" w:rsidRPr="00257C52">
              <w:rPr>
                <w:rFonts w:ascii="Arial" w:hAnsi="Arial" w:cs="Arial"/>
                <w:noProof/>
                <w:webHidden/>
                <w:sz w:val="24"/>
                <w:szCs w:val="24"/>
              </w:rPr>
              <w:fldChar w:fldCharType="end"/>
            </w:r>
          </w:hyperlink>
        </w:p>
        <w:p w14:paraId="4E095A37" w14:textId="77777777" w:rsidR="00257C52" w:rsidRPr="00257C52" w:rsidRDefault="00000000">
          <w:pPr>
            <w:pStyle w:val="TOC1"/>
            <w:tabs>
              <w:tab w:val="right" w:leader="dot" w:pos="9016"/>
            </w:tabs>
            <w:rPr>
              <w:rFonts w:ascii="Arial" w:eastAsiaTheme="minorEastAsia" w:hAnsi="Arial" w:cs="Arial"/>
              <w:noProof/>
              <w:sz w:val="24"/>
              <w:szCs w:val="24"/>
              <w:lang w:eastAsia="en-GB"/>
            </w:rPr>
          </w:pPr>
          <w:hyperlink w:anchor="_Toc158680915" w:history="1">
            <w:r w:rsidR="00257C52" w:rsidRPr="00257C52">
              <w:rPr>
                <w:rStyle w:val="Hyperlink"/>
                <w:rFonts w:ascii="Arial" w:hAnsi="Arial" w:cs="Arial"/>
                <w:noProof/>
                <w:sz w:val="24"/>
                <w:szCs w:val="24"/>
              </w:rPr>
              <w:t>Conclusion:</w:t>
            </w:r>
            <w:r w:rsidR="00257C52" w:rsidRPr="00257C52">
              <w:rPr>
                <w:rFonts w:ascii="Arial" w:hAnsi="Arial" w:cs="Arial"/>
                <w:noProof/>
                <w:webHidden/>
                <w:sz w:val="24"/>
                <w:szCs w:val="24"/>
              </w:rPr>
              <w:tab/>
            </w:r>
            <w:r w:rsidR="0098715C" w:rsidRPr="00257C52">
              <w:rPr>
                <w:rFonts w:ascii="Arial" w:hAnsi="Arial" w:cs="Arial"/>
                <w:noProof/>
                <w:webHidden/>
                <w:sz w:val="24"/>
                <w:szCs w:val="24"/>
              </w:rPr>
              <w:fldChar w:fldCharType="begin"/>
            </w:r>
            <w:r w:rsidR="00257C52" w:rsidRPr="00257C52">
              <w:rPr>
                <w:rFonts w:ascii="Arial" w:hAnsi="Arial" w:cs="Arial"/>
                <w:noProof/>
                <w:webHidden/>
                <w:sz w:val="24"/>
                <w:szCs w:val="24"/>
              </w:rPr>
              <w:instrText xml:space="preserve"> PAGEREF _Toc158680915 \h </w:instrText>
            </w:r>
            <w:r w:rsidR="0098715C" w:rsidRPr="00257C52">
              <w:rPr>
                <w:rFonts w:ascii="Arial" w:hAnsi="Arial" w:cs="Arial"/>
                <w:noProof/>
                <w:webHidden/>
                <w:sz w:val="24"/>
                <w:szCs w:val="24"/>
              </w:rPr>
            </w:r>
            <w:r w:rsidR="0098715C" w:rsidRPr="00257C52">
              <w:rPr>
                <w:rFonts w:ascii="Arial" w:hAnsi="Arial" w:cs="Arial"/>
                <w:noProof/>
                <w:webHidden/>
                <w:sz w:val="24"/>
                <w:szCs w:val="24"/>
              </w:rPr>
              <w:fldChar w:fldCharType="separate"/>
            </w:r>
            <w:r w:rsidR="00257C52" w:rsidRPr="00257C52">
              <w:rPr>
                <w:rFonts w:ascii="Arial" w:hAnsi="Arial" w:cs="Arial"/>
                <w:noProof/>
                <w:webHidden/>
                <w:sz w:val="24"/>
                <w:szCs w:val="24"/>
              </w:rPr>
              <w:t>11</w:t>
            </w:r>
            <w:r w:rsidR="0098715C" w:rsidRPr="00257C52">
              <w:rPr>
                <w:rFonts w:ascii="Arial" w:hAnsi="Arial" w:cs="Arial"/>
                <w:noProof/>
                <w:webHidden/>
                <w:sz w:val="24"/>
                <w:szCs w:val="24"/>
              </w:rPr>
              <w:fldChar w:fldCharType="end"/>
            </w:r>
          </w:hyperlink>
        </w:p>
        <w:p w14:paraId="57D6BC55" w14:textId="77777777" w:rsidR="00257C52" w:rsidRPr="00257C52" w:rsidRDefault="00000000">
          <w:pPr>
            <w:pStyle w:val="TOC1"/>
            <w:tabs>
              <w:tab w:val="right" w:leader="dot" w:pos="9016"/>
            </w:tabs>
            <w:rPr>
              <w:rFonts w:ascii="Arial" w:eastAsiaTheme="minorEastAsia" w:hAnsi="Arial" w:cs="Arial"/>
              <w:noProof/>
              <w:sz w:val="24"/>
              <w:szCs w:val="24"/>
              <w:lang w:eastAsia="en-GB"/>
            </w:rPr>
          </w:pPr>
          <w:hyperlink w:anchor="_Toc158680916" w:history="1">
            <w:r w:rsidR="00257C52" w:rsidRPr="00257C52">
              <w:rPr>
                <w:rStyle w:val="Hyperlink"/>
                <w:rFonts w:ascii="Arial" w:hAnsi="Arial" w:cs="Arial"/>
                <w:noProof/>
                <w:sz w:val="24"/>
                <w:szCs w:val="24"/>
              </w:rPr>
              <w:t>References</w:t>
            </w:r>
            <w:r w:rsidR="00257C52" w:rsidRPr="00257C52">
              <w:rPr>
                <w:rFonts w:ascii="Arial" w:hAnsi="Arial" w:cs="Arial"/>
                <w:noProof/>
                <w:webHidden/>
                <w:sz w:val="24"/>
                <w:szCs w:val="24"/>
              </w:rPr>
              <w:tab/>
            </w:r>
            <w:r w:rsidR="0098715C" w:rsidRPr="00257C52">
              <w:rPr>
                <w:rFonts w:ascii="Arial" w:hAnsi="Arial" w:cs="Arial"/>
                <w:noProof/>
                <w:webHidden/>
                <w:sz w:val="24"/>
                <w:szCs w:val="24"/>
              </w:rPr>
              <w:fldChar w:fldCharType="begin"/>
            </w:r>
            <w:r w:rsidR="00257C52" w:rsidRPr="00257C52">
              <w:rPr>
                <w:rFonts w:ascii="Arial" w:hAnsi="Arial" w:cs="Arial"/>
                <w:noProof/>
                <w:webHidden/>
                <w:sz w:val="24"/>
                <w:szCs w:val="24"/>
              </w:rPr>
              <w:instrText xml:space="preserve"> PAGEREF _Toc158680916 \h </w:instrText>
            </w:r>
            <w:r w:rsidR="0098715C" w:rsidRPr="00257C52">
              <w:rPr>
                <w:rFonts w:ascii="Arial" w:hAnsi="Arial" w:cs="Arial"/>
                <w:noProof/>
                <w:webHidden/>
                <w:sz w:val="24"/>
                <w:szCs w:val="24"/>
              </w:rPr>
            </w:r>
            <w:r w:rsidR="0098715C" w:rsidRPr="00257C52">
              <w:rPr>
                <w:rFonts w:ascii="Arial" w:hAnsi="Arial" w:cs="Arial"/>
                <w:noProof/>
                <w:webHidden/>
                <w:sz w:val="24"/>
                <w:szCs w:val="24"/>
              </w:rPr>
              <w:fldChar w:fldCharType="separate"/>
            </w:r>
            <w:r w:rsidR="00257C52" w:rsidRPr="00257C52">
              <w:rPr>
                <w:rFonts w:ascii="Arial" w:hAnsi="Arial" w:cs="Arial"/>
                <w:noProof/>
                <w:webHidden/>
                <w:sz w:val="24"/>
                <w:szCs w:val="24"/>
              </w:rPr>
              <w:t>12</w:t>
            </w:r>
            <w:r w:rsidR="0098715C" w:rsidRPr="00257C52">
              <w:rPr>
                <w:rFonts w:ascii="Arial" w:hAnsi="Arial" w:cs="Arial"/>
                <w:noProof/>
                <w:webHidden/>
                <w:sz w:val="24"/>
                <w:szCs w:val="24"/>
              </w:rPr>
              <w:fldChar w:fldCharType="end"/>
            </w:r>
          </w:hyperlink>
        </w:p>
        <w:p w14:paraId="6403E63D" w14:textId="77777777" w:rsidR="00EF0703" w:rsidRPr="00257C52" w:rsidRDefault="0098715C" w:rsidP="00EF0703">
          <w:pPr>
            <w:spacing w:line="360" w:lineRule="auto"/>
            <w:jc w:val="both"/>
            <w:rPr>
              <w:rFonts w:ascii="Arial" w:hAnsi="Arial" w:cs="Arial"/>
              <w:sz w:val="24"/>
              <w:szCs w:val="24"/>
            </w:rPr>
          </w:pPr>
          <w:r w:rsidRPr="00257C52">
            <w:rPr>
              <w:rFonts w:ascii="Arial" w:hAnsi="Arial" w:cs="Arial"/>
              <w:b/>
              <w:bCs/>
              <w:noProof/>
              <w:sz w:val="24"/>
              <w:szCs w:val="24"/>
            </w:rPr>
            <w:fldChar w:fldCharType="end"/>
          </w:r>
        </w:p>
      </w:sdtContent>
    </w:sdt>
    <w:p w14:paraId="04A49871" w14:textId="77777777" w:rsidR="00DD7748" w:rsidRDefault="00DD7748">
      <w:pPr>
        <w:rPr>
          <w:rFonts w:ascii="Arial" w:hAnsi="Arial" w:cs="Arial"/>
          <w:b/>
          <w:sz w:val="24"/>
          <w:szCs w:val="24"/>
        </w:rPr>
      </w:pPr>
    </w:p>
    <w:p w14:paraId="3978D834" w14:textId="77777777" w:rsidR="00DD7748" w:rsidRDefault="00DD7748">
      <w:pPr>
        <w:rPr>
          <w:rFonts w:ascii="Arial" w:hAnsi="Arial" w:cs="Arial"/>
          <w:b/>
          <w:sz w:val="24"/>
          <w:szCs w:val="24"/>
        </w:rPr>
      </w:pPr>
    </w:p>
    <w:p w14:paraId="6C0B22B9" w14:textId="77777777" w:rsidR="00DD7748" w:rsidRDefault="00DD7748">
      <w:pPr>
        <w:rPr>
          <w:rFonts w:ascii="Arial" w:hAnsi="Arial" w:cs="Arial"/>
          <w:b/>
          <w:sz w:val="24"/>
          <w:szCs w:val="24"/>
        </w:rPr>
      </w:pPr>
    </w:p>
    <w:p w14:paraId="023FF943" w14:textId="77777777" w:rsidR="00DD7748" w:rsidRDefault="00DD7748">
      <w:pPr>
        <w:rPr>
          <w:rFonts w:ascii="Arial" w:hAnsi="Arial" w:cs="Arial"/>
          <w:b/>
          <w:sz w:val="24"/>
          <w:szCs w:val="24"/>
        </w:rPr>
      </w:pPr>
    </w:p>
    <w:p w14:paraId="6B4A4219" w14:textId="77777777" w:rsidR="00DD7748" w:rsidRDefault="00DD7748">
      <w:pPr>
        <w:rPr>
          <w:rFonts w:ascii="Arial" w:hAnsi="Arial" w:cs="Arial"/>
          <w:b/>
          <w:sz w:val="24"/>
          <w:szCs w:val="24"/>
        </w:rPr>
      </w:pPr>
    </w:p>
    <w:p w14:paraId="1AD6B338" w14:textId="77777777" w:rsidR="00DD7748" w:rsidRDefault="00DD7748">
      <w:pPr>
        <w:rPr>
          <w:rFonts w:ascii="Arial" w:hAnsi="Arial" w:cs="Arial"/>
          <w:b/>
          <w:sz w:val="24"/>
          <w:szCs w:val="24"/>
        </w:rPr>
      </w:pPr>
    </w:p>
    <w:p w14:paraId="39A638BF" w14:textId="77777777" w:rsidR="00DD7748" w:rsidRDefault="00DD7748">
      <w:pPr>
        <w:rPr>
          <w:rFonts w:ascii="Arial" w:hAnsi="Arial" w:cs="Arial"/>
          <w:b/>
          <w:sz w:val="24"/>
          <w:szCs w:val="24"/>
        </w:rPr>
      </w:pPr>
    </w:p>
    <w:p w14:paraId="38DBC337" w14:textId="77777777" w:rsidR="00DD7748" w:rsidRDefault="00DD7748">
      <w:pPr>
        <w:rPr>
          <w:rFonts w:ascii="Arial" w:hAnsi="Arial" w:cs="Arial"/>
          <w:b/>
          <w:sz w:val="24"/>
          <w:szCs w:val="24"/>
        </w:rPr>
      </w:pPr>
    </w:p>
    <w:p w14:paraId="61DCE7ED" w14:textId="77777777" w:rsidR="00DD7748" w:rsidRDefault="00DD7748">
      <w:pPr>
        <w:rPr>
          <w:rFonts w:ascii="Arial" w:hAnsi="Arial" w:cs="Arial"/>
          <w:b/>
          <w:sz w:val="24"/>
          <w:szCs w:val="24"/>
        </w:rPr>
      </w:pPr>
    </w:p>
    <w:p w14:paraId="72BA4BDB" w14:textId="77777777" w:rsidR="00DD7748" w:rsidRDefault="00DD7748">
      <w:pPr>
        <w:rPr>
          <w:rFonts w:ascii="Arial" w:hAnsi="Arial" w:cs="Arial"/>
          <w:b/>
          <w:sz w:val="24"/>
          <w:szCs w:val="24"/>
        </w:rPr>
      </w:pPr>
    </w:p>
    <w:p w14:paraId="6FFD0BD0" w14:textId="77777777" w:rsidR="00DD7748" w:rsidRDefault="00DD7748">
      <w:pPr>
        <w:rPr>
          <w:rFonts w:ascii="Arial" w:hAnsi="Arial" w:cs="Arial"/>
          <w:b/>
          <w:sz w:val="24"/>
          <w:szCs w:val="24"/>
        </w:rPr>
      </w:pPr>
    </w:p>
    <w:p w14:paraId="59BB231F" w14:textId="77777777" w:rsidR="00DD7748" w:rsidRDefault="00DD7748">
      <w:pPr>
        <w:rPr>
          <w:rFonts w:ascii="Arial" w:hAnsi="Arial" w:cs="Arial"/>
          <w:b/>
          <w:sz w:val="24"/>
          <w:szCs w:val="24"/>
        </w:rPr>
      </w:pPr>
    </w:p>
    <w:p w14:paraId="7B3F4023" w14:textId="77777777" w:rsidR="00DD7748" w:rsidRDefault="00DD7748">
      <w:pPr>
        <w:rPr>
          <w:rFonts w:ascii="Arial" w:hAnsi="Arial" w:cs="Arial"/>
          <w:b/>
          <w:sz w:val="24"/>
          <w:szCs w:val="24"/>
        </w:rPr>
      </w:pPr>
    </w:p>
    <w:p w14:paraId="448C83CA" w14:textId="77777777" w:rsidR="00DD7748" w:rsidRDefault="00DD7748">
      <w:pPr>
        <w:rPr>
          <w:rFonts w:ascii="Arial" w:hAnsi="Arial" w:cs="Arial"/>
          <w:b/>
          <w:sz w:val="24"/>
          <w:szCs w:val="24"/>
        </w:rPr>
      </w:pPr>
    </w:p>
    <w:p w14:paraId="5DA8A6A3" w14:textId="77777777" w:rsidR="00DD7748" w:rsidRDefault="00DD7748">
      <w:pPr>
        <w:rPr>
          <w:rFonts w:ascii="Arial" w:hAnsi="Arial" w:cs="Arial"/>
          <w:b/>
          <w:sz w:val="24"/>
          <w:szCs w:val="24"/>
        </w:rPr>
      </w:pPr>
    </w:p>
    <w:p w14:paraId="2A0D9548" w14:textId="77777777" w:rsidR="00DD7748" w:rsidRDefault="00DD7748">
      <w:pPr>
        <w:rPr>
          <w:rFonts w:ascii="Arial" w:hAnsi="Arial" w:cs="Arial"/>
          <w:b/>
          <w:sz w:val="24"/>
          <w:szCs w:val="24"/>
        </w:rPr>
      </w:pPr>
    </w:p>
    <w:p w14:paraId="6624AB5E" w14:textId="77777777" w:rsidR="00DD7748" w:rsidRPr="00A6591E" w:rsidRDefault="00DD7748" w:rsidP="00A6591E">
      <w:pPr>
        <w:pStyle w:val="Heading1"/>
      </w:pPr>
      <w:bookmarkStart w:id="0" w:name="_Toc158680906"/>
      <w:r w:rsidRPr="00A6591E">
        <w:lastRenderedPageBreak/>
        <w:t>Executive Summary</w:t>
      </w:r>
      <w:bookmarkEnd w:id="0"/>
    </w:p>
    <w:p w14:paraId="27CF288A" w14:textId="77777777" w:rsidR="00DD7748" w:rsidRPr="00786FD1" w:rsidRDefault="00DD7748" w:rsidP="00786FD1">
      <w:pPr>
        <w:spacing w:line="360" w:lineRule="auto"/>
        <w:jc w:val="both"/>
        <w:rPr>
          <w:rFonts w:ascii="Arial" w:hAnsi="Arial" w:cs="Arial"/>
          <w:sz w:val="24"/>
          <w:szCs w:val="24"/>
        </w:rPr>
      </w:pPr>
      <w:r w:rsidRPr="00786FD1">
        <w:rPr>
          <w:rFonts w:ascii="Arial" w:hAnsi="Arial" w:cs="Arial"/>
          <w:sz w:val="24"/>
          <w:szCs w:val="24"/>
        </w:rPr>
        <w:t>Seacrest Lodge UK, formerly a top holiday resort, is facing serious problems as a result of declining sales, profitability, and customer satisfaction. The industry's decline has been attributed to a multitude of factors, such as increased market rivalry, evolving consumer preferences, infrastructure problems, and poor financial management. An all-encompassing turnaround plan is suggested in order to combat this tendency and re-establish its significance. Crucial tactics include building a strong brand and market positioning, developing goods and services, promoting through joint ventures and digital marketing, giving priority to consumer needs, enhancing financial management, embracing sustainability, and varying sources of income. For the plan to be successful, it must be regularly reviewed and adjusted. Using these strategies, Seacrest Lodge may possibly</w:t>
      </w:r>
    </w:p>
    <w:p w14:paraId="5153057B" w14:textId="77777777" w:rsidR="00DD7748" w:rsidRPr="00786FD1" w:rsidRDefault="00DD7748" w:rsidP="00786FD1">
      <w:pPr>
        <w:spacing w:line="360" w:lineRule="auto"/>
        <w:jc w:val="both"/>
        <w:rPr>
          <w:rFonts w:ascii="Arial" w:hAnsi="Arial" w:cs="Arial"/>
          <w:b/>
          <w:sz w:val="24"/>
          <w:szCs w:val="24"/>
        </w:rPr>
      </w:pPr>
    </w:p>
    <w:p w14:paraId="7906273B" w14:textId="77777777" w:rsidR="00DD7748" w:rsidRPr="00786FD1" w:rsidRDefault="00DD7748" w:rsidP="00786FD1">
      <w:pPr>
        <w:spacing w:line="360" w:lineRule="auto"/>
        <w:jc w:val="both"/>
        <w:rPr>
          <w:rFonts w:ascii="Arial" w:hAnsi="Arial" w:cs="Arial"/>
          <w:b/>
          <w:sz w:val="24"/>
          <w:szCs w:val="24"/>
        </w:rPr>
      </w:pPr>
    </w:p>
    <w:p w14:paraId="7C1C03AE" w14:textId="77777777" w:rsidR="00DD7748" w:rsidRPr="00786FD1" w:rsidRDefault="00DD7748" w:rsidP="00786FD1">
      <w:pPr>
        <w:spacing w:line="360" w:lineRule="auto"/>
        <w:jc w:val="both"/>
        <w:rPr>
          <w:rFonts w:ascii="Arial" w:hAnsi="Arial" w:cs="Arial"/>
          <w:b/>
          <w:sz w:val="24"/>
          <w:szCs w:val="24"/>
        </w:rPr>
      </w:pPr>
    </w:p>
    <w:p w14:paraId="59C63726" w14:textId="77777777" w:rsidR="00DD7748" w:rsidRPr="00786FD1" w:rsidRDefault="00DD7748" w:rsidP="00786FD1">
      <w:pPr>
        <w:spacing w:line="360" w:lineRule="auto"/>
        <w:jc w:val="both"/>
        <w:rPr>
          <w:rFonts w:ascii="Arial" w:hAnsi="Arial" w:cs="Arial"/>
          <w:b/>
          <w:sz w:val="24"/>
          <w:szCs w:val="24"/>
        </w:rPr>
      </w:pPr>
    </w:p>
    <w:p w14:paraId="243EA045" w14:textId="77777777" w:rsidR="00DD7748" w:rsidRPr="00786FD1" w:rsidRDefault="00DD7748" w:rsidP="00786FD1">
      <w:pPr>
        <w:spacing w:line="360" w:lineRule="auto"/>
        <w:jc w:val="both"/>
        <w:rPr>
          <w:rFonts w:ascii="Arial" w:hAnsi="Arial" w:cs="Arial"/>
          <w:b/>
          <w:sz w:val="24"/>
          <w:szCs w:val="24"/>
        </w:rPr>
      </w:pPr>
    </w:p>
    <w:p w14:paraId="11974D63" w14:textId="77777777" w:rsidR="00DD7748" w:rsidRPr="00786FD1" w:rsidRDefault="00DD7748" w:rsidP="00786FD1">
      <w:pPr>
        <w:spacing w:line="360" w:lineRule="auto"/>
        <w:jc w:val="both"/>
        <w:rPr>
          <w:rFonts w:ascii="Arial" w:hAnsi="Arial" w:cs="Arial"/>
          <w:b/>
          <w:sz w:val="24"/>
          <w:szCs w:val="24"/>
        </w:rPr>
      </w:pPr>
    </w:p>
    <w:p w14:paraId="74808C07" w14:textId="77777777" w:rsidR="00DD7748" w:rsidRPr="00786FD1" w:rsidRDefault="00DD7748" w:rsidP="00786FD1">
      <w:pPr>
        <w:spacing w:line="360" w:lineRule="auto"/>
        <w:jc w:val="both"/>
        <w:rPr>
          <w:rFonts w:ascii="Arial" w:hAnsi="Arial" w:cs="Arial"/>
          <w:b/>
          <w:sz w:val="24"/>
          <w:szCs w:val="24"/>
        </w:rPr>
      </w:pPr>
    </w:p>
    <w:p w14:paraId="0288EA2C" w14:textId="77777777" w:rsidR="00DD7748" w:rsidRPr="00786FD1" w:rsidRDefault="00DD7748" w:rsidP="00786FD1">
      <w:pPr>
        <w:spacing w:line="360" w:lineRule="auto"/>
        <w:jc w:val="both"/>
        <w:rPr>
          <w:rFonts w:ascii="Arial" w:hAnsi="Arial" w:cs="Arial"/>
          <w:b/>
          <w:sz w:val="24"/>
          <w:szCs w:val="24"/>
        </w:rPr>
      </w:pPr>
    </w:p>
    <w:p w14:paraId="598C56C0" w14:textId="77777777" w:rsidR="00DD7748" w:rsidRPr="00786FD1" w:rsidRDefault="00DD7748" w:rsidP="00786FD1">
      <w:pPr>
        <w:spacing w:line="360" w:lineRule="auto"/>
        <w:jc w:val="both"/>
        <w:rPr>
          <w:rFonts w:ascii="Arial" w:hAnsi="Arial" w:cs="Arial"/>
          <w:b/>
          <w:sz w:val="24"/>
          <w:szCs w:val="24"/>
        </w:rPr>
      </w:pPr>
    </w:p>
    <w:p w14:paraId="77E8E980" w14:textId="77777777" w:rsidR="00DD7748" w:rsidRPr="00786FD1" w:rsidRDefault="00DD7748" w:rsidP="00786FD1">
      <w:pPr>
        <w:spacing w:line="360" w:lineRule="auto"/>
        <w:jc w:val="both"/>
        <w:rPr>
          <w:rFonts w:ascii="Arial" w:hAnsi="Arial" w:cs="Arial"/>
          <w:b/>
          <w:sz w:val="24"/>
          <w:szCs w:val="24"/>
        </w:rPr>
      </w:pPr>
    </w:p>
    <w:p w14:paraId="3D52DDF8" w14:textId="77777777" w:rsidR="00DD7748" w:rsidRPr="00786FD1" w:rsidRDefault="00DD7748" w:rsidP="00786FD1">
      <w:pPr>
        <w:spacing w:line="360" w:lineRule="auto"/>
        <w:jc w:val="both"/>
        <w:rPr>
          <w:rFonts w:ascii="Arial" w:hAnsi="Arial" w:cs="Arial"/>
          <w:b/>
          <w:sz w:val="24"/>
          <w:szCs w:val="24"/>
        </w:rPr>
      </w:pPr>
    </w:p>
    <w:p w14:paraId="2F1A4059" w14:textId="77777777" w:rsidR="00DD7748" w:rsidRPr="00786FD1" w:rsidRDefault="00DD7748" w:rsidP="00786FD1">
      <w:pPr>
        <w:spacing w:line="360" w:lineRule="auto"/>
        <w:jc w:val="both"/>
        <w:rPr>
          <w:rFonts w:ascii="Arial" w:hAnsi="Arial" w:cs="Arial"/>
          <w:b/>
          <w:sz w:val="24"/>
          <w:szCs w:val="24"/>
        </w:rPr>
      </w:pPr>
    </w:p>
    <w:p w14:paraId="1D23543A" w14:textId="77777777" w:rsidR="00DD7748" w:rsidRPr="00786FD1" w:rsidRDefault="00DD7748" w:rsidP="00786FD1">
      <w:pPr>
        <w:spacing w:line="360" w:lineRule="auto"/>
        <w:jc w:val="both"/>
        <w:rPr>
          <w:rFonts w:ascii="Arial" w:hAnsi="Arial" w:cs="Arial"/>
          <w:b/>
          <w:sz w:val="24"/>
          <w:szCs w:val="24"/>
        </w:rPr>
      </w:pPr>
    </w:p>
    <w:p w14:paraId="6F62E9E4" w14:textId="77777777" w:rsidR="00DD7748" w:rsidRPr="00786FD1" w:rsidRDefault="00DD7748" w:rsidP="00786FD1">
      <w:pPr>
        <w:spacing w:line="360" w:lineRule="auto"/>
        <w:jc w:val="both"/>
        <w:rPr>
          <w:rFonts w:ascii="Arial" w:hAnsi="Arial" w:cs="Arial"/>
          <w:b/>
          <w:sz w:val="24"/>
          <w:szCs w:val="24"/>
        </w:rPr>
      </w:pPr>
    </w:p>
    <w:p w14:paraId="40B3D234" w14:textId="77777777" w:rsidR="008432FB" w:rsidRPr="00786FD1" w:rsidRDefault="008432FB" w:rsidP="00786FD1">
      <w:pPr>
        <w:spacing w:line="360" w:lineRule="auto"/>
        <w:jc w:val="both"/>
        <w:rPr>
          <w:rFonts w:ascii="Arial" w:hAnsi="Arial" w:cs="Arial"/>
          <w:b/>
          <w:sz w:val="24"/>
          <w:szCs w:val="24"/>
        </w:rPr>
      </w:pPr>
    </w:p>
    <w:p w14:paraId="4D93F0D4" w14:textId="77777777" w:rsidR="000E05F0" w:rsidRPr="00786FD1" w:rsidRDefault="00B32548" w:rsidP="00A6591E">
      <w:pPr>
        <w:pStyle w:val="Heading1"/>
      </w:pPr>
      <w:bookmarkStart w:id="1" w:name="_Toc158680907"/>
      <w:r w:rsidRPr="00786FD1">
        <w:lastRenderedPageBreak/>
        <w:t>Introduction:</w:t>
      </w:r>
      <w:bookmarkEnd w:id="1"/>
    </w:p>
    <w:p w14:paraId="3F8AC9FC" w14:textId="77777777" w:rsidR="00B32548" w:rsidRPr="00A6591E" w:rsidRDefault="00B32548" w:rsidP="00A6591E">
      <w:pPr>
        <w:spacing w:line="360" w:lineRule="auto"/>
        <w:jc w:val="both"/>
        <w:rPr>
          <w:rFonts w:ascii="Arial" w:hAnsi="Arial" w:cs="Arial"/>
          <w:sz w:val="24"/>
          <w:szCs w:val="24"/>
        </w:rPr>
      </w:pPr>
      <w:r w:rsidRPr="00A6591E">
        <w:rPr>
          <w:rFonts w:ascii="Arial" w:hAnsi="Arial" w:cs="Arial"/>
          <w:sz w:val="24"/>
          <w:szCs w:val="24"/>
        </w:rPr>
        <w:t>Seacrest Lodge</w:t>
      </w:r>
      <w:r w:rsidR="00E9569D" w:rsidRPr="00A6591E">
        <w:rPr>
          <w:rFonts w:ascii="Arial" w:hAnsi="Arial" w:cs="Arial"/>
          <w:sz w:val="24"/>
          <w:szCs w:val="24"/>
        </w:rPr>
        <w:t xml:space="preserve"> UK</w:t>
      </w:r>
      <w:r w:rsidRPr="00A6591E">
        <w:rPr>
          <w:rFonts w:ascii="Arial" w:hAnsi="Arial" w:cs="Arial"/>
          <w:sz w:val="24"/>
          <w:szCs w:val="24"/>
        </w:rPr>
        <w:t>, with its stunning seaside location, has long been a favourite among affluent and unhurried travellers. However, concerning declines in revenue, occupancy rates, and client happiness have been noted lately. The lodge's owner is concerned about its long-term survival, therefore outside help has been enlisted to determine the plausibility of a turnaround plan. In order to restore the lodge's financial stability and standing as a top holiday spot, this report will evaluate the lodge's financial performance, identify the underlying factors that led to its demise, and provide a thorough action plan.</w:t>
      </w:r>
    </w:p>
    <w:p w14:paraId="4A73A1A3" w14:textId="77777777" w:rsidR="005A599E" w:rsidRPr="00A6591E" w:rsidRDefault="005A599E" w:rsidP="00A6591E">
      <w:pPr>
        <w:pStyle w:val="Heading1"/>
      </w:pPr>
      <w:bookmarkStart w:id="2" w:name="_Toc158680908"/>
      <w:r w:rsidRPr="00A6591E">
        <w:t>Financial Performance</w:t>
      </w:r>
      <w:bookmarkEnd w:id="2"/>
    </w:p>
    <w:p w14:paraId="510CC2EE" w14:textId="77777777" w:rsidR="005A599E" w:rsidRPr="00A6591E" w:rsidRDefault="005A599E" w:rsidP="00A6591E">
      <w:pPr>
        <w:spacing w:line="360" w:lineRule="auto"/>
        <w:jc w:val="both"/>
        <w:rPr>
          <w:rFonts w:ascii="Arial" w:hAnsi="Arial" w:cs="Arial"/>
          <w:sz w:val="24"/>
          <w:szCs w:val="24"/>
        </w:rPr>
      </w:pPr>
      <w:r w:rsidRPr="00A6591E">
        <w:rPr>
          <w:rFonts w:ascii="Arial" w:hAnsi="Arial" w:cs="Arial"/>
          <w:sz w:val="24"/>
          <w:szCs w:val="24"/>
        </w:rPr>
        <w:t>Seacrest Lodge, formerly a popular vacation spot, has had a lot of issues lately, as seen by its poor financial performance. In an attempt to understand the reasons behind this drop, this study looks at the financial data that has been provided.</w:t>
      </w:r>
    </w:p>
    <w:p w14:paraId="719F00B2" w14:textId="77777777" w:rsidR="005A599E" w:rsidRPr="00A6591E" w:rsidRDefault="005A599E" w:rsidP="00A6591E">
      <w:pPr>
        <w:pStyle w:val="Heading2"/>
        <w:spacing w:line="360" w:lineRule="auto"/>
        <w:jc w:val="both"/>
        <w:rPr>
          <w:rFonts w:cs="Arial"/>
          <w:szCs w:val="24"/>
        </w:rPr>
      </w:pPr>
      <w:bookmarkStart w:id="3" w:name="_Toc158680909"/>
      <w:r w:rsidRPr="00A6591E">
        <w:rPr>
          <w:rFonts w:cs="Arial"/>
          <w:szCs w:val="24"/>
        </w:rPr>
        <w:t>Income Statement</w:t>
      </w:r>
      <w:bookmarkEnd w:id="3"/>
    </w:p>
    <w:p w14:paraId="7BEA9D81" w14:textId="77777777" w:rsidR="005A599E" w:rsidRPr="00A6591E" w:rsidRDefault="00420F3D" w:rsidP="00A6591E">
      <w:pPr>
        <w:spacing w:line="360" w:lineRule="auto"/>
        <w:jc w:val="both"/>
        <w:rPr>
          <w:rFonts w:ascii="Arial" w:hAnsi="Arial" w:cs="Arial"/>
          <w:sz w:val="24"/>
          <w:szCs w:val="24"/>
        </w:rPr>
      </w:pPr>
      <w:r w:rsidRPr="00A6591E">
        <w:rPr>
          <w:rFonts w:ascii="Arial" w:hAnsi="Arial" w:cs="Arial"/>
          <w:noProof/>
          <w:sz w:val="24"/>
          <w:szCs w:val="24"/>
          <w:lang w:val="en-US"/>
        </w:rPr>
        <w:drawing>
          <wp:inline distT="0" distB="0" distL="0" distR="0" wp14:anchorId="41462A35">
            <wp:extent cx="5829300" cy="27051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2A94CFB" w14:textId="77777777" w:rsidR="00013F85" w:rsidRPr="00A6591E" w:rsidRDefault="00013F85" w:rsidP="00A6591E">
      <w:pPr>
        <w:spacing w:line="360" w:lineRule="auto"/>
        <w:jc w:val="both"/>
        <w:rPr>
          <w:rFonts w:ascii="Arial" w:hAnsi="Arial" w:cs="Arial"/>
          <w:b/>
          <w:sz w:val="24"/>
          <w:szCs w:val="24"/>
        </w:rPr>
      </w:pPr>
      <w:r w:rsidRPr="00A6591E">
        <w:rPr>
          <w:rFonts w:ascii="Arial" w:hAnsi="Arial" w:cs="Arial"/>
          <w:b/>
          <w:sz w:val="24"/>
          <w:szCs w:val="24"/>
        </w:rPr>
        <w:t>Revenue Trend:</w:t>
      </w:r>
    </w:p>
    <w:p w14:paraId="63FB2168" w14:textId="77777777" w:rsidR="00013F85" w:rsidRPr="00A6591E" w:rsidRDefault="00013F85" w:rsidP="00A6591E">
      <w:pPr>
        <w:spacing w:line="360" w:lineRule="auto"/>
        <w:jc w:val="both"/>
        <w:rPr>
          <w:rFonts w:ascii="Arial" w:hAnsi="Arial" w:cs="Arial"/>
          <w:sz w:val="24"/>
          <w:szCs w:val="24"/>
        </w:rPr>
      </w:pPr>
      <w:r w:rsidRPr="00A6591E">
        <w:rPr>
          <w:rFonts w:ascii="Arial" w:hAnsi="Arial" w:cs="Arial"/>
          <w:sz w:val="24"/>
          <w:szCs w:val="24"/>
        </w:rPr>
        <w:t>The revenue trend of Seacrest Lodge has dropped significantly over the past three years, from £1,200,000 in 2021 to £950,000 in 2023. This significant £250,000 decline across the course of the term underscores a core problem in drawing in and keeping visitors. This decline could be a sign of a failure to adjust to shifting market dynamics given the competitive coastal market and evolving consumer tastes</w:t>
      </w:r>
      <w:r w:rsidR="00DC4E3F" w:rsidRPr="00A6591E">
        <w:rPr>
          <w:rFonts w:ascii="Arial" w:hAnsi="Arial" w:cs="Arial"/>
          <w:color w:val="0D0D0D"/>
          <w:sz w:val="24"/>
          <w:szCs w:val="24"/>
          <w:shd w:val="clear" w:color="auto" w:fill="FFFFFF"/>
        </w:rPr>
        <w:t>(Seacrest Lodge Financial Report, 2024)</w:t>
      </w:r>
      <w:r w:rsidRPr="00A6591E">
        <w:rPr>
          <w:rFonts w:ascii="Arial" w:hAnsi="Arial" w:cs="Arial"/>
          <w:sz w:val="24"/>
          <w:szCs w:val="24"/>
        </w:rPr>
        <w:t>.</w:t>
      </w:r>
    </w:p>
    <w:p w14:paraId="343D8619" w14:textId="77777777" w:rsidR="008612D6" w:rsidRPr="00A6591E" w:rsidRDefault="008612D6" w:rsidP="00A6591E">
      <w:pPr>
        <w:spacing w:line="360" w:lineRule="auto"/>
        <w:jc w:val="both"/>
        <w:rPr>
          <w:rFonts w:ascii="Arial" w:hAnsi="Arial" w:cs="Arial"/>
          <w:b/>
          <w:sz w:val="24"/>
          <w:szCs w:val="24"/>
        </w:rPr>
      </w:pPr>
      <w:r w:rsidRPr="00A6591E">
        <w:rPr>
          <w:rFonts w:ascii="Arial" w:hAnsi="Arial" w:cs="Arial"/>
          <w:b/>
          <w:sz w:val="24"/>
          <w:szCs w:val="24"/>
        </w:rPr>
        <w:lastRenderedPageBreak/>
        <w:t>Operating Expenses</w:t>
      </w:r>
    </w:p>
    <w:p w14:paraId="374E3577" w14:textId="77777777" w:rsidR="008612D6" w:rsidRPr="00A6591E" w:rsidRDefault="008612D6" w:rsidP="00A6591E">
      <w:pPr>
        <w:spacing w:line="360" w:lineRule="auto"/>
        <w:jc w:val="both"/>
        <w:rPr>
          <w:rFonts w:ascii="Arial" w:hAnsi="Arial" w:cs="Arial"/>
          <w:sz w:val="24"/>
          <w:szCs w:val="24"/>
        </w:rPr>
      </w:pPr>
      <w:r w:rsidRPr="00A6591E">
        <w:rPr>
          <w:rFonts w:ascii="Arial" w:hAnsi="Arial" w:cs="Arial"/>
          <w:sz w:val="24"/>
          <w:szCs w:val="24"/>
        </w:rPr>
        <w:t>The income trend of Seacrest Lodge had a considerable decline from £1,200,000 to £950,000 between 2021 and 2023. The huge decrease of £250,000 during the term highlights a fundamental issue in attracting and retaining tourists. Given the competitive nature of the coastal sector and changing client preferences, this decline may indicate a failure to adapt to changing market conditions.</w:t>
      </w:r>
    </w:p>
    <w:p w14:paraId="4E65DB8A" w14:textId="77777777" w:rsidR="006330B3" w:rsidRPr="00A6591E" w:rsidRDefault="008033A7" w:rsidP="00A6591E">
      <w:pPr>
        <w:spacing w:line="360" w:lineRule="auto"/>
        <w:jc w:val="both"/>
        <w:rPr>
          <w:rFonts w:ascii="Arial" w:hAnsi="Arial" w:cs="Arial"/>
          <w:b/>
          <w:sz w:val="24"/>
          <w:szCs w:val="24"/>
        </w:rPr>
      </w:pPr>
      <w:r w:rsidRPr="00A6591E">
        <w:rPr>
          <w:rFonts w:ascii="Arial" w:hAnsi="Arial" w:cs="Arial"/>
          <w:b/>
          <w:sz w:val="24"/>
          <w:szCs w:val="24"/>
        </w:rPr>
        <w:t xml:space="preserve">Net </w:t>
      </w:r>
      <w:r w:rsidR="006330B3" w:rsidRPr="00A6591E">
        <w:rPr>
          <w:rFonts w:ascii="Arial" w:hAnsi="Arial" w:cs="Arial"/>
          <w:b/>
          <w:sz w:val="24"/>
          <w:szCs w:val="24"/>
        </w:rPr>
        <w:t xml:space="preserve">Income </w:t>
      </w:r>
      <w:r w:rsidRPr="00A6591E">
        <w:rPr>
          <w:rFonts w:ascii="Arial" w:hAnsi="Arial" w:cs="Arial"/>
          <w:b/>
          <w:sz w:val="24"/>
          <w:szCs w:val="24"/>
        </w:rPr>
        <w:t>and Profitability:</w:t>
      </w:r>
    </w:p>
    <w:p w14:paraId="34A417A6" w14:textId="77777777" w:rsidR="008033A7" w:rsidRPr="00A6591E" w:rsidRDefault="008033A7" w:rsidP="00A6591E">
      <w:pPr>
        <w:spacing w:line="360" w:lineRule="auto"/>
        <w:jc w:val="both"/>
        <w:rPr>
          <w:rFonts w:ascii="Arial" w:hAnsi="Arial" w:cs="Arial"/>
          <w:sz w:val="24"/>
          <w:szCs w:val="24"/>
        </w:rPr>
      </w:pPr>
      <w:r w:rsidRPr="00A6591E">
        <w:rPr>
          <w:rFonts w:ascii="Arial" w:hAnsi="Arial" w:cs="Arial"/>
          <w:sz w:val="24"/>
          <w:szCs w:val="24"/>
        </w:rPr>
        <w:t>Net income dropped sharply from £300,000 in 2021 to a loss of £150,000 in 2023. This sudden drop in profitability points to a significant issue that requires immediate attention. Long-term losses threaten the lodge's ability to make ends meet and necessitate prompt action to reverse the negative trend.</w:t>
      </w:r>
    </w:p>
    <w:p w14:paraId="162BFEF8" w14:textId="77777777" w:rsidR="006D25E5" w:rsidRPr="00A6591E" w:rsidRDefault="006D25E5" w:rsidP="00A6591E">
      <w:pPr>
        <w:pStyle w:val="Heading2"/>
        <w:spacing w:line="360" w:lineRule="auto"/>
        <w:jc w:val="both"/>
        <w:rPr>
          <w:rFonts w:cs="Arial"/>
          <w:szCs w:val="24"/>
        </w:rPr>
      </w:pPr>
      <w:bookmarkStart w:id="4" w:name="_Toc158680910"/>
      <w:r w:rsidRPr="00A6591E">
        <w:rPr>
          <w:rFonts w:cs="Arial"/>
          <w:szCs w:val="24"/>
        </w:rPr>
        <w:t>Balance Sheet</w:t>
      </w:r>
      <w:bookmarkEnd w:id="4"/>
    </w:p>
    <w:p w14:paraId="30E12465" w14:textId="77777777" w:rsidR="006D25E5" w:rsidRPr="00A6591E" w:rsidRDefault="00384FEA" w:rsidP="00A6591E">
      <w:pPr>
        <w:spacing w:line="360" w:lineRule="auto"/>
        <w:jc w:val="both"/>
        <w:rPr>
          <w:rFonts w:ascii="Arial" w:hAnsi="Arial" w:cs="Arial"/>
          <w:sz w:val="24"/>
          <w:szCs w:val="24"/>
        </w:rPr>
      </w:pPr>
      <w:r w:rsidRPr="00A6591E">
        <w:rPr>
          <w:rFonts w:ascii="Arial" w:hAnsi="Arial" w:cs="Arial"/>
          <w:noProof/>
          <w:sz w:val="24"/>
          <w:szCs w:val="24"/>
          <w:lang w:val="en-US"/>
        </w:rPr>
        <w:drawing>
          <wp:inline distT="0" distB="0" distL="0" distR="0" wp14:anchorId="3BCDFA83">
            <wp:extent cx="5692140" cy="309372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3E084A" w14:textId="77777777" w:rsidR="00F95560" w:rsidRPr="00A6591E" w:rsidRDefault="00EC789B" w:rsidP="00A6591E">
      <w:pPr>
        <w:spacing w:line="360" w:lineRule="auto"/>
        <w:jc w:val="both"/>
        <w:rPr>
          <w:rFonts w:ascii="Arial" w:hAnsi="Arial" w:cs="Arial"/>
          <w:sz w:val="24"/>
          <w:szCs w:val="24"/>
        </w:rPr>
      </w:pPr>
      <w:r w:rsidRPr="00A6591E">
        <w:rPr>
          <w:rFonts w:ascii="Arial" w:hAnsi="Arial" w:cs="Arial"/>
          <w:sz w:val="24"/>
          <w:szCs w:val="24"/>
        </w:rPr>
        <w:t>The balance sheet, which also reveals further challenges, displays the lodge's financial status. Liquidity problems may be the cause of the notable drop in cash and equivalents from £100,000 in 2021 to £20,000 in 2023</w:t>
      </w:r>
      <w:r w:rsidR="00DC4E3F" w:rsidRPr="00A6591E">
        <w:rPr>
          <w:rFonts w:ascii="Arial" w:hAnsi="Arial" w:cs="Arial"/>
          <w:color w:val="0D0D0D"/>
          <w:sz w:val="24"/>
          <w:szCs w:val="24"/>
          <w:shd w:val="clear" w:color="auto" w:fill="FFFFFF"/>
        </w:rPr>
        <w:t>(Seacrest Lodge Financial Report, 2024)</w:t>
      </w:r>
      <w:r w:rsidRPr="00A6591E">
        <w:rPr>
          <w:rFonts w:ascii="Arial" w:hAnsi="Arial" w:cs="Arial"/>
          <w:sz w:val="24"/>
          <w:szCs w:val="24"/>
        </w:rPr>
        <w:t>. The decline in accounts receivable, which may be a sign of slower customer credit issues or slower collections, is mirrored in the decline in revenue. The value of the property and equipment falling from £2,000,000 to £1,800,000 further raises the possibility of inadequate maintenance or depreciation, which would have made the lodge less competitive.</w:t>
      </w:r>
      <w:r w:rsidR="00FE731F" w:rsidRPr="00A6591E">
        <w:rPr>
          <w:rFonts w:ascii="Arial" w:hAnsi="Arial" w:cs="Arial"/>
          <w:sz w:val="24"/>
          <w:szCs w:val="24"/>
        </w:rPr>
        <w:t xml:space="preserve"> Seacrest Lodge's financial structure held </w:t>
      </w:r>
      <w:r w:rsidR="00FE731F" w:rsidRPr="00A6591E">
        <w:rPr>
          <w:rFonts w:ascii="Arial" w:hAnsi="Arial" w:cs="Arial"/>
          <w:sz w:val="24"/>
          <w:szCs w:val="24"/>
        </w:rPr>
        <w:lastRenderedPageBreak/>
        <w:t>steady throughout the course of the three years, with long-term debt being close to £1,500,000. However, the trend of diminishing equity, which rises from £620,000 in 2021 to £300,000 in 2023, suggests that the owner's stake in the business is getting smaller. The resort may find it more challenging to secure additional capital or weather any future financial difficulties as a result of its diminishing equity position</w:t>
      </w:r>
      <w:r w:rsidR="00DC4E3F" w:rsidRPr="00A6591E">
        <w:rPr>
          <w:rFonts w:ascii="Arial" w:hAnsi="Arial" w:cs="Arial"/>
          <w:color w:val="0D0D0D"/>
          <w:sz w:val="24"/>
          <w:szCs w:val="24"/>
          <w:shd w:val="clear" w:color="auto" w:fill="FFFFFF"/>
        </w:rPr>
        <w:t>(Seacrest Lodge Financial Report, 2024)</w:t>
      </w:r>
      <w:r w:rsidR="00FE731F" w:rsidRPr="00A6591E">
        <w:rPr>
          <w:rFonts w:ascii="Arial" w:hAnsi="Arial" w:cs="Arial"/>
          <w:sz w:val="24"/>
          <w:szCs w:val="24"/>
        </w:rPr>
        <w:t>.</w:t>
      </w:r>
    </w:p>
    <w:p w14:paraId="0ED0D14F" w14:textId="77777777" w:rsidR="00CB53E6" w:rsidRPr="00A6591E" w:rsidRDefault="00CB53E6" w:rsidP="00A6591E">
      <w:pPr>
        <w:spacing w:line="360" w:lineRule="auto"/>
        <w:jc w:val="both"/>
        <w:rPr>
          <w:rFonts w:ascii="Arial" w:hAnsi="Arial" w:cs="Arial"/>
          <w:b/>
          <w:sz w:val="24"/>
          <w:szCs w:val="24"/>
        </w:rPr>
      </w:pPr>
      <w:bookmarkStart w:id="5" w:name="_Toc158680911"/>
      <w:r w:rsidRPr="00A6591E">
        <w:rPr>
          <w:rStyle w:val="Heading2Char"/>
          <w:rFonts w:cs="Arial"/>
          <w:szCs w:val="24"/>
        </w:rPr>
        <w:t>Average Room Rate</w:t>
      </w:r>
      <w:bookmarkEnd w:id="5"/>
      <w:r w:rsidRPr="00A6591E">
        <w:rPr>
          <w:rFonts w:ascii="Arial" w:hAnsi="Arial" w:cs="Arial"/>
          <w:b/>
          <w:sz w:val="24"/>
          <w:szCs w:val="24"/>
        </w:rPr>
        <w:t>:</w:t>
      </w:r>
    </w:p>
    <w:p w14:paraId="7BFA6FAE" w14:textId="77777777" w:rsidR="00CB53E6" w:rsidRPr="00A6591E" w:rsidRDefault="00CB53E6" w:rsidP="00A6591E">
      <w:pPr>
        <w:spacing w:line="360" w:lineRule="auto"/>
        <w:jc w:val="both"/>
        <w:rPr>
          <w:rFonts w:ascii="Arial" w:hAnsi="Arial" w:cs="Arial"/>
          <w:sz w:val="24"/>
          <w:szCs w:val="24"/>
        </w:rPr>
      </w:pPr>
      <w:r w:rsidRPr="00A6591E">
        <w:rPr>
          <w:rFonts w:ascii="Arial" w:hAnsi="Arial" w:cs="Arial"/>
          <w:noProof/>
          <w:sz w:val="24"/>
          <w:szCs w:val="24"/>
          <w:lang w:val="en-US"/>
        </w:rPr>
        <w:drawing>
          <wp:inline distT="0" distB="0" distL="0" distR="0" wp14:anchorId="68104376">
            <wp:extent cx="5791200" cy="313944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19B57F4" w14:textId="77777777" w:rsidR="00193BE6" w:rsidRPr="00A6591E" w:rsidRDefault="00CB53E6" w:rsidP="00A6591E">
      <w:pPr>
        <w:spacing w:line="360" w:lineRule="auto"/>
        <w:jc w:val="both"/>
        <w:rPr>
          <w:rFonts w:ascii="Arial" w:hAnsi="Arial" w:cs="Arial"/>
          <w:sz w:val="24"/>
          <w:szCs w:val="24"/>
        </w:rPr>
      </w:pPr>
      <w:r w:rsidRPr="00A6591E">
        <w:rPr>
          <w:rFonts w:ascii="Arial" w:hAnsi="Arial" w:cs="Arial"/>
          <w:sz w:val="24"/>
          <w:szCs w:val="24"/>
        </w:rPr>
        <w:t>Throughout the three years, the average rate per room fell. This might be a sign of several things, like heightened competition, shifting consumer tastes, or a drop in perceived value as a result of antiquated features and poor customer support.</w:t>
      </w:r>
    </w:p>
    <w:p w14:paraId="4F89FB4A" w14:textId="77777777" w:rsidR="00CB53E6" w:rsidRPr="00A6591E" w:rsidRDefault="00CB53E6" w:rsidP="00A6591E">
      <w:pPr>
        <w:pStyle w:val="Heading2"/>
        <w:spacing w:line="360" w:lineRule="auto"/>
        <w:jc w:val="both"/>
        <w:rPr>
          <w:rFonts w:cs="Arial"/>
          <w:szCs w:val="24"/>
        </w:rPr>
      </w:pPr>
      <w:bookmarkStart w:id="6" w:name="_Toc158680912"/>
      <w:r w:rsidRPr="00A6591E">
        <w:rPr>
          <w:rFonts w:cs="Arial"/>
          <w:szCs w:val="24"/>
        </w:rPr>
        <w:lastRenderedPageBreak/>
        <w:t>Occupancy Rate</w:t>
      </w:r>
      <w:bookmarkEnd w:id="6"/>
    </w:p>
    <w:p w14:paraId="7B7A22F1" w14:textId="77777777" w:rsidR="00D556D9" w:rsidRPr="00A6591E" w:rsidRDefault="00000000" w:rsidP="00A6591E">
      <w:pPr>
        <w:spacing w:line="360" w:lineRule="auto"/>
        <w:jc w:val="both"/>
        <w:rPr>
          <w:rFonts w:ascii="Arial" w:hAnsi="Arial" w:cs="Arial"/>
          <w:b/>
          <w:sz w:val="24"/>
          <w:szCs w:val="24"/>
        </w:rPr>
      </w:pPr>
      <w:r>
        <w:rPr>
          <w:rFonts w:ascii="Arial" w:hAnsi="Arial" w:cs="Arial"/>
          <w:noProof/>
          <w:sz w:val="24"/>
          <w:szCs w:val="24"/>
          <w:lang w:eastAsia="en-GB"/>
        </w:rPr>
        <w:pict w14:anchorId="52F8F7D5">
          <v:rect id="Rectangle 6" o:spid="_x0000_s1028" style="position:absolute;left:0;text-align:left;margin-left:81.3pt;margin-top:206.7pt;width:32.1pt;height:5.2pt;z-index:251659264;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" fillcolor="white [3212]" strokecolor="white [3212]" strokeweight="1pt"/>
        </w:pict>
      </w:r>
      <w:r w:rsidR="00D556D9" w:rsidRPr="00A6591E">
        <w:rPr>
          <w:rFonts w:ascii="Arial" w:hAnsi="Arial" w:cs="Arial"/>
          <w:noProof/>
          <w:sz w:val="24"/>
          <w:szCs w:val="24"/>
          <w:lang w:val="en-US"/>
        </w:rPr>
        <w:drawing>
          <wp:inline distT="0" distB="0" distL="0" distR="0" wp14:anchorId="34488AC9">
            <wp:extent cx="5608320" cy="30099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79B6852" w14:textId="77777777" w:rsidR="00D556D9" w:rsidRPr="00A6591E" w:rsidRDefault="009C7093" w:rsidP="00A6591E">
      <w:pPr>
        <w:spacing w:line="360" w:lineRule="auto"/>
        <w:jc w:val="both"/>
        <w:rPr>
          <w:rFonts w:ascii="Arial" w:hAnsi="Arial" w:cs="Arial"/>
          <w:sz w:val="24"/>
          <w:szCs w:val="24"/>
        </w:rPr>
      </w:pPr>
      <w:r w:rsidRPr="00A6591E">
        <w:rPr>
          <w:rFonts w:ascii="Arial" w:hAnsi="Arial" w:cs="Arial"/>
          <w:sz w:val="24"/>
          <w:szCs w:val="24"/>
        </w:rPr>
        <w:t>Additionally, there has been a trend of the occupancy rate declining throughout the course of the three years. Declines in the average room rate and occupancy rate could have a significant impact on revenue and overall profits.</w:t>
      </w:r>
    </w:p>
    <w:p w14:paraId="3FFDD380" w14:textId="77777777" w:rsidR="00C77EFE" w:rsidRPr="00A6591E" w:rsidRDefault="00C77EFE" w:rsidP="00A6591E">
      <w:pPr>
        <w:spacing w:line="360" w:lineRule="auto"/>
        <w:jc w:val="both"/>
        <w:rPr>
          <w:rFonts w:ascii="Arial" w:hAnsi="Arial" w:cs="Arial"/>
          <w:sz w:val="24"/>
          <w:szCs w:val="24"/>
        </w:rPr>
      </w:pPr>
      <w:r w:rsidRPr="00A6591E">
        <w:rPr>
          <w:rFonts w:ascii="Arial" w:hAnsi="Arial" w:cs="Arial"/>
          <w:sz w:val="24"/>
          <w:szCs w:val="24"/>
        </w:rPr>
        <w:t>In short the financial performance of Seacrest Lodge</w:t>
      </w:r>
      <w:r w:rsidR="00006CF2" w:rsidRPr="00A6591E">
        <w:rPr>
          <w:rFonts w:ascii="Arial" w:hAnsi="Arial" w:cs="Arial"/>
          <w:sz w:val="24"/>
          <w:szCs w:val="24"/>
        </w:rPr>
        <w:t xml:space="preserve"> UK</w:t>
      </w:r>
      <w:r w:rsidRPr="00A6591E">
        <w:rPr>
          <w:rFonts w:ascii="Arial" w:hAnsi="Arial" w:cs="Arial"/>
          <w:sz w:val="24"/>
          <w:szCs w:val="24"/>
        </w:rPr>
        <w:t xml:space="preserve"> during the last three years is worrying overall as it shows a fall in revenue, profitability, and important financial indicators. This indicates that a thorough turnaround strategy is urgently needed to address underlying problems and bring the resort's finances back into stability.</w:t>
      </w:r>
    </w:p>
    <w:p w14:paraId="07A7BACF" w14:textId="77777777" w:rsidR="00E1668F" w:rsidRPr="00A6591E" w:rsidRDefault="00E1668F" w:rsidP="00A6591E">
      <w:pPr>
        <w:pStyle w:val="Heading1"/>
      </w:pPr>
      <w:bookmarkStart w:id="7" w:name="_Toc158680913"/>
      <w:r w:rsidRPr="00A6591E">
        <w:t>Decline In profitability</w:t>
      </w:r>
      <w:bookmarkEnd w:id="7"/>
    </w:p>
    <w:p w14:paraId="48B63A7E" w14:textId="77777777" w:rsidR="00E1668F" w:rsidRPr="00A6591E" w:rsidRDefault="00E1668F" w:rsidP="00A6591E">
      <w:pPr>
        <w:spacing w:line="360" w:lineRule="auto"/>
        <w:jc w:val="both"/>
        <w:rPr>
          <w:rFonts w:ascii="Arial" w:hAnsi="Arial" w:cs="Arial"/>
          <w:sz w:val="24"/>
          <w:szCs w:val="24"/>
        </w:rPr>
      </w:pPr>
      <w:r w:rsidRPr="00A6591E">
        <w:rPr>
          <w:rFonts w:ascii="Arial" w:hAnsi="Arial" w:cs="Arial"/>
          <w:sz w:val="24"/>
          <w:szCs w:val="24"/>
        </w:rPr>
        <w:t>The current status of the economy and actual events are the two main factors causing Seacrest Lodge UK's diminishing profitability. There are following reasons in declining in profitability:</w:t>
      </w:r>
    </w:p>
    <w:p w14:paraId="11EEBC75" w14:textId="77777777" w:rsidR="00AA4519" w:rsidRPr="00A6591E" w:rsidRDefault="00AA4519" w:rsidP="00A6591E">
      <w:pPr>
        <w:spacing w:line="360" w:lineRule="auto"/>
        <w:jc w:val="both"/>
        <w:rPr>
          <w:rFonts w:ascii="Arial" w:hAnsi="Arial" w:cs="Arial"/>
          <w:b/>
          <w:sz w:val="24"/>
          <w:szCs w:val="24"/>
        </w:rPr>
      </w:pPr>
      <w:r w:rsidRPr="00A6591E">
        <w:rPr>
          <w:rFonts w:ascii="Arial" w:hAnsi="Arial" w:cs="Arial"/>
          <w:b/>
          <w:noProof/>
          <w:sz w:val="24"/>
          <w:szCs w:val="24"/>
          <w:lang w:val="en-US"/>
        </w:rPr>
        <w:drawing>
          <wp:inline distT="0" distB="0" distL="0" distR="0" wp14:anchorId="5E0103C7">
            <wp:extent cx="5821680" cy="1691640"/>
            <wp:effectExtent l="0" t="57150" r="0" b="2286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EC08F53" w14:textId="77777777" w:rsidR="00E1668F" w:rsidRPr="00A6591E" w:rsidRDefault="00E1668F" w:rsidP="00A6591E">
      <w:pPr>
        <w:spacing w:line="360" w:lineRule="auto"/>
        <w:jc w:val="both"/>
        <w:rPr>
          <w:rFonts w:ascii="Arial" w:hAnsi="Arial" w:cs="Arial"/>
          <w:b/>
          <w:sz w:val="24"/>
          <w:szCs w:val="24"/>
        </w:rPr>
      </w:pPr>
      <w:r w:rsidRPr="00A6591E">
        <w:rPr>
          <w:rFonts w:ascii="Arial" w:hAnsi="Arial" w:cs="Arial"/>
          <w:b/>
          <w:sz w:val="24"/>
          <w:szCs w:val="24"/>
        </w:rPr>
        <w:t>Competition in the Market:</w:t>
      </w:r>
    </w:p>
    <w:p w14:paraId="0C472D2F" w14:textId="77777777" w:rsidR="00E1668F" w:rsidRPr="00A6591E" w:rsidRDefault="00E1668F" w:rsidP="00A6591E">
      <w:pPr>
        <w:spacing w:line="360" w:lineRule="auto"/>
        <w:jc w:val="both"/>
        <w:rPr>
          <w:rFonts w:ascii="Arial" w:hAnsi="Arial" w:cs="Arial"/>
          <w:sz w:val="24"/>
          <w:szCs w:val="24"/>
        </w:rPr>
      </w:pPr>
      <w:r w:rsidRPr="00A6591E">
        <w:rPr>
          <w:rFonts w:ascii="Arial" w:hAnsi="Arial" w:cs="Arial"/>
          <w:sz w:val="24"/>
          <w:szCs w:val="24"/>
        </w:rPr>
        <w:lastRenderedPageBreak/>
        <w:t>There is significant rivalry among the many resorts and vacation spots for the attention of tourists in the competitive coastal tourism sector. It's possible that Seacrest Lodge's inability to successfully set itself out from the competition and provide distinctive experiences led to a decline in sales and profitability</w:t>
      </w:r>
      <w:r w:rsidR="00DC4E3F" w:rsidRPr="00A6591E">
        <w:rPr>
          <w:rFonts w:ascii="Arial" w:hAnsi="Arial" w:cs="Arial"/>
          <w:color w:val="0D0D0D"/>
          <w:sz w:val="24"/>
          <w:szCs w:val="24"/>
          <w:shd w:val="clear" w:color="auto" w:fill="FFFFFF"/>
        </w:rPr>
        <w:t>(Smith et al., 2021)</w:t>
      </w:r>
      <w:r w:rsidRPr="00A6591E">
        <w:rPr>
          <w:rFonts w:ascii="Arial" w:hAnsi="Arial" w:cs="Arial"/>
          <w:sz w:val="24"/>
          <w:szCs w:val="24"/>
        </w:rPr>
        <w:t xml:space="preserve">. In addition, </w:t>
      </w:r>
      <w:r w:rsidR="005D6804" w:rsidRPr="00A6591E">
        <w:rPr>
          <w:rFonts w:ascii="Arial" w:hAnsi="Arial" w:cs="Arial"/>
          <w:sz w:val="24"/>
          <w:szCs w:val="24"/>
        </w:rPr>
        <w:t>financial performance of Seacrest Lodge of UK</w:t>
      </w:r>
      <w:r w:rsidRPr="00A6591E">
        <w:rPr>
          <w:rFonts w:ascii="Arial" w:hAnsi="Arial" w:cs="Arial"/>
          <w:sz w:val="24"/>
          <w:szCs w:val="24"/>
        </w:rPr>
        <w:t xml:space="preserve"> would have been under more strain from increased competition from both new and old rivals.</w:t>
      </w:r>
    </w:p>
    <w:p w14:paraId="219D293C" w14:textId="77777777" w:rsidR="0008513E" w:rsidRPr="00A6591E" w:rsidRDefault="0008513E" w:rsidP="00A6591E">
      <w:pPr>
        <w:spacing w:line="360" w:lineRule="auto"/>
        <w:jc w:val="both"/>
        <w:rPr>
          <w:rFonts w:ascii="Arial" w:hAnsi="Arial" w:cs="Arial"/>
          <w:b/>
          <w:sz w:val="24"/>
          <w:szCs w:val="24"/>
        </w:rPr>
      </w:pPr>
      <w:r w:rsidRPr="00A6591E">
        <w:rPr>
          <w:rFonts w:ascii="Arial" w:hAnsi="Arial" w:cs="Arial"/>
          <w:b/>
          <w:sz w:val="24"/>
          <w:szCs w:val="24"/>
        </w:rPr>
        <w:t>Changing Tastes of the Consumer:</w:t>
      </w:r>
    </w:p>
    <w:p w14:paraId="2543AF60" w14:textId="77777777" w:rsidR="0008513E" w:rsidRPr="00A6591E" w:rsidRDefault="0008513E" w:rsidP="00A6591E">
      <w:pPr>
        <w:spacing w:line="360" w:lineRule="auto"/>
        <w:jc w:val="both"/>
        <w:rPr>
          <w:rFonts w:ascii="Arial" w:hAnsi="Arial" w:cs="Arial"/>
          <w:sz w:val="24"/>
          <w:szCs w:val="24"/>
        </w:rPr>
      </w:pPr>
      <w:r w:rsidRPr="00A6591E">
        <w:rPr>
          <w:rFonts w:ascii="Arial" w:hAnsi="Arial" w:cs="Arial"/>
          <w:sz w:val="24"/>
          <w:szCs w:val="24"/>
        </w:rPr>
        <w:t>Changes in the preferences and habits of its clients can have a significant effect on the hotel sector. It's possible, for instance, that experience travel is becoming more popular than conventional resort stays or other accommodations like Airbnb. Seacrest Lodge may have seen a drop in visitors and average room prices, which would have reduced profitability, if it hadn't modified its offers to match shifting customer expectations</w:t>
      </w:r>
      <w:r w:rsidR="00BB635D" w:rsidRPr="00A6591E">
        <w:rPr>
          <w:rFonts w:ascii="Arial" w:hAnsi="Arial" w:cs="Arial"/>
          <w:color w:val="0D0D0D"/>
          <w:sz w:val="24"/>
          <w:szCs w:val="24"/>
          <w:shd w:val="clear" w:color="auto" w:fill="FFFFFF"/>
        </w:rPr>
        <w:t>(Jones &amp; Robinson, 2020)</w:t>
      </w:r>
      <w:r w:rsidRPr="00A6591E">
        <w:rPr>
          <w:rFonts w:ascii="Arial" w:hAnsi="Arial" w:cs="Arial"/>
          <w:sz w:val="24"/>
          <w:szCs w:val="24"/>
        </w:rPr>
        <w:t>.</w:t>
      </w:r>
    </w:p>
    <w:p w14:paraId="30ABC1C7" w14:textId="77777777" w:rsidR="006559FC" w:rsidRPr="00A6591E" w:rsidRDefault="00495719" w:rsidP="00A6591E">
      <w:pPr>
        <w:spacing w:line="360" w:lineRule="auto"/>
        <w:jc w:val="both"/>
        <w:rPr>
          <w:rFonts w:ascii="Arial" w:hAnsi="Arial" w:cs="Arial"/>
          <w:b/>
          <w:sz w:val="24"/>
          <w:szCs w:val="24"/>
        </w:rPr>
      </w:pPr>
      <w:r w:rsidRPr="00A6591E">
        <w:rPr>
          <w:rFonts w:ascii="Arial" w:hAnsi="Arial" w:cs="Arial"/>
          <w:b/>
          <w:sz w:val="24"/>
          <w:szCs w:val="24"/>
        </w:rPr>
        <w:t>Concerns with Infrastructure and Maintenance:</w:t>
      </w:r>
    </w:p>
    <w:p w14:paraId="4835C935" w14:textId="77777777" w:rsidR="00E1668F" w:rsidRPr="00A6591E" w:rsidRDefault="00495719" w:rsidP="00A6591E">
      <w:pPr>
        <w:spacing w:line="360" w:lineRule="auto"/>
        <w:jc w:val="both"/>
        <w:rPr>
          <w:rFonts w:ascii="Arial" w:hAnsi="Arial" w:cs="Arial"/>
          <w:sz w:val="24"/>
          <w:szCs w:val="24"/>
        </w:rPr>
      </w:pPr>
      <w:r w:rsidRPr="00A6591E">
        <w:rPr>
          <w:rFonts w:ascii="Arial" w:hAnsi="Arial" w:cs="Arial"/>
          <w:sz w:val="24"/>
          <w:szCs w:val="24"/>
        </w:rPr>
        <w:t>The property and equipment value dropping from £2,000,000 to £1,800,000 could lead to problems with depreciation or maintenance. If Seacrest Lodge had made insufficient investments in modernization, renovations, or property maintenance, this might have resulted in a drop in the facility's perceived value among visitors, which would have had an impact on room rates and occupancy rates and ultimately profitability</w:t>
      </w:r>
      <w:r w:rsidR="00B05267" w:rsidRPr="00A6591E">
        <w:rPr>
          <w:rFonts w:ascii="Arial" w:hAnsi="Arial" w:cs="Arial"/>
          <w:color w:val="0D0D0D"/>
          <w:sz w:val="24"/>
          <w:szCs w:val="24"/>
          <w:shd w:val="clear" w:color="auto" w:fill="FFFFFF"/>
        </w:rPr>
        <w:t>(Brown &amp; Curry, 2019)</w:t>
      </w:r>
      <w:r w:rsidRPr="00A6591E">
        <w:rPr>
          <w:rFonts w:ascii="Arial" w:hAnsi="Arial" w:cs="Arial"/>
          <w:sz w:val="24"/>
          <w:szCs w:val="24"/>
        </w:rPr>
        <w:t>.</w:t>
      </w:r>
    </w:p>
    <w:p w14:paraId="5274CEE5" w14:textId="77777777" w:rsidR="005B2CBC" w:rsidRPr="00A6591E" w:rsidRDefault="00DB15AE" w:rsidP="00A6591E">
      <w:pPr>
        <w:spacing w:line="360" w:lineRule="auto"/>
        <w:jc w:val="both"/>
        <w:rPr>
          <w:rFonts w:ascii="Arial" w:hAnsi="Arial" w:cs="Arial"/>
          <w:b/>
          <w:sz w:val="24"/>
          <w:szCs w:val="24"/>
        </w:rPr>
      </w:pPr>
      <w:r w:rsidRPr="00A6591E">
        <w:rPr>
          <w:rFonts w:ascii="Arial" w:hAnsi="Arial" w:cs="Arial"/>
          <w:b/>
          <w:sz w:val="24"/>
          <w:szCs w:val="24"/>
        </w:rPr>
        <w:t>Customer Satisfaction and Service:</w:t>
      </w:r>
    </w:p>
    <w:p w14:paraId="6631FC75" w14:textId="77777777" w:rsidR="00DB15AE" w:rsidRPr="00A6591E" w:rsidRDefault="00DB15AE" w:rsidP="00A6591E">
      <w:pPr>
        <w:spacing w:line="360" w:lineRule="auto"/>
        <w:jc w:val="both"/>
        <w:rPr>
          <w:rFonts w:ascii="Arial" w:hAnsi="Arial" w:cs="Arial"/>
          <w:sz w:val="24"/>
          <w:szCs w:val="24"/>
        </w:rPr>
      </w:pPr>
      <w:r w:rsidRPr="00A6591E">
        <w:rPr>
          <w:rFonts w:ascii="Arial" w:hAnsi="Arial" w:cs="Arial"/>
          <w:sz w:val="24"/>
          <w:szCs w:val="24"/>
        </w:rPr>
        <w:t>Outdated features and poor customer service could discourage visitors from coming back or referring others to the lodge. Lower occupancy rates and revenue may have resulted from criticism or unfavourable reviews of Seacrest Lodge's amenities, cleanliness, customer service, or general guest experience</w:t>
      </w:r>
      <w:r w:rsidR="00B05267" w:rsidRPr="00A6591E">
        <w:rPr>
          <w:rFonts w:ascii="Arial" w:hAnsi="Arial" w:cs="Arial"/>
          <w:color w:val="0D0D0D"/>
          <w:sz w:val="24"/>
          <w:szCs w:val="24"/>
          <w:shd w:val="clear" w:color="auto" w:fill="FFFFFF"/>
        </w:rPr>
        <w:t>(Johnson &amp;Gustafsson, 2021)</w:t>
      </w:r>
      <w:r w:rsidRPr="00A6591E">
        <w:rPr>
          <w:rFonts w:ascii="Arial" w:hAnsi="Arial" w:cs="Arial"/>
          <w:sz w:val="24"/>
          <w:szCs w:val="24"/>
        </w:rPr>
        <w:t>. Because online evaluations and word-of-mouth recommendations have a big influence on client purchases, hospitality businesses in the digital era place a high value on customer satisfaction.</w:t>
      </w:r>
    </w:p>
    <w:p w14:paraId="26AF0978" w14:textId="77777777" w:rsidR="00CB195F" w:rsidRPr="00A6591E" w:rsidRDefault="00CB195F" w:rsidP="00A6591E">
      <w:pPr>
        <w:spacing w:line="360" w:lineRule="auto"/>
        <w:jc w:val="both"/>
        <w:rPr>
          <w:rFonts w:ascii="Arial" w:hAnsi="Arial" w:cs="Arial"/>
          <w:b/>
          <w:sz w:val="24"/>
          <w:szCs w:val="24"/>
        </w:rPr>
      </w:pPr>
      <w:r w:rsidRPr="00A6591E">
        <w:rPr>
          <w:rFonts w:ascii="Arial" w:hAnsi="Arial" w:cs="Arial"/>
          <w:b/>
          <w:sz w:val="24"/>
          <w:szCs w:val="24"/>
        </w:rPr>
        <w:t>Management of finances and debt levels:</w:t>
      </w:r>
    </w:p>
    <w:p w14:paraId="240B08D4" w14:textId="77777777" w:rsidR="00CB195F" w:rsidRPr="00A6591E" w:rsidRDefault="00CB195F" w:rsidP="00A6591E">
      <w:pPr>
        <w:spacing w:line="360" w:lineRule="auto"/>
        <w:jc w:val="both"/>
        <w:rPr>
          <w:rFonts w:ascii="Arial" w:hAnsi="Arial" w:cs="Arial"/>
          <w:sz w:val="24"/>
          <w:szCs w:val="24"/>
        </w:rPr>
      </w:pPr>
      <w:r w:rsidRPr="00A6591E">
        <w:rPr>
          <w:rFonts w:ascii="Arial" w:hAnsi="Arial" w:cs="Arial"/>
          <w:sz w:val="24"/>
          <w:szCs w:val="24"/>
        </w:rPr>
        <w:lastRenderedPageBreak/>
        <w:t>Decreased profitability and net income, along with decreased equity, point to possible problems with debt levels and money management</w:t>
      </w:r>
      <w:r w:rsidR="00AB272C" w:rsidRPr="00A6591E">
        <w:rPr>
          <w:rFonts w:ascii="Arial" w:hAnsi="Arial" w:cs="Arial"/>
          <w:color w:val="0D0D0D"/>
          <w:sz w:val="24"/>
          <w:szCs w:val="24"/>
          <w:shd w:val="clear" w:color="auto" w:fill="FFFFFF"/>
        </w:rPr>
        <w:t>(Lee et al., 2022)</w:t>
      </w:r>
      <w:r w:rsidRPr="00A6591E">
        <w:rPr>
          <w:rFonts w:ascii="Arial" w:hAnsi="Arial" w:cs="Arial"/>
          <w:sz w:val="24"/>
          <w:szCs w:val="24"/>
        </w:rPr>
        <w:t>. Seacrest Lodge may have eventually had financial difficulties and a drop in profitability if it had racked up enough debt without earning enough income to meet its expenses and debt servicing obligations.</w:t>
      </w:r>
    </w:p>
    <w:p w14:paraId="565E6463" w14:textId="77777777" w:rsidR="00FC1441" w:rsidRPr="00A6591E" w:rsidRDefault="00FC1441" w:rsidP="00A6591E">
      <w:pPr>
        <w:spacing w:line="360" w:lineRule="auto"/>
        <w:jc w:val="both"/>
        <w:rPr>
          <w:rFonts w:ascii="Arial" w:hAnsi="Arial" w:cs="Arial"/>
          <w:b/>
          <w:sz w:val="24"/>
          <w:szCs w:val="24"/>
        </w:rPr>
      </w:pPr>
      <w:r w:rsidRPr="00A6591E">
        <w:rPr>
          <w:rFonts w:ascii="Arial" w:hAnsi="Arial" w:cs="Arial"/>
          <w:b/>
          <w:sz w:val="24"/>
          <w:szCs w:val="24"/>
        </w:rPr>
        <w:t>Financial crisis</w:t>
      </w:r>
    </w:p>
    <w:p w14:paraId="7E3E0CB8" w14:textId="77777777" w:rsidR="00D60247" w:rsidRPr="00A6591E" w:rsidRDefault="00FC1441" w:rsidP="00A6591E">
      <w:pPr>
        <w:spacing w:line="360" w:lineRule="auto"/>
        <w:jc w:val="both"/>
        <w:rPr>
          <w:rFonts w:ascii="Arial" w:hAnsi="Arial" w:cs="Arial"/>
          <w:sz w:val="24"/>
          <w:szCs w:val="24"/>
        </w:rPr>
      </w:pPr>
      <w:r w:rsidRPr="00A6591E">
        <w:rPr>
          <w:rFonts w:ascii="Arial" w:hAnsi="Arial" w:cs="Arial"/>
          <w:sz w:val="24"/>
          <w:szCs w:val="24"/>
        </w:rPr>
        <w:t>Throughout the research period, the global economy was plagued by unprecedented volatility in the form of currency rate fluctuations, economic recessions, and a decline in consumer expenditure</w:t>
      </w:r>
      <w:r w:rsidR="0059210F" w:rsidRPr="00A6591E">
        <w:rPr>
          <w:rFonts w:ascii="Arial" w:hAnsi="Arial" w:cs="Arial"/>
          <w:color w:val="0D0D0D"/>
          <w:sz w:val="24"/>
          <w:szCs w:val="24"/>
          <w:shd w:val="clear" w:color="auto" w:fill="FFFFFF"/>
        </w:rPr>
        <w:t>(Hill &amp; Jones, 2023)</w:t>
      </w:r>
      <w:r w:rsidRPr="00A6591E">
        <w:rPr>
          <w:rFonts w:ascii="Arial" w:hAnsi="Arial" w:cs="Arial"/>
          <w:sz w:val="24"/>
          <w:szCs w:val="24"/>
        </w:rPr>
        <w:t>. A more unstable economy might have discouraged prospective visitors from buying opulent lodging on the spur of the moment, which would have affected Seacrest Lodge's sources of income.</w:t>
      </w:r>
    </w:p>
    <w:p w14:paraId="2D7AD81F" w14:textId="77777777" w:rsidR="004E43C9" w:rsidRPr="00A6591E" w:rsidRDefault="004E43C9" w:rsidP="00A6591E">
      <w:pPr>
        <w:spacing w:line="360" w:lineRule="auto"/>
        <w:jc w:val="both"/>
        <w:rPr>
          <w:rFonts w:ascii="Arial" w:hAnsi="Arial" w:cs="Arial"/>
          <w:b/>
          <w:sz w:val="24"/>
          <w:szCs w:val="24"/>
        </w:rPr>
      </w:pPr>
      <w:r w:rsidRPr="00A6591E">
        <w:rPr>
          <w:rFonts w:ascii="Arial" w:hAnsi="Arial" w:cs="Arial"/>
          <w:b/>
          <w:sz w:val="24"/>
          <w:szCs w:val="24"/>
        </w:rPr>
        <w:t>Technological Revolutions:</w:t>
      </w:r>
    </w:p>
    <w:p w14:paraId="5CC1D8AE" w14:textId="77777777" w:rsidR="004E43C9" w:rsidRPr="00A6591E" w:rsidRDefault="004E43C9" w:rsidP="00A6591E">
      <w:pPr>
        <w:spacing w:line="360" w:lineRule="auto"/>
        <w:jc w:val="both"/>
        <w:rPr>
          <w:rFonts w:ascii="Arial" w:hAnsi="Arial" w:cs="Arial"/>
          <w:sz w:val="24"/>
          <w:szCs w:val="24"/>
        </w:rPr>
      </w:pPr>
      <w:r w:rsidRPr="00A6591E">
        <w:rPr>
          <w:rFonts w:ascii="Arial" w:hAnsi="Arial" w:cs="Arial"/>
          <w:sz w:val="24"/>
          <w:szCs w:val="24"/>
        </w:rPr>
        <w:t>Customers now have more freedom, choice, and price transparency in the hospitality industry because to the emergence of sharing economy principles and online booking platforms. Seacrest Lodge UK may have seen declining occupancy rates and revenue as a result of its failure to adapt its marketing strategies to leverage online platforms and capitalise on digitalization trends.</w:t>
      </w:r>
    </w:p>
    <w:p w14:paraId="13A266A0" w14:textId="77777777" w:rsidR="008A06AA" w:rsidRPr="00A6591E" w:rsidRDefault="008A06AA" w:rsidP="00A6591E">
      <w:pPr>
        <w:pStyle w:val="Heading1"/>
      </w:pPr>
      <w:bookmarkStart w:id="8" w:name="_Toc158680914"/>
      <w:r w:rsidRPr="00A6591E">
        <w:t>Restore its Reputation as a Premier Vacation Destination</w:t>
      </w:r>
      <w:bookmarkEnd w:id="8"/>
    </w:p>
    <w:p w14:paraId="5847D2AD" w14:textId="77777777" w:rsidR="002810C8" w:rsidRPr="00A6591E" w:rsidRDefault="002810C8" w:rsidP="00A6591E">
      <w:pPr>
        <w:spacing w:line="360" w:lineRule="auto"/>
        <w:jc w:val="both"/>
        <w:rPr>
          <w:rFonts w:ascii="Arial" w:hAnsi="Arial" w:cs="Arial"/>
          <w:sz w:val="24"/>
          <w:szCs w:val="24"/>
        </w:rPr>
      </w:pPr>
      <w:r w:rsidRPr="00A6591E">
        <w:rPr>
          <w:rFonts w:ascii="Arial" w:hAnsi="Arial" w:cs="Arial"/>
          <w:sz w:val="24"/>
          <w:szCs w:val="24"/>
        </w:rPr>
        <w:t>A comprehensive turnaround plan is needed to strengthen Seacrest Lodge UK's financial position and restore its reputation as a premier vacation destination. This all-inclusive plan covers a number of areas related to operations, marketing, financial management, and customer experience:</w:t>
      </w:r>
    </w:p>
    <w:p w14:paraId="566A2CC9" w14:textId="77777777" w:rsidR="00476D5D" w:rsidRPr="00A6591E" w:rsidRDefault="00476D5D" w:rsidP="00A6591E">
      <w:pPr>
        <w:spacing w:line="360" w:lineRule="auto"/>
        <w:jc w:val="both"/>
        <w:rPr>
          <w:rFonts w:ascii="Arial" w:hAnsi="Arial" w:cs="Arial"/>
          <w:b/>
          <w:sz w:val="24"/>
          <w:szCs w:val="24"/>
        </w:rPr>
      </w:pPr>
      <w:r w:rsidRPr="00A6591E">
        <w:rPr>
          <w:rFonts w:ascii="Arial" w:hAnsi="Arial" w:cs="Arial"/>
          <w:b/>
          <w:sz w:val="24"/>
          <w:szCs w:val="24"/>
        </w:rPr>
        <w:t>Branding and market positioning:</w:t>
      </w:r>
    </w:p>
    <w:p w14:paraId="4244F11D" w14:textId="77777777" w:rsidR="00476D5D" w:rsidRPr="00A6591E" w:rsidRDefault="00476D5D" w:rsidP="00A6591E">
      <w:pPr>
        <w:pStyle w:val="ListParagraph"/>
        <w:numPr>
          <w:ilvl w:val="0"/>
          <w:numId w:val="1"/>
        </w:numPr>
        <w:spacing w:line="360" w:lineRule="auto"/>
        <w:jc w:val="both"/>
        <w:rPr>
          <w:rFonts w:ascii="Arial" w:hAnsi="Arial" w:cs="Arial"/>
          <w:sz w:val="24"/>
          <w:szCs w:val="24"/>
        </w:rPr>
      </w:pPr>
      <w:r w:rsidRPr="00A6591E">
        <w:rPr>
          <w:rFonts w:ascii="Arial" w:hAnsi="Arial" w:cs="Arial"/>
          <w:sz w:val="24"/>
          <w:szCs w:val="24"/>
        </w:rPr>
        <w:t>To learn about the prevailing customer trends and preferences, conduct market research.</w:t>
      </w:r>
    </w:p>
    <w:p w14:paraId="69E2B40F" w14:textId="77777777" w:rsidR="00476D5D" w:rsidRPr="00A6591E" w:rsidRDefault="00476D5D" w:rsidP="00A6591E">
      <w:pPr>
        <w:pStyle w:val="ListParagraph"/>
        <w:numPr>
          <w:ilvl w:val="0"/>
          <w:numId w:val="1"/>
        </w:numPr>
        <w:spacing w:line="360" w:lineRule="auto"/>
        <w:jc w:val="both"/>
        <w:rPr>
          <w:rFonts w:ascii="Arial" w:hAnsi="Arial" w:cs="Arial"/>
          <w:sz w:val="24"/>
          <w:szCs w:val="24"/>
        </w:rPr>
      </w:pPr>
      <w:r w:rsidRPr="00A6591E">
        <w:rPr>
          <w:rFonts w:ascii="Arial" w:hAnsi="Arial" w:cs="Arial"/>
          <w:sz w:val="24"/>
          <w:szCs w:val="24"/>
        </w:rPr>
        <w:t>Redesign the Seacrest Lodge logo to give it a more eye-catching appearance and set it apart from rivals.</w:t>
      </w:r>
    </w:p>
    <w:p w14:paraId="39228B13" w14:textId="77777777" w:rsidR="00476D5D" w:rsidRPr="00A6591E" w:rsidRDefault="00476D5D" w:rsidP="00A6591E">
      <w:pPr>
        <w:pStyle w:val="ListParagraph"/>
        <w:numPr>
          <w:ilvl w:val="0"/>
          <w:numId w:val="1"/>
        </w:numPr>
        <w:spacing w:line="360" w:lineRule="auto"/>
        <w:jc w:val="both"/>
        <w:rPr>
          <w:rFonts w:ascii="Arial" w:hAnsi="Arial" w:cs="Arial"/>
          <w:sz w:val="24"/>
          <w:szCs w:val="24"/>
        </w:rPr>
      </w:pPr>
      <w:r w:rsidRPr="00A6591E">
        <w:rPr>
          <w:rFonts w:ascii="Arial" w:hAnsi="Arial" w:cs="Arial"/>
          <w:sz w:val="24"/>
          <w:szCs w:val="24"/>
        </w:rPr>
        <w:t>Promote branding initiatives that highlight the lodge's unique qualities, first-rate service, and dedication to sustainability</w:t>
      </w:r>
      <w:r w:rsidR="0092273D" w:rsidRPr="00A6591E">
        <w:rPr>
          <w:rFonts w:ascii="Arial" w:hAnsi="Arial" w:cs="Arial"/>
          <w:color w:val="0D0D0D"/>
          <w:sz w:val="24"/>
          <w:szCs w:val="24"/>
          <w:shd w:val="clear" w:color="auto" w:fill="FFFFFF"/>
        </w:rPr>
        <w:t>(Kotler et al., 2020)</w:t>
      </w:r>
      <w:r w:rsidRPr="00A6591E">
        <w:rPr>
          <w:rFonts w:ascii="Arial" w:hAnsi="Arial" w:cs="Arial"/>
          <w:sz w:val="24"/>
          <w:szCs w:val="24"/>
        </w:rPr>
        <w:t>.</w:t>
      </w:r>
    </w:p>
    <w:p w14:paraId="7D3E39C1" w14:textId="77777777" w:rsidR="00476D5D" w:rsidRPr="00A6591E" w:rsidRDefault="00476D5D" w:rsidP="00A6591E">
      <w:pPr>
        <w:pStyle w:val="ListParagraph"/>
        <w:numPr>
          <w:ilvl w:val="0"/>
          <w:numId w:val="1"/>
        </w:numPr>
        <w:spacing w:line="360" w:lineRule="auto"/>
        <w:jc w:val="both"/>
        <w:rPr>
          <w:rFonts w:ascii="Arial" w:hAnsi="Arial" w:cs="Arial"/>
          <w:sz w:val="24"/>
          <w:szCs w:val="24"/>
        </w:rPr>
      </w:pPr>
      <w:r w:rsidRPr="00A6591E">
        <w:rPr>
          <w:rFonts w:ascii="Arial" w:hAnsi="Arial" w:cs="Arial"/>
          <w:sz w:val="24"/>
          <w:szCs w:val="24"/>
        </w:rPr>
        <w:lastRenderedPageBreak/>
        <w:t>Provide specialised services and packages that cater to specific customer segments, such those looking for luxury travel, adventurous travel, or family vacations.</w:t>
      </w:r>
    </w:p>
    <w:p w14:paraId="573AA9DB" w14:textId="77777777" w:rsidR="00476D5D" w:rsidRPr="00A6591E" w:rsidRDefault="00476D5D" w:rsidP="00A6591E">
      <w:pPr>
        <w:pStyle w:val="ListParagraph"/>
        <w:numPr>
          <w:ilvl w:val="0"/>
          <w:numId w:val="1"/>
        </w:numPr>
        <w:spacing w:line="360" w:lineRule="auto"/>
        <w:jc w:val="both"/>
        <w:rPr>
          <w:rFonts w:ascii="Arial" w:hAnsi="Arial" w:cs="Arial"/>
          <w:sz w:val="24"/>
          <w:szCs w:val="24"/>
        </w:rPr>
      </w:pPr>
      <w:r w:rsidRPr="00A6591E">
        <w:rPr>
          <w:rFonts w:ascii="Arial" w:hAnsi="Arial" w:cs="Arial"/>
          <w:sz w:val="24"/>
          <w:szCs w:val="24"/>
        </w:rPr>
        <w:t>Spend money on marketing campaigns that showcase the lodge's exceptional features, gorgeous lakefront setting, and top-notch guest services</w:t>
      </w:r>
      <w:r w:rsidR="00A63B01" w:rsidRPr="00A6591E">
        <w:rPr>
          <w:rFonts w:ascii="Arial" w:hAnsi="Arial" w:cs="Arial"/>
          <w:color w:val="0D0D0D"/>
          <w:sz w:val="24"/>
          <w:szCs w:val="24"/>
          <w:shd w:val="clear" w:color="auto" w:fill="FFFFFF"/>
        </w:rPr>
        <w:t>(Kotler et al., 2020)</w:t>
      </w:r>
      <w:r w:rsidRPr="00A6591E">
        <w:rPr>
          <w:rFonts w:ascii="Arial" w:hAnsi="Arial" w:cs="Arial"/>
          <w:sz w:val="24"/>
          <w:szCs w:val="24"/>
        </w:rPr>
        <w:t>.</w:t>
      </w:r>
    </w:p>
    <w:p w14:paraId="0093236F" w14:textId="77777777" w:rsidR="003F7FE7" w:rsidRPr="00A6591E" w:rsidRDefault="003F7FE7" w:rsidP="00A6591E">
      <w:pPr>
        <w:spacing w:line="360" w:lineRule="auto"/>
        <w:jc w:val="both"/>
        <w:rPr>
          <w:rFonts w:ascii="Arial" w:hAnsi="Arial" w:cs="Arial"/>
          <w:b/>
          <w:sz w:val="24"/>
          <w:szCs w:val="24"/>
        </w:rPr>
      </w:pPr>
      <w:r w:rsidRPr="00A6591E">
        <w:rPr>
          <w:rFonts w:ascii="Arial" w:hAnsi="Arial" w:cs="Arial"/>
          <w:b/>
          <w:sz w:val="24"/>
          <w:szCs w:val="24"/>
        </w:rPr>
        <w:t>Enhancing Products and Services:</w:t>
      </w:r>
    </w:p>
    <w:p w14:paraId="27C309E1" w14:textId="77777777" w:rsidR="003F7FE7" w:rsidRPr="00A6591E" w:rsidRDefault="003F7FE7" w:rsidP="00A6591E">
      <w:pPr>
        <w:pStyle w:val="ListParagraph"/>
        <w:numPr>
          <w:ilvl w:val="0"/>
          <w:numId w:val="2"/>
        </w:numPr>
        <w:spacing w:line="360" w:lineRule="auto"/>
        <w:jc w:val="both"/>
        <w:rPr>
          <w:rFonts w:ascii="Arial" w:hAnsi="Arial" w:cs="Arial"/>
          <w:sz w:val="24"/>
          <w:szCs w:val="24"/>
        </w:rPr>
      </w:pPr>
      <w:r w:rsidRPr="00A6591E">
        <w:rPr>
          <w:rFonts w:ascii="Arial" w:hAnsi="Arial" w:cs="Arial"/>
          <w:sz w:val="24"/>
          <w:szCs w:val="24"/>
        </w:rPr>
        <w:t>Invest in new features, renovations, and property enhancements to improve the experience for visitors and increase the properties perceived worth.</w:t>
      </w:r>
    </w:p>
    <w:p w14:paraId="005ECB32" w14:textId="77777777" w:rsidR="003F7FE7" w:rsidRPr="00A6591E" w:rsidRDefault="003F7FE7" w:rsidP="00A6591E">
      <w:pPr>
        <w:pStyle w:val="ListParagraph"/>
        <w:numPr>
          <w:ilvl w:val="0"/>
          <w:numId w:val="2"/>
        </w:numPr>
        <w:spacing w:line="360" w:lineRule="auto"/>
        <w:jc w:val="both"/>
        <w:rPr>
          <w:rFonts w:ascii="Arial" w:hAnsi="Arial" w:cs="Arial"/>
          <w:sz w:val="24"/>
          <w:szCs w:val="24"/>
        </w:rPr>
      </w:pPr>
      <w:r w:rsidRPr="00A6591E">
        <w:rPr>
          <w:rFonts w:ascii="Arial" w:hAnsi="Arial" w:cs="Arial"/>
          <w:sz w:val="24"/>
          <w:szCs w:val="24"/>
        </w:rPr>
        <w:t>To ensure that buildings and equipment are kept in optimal condition and to handle infrastructure and maintenance issues, establish a routine maintenance strategy.</w:t>
      </w:r>
    </w:p>
    <w:p w14:paraId="4FA5DC99" w14:textId="77777777" w:rsidR="003F7FE7" w:rsidRPr="00A6591E" w:rsidRDefault="003F7FE7" w:rsidP="00A6591E">
      <w:pPr>
        <w:pStyle w:val="ListParagraph"/>
        <w:numPr>
          <w:ilvl w:val="0"/>
          <w:numId w:val="2"/>
        </w:numPr>
        <w:spacing w:line="360" w:lineRule="auto"/>
        <w:jc w:val="both"/>
        <w:rPr>
          <w:rFonts w:ascii="Arial" w:hAnsi="Arial" w:cs="Arial"/>
          <w:sz w:val="24"/>
          <w:szCs w:val="24"/>
        </w:rPr>
      </w:pPr>
      <w:r w:rsidRPr="00A6591E">
        <w:rPr>
          <w:rFonts w:ascii="Arial" w:hAnsi="Arial" w:cs="Arial"/>
          <w:sz w:val="24"/>
          <w:szCs w:val="24"/>
        </w:rPr>
        <w:t>Use online reviews and quizzes to gather visitor input on areas that require improvement</w:t>
      </w:r>
      <w:r w:rsidR="00A63B01" w:rsidRPr="00A6591E">
        <w:rPr>
          <w:rFonts w:ascii="Arial" w:hAnsi="Arial" w:cs="Arial"/>
          <w:sz w:val="24"/>
          <w:szCs w:val="24"/>
        </w:rPr>
        <w:t>.</w:t>
      </w:r>
    </w:p>
    <w:p w14:paraId="290CA7D9" w14:textId="77777777" w:rsidR="003F7FE7" w:rsidRPr="00A6591E" w:rsidRDefault="003F7FE7" w:rsidP="00A6591E">
      <w:pPr>
        <w:pStyle w:val="ListParagraph"/>
        <w:numPr>
          <w:ilvl w:val="0"/>
          <w:numId w:val="2"/>
        </w:numPr>
        <w:spacing w:line="360" w:lineRule="auto"/>
        <w:jc w:val="both"/>
        <w:rPr>
          <w:rFonts w:ascii="Arial" w:hAnsi="Arial" w:cs="Arial"/>
          <w:sz w:val="24"/>
          <w:szCs w:val="24"/>
        </w:rPr>
      </w:pPr>
      <w:r w:rsidRPr="00A6591E">
        <w:rPr>
          <w:rFonts w:ascii="Arial" w:hAnsi="Arial" w:cs="Arial"/>
          <w:sz w:val="24"/>
          <w:szCs w:val="24"/>
        </w:rPr>
        <w:t>Prioritise the guest's comfort, hygiene, and overall experience in order to encourage return business and positive referrals.</w:t>
      </w:r>
    </w:p>
    <w:p w14:paraId="658FFA3C" w14:textId="77777777" w:rsidR="002B2AEE" w:rsidRPr="00A6591E" w:rsidRDefault="003F7FE7" w:rsidP="00A6591E">
      <w:pPr>
        <w:pStyle w:val="ListParagraph"/>
        <w:numPr>
          <w:ilvl w:val="0"/>
          <w:numId w:val="2"/>
        </w:numPr>
        <w:spacing w:line="360" w:lineRule="auto"/>
        <w:jc w:val="both"/>
        <w:rPr>
          <w:rFonts w:ascii="Arial" w:hAnsi="Arial" w:cs="Arial"/>
          <w:sz w:val="24"/>
          <w:szCs w:val="24"/>
        </w:rPr>
      </w:pPr>
      <w:r w:rsidRPr="00A6591E">
        <w:rPr>
          <w:rFonts w:ascii="Arial" w:hAnsi="Arial" w:cs="Arial"/>
          <w:sz w:val="24"/>
          <w:szCs w:val="24"/>
        </w:rPr>
        <w:t>Train employees on best practices in hospitality, emphasising the value of going above and beyond for customers and offer</w:t>
      </w:r>
      <w:r w:rsidR="002B2AEE" w:rsidRPr="00A6591E">
        <w:rPr>
          <w:rFonts w:ascii="Arial" w:hAnsi="Arial" w:cs="Arial"/>
          <w:sz w:val="24"/>
          <w:szCs w:val="24"/>
        </w:rPr>
        <w:t>ing first-rate customer service</w:t>
      </w:r>
      <w:r w:rsidR="00A63B01" w:rsidRPr="00A6591E">
        <w:rPr>
          <w:rFonts w:ascii="Arial" w:hAnsi="Arial" w:cs="Arial"/>
          <w:color w:val="0D0D0D"/>
          <w:sz w:val="24"/>
          <w:szCs w:val="24"/>
          <w:shd w:val="clear" w:color="auto" w:fill="FFFFFF"/>
        </w:rPr>
        <w:t>(Heskett et al., 2019)</w:t>
      </w:r>
      <w:r w:rsidR="002B2AEE" w:rsidRPr="00A6591E">
        <w:rPr>
          <w:rFonts w:ascii="Arial" w:hAnsi="Arial" w:cs="Arial"/>
          <w:sz w:val="24"/>
          <w:szCs w:val="24"/>
        </w:rPr>
        <w:t>.</w:t>
      </w:r>
    </w:p>
    <w:p w14:paraId="5F7FB7CC" w14:textId="77777777" w:rsidR="002B2AEE" w:rsidRPr="00A6591E" w:rsidRDefault="002B2AEE" w:rsidP="00A6591E">
      <w:pPr>
        <w:spacing w:line="360" w:lineRule="auto"/>
        <w:jc w:val="both"/>
        <w:rPr>
          <w:rFonts w:ascii="Arial" w:hAnsi="Arial" w:cs="Arial"/>
          <w:b/>
          <w:sz w:val="24"/>
          <w:szCs w:val="24"/>
        </w:rPr>
      </w:pPr>
      <w:r w:rsidRPr="00A6591E">
        <w:rPr>
          <w:rFonts w:ascii="Arial" w:hAnsi="Arial" w:cs="Arial"/>
          <w:b/>
          <w:sz w:val="24"/>
          <w:szCs w:val="24"/>
        </w:rPr>
        <w:t>Promotion &amp; Marketing:</w:t>
      </w:r>
    </w:p>
    <w:p w14:paraId="41BAEB72" w14:textId="77777777" w:rsidR="002B2AEE" w:rsidRPr="00A6591E" w:rsidRDefault="002B2AEE" w:rsidP="00A6591E">
      <w:pPr>
        <w:pStyle w:val="ListParagraph"/>
        <w:numPr>
          <w:ilvl w:val="0"/>
          <w:numId w:val="3"/>
        </w:numPr>
        <w:spacing w:line="360" w:lineRule="auto"/>
        <w:jc w:val="both"/>
        <w:rPr>
          <w:rFonts w:ascii="Arial" w:hAnsi="Arial" w:cs="Arial"/>
          <w:sz w:val="24"/>
          <w:szCs w:val="24"/>
        </w:rPr>
      </w:pPr>
      <w:r w:rsidRPr="00A6591E">
        <w:rPr>
          <w:rFonts w:ascii="Arial" w:hAnsi="Arial" w:cs="Arial"/>
          <w:sz w:val="24"/>
          <w:szCs w:val="24"/>
        </w:rPr>
        <w:t>To draw potential visitors, develop a comprehensive digital marketing strategy that makes use of social media, search engine optimisation (SEO), and online travel agencies (OTAs).</w:t>
      </w:r>
    </w:p>
    <w:p w14:paraId="3AE74231" w14:textId="77777777" w:rsidR="002B2AEE" w:rsidRPr="00A6591E" w:rsidRDefault="002B2AEE" w:rsidP="00A6591E">
      <w:pPr>
        <w:pStyle w:val="ListParagraph"/>
        <w:numPr>
          <w:ilvl w:val="0"/>
          <w:numId w:val="3"/>
        </w:numPr>
        <w:spacing w:line="360" w:lineRule="auto"/>
        <w:jc w:val="both"/>
        <w:rPr>
          <w:rFonts w:ascii="Arial" w:hAnsi="Arial" w:cs="Arial"/>
          <w:sz w:val="24"/>
          <w:szCs w:val="24"/>
        </w:rPr>
      </w:pPr>
      <w:r w:rsidRPr="00A6591E">
        <w:rPr>
          <w:rFonts w:ascii="Arial" w:hAnsi="Arial" w:cs="Arial"/>
          <w:sz w:val="24"/>
          <w:szCs w:val="24"/>
        </w:rPr>
        <w:t>Launch marketing campaigns that highlight the resort's unique attributes, deals, and incentives.</w:t>
      </w:r>
    </w:p>
    <w:p w14:paraId="54E31A1B" w14:textId="77777777" w:rsidR="002B2AEE" w:rsidRPr="00A6591E" w:rsidRDefault="002B2AEE" w:rsidP="00A6591E">
      <w:pPr>
        <w:pStyle w:val="ListParagraph"/>
        <w:numPr>
          <w:ilvl w:val="0"/>
          <w:numId w:val="3"/>
        </w:numPr>
        <w:spacing w:line="360" w:lineRule="auto"/>
        <w:jc w:val="both"/>
        <w:rPr>
          <w:rFonts w:ascii="Arial" w:hAnsi="Arial" w:cs="Arial"/>
          <w:sz w:val="24"/>
          <w:szCs w:val="24"/>
        </w:rPr>
      </w:pPr>
      <w:r w:rsidRPr="00A6591E">
        <w:rPr>
          <w:rFonts w:ascii="Arial" w:hAnsi="Arial" w:cs="Arial"/>
          <w:sz w:val="24"/>
          <w:szCs w:val="24"/>
        </w:rPr>
        <w:t>Collaborate with regional tourism boards, influencers, and travel bloggers to increase visibility and attract more tourists</w:t>
      </w:r>
      <w:r w:rsidR="00A63B01" w:rsidRPr="00A6591E">
        <w:rPr>
          <w:rFonts w:ascii="Arial" w:hAnsi="Arial" w:cs="Arial"/>
          <w:color w:val="0D0D0D"/>
          <w:sz w:val="24"/>
          <w:szCs w:val="24"/>
          <w:shd w:val="clear" w:color="auto" w:fill="FFFFFF"/>
        </w:rPr>
        <w:t>(Evans &amp; Berman, 2021)</w:t>
      </w:r>
      <w:r w:rsidRPr="00A6591E">
        <w:rPr>
          <w:rFonts w:ascii="Arial" w:hAnsi="Arial" w:cs="Arial"/>
          <w:sz w:val="24"/>
          <w:szCs w:val="24"/>
        </w:rPr>
        <w:t>.</w:t>
      </w:r>
    </w:p>
    <w:p w14:paraId="276D6284" w14:textId="77777777" w:rsidR="001E34E9" w:rsidRPr="00A6591E" w:rsidRDefault="001E34E9" w:rsidP="00A6591E">
      <w:pPr>
        <w:spacing w:line="360" w:lineRule="auto"/>
        <w:jc w:val="both"/>
        <w:rPr>
          <w:rFonts w:ascii="Arial" w:hAnsi="Arial" w:cs="Arial"/>
          <w:b/>
          <w:sz w:val="24"/>
          <w:szCs w:val="24"/>
        </w:rPr>
      </w:pPr>
      <w:r w:rsidRPr="00A6591E">
        <w:rPr>
          <w:rFonts w:ascii="Arial" w:hAnsi="Arial" w:cs="Arial"/>
          <w:b/>
          <w:sz w:val="24"/>
          <w:szCs w:val="24"/>
        </w:rPr>
        <w:t>Customer satisfaction and experience:</w:t>
      </w:r>
    </w:p>
    <w:p w14:paraId="2A691A3A" w14:textId="77777777" w:rsidR="001E34E9" w:rsidRPr="00A6591E" w:rsidRDefault="001E34E9" w:rsidP="00A6591E">
      <w:pPr>
        <w:pStyle w:val="ListParagraph"/>
        <w:numPr>
          <w:ilvl w:val="0"/>
          <w:numId w:val="4"/>
        </w:numPr>
        <w:spacing w:line="360" w:lineRule="auto"/>
        <w:jc w:val="both"/>
        <w:rPr>
          <w:rFonts w:ascii="Arial" w:hAnsi="Arial" w:cs="Arial"/>
          <w:sz w:val="24"/>
          <w:szCs w:val="24"/>
        </w:rPr>
      </w:pPr>
      <w:r w:rsidRPr="00A6591E">
        <w:rPr>
          <w:rFonts w:ascii="Arial" w:hAnsi="Arial" w:cs="Arial"/>
          <w:sz w:val="24"/>
          <w:szCs w:val="24"/>
        </w:rPr>
        <w:t>Install a system for getting visitor feedback so you can get data, solve problems quickly, and increase customer happiness.</w:t>
      </w:r>
    </w:p>
    <w:p w14:paraId="1D1FE65C" w14:textId="77777777" w:rsidR="001E34E9" w:rsidRPr="00A6591E" w:rsidRDefault="001E34E9" w:rsidP="00A6591E">
      <w:pPr>
        <w:pStyle w:val="ListParagraph"/>
        <w:numPr>
          <w:ilvl w:val="0"/>
          <w:numId w:val="4"/>
        </w:numPr>
        <w:spacing w:line="360" w:lineRule="auto"/>
        <w:jc w:val="both"/>
        <w:rPr>
          <w:rFonts w:ascii="Arial" w:hAnsi="Arial" w:cs="Arial"/>
          <w:sz w:val="24"/>
          <w:szCs w:val="24"/>
        </w:rPr>
      </w:pPr>
      <w:r w:rsidRPr="00A6591E">
        <w:rPr>
          <w:rFonts w:ascii="Arial" w:hAnsi="Arial" w:cs="Arial"/>
          <w:sz w:val="24"/>
          <w:szCs w:val="24"/>
        </w:rPr>
        <w:lastRenderedPageBreak/>
        <w:t>Offer customised amenities and services to tourists based on their specific needs and interests.</w:t>
      </w:r>
    </w:p>
    <w:p w14:paraId="6BD50F3E" w14:textId="77777777" w:rsidR="001E34E9" w:rsidRPr="00A6591E" w:rsidRDefault="001E34E9" w:rsidP="00A6591E">
      <w:pPr>
        <w:pStyle w:val="ListParagraph"/>
        <w:numPr>
          <w:ilvl w:val="0"/>
          <w:numId w:val="4"/>
        </w:numPr>
        <w:spacing w:line="360" w:lineRule="auto"/>
        <w:jc w:val="both"/>
        <w:rPr>
          <w:rFonts w:ascii="Arial" w:hAnsi="Arial" w:cs="Arial"/>
          <w:sz w:val="24"/>
          <w:szCs w:val="24"/>
        </w:rPr>
      </w:pPr>
      <w:r w:rsidRPr="00A6591E">
        <w:rPr>
          <w:rFonts w:ascii="Arial" w:hAnsi="Arial" w:cs="Arial"/>
          <w:sz w:val="24"/>
          <w:szCs w:val="24"/>
        </w:rPr>
        <w:t>Provide rewards and loyalty programmes to promote recurring business and good word-of-mouth recommendations.</w:t>
      </w:r>
    </w:p>
    <w:p w14:paraId="67B6A3B9" w14:textId="77777777" w:rsidR="00A437A3" w:rsidRPr="00A6591E" w:rsidRDefault="00A437A3" w:rsidP="00A6591E">
      <w:pPr>
        <w:pStyle w:val="ListParagraph"/>
        <w:numPr>
          <w:ilvl w:val="0"/>
          <w:numId w:val="4"/>
        </w:numPr>
        <w:spacing w:line="360" w:lineRule="auto"/>
        <w:jc w:val="both"/>
        <w:rPr>
          <w:rFonts w:ascii="Arial" w:hAnsi="Arial" w:cs="Arial"/>
          <w:sz w:val="24"/>
          <w:szCs w:val="24"/>
        </w:rPr>
      </w:pPr>
      <w:r w:rsidRPr="00A6591E">
        <w:rPr>
          <w:rFonts w:ascii="Arial" w:hAnsi="Arial" w:cs="Arial"/>
          <w:sz w:val="24"/>
          <w:szCs w:val="24"/>
        </w:rPr>
        <w:t>To promptly address any issues or queries, offer 24-hour customer support via a range of channels, such as phone, email, live chat, and social media</w:t>
      </w:r>
      <w:r w:rsidR="00A63B01" w:rsidRPr="00A6591E">
        <w:rPr>
          <w:rFonts w:ascii="Arial" w:hAnsi="Arial" w:cs="Arial"/>
          <w:color w:val="0D0D0D"/>
          <w:sz w:val="24"/>
          <w:szCs w:val="24"/>
          <w:shd w:val="clear" w:color="auto" w:fill="FFFFFF"/>
        </w:rPr>
        <w:t>(Parasuraman et al., 2020)</w:t>
      </w:r>
      <w:r w:rsidRPr="00A6591E">
        <w:rPr>
          <w:rFonts w:ascii="Arial" w:hAnsi="Arial" w:cs="Arial"/>
          <w:sz w:val="24"/>
          <w:szCs w:val="24"/>
        </w:rPr>
        <w:t>.</w:t>
      </w:r>
    </w:p>
    <w:p w14:paraId="64B3E71E" w14:textId="77777777" w:rsidR="00A437A3" w:rsidRPr="00A6591E" w:rsidRDefault="00A437A3" w:rsidP="00A6591E">
      <w:pPr>
        <w:pStyle w:val="ListParagraph"/>
        <w:numPr>
          <w:ilvl w:val="0"/>
          <w:numId w:val="4"/>
        </w:numPr>
        <w:spacing w:line="360" w:lineRule="auto"/>
        <w:jc w:val="both"/>
        <w:rPr>
          <w:rFonts w:ascii="Arial" w:hAnsi="Arial" w:cs="Arial"/>
          <w:sz w:val="24"/>
          <w:szCs w:val="24"/>
        </w:rPr>
      </w:pPr>
      <w:r w:rsidRPr="00A6591E">
        <w:rPr>
          <w:rFonts w:ascii="Arial" w:hAnsi="Arial" w:cs="Arial"/>
          <w:sz w:val="24"/>
          <w:szCs w:val="24"/>
        </w:rPr>
        <w:t>To encourage reservations and increase customer value, provide alluring packages and special discounts for occasions like anniversaries, holidays, and seasonal promotions.</w:t>
      </w:r>
    </w:p>
    <w:p w14:paraId="64B64DDA" w14:textId="77777777" w:rsidR="00094CEE" w:rsidRPr="00A6591E" w:rsidRDefault="00094CEE" w:rsidP="00A6591E">
      <w:pPr>
        <w:spacing w:line="360" w:lineRule="auto"/>
        <w:jc w:val="both"/>
        <w:rPr>
          <w:rFonts w:ascii="Arial" w:hAnsi="Arial" w:cs="Arial"/>
          <w:b/>
          <w:sz w:val="24"/>
          <w:szCs w:val="24"/>
        </w:rPr>
      </w:pPr>
      <w:r w:rsidRPr="00A6591E">
        <w:rPr>
          <w:rFonts w:ascii="Arial" w:hAnsi="Arial" w:cs="Arial"/>
          <w:b/>
          <w:sz w:val="24"/>
          <w:szCs w:val="24"/>
        </w:rPr>
        <w:t>Financial Management</w:t>
      </w:r>
    </w:p>
    <w:p w14:paraId="40D589E0" w14:textId="77777777" w:rsidR="00094CEE" w:rsidRPr="00A6591E" w:rsidRDefault="00094CEE" w:rsidP="00A6591E">
      <w:pPr>
        <w:pStyle w:val="ListParagraph"/>
        <w:numPr>
          <w:ilvl w:val="0"/>
          <w:numId w:val="8"/>
        </w:numPr>
        <w:spacing w:line="360" w:lineRule="auto"/>
        <w:jc w:val="both"/>
        <w:rPr>
          <w:rFonts w:ascii="Arial" w:hAnsi="Arial" w:cs="Arial"/>
          <w:sz w:val="24"/>
          <w:szCs w:val="24"/>
        </w:rPr>
      </w:pPr>
      <w:r w:rsidRPr="00A6591E">
        <w:rPr>
          <w:rFonts w:ascii="Arial" w:hAnsi="Arial" w:cs="Arial"/>
          <w:sz w:val="24"/>
          <w:szCs w:val="24"/>
        </w:rPr>
        <w:t>Examine financial procedures and costs carefully to find areas where costs might be cut and productivity raised.</w:t>
      </w:r>
    </w:p>
    <w:p w14:paraId="5B171C82" w14:textId="77777777" w:rsidR="00094CEE" w:rsidRPr="00A6591E" w:rsidRDefault="00094CEE" w:rsidP="00A6591E">
      <w:pPr>
        <w:pStyle w:val="ListParagraph"/>
        <w:numPr>
          <w:ilvl w:val="0"/>
          <w:numId w:val="8"/>
        </w:numPr>
        <w:spacing w:line="360" w:lineRule="auto"/>
        <w:jc w:val="both"/>
        <w:rPr>
          <w:rFonts w:ascii="Arial" w:hAnsi="Arial" w:cs="Arial"/>
          <w:sz w:val="24"/>
          <w:szCs w:val="24"/>
        </w:rPr>
      </w:pPr>
      <w:r w:rsidRPr="00A6591E">
        <w:rPr>
          <w:rFonts w:ascii="Arial" w:hAnsi="Arial" w:cs="Arial"/>
          <w:sz w:val="24"/>
          <w:szCs w:val="24"/>
        </w:rPr>
        <w:t>Strike better prices and discounts on products and services by negotiating with retailers and suppliers.</w:t>
      </w:r>
    </w:p>
    <w:p w14:paraId="20AD81AB" w14:textId="77777777" w:rsidR="00094CEE" w:rsidRPr="00A6591E" w:rsidRDefault="00094CEE" w:rsidP="00A6591E">
      <w:pPr>
        <w:pStyle w:val="ListParagraph"/>
        <w:numPr>
          <w:ilvl w:val="0"/>
          <w:numId w:val="8"/>
        </w:numPr>
        <w:spacing w:line="360" w:lineRule="auto"/>
        <w:jc w:val="both"/>
        <w:rPr>
          <w:rFonts w:ascii="Arial" w:hAnsi="Arial" w:cs="Arial"/>
          <w:sz w:val="24"/>
          <w:szCs w:val="24"/>
        </w:rPr>
      </w:pPr>
      <w:r w:rsidRPr="00A6591E">
        <w:rPr>
          <w:rFonts w:ascii="Arial" w:hAnsi="Arial" w:cs="Arial"/>
          <w:sz w:val="24"/>
          <w:szCs w:val="24"/>
        </w:rPr>
        <w:t>Make a responsible budget and financial plan that accounts for anticipated changes in income and expenses</w:t>
      </w:r>
      <w:r w:rsidR="0042144B" w:rsidRPr="00A6591E">
        <w:rPr>
          <w:rFonts w:ascii="Arial" w:hAnsi="Arial" w:cs="Arial"/>
          <w:color w:val="0D0D0D"/>
          <w:sz w:val="24"/>
          <w:szCs w:val="24"/>
          <w:shd w:val="clear" w:color="auto" w:fill="FFFFFF"/>
        </w:rPr>
        <w:t>(Gitman&amp;Zutter, 2019)</w:t>
      </w:r>
      <w:r w:rsidRPr="00A6591E">
        <w:rPr>
          <w:rFonts w:ascii="Arial" w:hAnsi="Arial" w:cs="Arial"/>
          <w:sz w:val="24"/>
          <w:szCs w:val="24"/>
        </w:rPr>
        <w:t>.</w:t>
      </w:r>
    </w:p>
    <w:p w14:paraId="3B5439D0" w14:textId="77777777" w:rsidR="003D75FD" w:rsidRPr="00A6591E" w:rsidRDefault="003D75FD" w:rsidP="00A6591E">
      <w:pPr>
        <w:spacing w:line="360" w:lineRule="auto"/>
        <w:jc w:val="both"/>
        <w:rPr>
          <w:rFonts w:ascii="Arial" w:hAnsi="Arial" w:cs="Arial"/>
          <w:b/>
          <w:sz w:val="24"/>
          <w:szCs w:val="24"/>
        </w:rPr>
      </w:pPr>
      <w:r w:rsidRPr="00A6591E">
        <w:rPr>
          <w:rFonts w:ascii="Arial" w:hAnsi="Arial" w:cs="Arial"/>
          <w:b/>
          <w:sz w:val="24"/>
          <w:szCs w:val="24"/>
        </w:rPr>
        <w:t>Sustainability and Community Engagement:</w:t>
      </w:r>
    </w:p>
    <w:p w14:paraId="293ABF59" w14:textId="77777777" w:rsidR="003D75FD" w:rsidRPr="00A6591E" w:rsidRDefault="003D75FD" w:rsidP="00A6591E">
      <w:pPr>
        <w:pStyle w:val="ListParagraph"/>
        <w:numPr>
          <w:ilvl w:val="0"/>
          <w:numId w:val="5"/>
        </w:numPr>
        <w:spacing w:line="360" w:lineRule="auto"/>
        <w:jc w:val="both"/>
        <w:rPr>
          <w:rFonts w:ascii="Arial" w:hAnsi="Arial" w:cs="Arial"/>
          <w:sz w:val="24"/>
          <w:szCs w:val="24"/>
        </w:rPr>
      </w:pPr>
      <w:r w:rsidRPr="00A6591E">
        <w:rPr>
          <w:rFonts w:ascii="Arial" w:hAnsi="Arial" w:cs="Arial"/>
          <w:sz w:val="24"/>
          <w:szCs w:val="24"/>
        </w:rPr>
        <w:t>Participate in local events, form alliances with businesses in the area, and extend sponsorships.</w:t>
      </w:r>
    </w:p>
    <w:p w14:paraId="4DCB8A8E" w14:textId="77777777" w:rsidR="003D75FD" w:rsidRPr="00A6591E" w:rsidRDefault="003D75FD" w:rsidP="00A6591E">
      <w:pPr>
        <w:pStyle w:val="ListParagraph"/>
        <w:numPr>
          <w:ilvl w:val="0"/>
          <w:numId w:val="5"/>
        </w:numPr>
        <w:spacing w:line="360" w:lineRule="auto"/>
        <w:jc w:val="both"/>
        <w:rPr>
          <w:rFonts w:ascii="Arial" w:hAnsi="Arial" w:cs="Arial"/>
          <w:sz w:val="24"/>
          <w:szCs w:val="24"/>
        </w:rPr>
      </w:pPr>
      <w:r w:rsidRPr="00A6591E">
        <w:rPr>
          <w:rFonts w:ascii="Arial" w:hAnsi="Arial" w:cs="Arial"/>
          <w:sz w:val="24"/>
          <w:szCs w:val="24"/>
        </w:rPr>
        <w:t>To attract environmentally conscious travellers, use sustainable practices like energy-saving methods, trash-reduction campaigns, and support for regional conservation programmes</w:t>
      </w:r>
      <w:r w:rsidR="0042144B" w:rsidRPr="00A6591E">
        <w:rPr>
          <w:rFonts w:ascii="Arial" w:hAnsi="Arial" w:cs="Arial"/>
          <w:color w:val="0D0D0D"/>
          <w:sz w:val="24"/>
          <w:szCs w:val="24"/>
          <w:shd w:val="clear" w:color="auto" w:fill="FFFFFF"/>
        </w:rPr>
        <w:t>(Font et al., 2022)</w:t>
      </w:r>
      <w:r w:rsidRPr="00A6591E">
        <w:rPr>
          <w:rFonts w:ascii="Arial" w:hAnsi="Arial" w:cs="Arial"/>
          <w:sz w:val="24"/>
          <w:szCs w:val="24"/>
        </w:rPr>
        <w:t>.</w:t>
      </w:r>
    </w:p>
    <w:p w14:paraId="148F3F88" w14:textId="77777777" w:rsidR="00116E7D" w:rsidRPr="00A6591E" w:rsidRDefault="00116E7D" w:rsidP="00A6591E">
      <w:pPr>
        <w:spacing w:line="360" w:lineRule="auto"/>
        <w:jc w:val="both"/>
        <w:rPr>
          <w:rFonts w:ascii="Arial" w:hAnsi="Arial" w:cs="Arial"/>
          <w:b/>
          <w:sz w:val="24"/>
          <w:szCs w:val="24"/>
        </w:rPr>
      </w:pPr>
      <w:r w:rsidRPr="00A6591E">
        <w:rPr>
          <w:rFonts w:ascii="Arial" w:hAnsi="Arial" w:cs="Arial"/>
          <w:b/>
          <w:sz w:val="24"/>
          <w:szCs w:val="24"/>
        </w:rPr>
        <w:t>Increasing the Variety of Income Sources:</w:t>
      </w:r>
    </w:p>
    <w:p w14:paraId="568504FE" w14:textId="77777777" w:rsidR="00B01998" w:rsidRPr="00A6591E" w:rsidRDefault="00B01998" w:rsidP="00A6591E">
      <w:pPr>
        <w:pStyle w:val="ListParagraph"/>
        <w:numPr>
          <w:ilvl w:val="0"/>
          <w:numId w:val="7"/>
        </w:numPr>
        <w:spacing w:line="360" w:lineRule="auto"/>
        <w:jc w:val="both"/>
        <w:rPr>
          <w:rFonts w:ascii="Arial" w:hAnsi="Arial" w:cs="Arial"/>
          <w:sz w:val="24"/>
          <w:szCs w:val="24"/>
        </w:rPr>
      </w:pPr>
      <w:r w:rsidRPr="00A6591E">
        <w:rPr>
          <w:rFonts w:ascii="Arial" w:hAnsi="Arial" w:cs="Arial"/>
          <w:sz w:val="24"/>
          <w:szCs w:val="24"/>
        </w:rPr>
        <w:t>Think about generating extra income by hosting business retreats or weddings at the resort.</w:t>
      </w:r>
    </w:p>
    <w:p w14:paraId="481D7424" w14:textId="77777777" w:rsidR="00116E7D" w:rsidRPr="00A6591E" w:rsidRDefault="00B01998" w:rsidP="00A6591E">
      <w:pPr>
        <w:pStyle w:val="ListParagraph"/>
        <w:numPr>
          <w:ilvl w:val="0"/>
          <w:numId w:val="7"/>
        </w:numPr>
        <w:spacing w:line="360" w:lineRule="auto"/>
        <w:jc w:val="both"/>
        <w:rPr>
          <w:rFonts w:ascii="Arial" w:hAnsi="Arial" w:cs="Arial"/>
          <w:sz w:val="24"/>
          <w:szCs w:val="24"/>
        </w:rPr>
      </w:pPr>
      <w:r w:rsidRPr="00A6591E">
        <w:rPr>
          <w:rFonts w:ascii="Arial" w:hAnsi="Arial" w:cs="Arial"/>
          <w:sz w:val="24"/>
          <w:szCs w:val="24"/>
        </w:rPr>
        <w:t>Offer carefully curated packages and events, such as guided nature hikes, cooking courses, and wine tastings, to attract a diverse clientele throughout the year</w:t>
      </w:r>
      <w:r w:rsidR="0042144B" w:rsidRPr="00A6591E">
        <w:rPr>
          <w:rFonts w:ascii="Arial" w:hAnsi="Arial" w:cs="Arial"/>
          <w:color w:val="0D0D0D"/>
          <w:sz w:val="24"/>
          <w:szCs w:val="24"/>
          <w:shd w:val="clear" w:color="auto" w:fill="FFFFFF"/>
        </w:rPr>
        <w:t>(Johnson &amp;Gustafsson, 2021)</w:t>
      </w:r>
      <w:r w:rsidRPr="00A6591E">
        <w:rPr>
          <w:rFonts w:ascii="Arial" w:hAnsi="Arial" w:cs="Arial"/>
          <w:sz w:val="24"/>
          <w:szCs w:val="24"/>
        </w:rPr>
        <w:t>.</w:t>
      </w:r>
    </w:p>
    <w:p w14:paraId="2CFD6A30" w14:textId="77777777" w:rsidR="003D75FD" w:rsidRPr="00A6591E" w:rsidRDefault="003D75FD" w:rsidP="00A6591E">
      <w:pPr>
        <w:spacing w:line="360" w:lineRule="auto"/>
        <w:jc w:val="both"/>
        <w:rPr>
          <w:rFonts w:ascii="Arial" w:hAnsi="Arial" w:cs="Arial"/>
          <w:b/>
          <w:sz w:val="24"/>
          <w:szCs w:val="24"/>
        </w:rPr>
      </w:pPr>
      <w:r w:rsidRPr="00A6591E">
        <w:rPr>
          <w:rFonts w:ascii="Arial" w:hAnsi="Arial" w:cs="Arial"/>
          <w:b/>
          <w:sz w:val="24"/>
          <w:szCs w:val="24"/>
        </w:rPr>
        <w:t>Constant Observation and Modification:</w:t>
      </w:r>
    </w:p>
    <w:p w14:paraId="10DF7680" w14:textId="77777777" w:rsidR="00216E10" w:rsidRPr="00A6591E" w:rsidRDefault="00216E10" w:rsidP="00A6591E">
      <w:pPr>
        <w:pStyle w:val="ListParagraph"/>
        <w:numPr>
          <w:ilvl w:val="0"/>
          <w:numId w:val="6"/>
        </w:numPr>
        <w:spacing w:line="360" w:lineRule="auto"/>
        <w:jc w:val="both"/>
        <w:rPr>
          <w:rFonts w:ascii="Arial" w:hAnsi="Arial" w:cs="Arial"/>
          <w:sz w:val="24"/>
          <w:szCs w:val="24"/>
        </w:rPr>
      </w:pPr>
      <w:r w:rsidRPr="00A6591E">
        <w:rPr>
          <w:rFonts w:ascii="Arial" w:hAnsi="Arial" w:cs="Arial"/>
          <w:sz w:val="24"/>
          <w:szCs w:val="24"/>
        </w:rPr>
        <w:lastRenderedPageBreak/>
        <w:t>Create key performance indicators (KPIs) to monitor changes and assess the turnaround plan's efficacy.</w:t>
      </w:r>
    </w:p>
    <w:p w14:paraId="67D1D5C7" w14:textId="77777777" w:rsidR="00216E10" w:rsidRPr="00A6591E" w:rsidRDefault="00216E10" w:rsidP="00A6591E">
      <w:pPr>
        <w:pStyle w:val="ListParagraph"/>
        <w:numPr>
          <w:ilvl w:val="0"/>
          <w:numId w:val="6"/>
        </w:numPr>
        <w:spacing w:line="360" w:lineRule="auto"/>
        <w:jc w:val="both"/>
        <w:rPr>
          <w:rFonts w:ascii="Arial" w:hAnsi="Arial" w:cs="Arial"/>
          <w:sz w:val="24"/>
          <w:szCs w:val="24"/>
        </w:rPr>
      </w:pPr>
      <w:r w:rsidRPr="00A6591E">
        <w:rPr>
          <w:rFonts w:ascii="Arial" w:hAnsi="Arial" w:cs="Arial"/>
          <w:sz w:val="24"/>
          <w:szCs w:val="24"/>
        </w:rPr>
        <w:t>Review and modify your concepts often in response to market input, visitor preferences, and shifting financial circumstances.</w:t>
      </w:r>
    </w:p>
    <w:p w14:paraId="780325DB" w14:textId="77777777" w:rsidR="00064FA1" w:rsidRPr="00A6591E" w:rsidRDefault="00216E10" w:rsidP="00A6591E">
      <w:pPr>
        <w:pStyle w:val="ListParagraph"/>
        <w:numPr>
          <w:ilvl w:val="0"/>
          <w:numId w:val="6"/>
        </w:numPr>
        <w:spacing w:line="360" w:lineRule="auto"/>
        <w:jc w:val="both"/>
        <w:rPr>
          <w:rFonts w:ascii="Arial" w:hAnsi="Arial" w:cs="Arial"/>
          <w:sz w:val="24"/>
          <w:szCs w:val="24"/>
        </w:rPr>
      </w:pPr>
      <w:r w:rsidRPr="00A6591E">
        <w:rPr>
          <w:rFonts w:ascii="Arial" w:hAnsi="Arial" w:cs="Arial"/>
          <w:sz w:val="24"/>
          <w:szCs w:val="24"/>
        </w:rPr>
        <w:t xml:space="preserve">Encourage the development of an innovative and forward-thinking culture to secure Seacrest Lodge UK's long-term survival </w:t>
      </w:r>
      <w:r w:rsidR="00EF0703" w:rsidRPr="00A6591E">
        <w:rPr>
          <w:rFonts w:ascii="Arial" w:hAnsi="Arial" w:cs="Arial"/>
          <w:sz w:val="24"/>
          <w:szCs w:val="24"/>
        </w:rPr>
        <w:t>and profitability</w:t>
      </w:r>
      <w:r w:rsidR="0042144B" w:rsidRPr="00A6591E">
        <w:rPr>
          <w:rFonts w:ascii="Arial" w:hAnsi="Arial" w:cs="Arial"/>
          <w:color w:val="0D0D0D"/>
          <w:sz w:val="24"/>
          <w:szCs w:val="24"/>
          <w:shd w:val="clear" w:color="auto" w:fill="FFFFFF"/>
        </w:rPr>
        <w:t>(Kaplan &amp; Norton, 2021)</w:t>
      </w:r>
      <w:r w:rsidR="00EF0703" w:rsidRPr="00A6591E">
        <w:rPr>
          <w:rFonts w:ascii="Arial" w:hAnsi="Arial" w:cs="Arial"/>
          <w:sz w:val="24"/>
          <w:szCs w:val="24"/>
        </w:rPr>
        <w:t>.</w:t>
      </w:r>
    </w:p>
    <w:p w14:paraId="2BD03859" w14:textId="77777777" w:rsidR="00064FA1" w:rsidRPr="00A6591E" w:rsidRDefault="00064FA1" w:rsidP="00A6591E">
      <w:pPr>
        <w:pStyle w:val="Heading1"/>
      </w:pPr>
      <w:bookmarkStart w:id="9" w:name="_Toc158680915"/>
      <w:r w:rsidRPr="00A6591E">
        <w:t>Conclusion:</w:t>
      </w:r>
      <w:bookmarkEnd w:id="9"/>
    </w:p>
    <w:p w14:paraId="6E0E767C" w14:textId="77777777" w:rsidR="00064FA1" w:rsidRPr="00A6591E" w:rsidRDefault="00064FA1" w:rsidP="00A6591E">
      <w:pPr>
        <w:spacing w:line="360" w:lineRule="auto"/>
        <w:jc w:val="both"/>
        <w:rPr>
          <w:rFonts w:ascii="Arial" w:hAnsi="Arial" w:cs="Arial"/>
          <w:sz w:val="24"/>
          <w:szCs w:val="24"/>
        </w:rPr>
      </w:pPr>
      <w:r w:rsidRPr="00A6591E">
        <w:rPr>
          <w:rFonts w:ascii="Arial" w:hAnsi="Arial" w:cs="Arial"/>
          <w:sz w:val="24"/>
          <w:szCs w:val="24"/>
        </w:rPr>
        <w:t xml:space="preserve">In conclusion, Seacrest Lodge UK has significant challenges brought on by a decline in revenue, profitability, and customer satisfaction. </w:t>
      </w:r>
      <w:r w:rsidR="001F1394" w:rsidRPr="00A6591E">
        <w:rPr>
          <w:rFonts w:ascii="Arial" w:hAnsi="Arial" w:cs="Arial"/>
          <w:sz w:val="24"/>
          <w:szCs w:val="24"/>
        </w:rPr>
        <w:t>A</w:t>
      </w:r>
      <w:r w:rsidRPr="00A6591E">
        <w:rPr>
          <w:rFonts w:ascii="Arial" w:hAnsi="Arial" w:cs="Arial"/>
          <w:sz w:val="24"/>
          <w:szCs w:val="24"/>
        </w:rPr>
        <w:t xml:space="preserve"> drop in income, profitability, and customer happiness has presented Seacrest Lodge UK with serious issues. Its failure is being attributed to a number of factors, such as increased competition in the market, shifting consumer preferences, problems with the infrastructure, and poor financial management. If Seacrest Lodge wants to buck the current trend and become a popular holiday spot again, it needs to put in place a thorough recovery plan. Strategic efforts in the areas of branding, marketing, customer experience, product and service enhancement, financial management, sustainability, and revenue diversification are all part of this plan. By concentrating on these areas, Seacrest Lodge can set itself apart from rivals, draw more guests, raise guest satisfaction levels, and guarantee steady financial growth.</w:t>
      </w:r>
      <w:r w:rsidR="009D2420" w:rsidRPr="00A6591E">
        <w:rPr>
          <w:rFonts w:ascii="Arial" w:hAnsi="Arial" w:cs="Arial"/>
          <w:sz w:val="24"/>
          <w:szCs w:val="24"/>
        </w:rPr>
        <w:t xml:space="preserve"> Furthermore, continual observation and modification are necessary to ensure that this turnaround project is completed. Seacrest Lodge must continue to be flexible and perceptive to shifts in the industry, consumer feedback, and financial performance indicators. By embracing innovation and fostering an excellence-</w:t>
      </w:r>
      <w:r w:rsidR="001F1394" w:rsidRPr="00A6591E">
        <w:rPr>
          <w:rFonts w:ascii="Arial" w:hAnsi="Arial" w:cs="Arial"/>
          <w:sz w:val="24"/>
          <w:szCs w:val="24"/>
        </w:rPr>
        <w:t>centred</w:t>
      </w:r>
      <w:r w:rsidR="009D2420" w:rsidRPr="00A6591E">
        <w:rPr>
          <w:rFonts w:ascii="Arial" w:hAnsi="Arial" w:cs="Arial"/>
          <w:sz w:val="24"/>
          <w:szCs w:val="24"/>
        </w:rPr>
        <w:t xml:space="preserve"> culture, Seacrest Lodge UK may be able to position itself for long-term success in the fiercely competitive hotel industry.</w:t>
      </w:r>
    </w:p>
    <w:p w14:paraId="3BE4702D" w14:textId="77777777" w:rsidR="00D13002" w:rsidRPr="00A6591E" w:rsidRDefault="00D13002" w:rsidP="00A6591E">
      <w:pPr>
        <w:spacing w:line="360" w:lineRule="auto"/>
        <w:jc w:val="both"/>
        <w:rPr>
          <w:rFonts w:ascii="Arial" w:hAnsi="Arial" w:cs="Arial"/>
          <w:sz w:val="24"/>
          <w:szCs w:val="24"/>
        </w:rPr>
      </w:pPr>
    </w:p>
    <w:p w14:paraId="45B05560" w14:textId="77777777" w:rsidR="00D13002" w:rsidRPr="00A6591E" w:rsidRDefault="00D13002" w:rsidP="00A6591E">
      <w:pPr>
        <w:spacing w:line="360" w:lineRule="auto"/>
        <w:jc w:val="both"/>
        <w:rPr>
          <w:rFonts w:ascii="Arial" w:hAnsi="Arial" w:cs="Arial"/>
          <w:sz w:val="24"/>
          <w:szCs w:val="24"/>
        </w:rPr>
      </w:pPr>
    </w:p>
    <w:p w14:paraId="18C8145A" w14:textId="77777777" w:rsidR="00D13002" w:rsidRPr="00A6591E" w:rsidRDefault="00D13002" w:rsidP="00A6591E">
      <w:pPr>
        <w:spacing w:line="360" w:lineRule="auto"/>
        <w:jc w:val="both"/>
        <w:rPr>
          <w:rFonts w:ascii="Arial" w:hAnsi="Arial" w:cs="Arial"/>
          <w:sz w:val="24"/>
          <w:szCs w:val="24"/>
        </w:rPr>
      </w:pPr>
    </w:p>
    <w:p w14:paraId="4EC17751" w14:textId="77777777" w:rsidR="00D13002" w:rsidRPr="00A6591E" w:rsidRDefault="00D13002" w:rsidP="00A6591E">
      <w:pPr>
        <w:spacing w:line="360" w:lineRule="auto"/>
        <w:jc w:val="both"/>
        <w:rPr>
          <w:rFonts w:ascii="Arial" w:hAnsi="Arial" w:cs="Arial"/>
          <w:sz w:val="24"/>
          <w:szCs w:val="24"/>
        </w:rPr>
      </w:pPr>
    </w:p>
    <w:p w14:paraId="6F0B4839" w14:textId="77777777" w:rsidR="00D13002" w:rsidRPr="00A6591E" w:rsidRDefault="00D13002" w:rsidP="00A6591E">
      <w:pPr>
        <w:spacing w:line="360" w:lineRule="auto"/>
        <w:jc w:val="both"/>
        <w:rPr>
          <w:rFonts w:ascii="Arial" w:hAnsi="Arial" w:cs="Arial"/>
          <w:sz w:val="24"/>
          <w:szCs w:val="24"/>
        </w:rPr>
      </w:pPr>
    </w:p>
    <w:p w14:paraId="1EDE9ED5" w14:textId="77777777" w:rsidR="00D13002" w:rsidRPr="00A6591E" w:rsidRDefault="00D13002" w:rsidP="00A6591E">
      <w:pPr>
        <w:spacing w:line="360" w:lineRule="auto"/>
        <w:jc w:val="both"/>
        <w:rPr>
          <w:rFonts w:ascii="Arial" w:hAnsi="Arial" w:cs="Arial"/>
          <w:sz w:val="24"/>
          <w:szCs w:val="24"/>
        </w:rPr>
      </w:pPr>
    </w:p>
    <w:p w14:paraId="5D80090D" w14:textId="77777777" w:rsidR="00D13002" w:rsidRPr="00A6591E" w:rsidRDefault="00D13002" w:rsidP="00A6591E">
      <w:pPr>
        <w:pStyle w:val="Heading1"/>
      </w:pPr>
      <w:bookmarkStart w:id="10" w:name="_Toc158680916"/>
      <w:r w:rsidRPr="00A6591E">
        <w:t>References</w:t>
      </w:r>
      <w:bookmarkEnd w:id="10"/>
    </w:p>
    <w:p w14:paraId="13E80FFE" w14:textId="77777777" w:rsidR="00D13002" w:rsidRPr="00A6591E" w:rsidRDefault="00D13002" w:rsidP="00A6591E">
      <w:pPr>
        <w:pStyle w:val="ListParagraph"/>
        <w:numPr>
          <w:ilvl w:val="0"/>
          <w:numId w:val="10"/>
        </w:numPr>
        <w:spacing w:line="360" w:lineRule="auto"/>
        <w:jc w:val="both"/>
        <w:rPr>
          <w:rFonts w:ascii="Arial" w:hAnsi="Arial" w:cs="Arial"/>
          <w:sz w:val="24"/>
          <w:szCs w:val="24"/>
        </w:rPr>
      </w:pPr>
      <w:r w:rsidRPr="00A6591E">
        <w:rPr>
          <w:rFonts w:ascii="Arial" w:hAnsi="Arial" w:cs="Arial"/>
          <w:sz w:val="24"/>
          <w:szCs w:val="24"/>
        </w:rPr>
        <w:t xml:space="preserve">Brown, A., &amp; Curry, A. (2019). </w:t>
      </w:r>
      <w:r w:rsidRPr="00A6591E">
        <w:rPr>
          <w:rFonts w:ascii="Arial" w:hAnsi="Arial" w:cs="Arial"/>
          <w:i/>
          <w:sz w:val="24"/>
          <w:szCs w:val="24"/>
        </w:rPr>
        <w:t>The Impact of Maintenance on Hotel Guest Satisfaction and Loyalty.</w:t>
      </w:r>
      <w:r w:rsidRPr="00A6591E">
        <w:rPr>
          <w:rFonts w:ascii="Arial" w:hAnsi="Arial" w:cs="Arial"/>
          <w:sz w:val="24"/>
          <w:szCs w:val="24"/>
        </w:rPr>
        <w:t xml:space="preserve"> Journal of Ho</w:t>
      </w:r>
      <w:r w:rsidR="0035232B" w:rsidRPr="00A6591E">
        <w:rPr>
          <w:rFonts w:ascii="Arial" w:hAnsi="Arial" w:cs="Arial"/>
          <w:sz w:val="24"/>
          <w:szCs w:val="24"/>
        </w:rPr>
        <w:t>spitality &amp; Tourism Research. Pp</w:t>
      </w:r>
      <w:r w:rsidRPr="00A6591E">
        <w:rPr>
          <w:rFonts w:ascii="Arial" w:hAnsi="Arial" w:cs="Arial"/>
          <w:sz w:val="24"/>
          <w:szCs w:val="24"/>
        </w:rPr>
        <w:t xml:space="preserve"> 57-76.</w:t>
      </w:r>
    </w:p>
    <w:p w14:paraId="48BA35B3" w14:textId="77777777" w:rsidR="00960305" w:rsidRPr="00A6591E" w:rsidRDefault="00960305" w:rsidP="00A6591E">
      <w:pPr>
        <w:pStyle w:val="ListParagraph"/>
        <w:numPr>
          <w:ilvl w:val="0"/>
          <w:numId w:val="10"/>
        </w:numPr>
        <w:spacing w:line="360" w:lineRule="auto"/>
        <w:jc w:val="both"/>
        <w:rPr>
          <w:rFonts w:ascii="Arial" w:hAnsi="Arial" w:cs="Arial"/>
          <w:sz w:val="24"/>
          <w:szCs w:val="24"/>
        </w:rPr>
      </w:pPr>
      <w:r w:rsidRPr="00A6591E">
        <w:rPr>
          <w:rFonts w:ascii="Arial" w:hAnsi="Arial" w:cs="Arial"/>
          <w:color w:val="0D0D0D"/>
          <w:sz w:val="24"/>
          <w:szCs w:val="24"/>
          <w:shd w:val="clear" w:color="auto" w:fill="FFFFFF"/>
        </w:rPr>
        <w:t xml:space="preserve">Chaffey, D., &amp; Ellis, F. (2019). </w:t>
      </w:r>
      <w:r w:rsidRPr="00A6591E">
        <w:rPr>
          <w:rFonts w:ascii="Arial" w:hAnsi="Arial" w:cs="Arial"/>
          <w:i/>
          <w:color w:val="0D0D0D"/>
          <w:sz w:val="24"/>
          <w:szCs w:val="24"/>
          <w:shd w:val="clear" w:color="auto" w:fill="FFFFFF"/>
        </w:rPr>
        <w:t>Digital Marketing: Strategy, Implementation and Practice.</w:t>
      </w:r>
      <w:r w:rsidRPr="00A6591E">
        <w:rPr>
          <w:rFonts w:ascii="Arial" w:hAnsi="Arial" w:cs="Arial"/>
          <w:color w:val="0D0D0D"/>
          <w:sz w:val="24"/>
          <w:szCs w:val="24"/>
          <w:shd w:val="clear" w:color="auto" w:fill="FFFFFF"/>
        </w:rPr>
        <w:t>Pearso.</w:t>
      </w:r>
    </w:p>
    <w:p w14:paraId="2AAAF73C" w14:textId="77777777" w:rsidR="00D13002" w:rsidRPr="00A6591E" w:rsidRDefault="00D13002" w:rsidP="00A6591E">
      <w:pPr>
        <w:pStyle w:val="ListParagraph"/>
        <w:numPr>
          <w:ilvl w:val="0"/>
          <w:numId w:val="10"/>
        </w:numPr>
        <w:spacing w:line="360" w:lineRule="auto"/>
        <w:jc w:val="both"/>
        <w:rPr>
          <w:rFonts w:ascii="Arial" w:hAnsi="Arial" w:cs="Arial"/>
          <w:sz w:val="24"/>
          <w:szCs w:val="24"/>
        </w:rPr>
      </w:pPr>
      <w:r w:rsidRPr="00A6591E">
        <w:rPr>
          <w:rFonts w:ascii="Arial" w:hAnsi="Arial" w:cs="Arial"/>
          <w:sz w:val="24"/>
          <w:szCs w:val="24"/>
        </w:rPr>
        <w:t xml:space="preserve">Evans, M., &amp; Berman, B. (2021). </w:t>
      </w:r>
      <w:r w:rsidRPr="00A6591E">
        <w:rPr>
          <w:rFonts w:ascii="Arial" w:hAnsi="Arial" w:cs="Arial"/>
          <w:i/>
          <w:sz w:val="24"/>
          <w:szCs w:val="24"/>
        </w:rPr>
        <w:t xml:space="preserve">Marketing in the 21st Century. </w:t>
      </w:r>
      <w:r w:rsidRPr="00A6591E">
        <w:rPr>
          <w:rFonts w:ascii="Arial" w:hAnsi="Arial" w:cs="Arial"/>
          <w:sz w:val="24"/>
          <w:szCs w:val="24"/>
        </w:rPr>
        <w:t>Cengage Learning.</w:t>
      </w:r>
    </w:p>
    <w:p w14:paraId="7BDB7F27" w14:textId="77777777" w:rsidR="00D13002" w:rsidRPr="00A6591E" w:rsidRDefault="00D13002" w:rsidP="00A6591E">
      <w:pPr>
        <w:pStyle w:val="ListParagraph"/>
        <w:numPr>
          <w:ilvl w:val="0"/>
          <w:numId w:val="10"/>
        </w:numPr>
        <w:spacing w:line="360" w:lineRule="auto"/>
        <w:jc w:val="both"/>
        <w:rPr>
          <w:rFonts w:ascii="Arial" w:hAnsi="Arial" w:cs="Arial"/>
          <w:sz w:val="24"/>
          <w:szCs w:val="24"/>
        </w:rPr>
      </w:pPr>
      <w:r w:rsidRPr="00A6591E">
        <w:rPr>
          <w:rFonts w:ascii="Arial" w:hAnsi="Arial" w:cs="Arial"/>
          <w:sz w:val="24"/>
          <w:szCs w:val="24"/>
        </w:rPr>
        <w:t xml:space="preserve">Font, X., et al. (2022). </w:t>
      </w:r>
      <w:r w:rsidRPr="00A6591E">
        <w:rPr>
          <w:rFonts w:ascii="Arial" w:hAnsi="Arial" w:cs="Arial"/>
          <w:i/>
          <w:sz w:val="24"/>
          <w:szCs w:val="24"/>
        </w:rPr>
        <w:t xml:space="preserve">Sustainability in Tourism and Hospitality: An Overview of Current Literature. </w:t>
      </w:r>
      <w:r w:rsidRPr="00A6591E">
        <w:rPr>
          <w:rFonts w:ascii="Arial" w:hAnsi="Arial" w:cs="Arial"/>
          <w:sz w:val="24"/>
          <w:szCs w:val="24"/>
        </w:rPr>
        <w:t>Journal of Sustainable Tourism, 30(1), 1-18.</w:t>
      </w:r>
    </w:p>
    <w:p w14:paraId="2EA9EA83" w14:textId="77777777" w:rsidR="00D13002" w:rsidRPr="00A6591E" w:rsidRDefault="00D13002" w:rsidP="00A6591E">
      <w:pPr>
        <w:pStyle w:val="ListParagraph"/>
        <w:numPr>
          <w:ilvl w:val="0"/>
          <w:numId w:val="10"/>
        </w:numPr>
        <w:spacing w:line="360" w:lineRule="auto"/>
        <w:jc w:val="both"/>
        <w:rPr>
          <w:rFonts w:ascii="Arial" w:hAnsi="Arial" w:cs="Arial"/>
          <w:sz w:val="24"/>
          <w:szCs w:val="24"/>
        </w:rPr>
      </w:pPr>
      <w:r w:rsidRPr="00A6591E">
        <w:rPr>
          <w:rFonts w:ascii="Arial" w:hAnsi="Arial" w:cs="Arial"/>
          <w:sz w:val="24"/>
          <w:szCs w:val="24"/>
        </w:rPr>
        <w:t xml:space="preserve">Gitman, L. J., &amp;Zutter, C. J. (2019). </w:t>
      </w:r>
      <w:r w:rsidRPr="00A6591E">
        <w:rPr>
          <w:rFonts w:ascii="Arial" w:hAnsi="Arial" w:cs="Arial"/>
          <w:i/>
          <w:sz w:val="24"/>
          <w:szCs w:val="24"/>
        </w:rPr>
        <w:t>Principles of Managerial Finance.</w:t>
      </w:r>
      <w:r w:rsidRPr="00A6591E">
        <w:rPr>
          <w:rFonts w:ascii="Arial" w:hAnsi="Arial" w:cs="Arial"/>
          <w:sz w:val="24"/>
          <w:szCs w:val="24"/>
        </w:rPr>
        <w:t xml:space="preserve"> Pearson.</w:t>
      </w:r>
    </w:p>
    <w:p w14:paraId="47967A6E" w14:textId="77777777" w:rsidR="00D13002" w:rsidRPr="00A6591E" w:rsidRDefault="00D13002" w:rsidP="00A6591E">
      <w:pPr>
        <w:pStyle w:val="ListParagraph"/>
        <w:numPr>
          <w:ilvl w:val="0"/>
          <w:numId w:val="10"/>
        </w:numPr>
        <w:spacing w:line="360" w:lineRule="auto"/>
        <w:jc w:val="both"/>
        <w:rPr>
          <w:rFonts w:ascii="Arial" w:hAnsi="Arial" w:cs="Arial"/>
          <w:sz w:val="24"/>
          <w:szCs w:val="24"/>
        </w:rPr>
      </w:pPr>
      <w:r w:rsidRPr="00A6591E">
        <w:rPr>
          <w:rFonts w:ascii="Arial" w:hAnsi="Arial" w:cs="Arial"/>
          <w:sz w:val="24"/>
          <w:szCs w:val="24"/>
        </w:rPr>
        <w:t xml:space="preserve">Heskett, J. L., et al. (2019). </w:t>
      </w:r>
      <w:r w:rsidRPr="00A6591E">
        <w:rPr>
          <w:rFonts w:ascii="Arial" w:hAnsi="Arial" w:cs="Arial"/>
          <w:i/>
          <w:sz w:val="24"/>
          <w:szCs w:val="24"/>
        </w:rPr>
        <w:t>The Value Profit Chain: Treat Employees Like Customers and Customers Like Employees.</w:t>
      </w:r>
      <w:r w:rsidRPr="00A6591E">
        <w:rPr>
          <w:rFonts w:ascii="Arial" w:hAnsi="Arial" w:cs="Arial"/>
          <w:sz w:val="24"/>
          <w:szCs w:val="24"/>
        </w:rPr>
        <w:t xml:space="preserve"> Harvard Business Review, 97(1), 76-84.</w:t>
      </w:r>
    </w:p>
    <w:p w14:paraId="72E3BBCE" w14:textId="77777777" w:rsidR="00D13002" w:rsidRPr="00A6591E" w:rsidRDefault="00D13002" w:rsidP="00A6591E">
      <w:pPr>
        <w:pStyle w:val="ListParagraph"/>
        <w:numPr>
          <w:ilvl w:val="0"/>
          <w:numId w:val="10"/>
        </w:numPr>
        <w:spacing w:line="360" w:lineRule="auto"/>
        <w:jc w:val="both"/>
        <w:rPr>
          <w:rFonts w:ascii="Arial" w:hAnsi="Arial" w:cs="Arial"/>
          <w:sz w:val="24"/>
          <w:szCs w:val="24"/>
        </w:rPr>
      </w:pPr>
      <w:r w:rsidRPr="00A6591E">
        <w:rPr>
          <w:rFonts w:ascii="Arial" w:hAnsi="Arial" w:cs="Arial"/>
          <w:sz w:val="24"/>
          <w:szCs w:val="24"/>
        </w:rPr>
        <w:t xml:space="preserve">Hill, C. W., &amp; Jones, G. R. (2023). </w:t>
      </w:r>
      <w:r w:rsidRPr="00A6591E">
        <w:rPr>
          <w:rFonts w:ascii="Arial" w:hAnsi="Arial" w:cs="Arial"/>
          <w:i/>
          <w:sz w:val="24"/>
          <w:szCs w:val="24"/>
        </w:rPr>
        <w:t xml:space="preserve">Strategic Management: An Integrated Approach. </w:t>
      </w:r>
      <w:r w:rsidRPr="00A6591E">
        <w:rPr>
          <w:rFonts w:ascii="Arial" w:hAnsi="Arial" w:cs="Arial"/>
          <w:sz w:val="24"/>
          <w:szCs w:val="24"/>
        </w:rPr>
        <w:t>Cengage Learning.</w:t>
      </w:r>
    </w:p>
    <w:p w14:paraId="25A8B29E" w14:textId="77777777" w:rsidR="00D13002" w:rsidRPr="00A6591E" w:rsidRDefault="00D13002" w:rsidP="00A6591E">
      <w:pPr>
        <w:pStyle w:val="ListParagraph"/>
        <w:numPr>
          <w:ilvl w:val="0"/>
          <w:numId w:val="10"/>
        </w:numPr>
        <w:spacing w:line="360" w:lineRule="auto"/>
        <w:jc w:val="both"/>
        <w:rPr>
          <w:rFonts w:ascii="Arial" w:hAnsi="Arial" w:cs="Arial"/>
          <w:sz w:val="24"/>
          <w:szCs w:val="24"/>
        </w:rPr>
      </w:pPr>
      <w:r w:rsidRPr="00A6591E">
        <w:rPr>
          <w:rFonts w:ascii="Arial" w:hAnsi="Arial" w:cs="Arial"/>
          <w:sz w:val="24"/>
          <w:szCs w:val="24"/>
        </w:rPr>
        <w:t>Johnson, M. D., &amp;Gustafsson, A. (2021</w:t>
      </w:r>
      <w:r w:rsidRPr="00A6591E">
        <w:rPr>
          <w:rFonts w:ascii="Arial" w:hAnsi="Arial" w:cs="Arial"/>
          <w:i/>
          <w:sz w:val="24"/>
          <w:szCs w:val="24"/>
        </w:rPr>
        <w:t xml:space="preserve">). Improving Customer Satisfaction, Loyalty, and Profit </w:t>
      </w:r>
      <w:r w:rsidR="0035232B" w:rsidRPr="00A6591E">
        <w:rPr>
          <w:rFonts w:ascii="Arial" w:hAnsi="Arial" w:cs="Arial"/>
          <w:i/>
          <w:sz w:val="24"/>
          <w:szCs w:val="24"/>
        </w:rPr>
        <w:t>through</w:t>
      </w:r>
      <w:r w:rsidRPr="00A6591E">
        <w:rPr>
          <w:rFonts w:ascii="Arial" w:hAnsi="Arial" w:cs="Arial"/>
          <w:i/>
          <w:sz w:val="24"/>
          <w:szCs w:val="24"/>
        </w:rPr>
        <w:t xml:space="preserve"> Total Quality Management. </w:t>
      </w:r>
      <w:r w:rsidRPr="00A6591E">
        <w:rPr>
          <w:rFonts w:ascii="Arial" w:hAnsi="Arial" w:cs="Arial"/>
          <w:sz w:val="24"/>
          <w:szCs w:val="24"/>
        </w:rPr>
        <w:t>California Management Review, 39(1), 83-101.</w:t>
      </w:r>
    </w:p>
    <w:p w14:paraId="53D916B6" w14:textId="77777777" w:rsidR="00D13002" w:rsidRPr="00A6591E" w:rsidRDefault="00D13002" w:rsidP="00A6591E">
      <w:pPr>
        <w:pStyle w:val="ListParagraph"/>
        <w:numPr>
          <w:ilvl w:val="0"/>
          <w:numId w:val="10"/>
        </w:numPr>
        <w:spacing w:line="360" w:lineRule="auto"/>
        <w:jc w:val="both"/>
        <w:rPr>
          <w:rFonts w:ascii="Arial" w:hAnsi="Arial" w:cs="Arial"/>
          <w:sz w:val="24"/>
          <w:szCs w:val="24"/>
        </w:rPr>
      </w:pPr>
      <w:r w:rsidRPr="00A6591E">
        <w:rPr>
          <w:rFonts w:ascii="Arial" w:hAnsi="Arial" w:cs="Arial"/>
          <w:sz w:val="24"/>
          <w:szCs w:val="24"/>
        </w:rPr>
        <w:t xml:space="preserve">Jones, P., &amp; Robinson, P. (2020). </w:t>
      </w:r>
      <w:r w:rsidRPr="00A6591E">
        <w:rPr>
          <w:rFonts w:ascii="Arial" w:hAnsi="Arial" w:cs="Arial"/>
          <w:i/>
          <w:sz w:val="24"/>
          <w:szCs w:val="24"/>
        </w:rPr>
        <w:t xml:space="preserve">Sustainable Hospitality and Tourism as Drivers of Economic Growth. </w:t>
      </w:r>
      <w:r w:rsidRPr="00A6591E">
        <w:rPr>
          <w:rFonts w:ascii="Arial" w:hAnsi="Arial" w:cs="Arial"/>
          <w:sz w:val="24"/>
          <w:szCs w:val="24"/>
        </w:rPr>
        <w:t>Jo</w:t>
      </w:r>
      <w:r w:rsidR="0035232B" w:rsidRPr="00A6591E">
        <w:rPr>
          <w:rFonts w:ascii="Arial" w:hAnsi="Arial" w:cs="Arial"/>
          <w:sz w:val="24"/>
          <w:szCs w:val="24"/>
        </w:rPr>
        <w:t xml:space="preserve">urnal of Sustainable Tourism. Pp. </w:t>
      </w:r>
      <w:r w:rsidRPr="00A6591E">
        <w:rPr>
          <w:rFonts w:ascii="Arial" w:hAnsi="Arial" w:cs="Arial"/>
          <w:sz w:val="24"/>
          <w:szCs w:val="24"/>
        </w:rPr>
        <w:t>1133-1150.</w:t>
      </w:r>
    </w:p>
    <w:p w14:paraId="4A49309D" w14:textId="77777777" w:rsidR="00D13002" w:rsidRPr="00A6591E" w:rsidRDefault="00D13002" w:rsidP="00A6591E">
      <w:pPr>
        <w:pStyle w:val="ListParagraph"/>
        <w:numPr>
          <w:ilvl w:val="0"/>
          <w:numId w:val="10"/>
        </w:numPr>
        <w:spacing w:line="360" w:lineRule="auto"/>
        <w:jc w:val="both"/>
        <w:rPr>
          <w:rFonts w:ascii="Arial" w:hAnsi="Arial" w:cs="Arial"/>
          <w:sz w:val="24"/>
          <w:szCs w:val="24"/>
        </w:rPr>
      </w:pPr>
      <w:r w:rsidRPr="00A6591E">
        <w:rPr>
          <w:rFonts w:ascii="Arial" w:hAnsi="Arial" w:cs="Arial"/>
          <w:sz w:val="24"/>
          <w:szCs w:val="24"/>
        </w:rPr>
        <w:t xml:space="preserve">Kaplan, R. S., &amp; Norton, D. P. (2021). </w:t>
      </w:r>
      <w:r w:rsidRPr="00A6591E">
        <w:rPr>
          <w:rFonts w:ascii="Arial" w:hAnsi="Arial" w:cs="Arial"/>
          <w:i/>
          <w:sz w:val="24"/>
          <w:szCs w:val="24"/>
        </w:rPr>
        <w:t xml:space="preserve">The Balanced Scorecard: Measures that Drive Performance. </w:t>
      </w:r>
      <w:r w:rsidR="0035232B" w:rsidRPr="00A6591E">
        <w:rPr>
          <w:rFonts w:ascii="Arial" w:hAnsi="Arial" w:cs="Arial"/>
          <w:sz w:val="24"/>
          <w:szCs w:val="24"/>
        </w:rPr>
        <w:t xml:space="preserve">Harvard Business Review. Pp. </w:t>
      </w:r>
      <w:r w:rsidRPr="00A6591E">
        <w:rPr>
          <w:rFonts w:ascii="Arial" w:hAnsi="Arial" w:cs="Arial"/>
          <w:sz w:val="24"/>
          <w:szCs w:val="24"/>
        </w:rPr>
        <w:t xml:space="preserve"> 71-79.</w:t>
      </w:r>
    </w:p>
    <w:p w14:paraId="74DAD179" w14:textId="77777777" w:rsidR="00D13002" w:rsidRPr="00A6591E" w:rsidRDefault="00D13002" w:rsidP="00A6591E">
      <w:pPr>
        <w:pStyle w:val="ListParagraph"/>
        <w:numPr>
          <w:ilvl w:val="0"/>
          <w:numId w:val="10"/>
        </w:numPr>
        <w:spacing w:line="360" w:lineRule="auto"/>
        <w:jc w:val="both"/>
        <w:rPr>
          <w:rFonts w:ascii="Arial" w:hAnsi="Arial" w:cs="Arial"/>
          <w:sz w:val="24"/>
          <w:szCs w:val="24"/>
        </w:rPr>
      </w:pPr>
      <w:r w:rsidRPr="00A6591E">
        <w:rPr>
          <w:rFonts w:ascii="Arial" w:hAnsi="Arial" w:cs="Arial"/>
          <w:sz w:val="24"/>
          <w:szCs w:val="24"/>
        </w:rPr>
        <w:t xml:space="preserve">Kotler, P., et al. (2020). </w:t>
      </w:r>
      <w:r w:rsidRPr="00A6591E">
        <w:rPr>
          <w:rFonts w:ascii="Arial" w:hAnsi="Arial" w:cs="Arial"/>
          <w:i/>
          <w:sz w:val="24"/>
          <w:szCs w:val="24"/>
        </w:rPr>
        <w:t xml:space="preserve">Marketing Management: Analysis, Planning, Implementation, and Control. </w:t>
      </w:r>
      <w:r w:rsidRPr="00A6591E">
        <w:rPr>
          <w:rFonts w:ascii="Arial" w:hAnsi="Arial" w:cs="Arial"/>
          <w:sz w:val="24"/>
          <w:szCs w:val="24"/>
        </w:rPr>
        <w:t>Pearson.</w:t>
      </w:r>
    </w:p>
    <w:p w14:paraId="09A2F204" w14:textId="77777777" w:rsidR="00D13002" w:rsidRPr="00A6591E" w:rsidRDefault="00D13002" w:rsidP="00A6591E">
      <w:pPr>
        <w:pStyle w:val="ListParagraph"/>
        <w:numPr>
          <w:ilvl w:val="0"/>
          <w:numId w:val="10"/>
        </w:numPr>
        <w:spacing w:line="360" w:lineRule="auto"/>
        <w:jc w:val="both"/>
        <w:rPr>
          <w:rFonts w:ascii="Arial" w:hAnsi="Arial" w:cs="Arial"/>
          <w:sz w:val="24"/>
          <w:szCs w:val="24"/>
        </w:rPr>
      </w:pPr>
      <w:r w:rsidRPr="00A6591E">
        <w:rPr>
          <w:rFonts w:ascii="Arial" w:hAnsi="Arial" w:cs="Arial"/>
          <w:sz w:val="24"/>
          <w:szCs w:val="24"/>
        </w:rPr>
        <w:t xml:space="preserve">Lee, C. K., et al. (2022). </w:t>
      </w:r>
      <w:r w:rsidRPr="00A6591E">
        <w:rPr>
          <w:rFonts w:ascii="Arial" w:hAnsi="Arial" w:cs="Arial"/>
          <w:i/>
          <w:sz w:val="24"/>
          <w:szCs w:val="24"/>
        </w:rPr>
        <w:t>Impact of Financial Management Practices on Firm Performance: Evidence from the Hospitality Industry.</w:t>
      </w:r>
      <w:r w:rsidRPr="00A6591E">
        <w:rPr>
          <w:rFonts w:ascii="Arial" w:hAnsi="Arial" w:cs="Arial"/>
          <w:sz w:val="24"/>
          <w:szCs w:val="24"/>
        </w:rPr>
        <w:t xml:space="preserve"> International Journ</w:t>
      </w:r>
      <w:r w:rsidR="0035232B" w:rsidRPr="00A6591E">
        <w:rPr>
          <w:rFonts w:ascii="Arial" w:hAnsi="Arial" w:cs="Arial"/>
          <w:sz w:val="24"/>
          <w:szCs w:val="24"/>
        </w:rPr>
        <w:t>al of Hospitality Management. Pp.</w:t>
      </w:r>
      <w:r w:rsidRPr="00A6591E">
        <w:rPr>
          <w:rFonts w:ascii="Arial" w:hAnsi="Arial" w:cs="Arial"/>
          <w:sz w:val="24"/>
          <w:szCs w:val="24"/>
        </w:rPr>
        <w:t xml:space="preserve"> 1-10.</w:t>
      </w:r>
    </w:p>
    <w:p w14:paraId="4B2B3C06" w14:textId="77777777" w:rsidR="00960305" w:rsidRPr="00A6591E" w:rsidRDefault="00960305" w:rsidP="00A6591E">
      <w:pPr>
        <w:pStyle w:val="ListParagraph"/>
        <w:numPr>
          <w:ilvl w:val="0"/>
          <w:numId w:val="10"/>
        </w:numPr>
        <w:spacing w:line="360" w:lineRule="auto"/>
        <w:jc w:val="both"/>
        <w:rPr>
          <w:rFonts w:ascii="Arial" w:hAnsi="Arial" w:cs="Arial"/>
          <w:sz w:val="24"/>
          <w:szCs w:val="24"/>
        </w:rPr>
      </w:pPr>
      <w:r w:rsidRPr="00A6591E">
        <w:rPr>
          <w:rFonts w:ascii="Arial" w:hAnsi="Arial" w:cs="Arial"/>
          <w:color w:val="0D0D0D"/>
          <w:sz w:val="24"/>
          <w:szCs w:val="24"/>
          <w:shd w:val="clear" w:color="auto" w:fill="FFFFFF"/>
        </w:rPr>
        <w:t xml:space="preserve">Sigala, M. (Ed.). (2012). </w:t>
      </w:r>
      <w:r w:rsidRPr="00A6591E">
        <w:rPr>
          <w:rFonts w:ascii="Arial" w:hAnsi="Arial" w:cs="Arial"/>
          <w:i/>
          <w:color w:val="0D0D0D"/>
          <w:sz w:val="24"/>
          <w:szCs w:val="24"/>
          <w:shd w:val="clear" w:color="auto" w:fill="FFFFFF"/>
        </w:rPr>
        <w:t>Social Media in Travel, Tourism and Hospitality: Theory, Practice and Cases</w:t>
      </w:r>
      <w:r w:rsidRPr="00A6591E">
        <w:rPr>
          <w:rFonts w:ascii="Arial" w:hAnsi="Arial" w:cs="Arial"/>
          <w:color w:val="0D0D0D"/>
          <w:sz w:val="24"/>
          <w:szCs w:val="24"/>
          <w:shd w:val="clear" w:color="auto" w:fill="FFFFFF"/>
        </w:rPr>
        <w:t>. Ashgate Publishing, Ltd.</w:t>
      </w:r>
    </w:p>
    <w:p w14:paraId="54AA9156" w14:textId="77777777" w:rsidR="00960305" w:rsidRPr="00A6591E" w:rsidRDefault="00960305" w:rsidP="00A6591E">
      <w:pPr>
        <w:pStyle w:val="ListParagraph"/>
        <w:numPr>
          <w:ilvl w:val="0"/>
          <w:numId w:val="10"/>
        </w:numPr>
        <w:spacing w:line="360" w:lineRule="auto"/>
        <w:jc w:val="both"/>
        <w:rPr>
          <w:rFonts w:ascii="Arial" w:hAnsi="Arial" w:cs="Arial"/>
          <w:sz w:val="24"/>
          <w:szCs w:val="24"/>
        </w:rPr>
      </w:pPr>
      <w:r w:rsidRPr="00A6591E">
        <w:rPr>
          <w:rFonts w:ascii="Arial" w:hAnsi="Arial" w:cs="Arial"/>
          <w:color w:val="0D0D0D"/>
          <w:sz w:val="24"/>
          <w:szCs w:val="24"/>
          <w:shd w:val="clear" w:color="auto" w:fill="FFFFFF"/>
        </w:rPr>
        <w:lastRenderedPageBreak/>
        <w:t xml:space="preserve">Neuhofer, B., Buhalis, D., &amp;Ladkin, A. (2015). </w:t>
      </w:r>
      <w:r w:rsidRPr="00A6591E">
        <w:rPr>
          <w:rFonts w:ascii="Arial" w:hAnsi="Arial" w:cs="Arial"/>
          <w:i/>
          <w:color w:val="0D0D0D"/>
          <w:sz w:val="24"/>
          <w:szCs w:val="24"/>
          <w:shd w:val="clear" w:color="auto" w:fill="FFFFFF"/>
        </w:rPr>
        <w:t>Technology as a Catalyst of Change: Enablers and Barriers of the Tourist Experience and their Consequences.In Information and Commun</w:t>
      </w:r>
      <w:r w:rsidR="0035232B" w:rsidRPr="00A6591E">
        <w:rPr>
          <w:rFonts w:ascii="Arial" w:hAnsi="Arial" w:cs="Arial"/>
          <w:i/>
          <w:color w:val="0D0D0D"/>
          <w:sz w:val="24"/>
          <w:szCs w:val="24"/>
          <w:shd w:val="clear" w:color="auto" w:fill="FFFFFF"/>
        </w:rPr>
        <w:t>ication Technologies in Tourism.</w:t>
      </w:r>
      <w:r w:rsidR="0035232B" w:rsidRPr="00A6591E">
        <w:rPr>
          <w:rFonts w:ascii="Arial" w:hAnsi="Arial" w:cs="Arial"/>
          <w:color w:val="0D0D0D"/>
          <w:sz w:val="24"/>
          <w:szCs w:val="24"/>
          <w:shd w:val="clear" w:color="auto" w:fill="FFFFFF"/>
        </w:rPr>
        <w:t xml:space="preserve"> Springer. Pp. 789-802</w:t>
      </w:r>
      <w:r w:rsidRPr="00A6591E">
        <w:rPr>
          <w:rFonts w:ascii="Arial" w:hAnsi="Arial" w:cs="Arial"/>
          <w:color w:val="0D0D0D"/>
          <w:sz w:val="24"/>
          <w:szCs w:val="24"/>
          <w:shd w:val="clear" w:color="auto" w:fill="FFFFFF"/>
        </w:rPr>
        <w:t>. Springer.</w:t>
      </w:r>
    </w:p>
    <w:p w14:paraId="2E96844F" w14:textId="77777777" w:rsidR="00D13002" w:rsidRPr="00A6591E" w:rsidRDefault="00D13002" w:rsidP="00A6591E">
      <w:pPr>
        <w:pStyle w:val="ListParagraph"/>
        <w:numPr>
          <w:ilvl w:val="0"/>
          <w:numId w:val="10"/>
        </w:numPr>
        <w:spacing w:line="360" w:lineRule="auto"/>
        <w:jc w:val="both"/>
        <w:rPr>
          <w:rFonts w:ascii="Arial" w:hAnsi="Arial" w:cs="Arial"/>
          <w:sz w:val="24"/>
          <w:szCs w:val="24"/>
        </w:rPr>
      </w:pPr>
      <w:r w:rsidRPr="00A6591E">
        <w:rPr>
          <w:rFonts w:ascii="Arial" w:hAnsi="Arial" w:cs="Arial"/>
          <w:sz w:val="24"/>
          <w:szCs w:val="24"/>
        </w:rPr>
        <w:t xml:space="preserve">Parasuraman, A., et al. (2020). </w:t>
      </w:r>
      <w:r w:rsidRPr="00A6591E">
        <w:rPr>
          <w:rFonts w:ascii="Arial" w:hAnsi="Arial" w:cs="Arial"/>
          <w:i/>
          <w:sz w:val="24"/>
          <w:szCs w:val="24"/>
        </w:rPr>
        <w:t>The Role of Customer Expectations in Determining Satisfaction and Service Quality.</w:t>
      </w:r>
      <w:r w:rsidR="00F03BB7" w:rsidRPr="00A6591E">
        <w:rPr>
          <w:rFonts w:ascii="Arial" w:hAnsi="Arial" w:cs="Arial"/>
          <w:sz w:val="24"/>
          <w:szCs w:val="24"/>
        </w:rPr>
        <w:t>Journal of Consumer Research, Pp.</w:t>
      </w:r>
      <w:r w:rsidRPr="00A6591E">
        <w:rPr>
          <w:rFonts w:ascii="Arial" w:hAnsi="Arial" w:cs="Arial"/>
          <w:sz w:val="24"/>
          <w:szCs w:val="24"/>
        </w:rPr>
        <w:t xml:space="preserve"> 1-16.</w:t>
      </w:r>
    </w:p>
    <w:p w14:paraId="5F5E8C09" w14:textId="77777777" w:rsidR="00960305" w:rsidRPr="00A6591E" w:rsidRDefault="00960305" w:rsidP="00A6591E">
      <w:pPr>
        <w:pStyle w:val="ListParagraph"/>
        <w:numPr>
          <w:ilvl w:val="0"/>
          <w:numId w:val="10"/>
        </w:numPr>
        <w:spacing w:line="360" w:lineRule="auto"/>
        <w:jc w:val="both"/>
        <w:rPr>
          <w:rFonts w:ascii="Arial" w:hAnsi="Arial" w:cs="Arial"/>
          <w:sz w:val="24"/>
          <w:szCs w:val="24"/>
        </w:rPr>
      </w:pPr>
      <w:r w:rsidRPr="00A6591E">
        <w:rPr>
          <w:rFonts w:ascii="Arial" w:hAnsi="Arial" w:cs="Arial"/>
          <w:color w:val="0D0D0D"/>
          <w:sz w:val="24"/>
          <w:szCs w:val="24"/>
          <w:shd w:val="clear" w:color="auto" w:fill="FFFFFF"/>
        </w:rPr>
        <w:t xml:space="preserve">Pizam, A., &amp;Mansfeld, Y. (Eds.). (2000). </w:t>
      </w:r>
      <w:r w:rsidRPr="00A6591E">
        <w:rPr>
          <w:rFonts w:ascii="Arial" w:hAnsi="Arial" w:cs="Arial"/>
          <w:i/>
          <w:color w:val="0D0D0D"/>
          <w:sz w:val="24"/>
          <w:szCs w:val="24"/>
          <w:shd w:val="clear" w:color="auto" w:fill="FFFFFF"/>
        </w:rPr>
        <w:t xml:space="preserve">Consumer </w:t>
      </w:r>
      <w:r w:rsidR="00F03BB7" w:rsidRPr="00A6591E">
        <w:rPr>
          <w:rFonts w:ascii="Arial" w:hAnsi="Arial" w:cs="Arial"/>
          <w:i/>
          <w:color w:val="0D0D0D"/>
          <w:sz w:val="24"/>
          <w:szCs w:val="24"/>
          <w:shd w:val="clear" w:color="auto" w:fill="FFFFFF"/>
        </w:rPr>
        <w:t>Behaviour</w:t>
      </w:r>
      <w:r w:rsidRPr="00A6591E">
        <w:rPr>
          <w:rFonts w:ascii="Arial" w:hAnsi="Arial" w:cs="Arial"/>
          <w:i/>
          <w:color w:val="0D0D0D"/>
          <w:sz w:val="24"/>
          <w:szCs w:val="24"/>
          <w:shd w:val="clear" w:color="auto" w:fill="FFFFFF"/>
        </w:rPr>
        <w:t xml:space="preserve"> in Travel and Tourism. </w:t>
      </w:r>
      <w:r w:rsidRPr="00A6591E">
        <w:rPr>
          <w:rFonts w:ascii="Arial" w:hAnsi="Arial" w:cs="Arial"/>
          <w:color w:val="0D0D0D"/>
          <w:sz w:val="24"/>
          <w:szCs w:val="24"/>
          <w:shd w:val="clear" w:color="auto" w:fill="FFFFFF"/>
        </w:rPr>
        <w:t>Psychology Press.</w:t>
      </w:r>
    </w:p>
    <w:p w14:paraId="492F1E18" w14:textId="77777777" w:rsidR="00D13002" w:rsidRPr="00A6591E" w:rsidRDefault="00F03BB7" w:rsidP="00A6591E">
      <w:pPr>
        <w:pStyle w:val="ListParagraph"/>
        <w:numPr>
          <w:ilvl w:val="0"/>
          <w:numId w:val="10"/>
        </w:numPr>
        <w:spacing w:line="360" w:lineRule="auto"/>
        <w:jc w:val="both"/>
        <w:rPr>
          <w:rFonts w:ascii="Arial" w:hAnsi="Arial" w:cs="Arial"/>
          <w:sz w:val="24"/>
          <w:szCs w:val="24"/>
        </w:rPr>
      </w:pPr>
      <w:r w:rsidRPr="00A6591E">
        <w:rPr>
          <w:rFonts w:ascii="Arial" w:hAnsi="Arial" w:cs="Arial"/>
          <w:sz w:val="24"/>
          <w:szCs w:val="24"/>
        </w:rPr>
        <w:t>[</w:t>
      </w:r>
      <w:r w:rsidR="00D13002" w:rsidRPr="00A6591E">
        <w:rPr>
          <w:rFonts w:ascii="Arial" w:hAnsi="Arial" w:cs="Arial"/>
          <w:sz w:val="24"/>
          <w:szCs w:val="24"/>
        </w:rPr>
        <w:t>Seacrest Lodge</w:t>
      </w:r>
      <w:r w:rsidRPr="00A6591E">
        <w:rPr>
          <w:rFonts w:ascii="Arial" w:hAnsi="Arial" w:cs="Arial"/>
          <w:sz w:val="24"/>
          <w:szCs w:val="24"/>
        </w:rPr>
        <w:t xml:space="preserve">]. (2024). </w:t>
      </w:r>
      <w:r w:rsidRPr="00A6591E">
        <w:rPr>
          <w:rFonts w:ascii="Arial" w:hAnsi="Arial" w:cs="Arial"/>
          <w:i/>
          <w:sz w:val="24"/>
          <w:szCs w:val="24"/>
        </w:rPr>
        <w:t>Financial Report</w:t>
      </w:r>
      <w:r w:rsidRPr="00A6591E">
        <w:rPr>
          <w:rFonts w:ascii="Arial" w:hAnsi="Arial" w:cs="Arial"/>
          <w:sz w:val="24"/>
          <w:szCs w:val="24"/>
        </w:rPr>
        <w:t xml:space="preserve">. Available at: </w:t>
      </w:r>
      <w:hyperlink r:id="rId19" w:history="1">
        <w:r w:rsidRPr="00A6591E">
          <w:rPr>
            <w:rStyle w:val="Hyperlink"/>
            <w:rFonts w:ascii="Arial" w:hAnsi="Arial" w:cs="Arial"/>
            <w:sz w:val="24"/>
            <w:szCs w:val="24"/>
          </w:rPr>
          <w:t>https://www.seacrestvillage.com.au/wp-content/uploads/2024/01/Newsletter-02-February-2024-1.pdf</w:t>
        </w:r>
      </w:hyperlink>
      <w:r w:rsidRPr="00A6591E">
        <w:rPr>
          <w:rFonts w:ascii="Arial" w:hAnsi="Arial" w:cs="Arial"/>
          <w:sz w:val="24"/>
          <w:szCs w:val="24"/>
        </w:rPr>
        <w:t>. Accessed: (10:02:2024).</w:t>
      </w:r>
    </w:p>
    <w:p w14:paraId="2FA25CFB" w14:textId="77777777" w:rsidR="00D13002" w:rsidRPr="00A6591E" w:rsidRDefault="00D13002" w:rsidP="00A6591E">
      <w:pPr>
        <w:pStyle w:val="ListParagraph"/>
        <w:numPr>
          <w:ilvl w:val="0"/>
          <w:numId w:val="10"/>
        </w:numPr>
        <w:spacing w:line="360" w:lineRule="auto"/>
        <w:jc w:val="both"/>
        <w:rPr>
          <w:rFonts w:ascii="Arial" w:hAnsi="Arial" w:cs="Arial"/>
          <w:sz w:val="24"/>
          <w:szCs w:val="24"/>
        </w:rPr>
      </w:pPr>
      <w:r w:rsidRPr="00A6591E">
        <w:rPr>
          <w:rFonts w:ascii="Arial" w:hAnsi="Arial" w:cs="Arial"/>
          <w:sz w:val="24"/>
          <w:szCs w:val="24"/>
        </w:rPr>
        <w:t xml:space="preserve">Smith, A., et al. (2021). </w:t>
      </w:r>
      <w:r w:rsidRPr="00A6591E">
        <w:rPr>
          <w:rFonts w:ascii="Arial" w:hAnsi="Arial" w:cs="Arial"/>
          <w:i/>
          <w:sz w:val="24"/>
          <w:szCs w:val="24"/>
        </w:rPr>
        <w:t>Understanding Competition in the Hospitality Industry: A Conceptual Framework.</w:t>
      </w:r>
      <w:r w:rsidRPr="00A6591E">
        <w:rPr>
          <w:rFonts w:ascii="Arial" w:hAnsi="Arial" w:cs="Arial"/>
          <w:sz w:val="24"/>
          <w:szCs w:val="24"/>
        </w:rPr>
        <w:t xml:space="preserve"> Journal of Hosp</w:t>
      </w:r>
      <w:r w:rsidR="00F03BB7" w:rsidRPr="00A6591E">
        <w:rPr>
          <w:rFonts w:ascii="Arial" w:hAnsi="Arial" w:cs="Arial"/>
          <w:sz w:val="24"/>
          <w:szCs w:val="24"/>
        </w:rPr>
        <w:t>itality Marketing &amp; Management. Pp.</w:t>
      </w:r>
      <w:r w:rsidRPr="00A6591E">
        <w:rPr>
          <w:rFonts w:ascii="Arial" w:hAnsi="Arial" w:cs="Arial"/>
          <w:sz w:val="24"/>
          <w:szCs w:val="24"/>
        </w:rPr>
        <w:t xml:space="preserve"> 1-20.</w:t>
      </w:r>
    </w:p>
    <w:p w14:paraId="02D5CFFF" w14:textId="77777777" w:rsidR="00960305" w:rsidRPr="00A6591E" w:rsidRDefault="00960305" w:rsidP="00A6591E">
      <w:pPr>
        <w:pStyle w:val="ListParagraph"/>
        <w:numPr>
          <w:ilvl w:val="0"/>
          <w:numId w:val="10"/>
        </w:numPr>
        <w:spacing w:line="360" w:lineRule="auto"/>
        <w:jc w:val="both"/>
        <w:rPr>
          <w:rFonts w:ascii="Arial" w:hAnsi="Arial" w:cs="Arial"/>
          <w:sz w:val="24"/>
          <w:szCs w:val="24"/>
        </w:rPr>
      </w:pPr>
      <w:r w:rsidRPr="00A6591E">
        <w:rPr>
          <w:rFonts w:ascii="Arial" w:hAnsi="Arial" w:cs="Arial"/>
          <w:color w:val="0D0D0D"/>
          <w:sz w:val="24"/>
          <w:szCs w:val="24"/>
          <w:shd w:val="clear" w:color="auto" w:fill="FFFFFF"/>
        </w:rPr>
        <w:t xml:space="preserve">Tosun, C. (2000). </w:t>
      </w:r>
      <w:r w:rsidRPr="00A6591E">
        <w:rPr>
          <w:rFonts w:ascii="Arial" w:hAnsi="Arial" w:cs="Arial"/>
          <w:i/>
          <w:color w:val="0D0D0D"/>
          <w:sz w:val="24"/>
          <w:szCs w:val="24"/>
          <w:shd w:val="clear" w:color="auto" w:fill="FFFFFF"/>
        </w:rPr>
        <w:t>Limits to Community Participation in the Tourism Development Process in Developing Countries</w:t>
      </w:r>
      <w:r w:rsidRPr="00A6591E">
        <w:rPr>
          <w:rFonts w:ascii="Arial" w:hAnsi="Arial" w:cs="Arial"/>
          <w:color w:val="0D0D0D"/>
          <w:sz w:val="24"/>
          <w:szCs w:val="24"/>
          <w:shd w:val="clear" w:color="auto" w:fill="FFFFFF"/>
        </w:rPr>
        <w:t xml:space="preserve">. Tourism Management, </w:t>
      </w:r>
      <w:r w:rsidR="00F03BB7" w:rsidRPr="00A6591E">
        <w:rPr>
          <w:rFonts w:ascii="Arial" w:hAnsi="Arial" w:cs="Arial"/>
          <w:color w:val="0D0D0D"/>
          <w:sz w:val="24"/>
          <w:szCs w:val="24"/>
          <w:shd w:val="clear" w:color="auto" w:fill="FFFFFF"/>
        </w:rPr>
        <w:t>Pp.</w:t>
      </w:r>
      <w:r w:rsidRPr="00A6591E">
        <w:rPr>
          <w:rFonts w:ascii="Arial" w:hAnsi="Arial" w:cs="Arial"/>
          <w:color w:val="0D0D0D"/>
          <w:sz w:val="24"/>
          <w:szCs w:val="24"/>
          <w:shd w:val="clear" w:color="auto" w:fill="FFFFFF"/>
        </w:rPr>
        <w:t xml:space="preserve"> 613-633.</w:t>
      </w:r>
    </w:p>
    <w:p w14:paraId="5F990FB3" w14:textId="77777777" w:rsidR="00AA07EF" w:rsidRPr="00A6591E" w:rsidRDefault="00AA07EF" w:rsidP="00A6591E">
      <w:pPr>
        <w:pStyle w:val="ListParagraph"/>
        <w:numPr>
          <w:ilvl w:val="0"/>
          <w:numId w:val="10"/>
        </w:numPr>
        <w:spacing w:line="360" w:lineRule="auto"/>
        <w:jc w:val="both"/>
        <w:rPr>
          <w:rFonts w:ascii="Arial" w:hAnsi="Arial" w:cs="Arial"/>
          <w:sz w:val="24"/>
          <w:szCs w:val="24"/>
        </w:rPr>
      </w:pPr>
      <w:r w:rsidRPr="00A6591E">
        <w:rPr>
          <w:rFonts w:ascii="Arial" w:hAnsi="Arial" w:cs="Arial"/>
          <w:color w:val="0D0D0D"/>
          <w:sz w:val="24"/>
          <w:szCs w:val="24"/>
          <w:shd w:val="clear" w:color="auto" w:fill="FFFFFF"/>
        </w:rPr>
        <w:t xml:space="preserve">Zeithaml, V. A., Bitner, M. J., &amp;Gremler, D. D. (2018). </w:t>
      </w:r>
      <w:r w:rsidRPr="00A6591E">
        <w:rPr>
          <w:rFonts w:ascii="Arial" w:hAnsi="Arial" w:cs="Arial"/>
          <w:i/>
          <w:color w:val="0D0D0D"/>
          <w:sz w:val="24"/>
          <w:szCs w:val="24"/>
          <w:shd w:val="clear" w:color="auto" w:fill="FFFFFF"/>
        </w:rPr>
        <w:t xml:space="preserve">Services Marketing: Integrating Customer Focus Across the Firm. </w:t>
      </w:r>
      <w:r w:rsidRPr="00A6591E">
        <w:rPr>
          <w:rFonts w:ascii="Arial" w:hAnsi="Arial" w:cs="Arial"/>
          <w:color w:val="0D0D0D"/>
          <w:sz w:val="24"/>
          <w:szCs w:val="24"/>
          <w:shd w:val="clear" w:color="auto" w:fill="FFFFFF"/>
        </w:rPr>
        <w:t>McGraw-Hill Education.</w:t>
      </w:r>
    </w:p>
    <w:p w14:paraId="0DFC2A5D" w14:textId="77777777" w:rsidR="00D13002" w:rsidRPr="00A6591E" w:rsidRDefault="00D13002" w:rsidP="00A6591E">
      <w:pPr>
        <w:spacing w:line="360" w:lineRule="auto"/>
        <w:jc w:val="both"/>
        <w:rPr>
          <w:rFonts w:ascii="Arial" w:hAnsi="Arial" w:cs="Arial"/>
          <w:sz w:val="24"/>
          <w:szCs w:val="24"/>
        </w:rPr>
      </w:pPr>
    </w:p>
    <w:p w14:paraId="1DF1DE38" w14:textId="77777777" w:rsidR="00D13002" w:rsidRPr="00A6591E" w:rsidRDefault="00D13002" w:rsidP="00A6591E">
      <w:pPr>
        <w:spacing w:line="360" w:lineRule="auto"/>
        <w:jc w:val="both"/>
        <w:rPr>
          <w:rFonts w:ascii="Arial" w:hAnsi="Arial" w:cs="Arial"/>
          <w:sz w:val="24"/>
          <w:szCs w:val="24"/>
        </w:rPr>
      </w:pPr>
    </w:p>
    <w:p w14:paraId="62E6D92B" w14:textId="77777777" w:rsidR="00064FA1" w:rsidRPr="00A6591E" w:rsidRDefault="00064FA1" w:rsidP="00A6591E">
      <w:pPr>
        <w:spacing w:line="360" w:lineRule="auto"/>
        <w:jc w:val="both"/>
        <w:rPr>
          <w:rFonts w:ascii="Arial" w:hAnsi="Arial" w:cs="Arial"/>
          <w:sz w:val="24"/>
          <w:szCs w:val="24"/>
        </w:rPr>
      </w:pPr>
    </w:p>
    <w:p w14:paraId="4D2623C2" w14:textId="77777777" w:rsidR="00064FA1" w:rsidRPr="00A6591E" w:rsidRDefault="00064FA1" w:rsidP="00A6591E">
      <w:pPr>
        <w:spacing w:line="360" w:lineRule="auto"/>
        <w:jc w:val="both"/>
        <w:rPr>
          <w:rFonts w:ascii="Arial" w:hAnsi="Arial" w:cs="Arial"/>
          <w:sz w:val="24"/>
          <w:szCs w:val="24"/>
        </w:rPr>
      </w:pPr>
    </w:p>
    <w:sectPr w:rsidR="00064FA1" w:rsidRPr="00A6591E" w:rsidSect="00484C6C">
      <w:footerReference w:type="default" r:id="rId20"/>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5BFD4" w14:textId="77777777" w:rsidR="00484C6C" w:rsidRDefault="00484C6C" w:rsidP="00EF0703">
      <w:pPr>
        <w:spacing w:after="0" w:line="240" w:lineRule="auto"/>
      </w:pPr>
      <w:r>
        <w:separator/>
      </w:r>
    </w:p>
  </w:endnote>
  <w:endnote w:type="continuationSeparator" w:id="0">
    <w:p w14:paraId="54540FC0" w14:textId="77777777" w:rsidR="00484C6C" w:rsidRDefault="00484C6C" w:rsidP="00EF07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5873590"/>
      <w:docPartObj>
        <w:docPartGallery w:val="Page Numbers (Bottom of Page)"/>
        <w:docPartUnique/>
      </w:docPartObj>
    </w:sdtPr>
    <w:sdtEndPr>
      <w:rPr>
        <w:noProof/>
      </w:rPr>
    </w:sdtEndPr>
    <w:sdtContent>
      <w:p w14:paraId="046F0D2F" w14:textId="77777777" w:rsidR="00EF0703" w:rsidRDefault="0098715C">
        <w:pPr>
          <w:pStyle w:val="Footer"/>
          <w:jc w:val="right"/>
        </w:pPr>
        <w:r>
          <w:fldChar w:fldCharType="begin"/>
        </w:r>
        <w:r w:rsidR="00EF0703">
          <w:instrText xml:space="preserve"> PAGE   \* MERGEFORMAT </w:instrText>
        </w:r>
        <w:r>
          <w:fldChar w:fldCharType="separate"/>
        </w:r>
        <w:r w:rsidR="002432C3">
          <w:rPr>
            <w:noProof/>
          </w:rPr>
          <w:t>13</w:t>
        </w:r>
        <w:r>
          <w:rPr>
            <w:noProof/>
          </w:rPr>
          <w:fldChar w:fldCharType="end"/>
        </w:r>
      </w:p>
    </w:sdtContent>
  </w:sdt>
  <w:p w14:paraId="3359736E" w14:textId="77777777" w:rsidR="00EF0703" w:rsidRDefault="00EF07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500CF" w14:textId="77777777" w:rsidR="00484C6C" w:rsidRDefault="00484C6C" w:rsidP="00EF0703">
      <w:pPr>
        <w:spacing w:after="0" w:line="240" w:lineRule="auto"/>
      </w:pPr>
      <w:r>
        <w:separator/>
      </w:r>
    </w:p>
  </w:footnote>
  <w:footnote w:type="continuationSeparator" w:id="0">
    <w:p w14:paraId="21274192" w14:textId="77777777" w:rsidR="00484C6C" w:rsidRDefault="00484C6C" w:rsidP="00EF07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501B1"/>
    <w:multiLevelType w:val="hybridMultilevel"/>
    <w:tmpl w:val="26CCDA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F73EEC"/>
    <w:multiLevelType w:val="hybridMultilevel"/>
    <w:tmpl w:val="323A67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5CA74E9"/>
    <w:multiLevelType w:val="hybridMultilevel"/>
    <w:tmpl w:val="9A94A4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D9D0F75"/>
    <w:multiLevelType w:val="hybridMultilevel"/>
    <w:tmpl w:val="6BBC68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E2CFE"/>
    <w:multiLevelType w:val="hybridMultilevel"/>
    <w:tmpl w:val="9462EF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F3F5EC4"/>
    <w:multiLevelType w:val="hybridMultilevel"/>
    <w:tmpl w:val="B1766E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B932CF"/>
    <w:multiLevelType w:val="hybridMultilevel"/>
    <w:tmpl w:val="BB2637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CB52891"/>
    <w:multiLevelType w:val="hybridMultilevel"/>
    <w:tmpl w:val="DC0675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75A76D6"/>
    <w:multiLevelType w:val="hybridMultilevel"/>
    <w:tmpl w:val="8C7268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EA6DA4"/>
    <w:multiLevelType w:val="hybridMultilevel"/>
    <w:tmpl w:val="1ABCF19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0697170">
    <w:abstractNumId w:val="1"/>
  </w:num>
  <w:num w:numId="2" w16cid:durableId="1434546472">
    <w:abstractNumId w:val="6"/>
  </w:num>
  <w:num w:numId="3" w16cid:durableId="496575625">
    <w:abstractNumId w:val="8"/>
  </w:num>
  <w:num w:numId="4" w16cid:durableId="548298379">
    <w:abstractNumId w:val="0"/>
  </w:num>
  <w:num w:numId="5" w16cid:durableId="2046175339">
    <w:abstractNumId w:val="7"/>
  </w:num>
  <w:num w:numId="6" w16cid:durableId="2119637900">
    <w:abstractNumId w:val="4"/>
  </w:num>
  <w:num w:numId="7" w16cid:durableId="1586038172">
    <w:abstractNumId w:val="3"/>
  </w:num>
  <w:num w:numId="8" w16cid:durableId="204223863">
    <w:abstractNumId w:val="2"/>
  </w:num>
  <w:num w:numId="9" w16cid:durableId="652372978">
    <w:abstractNumId w:val="5"/>
  </w:num>
  <w:num w:numId="10" w16cid:durableId="158017058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TI0NDc3MTI3NDO3MDRU0lEKTi0uzszPAykwqgUA40KSASwAAAA="/>
  </w:docVars>
  <w:rsids>
    <w:rsidRoot w:val="00C33745"/>
    <w:rsid w:val="00006CF2"/>
    <w:rsid w:val="00013F85"/>
    <w:rsid w:val="00064FA1"/>
    <w:rsid w:val="0008513E"/>
    <w:rsid w:val="00094CEE"/>
    <w:rsid w:val="000E05F0"/>
    <w:rsid w:val="00116E7D"/>
    <w:rsid w:val="001271B3"/>
    <w:rsid w:val="00127AA3"/>
    <w:rsid w:val="00193BE6"/>
    <w:rsid w:val="001E34E9"/>
    <w:rsid w:val="001F1394"/>
    <w:rsid w:val="00216E10"/>
    <w:rsid w:val="002432C3"/>
    <w:rsid w:val="00257C52"/>
    <w:rsid w:val="002810C8"/>
    <w:rsid w:val="002B2AEE"/>
    <w:rsid w:val="0035232B"/>
    <w:rsid w:val="00384FEA"/>
    <w:rsid w:val="003D75FD"/>
    <w:rsid w:val="003F7FE7"/>
    <w:rsid w:val="00420F3D"/>
    <w:rsid w:val="0042144B"/>
    <w:rsid w:val="00476D5D"/>
    <w:rsid w:val="00484C6C"/>
    <w:rsid w:val="00495719"/>
    <w:rsid w:val="004B6E78"/>
    <w:rsid w:val="004E43C9"/>
    <w:rsid w:val="004F6F71"/>
    <w:rsid w:val="00511F8E"/>
    <w:rsid w:val="00585C61"/>
    <w:rsid w:val="0059210F"/>
    <w:rsid w:val="005A599E"/>
    <w:rsid w:val="005B2CBC"/>
    <w:rsid w:val="005D6804"/>
    <w:rsid w:val="00614E26"/>
    <w:rsid w:val="006330B3"/>
    <w:rsid w:val="00641405"/>
    <w:rsid w:val="006559FC"/>
    <w:rsid w:val="00670CD2"/>
    <w:rsid w:val="006D25E5"/>
    <w:rsid w:val="0078160F"/>
    <w:rsid w:val="00786FD1"/>
    <w:rsid w:val="007A5A47"/>
    <w:rsid w:val="008033A7"/>
    <w:rsid w:val="008432FB"/>
    <w:rsid w:val="008612D6"/>
    <w:rsid w:val="008A06AA"/>
    <w:rsid w:val="0092273D"/>
    <w:rsid w:val="00960305"/>
    <w:rsid w:val="0098715C"/>
    <w:rsid w:val="009C7093"/>
    <w:rsid w:val="009D2420"/>
    <w:rsid w:val="00A437A3"/>
    <w:rsid w:val="00A63B01"/>
    <w:rsid w:val="00A6591E"/>
    <w:rsid w:val="00AA07EF"/>
    <w:rsid w:val="00AA35EE"/>
    <w:rsid w:val="00AA4519"/>
    <w:rsid w:val="00AB272C"/>
    <w:rsid w:val="00AF2AF1"/>
    <w:rsid w:val="00B01998"/>
    <w:rsid w:val="00B05267"/>
    <w:rsid w:val="00B32548"/>
    <w:rsid w:val="00BB635D"/>
    <w:rsid w:val="00BD2FF1"/>
    <w:rsid w:val="00C13F0C"/>
    <w:rsid w:val="00C33745"/>
    <w:rsid w:val="00C6012A"/>
    <w:rsid w:val="00C77EFE"/>
    <w:rsid w:val="00C84715"/>
    <w:rsid w:val="00CB195F"/>
    <w:rsid w:val="00CB53E6"/>
    <w:rsid w:val="00D13002"/>
    <w:rsid w:val="00D556D9"/>
    <w:rsid w:val="00D60247"/>
    <w:rsid w:val="00DA49F5"/>
    <w:rsid w:val="00DB15AE"/>
    <w:rsid w:val="00DC4E3F"/>
    <w:rsid w:val="00DD7748"/>
    <w:rsid w:val="00E1668F"/>
    <w:rsid w:val="00E9569D"/>
    <w:rsid w:val="00EA07D7"/>
    <w:rsid w:val="00EC4D6C"/>
    <w:rsid w:val="00EC789B"/>
    <w:rsid w:val="00EF0703"/>
    <w:rsid w:val="00F03BB7"/>
    <w:rsid w:val="00F853BE"/>
    <w:rsid w:val="00F95560"/>
    <w:rsid w:val="00FB1269"/>
    <w:rsid w:val="00FC1441"/>
    <w:rsid w:val="00FE6F6F"/>
    <w:rsid w:val="00FE731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02DF40C9"/>
  <w15:docId w15:val="{7FC297B4-F1D5-4341-A0C2-1CF48D4A7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715C"/>
  </w:style>
  <w:style w:type="paragraph" w:styleId="Heading1">
    <w:name w:val="heading 1"/>
    <w:basedOn w:val="Normal"/>
    <w:next w:val="Normal"/>
    <w:link w:val="Heading1Char"/>
    <w:autoRedefine/>
    <w:uiPriority w:val="9"/>
    <w:qFormat/>
    <w:rsid w:val="00A6591E"/>
    <w:pPr>
      <w:keepNext/>
      <w:keepLines/>
      <w:spacing w:before="240" w:after="0" w:line="360" w:lineRule="auto"/>
      <w:jc w:val="both"/>
      <w:outlineLvl w:val="0"/>
    </w:pPr>
    <w:rPr>
      <w:rFonts w:ascii="Arial" w:eastAsiaTheme="majorEastAsia" w:hAnsi="Arial" w:cs="Arial"/>
      <w:b/>
      <w:color w:val="000000" w:themeColor="text1"/>
      <w:sz w:val="24"/>
      <w:szCs w:val="24"/>
    </w:rPr>
  </w:style>
  <w:style w:type="paragraph" w:styleId="Heading2">
    <w:name w:val="heading 2"/>
    <w:basedOn w:val="Normal"/>
    <w:next w:val="Normal"/>
    <w:link w:val="Heading2Char"/>
    <w:autoRedefine/>
    <w:uiPriority w:val="9"/>
    <w:unhideWhenUsed/>
    <w:qFormat/>
    <w:rsid w:val="00670CD2"/>
    <w:pPr>
      <w:keepNext/>
      <w:keepLines/>
      <w:spacing w:before="40" w:after="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91E"/>
    <w:rPr>
      <w:rFonts w:ascii="Arial" w:eastAsiaTheme="majorEastAsia" w:hAnsi="Arial" w:cs="Arial"/>
      <w:b/>
      <w:color w:val="000000" w:themeColor="text1"/>
      <w:sz w:val="24"/>
      <w:szCs w:val="24"/>
    </w:rPr>
  </w:style>
  <w:style w:type="character" w:customStyle="1" w:styleId="Heading2Char">
    <w:name w:val="Heading 2 Char"/>
    <w:basedOn w:val="DefaultParagraphFont"/>
    <w:link w:val="Heading2"/>
    <w:uiPriority w:val="9"/>
    <w:rsid w:val="00670CD2"/>
    <w:rPr>
      <w:rFonts w:ascii="Arial" w:eastAsiaTheme="majorEastAsia" w:hAnsi="Arial" w:cstheme="majorBidi"/>
      <w:b/>
      <w:color w:val="000000" w:themeColor="text1"/>
      <w:sz w:val="24"/>
      <w:szCs w:val="26"/>
    </w:rPr>
  </w:style>
  <w:style w:type="paragraph" w:styleId="ListParagraph">
    <w:name w:val="List Paragraph"/>
    <w:basedOn w:val="Normal"/>
    <w:uiPriority w:val="34"/>
    <w:qFormat/>
    <w:rsid w:val="00476D5D"/>
    <w:pPr>
      <w:ind w:left="720"/>
      <w:contextualSpacing/>
    </w:pPr>
  </w:style>
  <w:style w:type="paragraph" w:styleId="Header">
    <w:name w:val="header"/>
    <w:basedOn w:val="Normal"/>
    <w:link w:val="HeaderChar"/>
    <w:uiPriority w:val="99"/>
    <w:unhideWhenUsed/>
    <w:rsid w:val="00EF07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703"/>
  </w:style>
  <w:style w:type="paragraph" w:styleId="Footer">
    <w:name w:val="footer"/>
    <w:basedOn w:val="Normal"/>
    <w:link w:val="FooterChar"/>
    <w:uiPriority w:val="99"/>
    <w:unhideWhenUsed/>
    <w:rsid w:val="00EF07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703"/>
  </w:style>
  <w:style w:type="paragraph" w:styleId="TOCHeading">
    <w:name w:val="TOC Heading"/>
    <w:basedOn w:val="Heading1"/>
    <w:next w:val="Normal"/>
    <w:uiPriority w:val="39"/>
    <w:unhideWhenUsed/>
    <w:qFormat/>
    <w:rsid w:val="00EF0703"/>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F0703"/>
    <w:pPr>
      <w:spacing w:after="100"/>
    </w:pPr>
  </w:style>
  <w:style w:type="paragraph" w:styleId="TOC2">
    <w:name w:val="toc 2"/>
    <w:basedOn w:val="Normal"/>
    <w:next w:val="Normal"/>
    <w:autoRedefine/>
    <w:uiPriority w:val="39"/>
    <w:unhideWhenUsed/>
    <w:rsid w:val="00EF0703"/>
    <w:pPr>
      <w:spacing w:after="100"/>
      <w:ind w:left="220"/>
    </w:pPr>
  </w:style>
  <w:style w:type="character" w:styleId="Hyperlink">
    <w:name w:val="Hyperlink"/>
    <w:basedOn w:val="DefaultParagraphFont"/>
    <w:uiPriority w:val="99"/>
    <w:unhideWhenUsed/>
    <w:rsid w:val="00EF0703"/>
    <w:rPr>
      <w:color w:val="0563C1" w:themeColor="hyperlink"/>
      <w:u w:val="single"/>
    </w:rPr>
  </w:style>
  <w:style w:type="paragraph" w:styleId="NoSpacing">
    <w:name w:val="No Spacing"/>
    <w:link w:val="NoSpacingChar"/>
    <w:uiPriority w:val="1"/>
    <w:qFormat/>
    <w:rsid w:val="00EF07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0703"/>
    <w:rPr>
      <w:rFonts w:eastAsiaTheme="minorEastAsia"/>
      <w:lang w:val="en-US"/>
    </w:rPr>
  </w:style>
  <w:style w:type="paragraph" w:styleId="NormalWeb">
    <w:name w:val="Normal (Web)"/>
    <w:basedOn w:val="Normal"/>
    <w:uiPriority w:val="99"/>
    <w:semiHidden/>
    <w:unhideWhenUsed/>
    <w:rsid w:val="00D130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13002"/>
    <w:rPr>
      <w:i/>
      <w:iCs/>
    </w:rPr>
  </w:style>
  <w:style w:type="paragraph" w:styleId="BalloonText">
    <w:name w:val="Balloon Text"/>
    <w:basedOn w:val="Normal"/>
    <w:link w:val="BalloonTextChar"/>
    <w:uiPriority w:val="99"/>
    <w:semiHidden/>
    <w:unhideWhenUsed/>
    <w:rsid w:val="002432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32C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022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www.seacrestvillage.com.au/wp-content/uploads/2024/01/Newsletter-02-February-2024-1.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GB"/>
  <c:roundedCorners val="1"/>
  <c:style val="2"/>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Items</a:t>
            </a:r>
          </a:p>
        </c:rich>
      </c:tx>
      <c:overlay val="1"/>
      <c:spPr>
        <a:noFill/>
        <a:ln>
          <a:noFill/>
        </a:ln>
        <a:effectLst/>
      </c:spPr>
    </c:title>
    <c:autoTitleDeleted val="0"/>
    <c:plotArea>
      <c:layout/>
      <c:barChart>
        <c:barDir val="col"/>
        <c:grouping val="clustered"/>
        <c:varyColors val="1"/>
        <c:ser>
          <c:idx val="0"/>
          <c:order val="0"/>
          <c:tx>
            <c:v>2021</c:v>
          </c:tx>
          <c:spPr>
            <a:solidFill>
              <a:srgbClr val="5B9BD5"/>
            </a:solidFill>
            <a:ln>
              <a:noFill/>
            </a:ln>
            <a:effectLst/>
          </c:spPr>
          <c:invertIfNegative val="1"/>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1"/>
            <c:showVal val="1"/>
            <c:showCatName val="1"/>
            <c:showSerName val="1"/>
            <c:showPercent val="1"/>
            <c:showBubbleSize val="1"/>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Sheet1!$C$3:$C$6</c:f>
              <c:strCache>
                <c:ptCount val="4"/>
                <c:pt idx="0">
                  <c:v>Items </c:v>
                </c:pt>
                <c:pt idx="1">
                  <c:v>Revenue</c:v>
                </c:pt>
                <c:pt idx="2">
                  <c:v>Operating Expenses</c:v>
                </c:pt>
                <c:pt idx="3">
                  <c:v>Net Income</c:v>
                </c:pt>
              </c:strCache>
            </c:strRef>
          </c:cat>
          <c:val>
            <c:numRef>
              <c:f>Sheet1!$D$3:$D$6</c:f>
              <c:numCache>
                <c:formatCode>"£"#,##0_);[Red]\("£"#,##0\)</c:formatCode>
                <c:ptCount val="4"/>
                <c:pt idx="0" formatCode="General">
                  <c:v>2021</c:v>
                </c:pt>
                <c:pt idx="1">
                  <c:v>1200000</c:v>
                </c:pt>
                <c:pt idx="2">
                  <c:v>900000</c:v>
                </c:pt>
                <c:pt idx="3">
                  <c:v>300000</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0-42B5-4066-B3C5-E105EE28D60E}"/>
            </c:ext>
          </c:extLst>
        </c:ser>
        <c:ser>
          <c:idx val="1"/>
          <c:order val="1"/>
          <c:tx>
            <c:v>2022</c:v>
          </c:tx>
          <c:spPr>
            <a:solidFill>
              <a:srgbClr val="ED7D31"/>
            </a:solidFill>
            <a:ln>
              <a:noFill/>
            </a:ln>
            <a:effectLst/>
          </c:spPr>
          <c:invertIfNegative val="1"/>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1"/>
            <c:showVal val="1"/>
            <c:showCatName val="1"/>
            <c:showSerName val="1"/>
            <c:showPercent val="1"/>
            <c:showBubbleSize val="1"/>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Sheet1!$C$3:$C$6</c:f>
              <c:strCache>
                <c:ptCount val="4"/>
                <c:pt idx="0">
                  <c:v>Items </c:v>
                </c:pt>
                <c:pt idx="1">
                  <c:v>Revenue</c:v>
                </c:pt>
                <c:pt idx="2">
                  <c:v>Operating Expenses</c:v>
                </c:pt>
                <c:pt idx="3">
                  <c:v>Net Income</c:v>
                </c:pt>
              </c:strCache>
            </c:strRef>
          </c:cat>
          <c:val>
            <c:numRef>
              <c:f>Sheet1!$E$3:$E$6</c:f>
              <c:numCache>
                <c:formatCode>#,##0</c:formatCode>
                <c:ptCount val="4"/>
                <c:pt idx="0" formatCode="General">
                  <c:v>2022</c:v>
                </c:pt>
                <c:pt idx="1">
                  <c:v>1100000</c:v>
                </c:pt>
                <c:pt idx="2" formatCode="&quot;£&quot;#,##0_);[Red]\(&quot;£&quot;#,##0\)">
                  <c:v>950000</c:v>
                </c:pt>
                <c:pt idx="3" formatCode="&quot;£&quot;#,##0_);[Red]\(&quot;£&quot;#,##0\)">
                  <c:v>150000</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1-42B5-4066-B3C5-E105EE28D60E}"/>
            </c:ext>
          </c:extLst>
        </c:ser>
        <c:ser>
          <c:idx val="2"/>
          <c:order val="2"/>
          <c:tx>
            <c:v>2023</c:v>
          </c:tx>
          <c:spPr>
            <a:solidFill>
              <a:srgbClr val="A5A5A5"/>
            </a:solidFill>
            <a:ln>
              <a:noFill/>
            </a:ln>
            <a:effectLst/>
          </c:spPr>
          <c:invertIfNegative val="1"/>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1"/>
            <c:showVal val="1"/>
            <c:showCatName val="1"/>
            <c:showSerName val="1"/>
            <c:showPercent val="1"/>
            <c:showBubbleSize val="1"/>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Sheet1!$C$3:$C$6</c:f>
              <c:strCache>
                <c:ptCount val="4"/>
                <c:pt idx="0">
                  <c:v>Items </c:v>
                </c:pt>
                <c:pt idx="1">
                  <c:v>Revenue</c:v>
                </c:pt>
                <c:pt idx="2">
                  <c:v>Operating Expenses</c:v>
                </c:pt>
                <c:pt idx="3">
                  <c:v>Net Income</c:v>
                </c:pt>
              </c:strCache>
            </c:strRef>
          </c:cat>
          <c:val>
            <c:numRef>
              <c:f>Sheet1!$F$3:$F$6</c:f>
              <c:numCache>
                <c:formatCode>"£"#,##0_);[Red]\("£"#,##0\)</c:formatCode>
                <c:ptCount val="4"/>
                <c:pt idx="0" formatCode="General">
                  <c:v>2023</c:v>
                </c:pt>
                <c:pt idx="1">
                  <c:v>950000</c:v>
                </c:pt>
                <c:pt idx="2">
                  <c:v>1100000</c:v>
                </c:pt>
                <c:pt idx="3">
                  <c:v>-150000</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2-42B5-4066-B3C5-E105EE28D60E}"/>
            </c:ext>
          </c:extLst>
        </c:ser>
        <c:dLbls>
          <c:showLegendKey val="1"/>
          <c:showVal val="1"/>
          <c:showCatName val="1"/>
          <c:showSerName val="1"/>
          <c:showPercent val="1"/>
          <c:showBubbleSize val="1"/>
        </c:dLbls>
        <c:gapWidth val="444"/>
        <c:overlap val="-90"/>
        <c:axId val="51729920"/>
        <c:axId val="51731456"/>
      </c:barChart>
      <c:catAx>
        <c:axId val="51729920"/>
        <c:scaling>
          <c:orientation val="minMax"/>
        </c:scaling>
        <c:delete val="1"/>
        <c:axPos val="b"/>
        <c:majorGridlines>
          <c:spPr>
            <a:ln w="9525" cap="flat" cmpd="sng" algn="ctr">
              <a:solidFill>
                <a:schemeClr val="tx1">
                  <a:lumMod val="15000"/>
                  <a:lumOff val="85000"/>
                </a:schemeClr>
              </a:solidFill>
              <a:round/>
            </a:ln>
            <a:effectLst/>
          </c:spPr>
        </c:majorGridlines>
        <c:numFmt formatCode="General" sourceLinked="1"/>
        <c:majorTickMark val="none"/>
        <c:minorTickMark val="cross"/>
        <c:tickLblPos val="nextTo"/>
        <c:crossAx val="51731456"/>
        <c:crosses val="autoZero"/>
        <c:auto val="1"/>
        <c:lblAlgn val="ctr"/>
        <c:lblOffset val="100"/>
        <c:noMultiLvlLbl val="1"/>
      </c:catAx>
      <c:valAx>
        <c:axId val="51731456"/>
        <c:scaling>
          <c:orientation val="minMax"/>
        </c:scaling>
        <c:delete val="1"/>
        <c:axPos val="l"/>
        <c:numFmt formatCode="General" sourceLinked="1"/>
        <c:majorTickMark val="none"/>
        <c:minorTickMark val="cross"/>
        <c:tickLblPos val="nextTo"/>
        <c:crossAx val="51729920"/>
        <c:crosses val="autoZero"/>
        <c:crossBetween val="between"/>
      </c:valAx>
      <c:spPr>
        <a:noFill/>
        <a:ln>
          <a:noFill/>
        </a:ln>
        <a:effectLst/>
      </c:spPr>
    </c:plotArea>
    <c:plotVisOnly val="1"/>
    <c:dispBlanksAs val="gap"/>
    <c:showDLblsOverMax val="1"/>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1"/>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GB"/>
  <c:roundedCorners val="1"/>
  <c:style val="2"/>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Balance</a:t>
            </a:r>
            <a:r>
              <a:rPr lang="en-GB" baseline="0"/>
              <a:t> Sheet</a:t>
            </a:r>
            <a:endParaRPr lang="en-GB"/>
          </a:p>
        </c:rich>
      </c:tx>
      <c:overlay val="1"/>
      <c:spPr>
        <a:noFill/>
        <a:ln>
          <a:noFill/>
        </a:ln>
        <a:effectLst/>
      </c:spPr>
    </c:title>
    <c:autoTitleDeleted val="0"/>
    <c:plotArea>
      <c:layout/>
      <c:lineChart>
        <c:grouping val="standard"/>
        <c:varyColors val="1"/>
        <c:ser>
          <c:idx val="0"/>
          <c:order val="0"/>
          <c:tx>
            <c:strRef>
              <c:f>Sheet2!$C$2</c:f>
              <c:strCache>
                <c:ptCount val="1"/>
                <c:pt idx="0">
                  <c:v>2021</c:v>
                </c:pt>
              </c:strCache>
            </c:strRef>
          </c:tx>
          <c:spPr>
            <a:ln w="38100" cap="rnd">
              <a:solidFill>
                <a:schemeClr val="accent1"/>
              </a:solidFill>
              <a:round/>
            </a:ln>
            <a:effectLst/>
          </c:spPr>
          <c:marker>
            <c:symbol val="none"/>
          </c:marker>
          <c:cat>
            <c:strRef>
              <c:f>Sheet2!$B$3:$B$10</c:f>
              <c:strCache>
                <c:ptCount val="8"/>
                <c:pt idx="0">
                  <c:v>Cash and Equivalents</c:v>
                </c:pt>
                <c:pt idx="1">
                  <c:v>Account Receivable</c:v>
                </c:pt>
                <c:pt idx="2">
                  <c:v>Property and equipment</c:v>
                </c:pt>
                <c:pt idx="3">
                  <c:v>Total Assets</c:v>
                </c:pt>
                <c:pt idx="4">
                  <c:v>Account Payable</c:v>
                </c:pt>
                <c:pt idx="5">
                  <c:v>Long-term debt</c:v>
                </c:pt>
                <c:pt idx="6">
                  <c:v>Total Liabilities </c:v>
                </c:pt>
                <c:pt idx="7">
                  <c:v>Equity</c:v>
                </c:pt>
              </c:strCache>
            </c:strRef>
          </c:cat>
          <c:val>
            <c:numRef>
              <c:f>Sheet2!$C$3:$C$10</c:f>
              <c:numCache>
                <c:formatCode>"£"#,##0_);[Red]\("£"#,##0\)</c:formatCode>
                <c:ptCount val="8"/>
                <c:pt idx="0">
                  <c:v>100000</c:v>
                </c:pt>
                <c:pt idx="1">
                  <c:v>50000</c:v>
                </c:pt>
                <c:pt idx="2">
                  <c:v>2000000</c:v>
                </c:pt>
                <c:pt idx="3">
                  <c:v>2150000</c:v>
                </c:pt>
                <c:pt idx="4">
                  <c:v>30000</c:v>
                </c:pt>
                <c:pt idx="5">
                  <c:v>1500000</c:v>
                </c:pt>
                <c:pt idx="6">
                  <c:v>1530000</c:v>
                </c:pt>
                <c:pt idx="7">
                  <c:v>620000</c:v>
                </c:pt>
              </c:numCache>
            </c:numRef>
          </c:val>
          <c:smooth val="1"/>
          <c:extLst>
            <c:ext xmlns:c16="http://schemas.microsoft.com/office/drawing/2014/chart" uri="{C3380CC4-5D6E-409C-BE32-E72D297353CC}">
              <c16:uniqueId val="{00000000-0E7A-4B9B-8969-2A87226832CC}"/>
            </c:ext>
          </c:extLst>
        </c:ser>
        <c:ser>
          <c:idx val="1"/>
          <c:order val="1"/>
          <c:tx>
            <c:strRef>
              <c:f>Sheet2!$D$2</c:f>
              <c:strCache>
                <c:ptCount val="1"/>
                <c:pt idx="0">
                  <c:v>2022</c:v>
                </c:pt>
              </c:strCache>
            </c:strRef>
          </c:tx>
          <c:spPr>
            <a:ln w="38100" cap="rnd">
              <a:solidFill>
                <a:schemeClr val="accent2"/>
              </a:solidFill>
              <a:round/>
            </a:ln>
            <a:effectLst/>
          </c:spPr>
          <c:marker>
            <c:symbol val="none"/>
          </c:marker>
          <c:cat>
            <c:strRef>
              <c:f>Sheet2!$B$3:$B$10</c:f>
              <c:strCache>
                <c:ptCount val="8"/>
                <c:pt idx="0">
                  <c:v>Cash and Equivalents</c:v>
                </c:pt>
                <c:pt idx="1">
                  <c:v>Account Receivable</c:v>
                </c:pt>
                <c:pt idx="2">
                  <c:v>Property and equipment</c:v>
                </c:pt>
                <c:pt idx="3">
                  <c:v>Total Assets</c:v>
                </c:pt>
                <c:pt idx="4">
                  <c:v>Account Payable</c:v>
                </c:pt>
                <c:pt idx="5">
                  <c:v>Long-term debt</c:v>
                </c:pt>
                <c:pt idx="6">
                  <c:v>Total Liabilities </c:v>
                </c:pt>
                <c:pt idx="7">
                  <c:v>Equity</c:v>
                </c:pt>
              </c:strCache>
            </c:strRef>
          </c:cat>
          <c:val>
            <c:numRef>
              <c:f>Sheet2!$D$3:$D$10</c:f>
              <c:numCache>
                <c:formatCode>"£"#,##0_);[Red]\("£"#,##0\)</c:formatCode>
                <c:ptCount val="8"/>
                <c:pt idx="0">
                  <c:v>80000</c:v>
                </c:pt>
                <c:pt idx="1">
                  <c:v>40000</c:v>
                </c:pt>
                <c:pt idx="2">
                  <c:v>2000000</c:v>
                </c:pt>
                <c:pt idx="3">
                  <c:v>2120000</c:v>
                </c:pt>
                <c:pt idx="4">
                  <c:v>40000</c:v>
                </c:pt>
                <c:pt idx="5">
                  <c:v>1500000</c:v>
                </c:pt>
                <c:pt idx="6">
                  <c:v>1540000</c:v>
                </c:pt>
                <c:pt idx="7">
                  <c:v>580000</c:v>
                </c:pt>
              </c:numCache>
            </c:numRef>
          </c:val>
          <c:smooth val="1"/>
          <c:extLst>
            <c:ext xmlns:c16="http://schemas.microsoft.com/office/drawing/2014/chart" uri="{C3380CC4-5D6E-409C-BE32-E72D297353CC}">
              <c16:uniqueId val="{00000001-0E7A-4B9B-8969-2A87226832CC}"/>
            </c:ext>
          </c:extLst>
        </c:ser>
        <c:ser>
          <c:idx val="2"/>
          <c:order val="2"/>
          <c:tx>
            <c:strRef>
              <c:f>Sheet2!$E$2</c:f>
              <c:strCache>
                <c:ptCount val="1"/>
                <c:pt idx="0">
                  <c:v>2023</c:v>
                </c:pt>
              </c:strCache>
            </c:strRef>
          </c:tx>
          <c:spPr>
            <a:ln w="38100" cap="rnd">
              <a:solidFill>
                <a:schemeClr val="accent3"/>
              </a:solidFill>
              <a:round/>
            </a:ln>
            <a:effectLst/>
          </c:spPr>
          <c:marker>
            <c:symbol val="none"/>
          </c:marker>
          <c:cat>
            <c:strRef>
              <c:f>Sheet2!$B$3:$B$10</c:f>
              <c:strCache>
                <c:ptCount val="8"/>
                <c:pt idx="0">
                  <c:v>Cash and Equivalents</c:v>
                </c:pt>
                <c:pt idx="1">
                  <c:v>Account Receivable</c:v>
                </c:pt>
                <c:pt idx="2">
                  <c:v>Property and equipment</c:v>
                </c:pt>
                <c:pt idx="3">
                  <c:v>Total Assets</c:v>
                </c:pt>
                <c:pt idx="4">
                  <c:v>Account Payable</c:v>
                </c:pt>
                <c:pt idx="5">
                  <c:v>Long-term debt</c:v>
                </c:pt>
                <c:pt idx="6">
                  <c:v>Total Liabilities </c:v>
                </c:pt>
                <c:pt idx="7">
                  <c:v>Equity</c:v>
                </c:pt>
              </c:strCache>
            </c:strRef>
          </c:cat>
          <c:val>
            <c:numRef>
              <c:f>Sheet2!$E$3:$E$10</c:f>
              <c:numCache>
                <c:formatCode>"£"#,##0_);[Red]\("£"#,##0\)</c:formatCode>
                <c:ptCount val="8"/>
                <c:pt idx="0">
                  <c:v>20000</c:v>
                </c:pt>
                <c:pt idx="1">
                  <c:v>30000</c:v>
                </c:pt>
                <c:pt idx="2">
                  <c:v>1800000</c:v>
                </c:pt>
                <c:pt idx="3">
                  <c:v>1850000</c:v>
                </c:pt>
                <c:pt idx="4">
                  <c:v>50000</c:v>
                </c:pt>
                <c:pt idx="5">
                  <c:v>1500000</c:v>
                </c:pt>
                <c:pt idx="6">
                  <c:v>1550000</c:v>
                </c:pt>
                <c:pt idx="7">
                  <c:v>300000</c:v>
                </c:pt>
              </c:numCache>
            </c:numRef>
          </c:val>
          <c:smooth val="1"/>
          <c:extLst>
            <c:ext xmlns:c16="http://schemas.microsoft.com/office/drawing/2014/chart" uri="{C3380CC4-5D6E-409C-BE32-E72D297353CC}">
              <c16:uniqueId val="{00000002-0E7A-4B9B-8969-2A87226832CC}"/>
            </c:ext>
          </c:extLst>
        </c:ser>
        <c:dLbls>
          <c:showLegendKey val="0"/>
          <c:showVal val="0"/>
          <c:showCatName val="0"/>
          <c:showSerName val="0"/>
          <c:showPercent val="0"/>
          <c:showBubbleSize val="0"/>
        </c:dLbls>
        <c:smooth val="0"/>
        <c:axId val="51865472"/>
        <c:axId val="51867008"/>
      </c:lineChart>
      <c:catAx>
        <c:axId val="51865472"/>
        <c:scaling>
          <c:orientation val="minMax"/>
        </c:scaling>
        <c:delete val="1"/>
        <c:axPos val="b"/>
        <c:numFmt formatCode="General" sourceLinked="1"/>
        <c:majorTickMark val="none"/>
        <c:minorTickMark val="cross"/>
        <c:tickLblPos val="nextTo"/>
        <c:crossAx val="51867008"/>
        <c:crosses val="autoZero"/>
        <c:auto val="1"/>
        <c:lblAlgn val="ctr"/>
        <c:lblOffset val="100"/>
        <c:noMultiLvlLbl val="1"/>
      </c:catAx>
      <c:valAx>
        <c:axId val="51867008"/>
        <c:scaling>
          <c:orientation val="minMax"/>
        </c:scaling>
        <c:delete val="1"/>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quot;£&quot;#,##0_);[Red]\(&quot;£&quot;#,##0\)" sourceLinked="1"/>
        <c:majorTickMark val="none"/>
        <c:minorTickMark val="cross"/>
        <c:tickLblPos val="nextTo"/>
        <c:crossAx val="51865472"/>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t"/>
      <c:overlay val="1"/>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1"/>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1"/>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GB"/>
  <c:roundedCorners val="1"/>
  <c:style val="2"/>
  <c:chart>
    <c:title>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1"/>
        <c:ser>
          <c:idx val="0"/>
          <c:order val="0"/>
          <c:tx>
            <c:strRef>
              <c:f>Sheet4!$E$5</c:f>
              <c:strCache>
                <c:ptCount val="1"/>
                <c:pt idx="0">
                  <c:v>Average Room Rent</c:v>
                </c:pt>
              </c:strCache>
            </c:strRef>
          </c:tx>
          <c:spPr>
            <a:solidFill>
              <a:srgbClr val="5B9BD5"/>
            </a:solidFill>
            <a:ln>
              <a:noFill/>
            </a:ln>
            <a:effectLst/>
          </c:spPr>
          <c:invertIfNegative val="1"/>
          <c:trendline>
            <c:spPr>
              <a:ln w="19050" cap="rnd">
                <a:solidFill>
                  <a:schemeClr val="accent1"/>
                </a:solidFill>
                <a:prstDash val="sysDot"/>
              </a:ln>
              <a:effectLst/>
            </c:spPr>
            <c:trendlineType val="linear"/>
            <c:dispRSqr val="1"/>
            <c:dispEq val="1"/>
            <c:trendlineLbl>
              <c:numFmt formatCode="General" sourceLinked="0"/>
            </c:trendlineLbl>
          </c:trendline>
          <c:trendline>
            <c:spPr>
              <a:ln w="19050" cap="rnd">
                <a:solidFill>
                  <a:schemeClr val="accent1"/>
                </a:solidFill>
                <a:prstDash val="sysDot"/>
              </a:ln>
              <a:effectLst/>
            </c:spPr>
            <c:trendlineType val="linear"/>
            <c:dispRSqr val="1"/>
            <c:dispEq val="1"/>
            <c:trendlineLbl>
              <c:numFmt formatCode="General" sourceLinked="0"/>
            </c:trendlineLbl>
          </c:trendline>
          <c:trendline>
            <c:spPr>
              <a:ln w="19050" cap="rnd">
                <a:solidFill>
                  <a:schemeClr val="accent1"/>
                </a:solidFill>
                <a:prstDash val="sysDot"/>
              </a:ln>
              <a:effectLst/>
            </c:spPr>
            <c:trendlineType val="exp"/>
            <c:dispRSqr val="1"/>
            <c:dispEq val="1"/>
            <c:trendlineLbl>
              <c:numFmt formatCode="General" sourceLinked="0"/>
            </c:trendlineLbl>
          </c:trendline>
          <c:trendline>
            <c:spPr>
              <a:ln w="19050" cap="rnd">
                <a:solidFill>
                  <a:schemeClr val="accent1"/>
                </a:solidFill>
                <a:prstDash val="sysDot"/>
              </a:ln>
              <a:effectLst/>
            </c:spPr>
            <c:trendlineType val="exp"/>
            <c:dispRSqr val="1"/>
            <c:dispEq val="1"/>
            <c:trendlineLbl>
              <c:numFmt formatCode="General" sourceLinked="0"/>
            </c:trendlineLbl>
          </c:trendline>
          <c:cat>
            <c:numRef>
              <c:f>Sheet4!$F$4:$H$4</c:f>
              <c:numCache>
                <c:formatCode>General</c:formatCode>
                <c:ptCount val="3"/>
                <c:pt idx="0">
                  <c:v>2021</c:v>
                </c:pt>
                <c:pt idx="1">
                  <c:v>2022</c:v>
                </c:pt>
                <c:pt idx="2">
                  <c:v>2023</c:v>
                </c:pt>
              </c:numCache>
            </c:numRef>
          </c:cat>
          <c:val>
            <c:numRef>
              <c:f>Sheet4!$F$5:$H$5</c:f>
              <c:numCache>
                <c:formatCode>"£"#,##0_);[Red]\("£"#,##0\)</c:formatCode>
                <c:ptCount val="3"/>
                <c:pt idx="0">
                  <c:v>260</c:v>
                </c:pt>
                <c:pt idx="1">
                  <c:v>240</c:v>
                </c:pt>
                <c:pt idx="2">
                  <c:v>210</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0-A045-4A32-8AB2-23589C5B47FB}"/>
            </c:ext>
          </c:extLst>
        </c:ser>
        <c:dLbls>
          <c:showLegendKey val="0"/>
          <c:showVal val="0"/>
          <c:showCatName val="0"/>
          <c:showSerName val="0"/>
          <c:showPercent val="0"/>
          <c:showBubbleSize val="0"/>
        </c:dLbls>
        <c:gapWidth val="219"/>
        <c:overlap val="-27"/>
        <c:axId val="51966336"/>
        <c:axId val="51967872"/>
      </c:barChart>
      <c:catAx>
        <c:axId val="51966336"/>
        <c:scaling>
          <c:orientation val="minMax"/>
        </c:scaling>
        <c:delete val="1"/>
        <c:axPos val="b"/>
        <c:numFmt formatCode="General" sourceLinked="1"/>
        <c:majorTickMark val="none"/>
        <c:minorTickMark val="cross"/>
        <c:tickLblPos val="nextTo"/>
        <c:crossAx val="51967872"/>
        <c:crosses val="autoZero"/>
        <c:auto val="1"/>
        <c:lblAlgn val="ctr"/>
        <c:lblOffset val="100"/>
        <c:noMultiLvlLbl val="1"/>
      </c:catAx>
      <c:valAx>
        <c:axId val="51967872"/>
        <c:scaling>
          <c:orientation val="minMax"/>
        </c:scaling>
        <c:delete val="1"/>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cross"/>
        <c:tickLblPos val="nextTo"/>
        <c:crossAx val="5196633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1"/>
  </c:chart>
  <c:spPr>
    <a:solidFill>
      <a:schemeClr val="bg1"/>
    </a:solidFill>
    <a:ln w="9525" cap="flat" cmpd="sng" algn="ctr">
      <a:solidFill>
        <a:schemeClr val="accent1">
          <a:lumMod val="50000"/>
        </a:schemeClr>
      </a:solidFill>
      <a:round/>
    </a:ln>
    <a:effectLst/>
  </c:spPr>
  <c:txPr>
    <a:bodyPr/>
    <a:lstStyle/>
    <a:p>
      <a:pPr>
        <a:defRPr/>
      </a:pPr>
      <a:endParaRPr lang="en-US"/>
    </a:p>
  </c:txPr>
  <c:externalData r:id="rId1">
    <c:autoUpdate val="1"/>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GB"/>
  <c:roundedCorners val="1"/>
  <c:style val="2"/>
  <c:chart>
    <c:title>
      <c:overlay val="1"/>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1"/>
        <c:ser>
          <c:idx val="0"/>
          <c:order val="0"/>
          <c:tx>
            <c:strRef>
              <c:f>Sheet4!$E$6</c:f>
              <c:strCache>
                <c:ptCount val="1"/>
                <c:pt idx="0">
                  <c:v>Occupancy Rate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1"/>
            <c:showVal val="1"/>
            <c:showCatName val="1"/>
            <c:showSerName val="1"/>
            <c:showPercent val="1"/>
            <c:showBubbleSize val="1"/>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trendline>
            <c:spPr>
              <a:ln w="9525" cap="rnd">
                <a:solidFill>
                  <a:schemeClr val="accent1"/>
                </a:solidFill>
              </a:ln>
              <a:effectLst/>
            </c:spPr>
            <c:trendlineType val="linear"/>
            <c:dispRSqr val="1"/>
            <c:dispEq val="1"/>
            <c:trendlineLbl>
              <c:numFmt formatCode="General" sourceLinked="0"/>
            </c:trendlineLbl>
          </c:trendline>
          <c:cat>
            <c:multiLvlStrRef>
              <c:f>Sheet4!$F$4:$H$5</c:f>
              <c:multiLvlStrCache>
                <c:ptCount val="3"/>
                <c:lvl>
                  <c:pt idx="0">
                    <c:v>£260</c:v>
                  </c:pt>
                  <c:pt idx="1">
                    <c:v>£240</c:v>
                  </c:pt>
                  <c:pt idx="2">
                    <c:v>£210</c:v>
                  </c:pt>
                </c:lvl>
                <c:lvl>
                  <c:pt idx="0">
                    <c:v>2021</c:v>
                  </c:pt>
                  <c:pt idx="1">
                    <c:v>2022</c:v>
                  </c:pt>
                  <c:pt idx="2">
                    <c:v>2023</c:v>
                  </c:pt>
                </c:lvl>
              </c:multiLvlStrCache>
            </c:multiLvlStrRef>
          </c:cat>
          <c:val>
            <c:numRef>
              <c:f>Sheet4!$F$6:$H$6</c:f>
              <c:numCache>
                <c:formatCode>0%</c:formatCode>
                <c:ptCount val="3"/>
                <c:pt idx="0">
                  <c:v>0.65000000000000024</c:v>
                </c:pt>
                <c:pt idx="1">
                  <c:v>0.6000000000000002</c:v>
                </c:pt>
                <c:pt idx="2">
                  <c:v>0.5</c:v>
                </c:pt>
              </c:numCache>
            </c:numRef>
          </c:val>
          <c:extLst>
            <c:ext xmlns:c16="http://schemas.microsoft.com/office/drawing/2014/chart" uri="{C3380CC4-5D6E-409C-BE32-E72D297353CC}">
              <c16:uniqueId val="{00000000-428B-49CD-985A-28F7EB21D3D9}"/>
            </c:ext>
          </c:extLst>
        </c:ser>
        <c:dLbls>
          <c:showLegendKey val="1"/>
          <c:showVal val="1"/>
          <c:showCatName val="1"/>
          <c:showSerName val="1"/>
          <c:showPercent val="1"/>
          <c:showBubbleSize val="1"/>
        </c:dLbls>
        <c:gapWidth val="100"/>
        <c:overlap val="-24"/>
        <c:axId val="52011008"/>
        <c:axId val="52012544"/>
      </c:barChart>
      <c:catAx>
        <c:axId val="52011008"/>
        <c:scaling>
          <c:orientation val="minMax"/>
        </c:scaling>
        <c:delete val="1"/>
        <c:axPos val="b"/>
        <c:numFmt formatCode="General" sourceLinked="1"/>
        <c:majorTickMark val="cross"/>
        <c:minorTickMark val="cross"/>
        <c:tickLblPos val="nextTo"/>
        <c:crossAx val="52012544"/>
        <c:crosses val="autoZero"/>
        <c:auto val="1"/>
        <c:lblAlgn val="ctr"/>
        <c:lblOffset val="100"/>
        <c:noMultiLvlLbl val="1"/>
      </c:catAx>
      <c:valAx>
        <c:axId val="52012544"/>
        <c:scaling>
          <c:orientation val="minMax"/>
        </c:scaling>
        <c:delete val="1"/>
        <c:axPos val="l"/>
        <c:numFmt formatCode="0%" sourceLinked="1"/>
        <c:majorTickMark val="cross"/>
        <c:minorTickMark val="cross"/>
        <c:tickLblPos val="nextTo"/>
        <c:crossAx val="52011008"/>
        <c:crosses val="autoZero"/>
        <c:crossBetween val="between"/>
      </c:valAx>
      <c:spPr>
        <a:noFill/>
        <a:ln>
          <a:noFill/>
        </a:ln>
        <a:effectLst/>
      </c:spPr>
    </c:plotArea>
    <c:plotVisOnly val="1"/>
    <c:dispBlanksAs val="gap"/>
    <c:showDLblsOverMax val="1"/>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1"/>
  </c:externalData>
  <c:userShapes r:id="rId2"/>
</c:chartSpace>
</file>

<file path=word/diagrams/colors1.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9DCE0BA-0C52-4747-BB47-C65D8CB64C3C}" type="doc">
      <dgm:prSet loTypeId="urn:microsoft.com/office/officeart/2005/8/layout/default#1" loCatId="list" qsTypeId="urn:microsoft.com/office/officeart/2005/8/quickstyle/3d1" qsCatId="3D" csTypeId="urn:microsoft.com/office/officeart/2005/8/colors/accent1_4" csCatId="accent1" phldr="1"/>
      <dgm:spPr/>
      <dgm:t>
        <a:bodyPr/>
        <a:lstStyle/>
        <a:p>
          <a:endParaRPr lang="en-US"/>
        </a:p>
      </dgm:t>
    </dgm:pt>
    <dgm:pt modelId="{07E4F429-5D55-45A8-8A02-039A4BA5FB87}">
      <dgm:prSet phldrT="[Text]"/>
      <dgm:spPr/>
      <dgm:t>
        <a:bodyPr/>
        <a:lstStyle/>
        <a:p>
          <a:r>
            <a:rPr lang="en-GB" b="1"/>
            <a:t>Competition in the Market</a:t>
          </a:r>
          <a:endParaRPr lang="en-US"/>
        </a:p>
      </dgm:t>
    </dgm:pt>
    <dgm:pt modelId="{A03111F3-E231-4E89-8515-55700657573B}" type="parTrans" cxnId="{4F5D6BF5-3A53-4EE2-AB62-D77974334658}">
      <dgm:prSet/>
      <dgm:spPr/>
      <dgm:t>
        <a:bodyPr/>
        <a:lstStyle/>
        <a:p>
          <a:endParaRPr lang="en-US"/>
        </a:p>
      </dgm:t>
    </dgm:pt>
    <dgm:pt modelId="{1546BB01-2E14-4E99-A352-F9EEA8ACF770}" type="sibTrans" cxnId="{4F5D6BF5-3A53-4EE2-AB62-D77974334658}">
      <dgm:prSet/>
      <dgm:spPr/>
      <dgm:t>
        <a:bodyPr/>
        <a:lstStyle/>
        <a:p>
          <a:endParaRPr lang="en-US"/>
        </a:p>
      </dgm:t>
    </dgm:pt>
    <dgm:pt modelId="{DC5909E5-0F1C-4266-80F7-E128EDA1A319}">
      <dgm:prSet phldrT="[Text]"/>
      <dgm:spPr/>
      <dgm:t>
        <a:bodyPr/>
        <a:lstStyle/>
        <a:p>
          <a:r>
            <a:rPr lang="en-GB" b="1"/>
            <a:t>Changing Tastes of the Consumer</a:t>
          </a:r>
          <a:endParaRPr lang="en-US"/>
        </a:p>
      </dgm:t>
    </dgm:pt>
    <dgm:pt modelId="{50D370FF-E943-4250-8D52-6FABE3894F92}" type="parTrans" cxnId="{AFBAD638-7F17-418E-B446-73F54D1F6C2B}">
      <dgm:prSet/>
      <dgm:spPr/>
      <dgm:t>
        <a:bodyPr/>
        <a:lstStyle/>
        <a:p>
          <a:endParaRPr lang="en-US"/>
        </a:p>
      </dgm:t>
    </dgm:pt>
    <dgm:pt modelId="{EB4EA6BF-4234-4DA0-8850-9524BDC4F642}" type="sibTrans" cxnId="{AFBAD638-7F17-418E-B446-73F54D1F6C2B}">
      <dgm:prSet/>
      <dgm:spPr/>
      <dgm:t>
        <a:bodyPr/>
        <a:lstStyle/>
        <a:p>
          <a:endParaRPr lang="en-US"/>
        </a:p>
      </dgm:t>
    </dgm:pt>
    <dgm:pt modelId="{92296CC0-5191-4E6F-ACB5-BA6FD08D95DC}">
      <dgm:prSet phldrT="[Text]"/>
      <dgm:spPr/>
      <dgm:t>
        <a:bodyPr/>
        <a:lstStyle/>
        <a:p>
          <a:r>
            <a:rPr lang="en-GB" b="1"/>
            <a:t>Concerns with Infrastructure and Maintenance</a:t>
          </a:r>
          <a:endParaRPr lang="en-US"/>
        </a:p>
      </dgm:t>
    </dgm:pt>
    <dgm:pt modelId="{C3746C02-D9EF-4535-94BD-C1927E28EF81}" type="parTrans" cxnId="{1D2AB5B5-3F4D-44D1-8C89-2AF4DD222E96}">
      <dgm:prSet/>
      <dgm:spPr/>
      <dgm:t>
        <a:bodyPr/>
        <a:lstStyle/>
        <a:p>
          <a:endParaRPr lang="en-US"/>
        </a:p>
      </dgm:t>
    </dgm:pt>
    <dgm:pt modelId="{25465941-866F-4C3E-820B-B2F814EBEACE}" type="sibTrans" cxnId="{1D2AB5B5-3F4D-44D1-8C89-2AF4DD222E96}">
      <dgm:prSet/>
      <dgm:spPr/>
      <dgm:t>
        <a:bodyPr/>
        <a:lstStyle/>
        <a:p>
          <a:endParaRPr lang="en-US"/>
        </a:p>
      </dgm:t>
    </dgm:pt>
    <dgm:pt modelId="{9C0C77A7-C930-49CF-A282-951BDA310013}">
      <dgm:prSet phldrT="[Text]"/>
      <dgm:spPr/>
      <dgm:t>
        <a:bodyPr/>
        <a:lstStyle/>
        <a:p>
          <a:r>
            <a:rPr lang="en-GB" b="1"/>
            <a:t>Customer Satisfaction and Service</a:t>
          </a:r>
          <a:endParaRPr lang="en-US"/>
        </a:p>
      </dgm:t>
    </dgm:pt>
    <dgm:pt modelId="{C3D5BB38-D857-476E-8A42-199690D7E33D}" type="parTrans" cxnId="{F3E4FE90-46F1-49EB-814F-925B65746B64}">
      <dgm:prSet/>
      <dgm:spPr/>
      <dgm:t>
        <a:bodyPr/>
        <a:lstStyle/>
        <a:p>
          <a:endParaRPr lang="en-US"/>
        </a:p>
      </dgm:t>
    </dgm:pt>
    <dgm:pt modelId="{D4EEEE01-9834-4F9C-A7E7-9111697FB4A8}" type="sibTrans" cxnId="{F3E4FE90-46F1-49EB-814F-925B65746B64}">
      <dgm:prSet/>
      <dgm:spPr/>
      <dgm:t>
        <a:bodyPr/>
        <a:lstStyle/>
        <a:p>
          <a:endParaRPr lang="en-US"/>
        </a:p>
      </dgm:t>
    </dgm:pt>
    <dgm:pt modelId="{CF26DFE8-95A8-4A2C-BE4B-07D5E363C8B6}">
      <dgm:prSet phldrT="[Text]"/>
      <dgm:spPr/>
      <dgm:t>
        <a:bodyPr/>
        <a:lstStyle/>
        <a:p>
          <a:r>
            <a:rPr lang="en-GB" b="1"/>
            <a:t>Financial crisis</a:t>
          </a:r>
          <a:endParaRPr lang="en-US"/>
        </a:p>
      </dgm:t>
    </dgm:pt>
    <dgm:pt modelId="{DC158B72-8946-4E11-880C-541435DEDC3B}" type="parTrans" cxnId="{90CFD49A-C354-4DEC-A579-2C0138ABD575}">
      <dgm:prSet/>
      <dgm:spPr/>
      <dgm:t>
        <a:bodyPr/>
        <a:lstStyle/>
        <a:p>
          <a:endParaRPr lang="en-US"/>
        </a:p>
      </dgm:t>
    </dgm:pt>
    <dgm:pt modelId="{4B1EDF96-673C-4322-B83A-71555626701E}" type="sibTrans" cxnId="{90CFD49A-C354-4DEC-A579-2C0138ABD575}">
      <dgm:prSet/>
      <dgm:spPr/>
      <dgm:t>
        <a:bodyPr/>
        <a:lstStyle/>
        <a:p>
          <a:endParaRPr lang="en-US"/>
        </a:p>
      </dgm:t>
    </dgm:pt>
    <dgm:pt modelId="{2D29F3AB-A515-45CB-8969-992F8D113AE3}">
      <dgm:prSet/>
      <dgm:spPr/>
      <dgm:t>
        <a:bodyPr/>
        <a:lstStyle/>
        <a:p>
          <a:r>
            <a:rPr lang="en-GB" b="1"/>
            <a:t>Technological Revolutions</a:t>
          </a:r>
          <a:endParaRPr lang="en-GB"/>
        </a:p>
      </dgm:t>
    </dgm:pt>
    <dgm:pt modelId="{192D5464-50EA-427C-8904-0312A79DFC2A}" type="parTrans" cxnId="{ABD6B3D7-9348-4AEB-9794-84E6DD1C6A66}">
      <dgm:prSet/>
      <dgm:spPr/>
      <dgm:t>
        <a:bodyPr/>
        <a:lstStyle/>
        <a:p>
          <a:endParaRPr lang="en-US"/>
        </a:p>
      </dgm:t>
    </dgm:pt>
    <dgm:pt modelId="{1A7DCAE0-E5D0-4F7A-9F33-435CBDE8C1DD}" type="sibTrans" cxnId="{ABD6B3D7-9348-4AEB-9794-84E6DD1C6A66}">
      <dgm:prSet/>
      <dgm:spPr/>
      <dgm:t>
        <a:bodyPr/>
        <a:lstStyle/>
        <a:p>
          <a:endParaRPr lang="en-US"/>
        </a:p>
      </dgm:t>
    </dgm:pt>
    <dgm:pt modelId="{2A7A574A-3F1D-4B99-BB8D-10F867DE2974}" type="pres">
      <dgm:prSet presAssocID="{F9DCE0BA-0C52-4747-BB47-C65D8CB64C3C}" presName="diagram" presStyleCnt="0">
        <dgm:presLayoutVars>
          <dgm:dir/>
          <dgm:resizeHandles val="exact"/>
        </dgm:presLayoutVars>
      </dgm:prSet>
      <dgm:spPr/>
    </dgm:pt>
    <dgm:pt modelId="{2931C538-BD6E-4068-B332-400E2C5D5297}" type="pres">
      <dgm:prSet presAssocID="{07E4F429-5D55-45A8-8A02-039A4BA5FB87}" presName="node" presStyleLbl="node1" presStyleIdx="0" presStyleCnt="6">
        <dgm:presLayoutVars>
          <dgm:bulletEnabled val="1"/>
        </dgm:presLayoutVars>
      </dgm:prSet>
      <dgm:spPr/>
    </dgm:pt>
    <dgm:pt modelId="{A458F255-B283-46BF-9FA7-E75D6C63881A}" type="pres">
      <dgm:prSet presAssocID="{1546BB01-2E14-4E99-A352-F9EEA8ACF770}" presName="sibTrans" presStyleCnt="0"/>
      <dgm:spPr/>
    </dgm:pt>
    <dgm:pt modelId="{B1FFC16C-765C-4A03-97DE-975A0581A620}" type="pres">
      <dgm:prSet presAssocID="{DC5909E5-0F1C-4266-80F7-E128EDA1A319}" presName="node" presStyleLbl="node1" presStyleIdx="1" presStyleCnt="6" custLinFactNeighborX="1308" custLinFactNeighborY="-104">
        <dgm:presLayoutVars>
          <dgm:bulletEnabled val="1"/>
        </dgm:presLayoutVars>
      </dgm:prSet>
      <dgm:spPr/>
    </dgm:pt>
    <dgm:pt modelId="{4544854A-A4CD-4944-ACC7-75AE4CB3571E}" type="pres">
      <dgm:prSet presAssocID="{EB4EA6BF-4234-4DA0-8850-9524BDC4F642}" presName="sibTrans" presStyleCnt="0"/>
      <dgm:spPr/>
    </dgm:pt>
    <dgm:pt modelId="{6D7ACE8F-80CF-4E76-94A0-384C8C359C5E}" type="pres">
      <dgm:prSet presAssocID="{92296CC0-5191-4E6F-ACB5-BA6FD08D95DC}" presName="node" presStyleLbl="node1" presStyleIdx="2" presStyleCnt="6">
        <dgm:presLayoutVars>
          <dgm:bulletEnabled val="1"/>
        </dgm:presLayoutVars>
      </dgm:prSet>
      <dgm:spPr/>
    </dgm:pt>
    <dgm:pt modelId="{6E98131C-6774-4D53-8C6B-51BFF38BE43D}" type="pres">
      <dgm:prSet presAssocID="{25465941-866F-4C3E-820B-B2F814EBEACE}" presName="sibTrans" presStyleCnt="0"/>
      <dgm:spPr/>
    </dgm:pt>
    <dgm:pt modelId="{103F5580-D47C-49AD-A56B-0090D265F045}" type="pres">
      <dgm:prSet presAssocID="{9C0C77A7-C930-49CF-A282-951BDA310013}" presName="node" presStyleLbl="node1" presStyleIdx="3" presStyleCnt="6">
        <dgm:presLayoutVars>
          <dgm:bulletEnabled val="1"/>
        </dgm:presLayoutVars>
      </dgm:prSet>
      <dgm:spPr/>
    </dgm:pt>
    <dgm:pt modelId="{CF5F16EA-DC34-4A1F-BEC3-48CD90206D28}" type="pres">
      <dgm:prSet presAssocID="{D4EEEE01-9834-4F9C-A7E7-9111697FB4A8}" presName="sibTrans" presStyleCnt="0"/>
      <dgm:spPr/>
    </dgm:pt>
    <dgm:pt modelId="{5413FAAA-E1AF-46B6-9F1E-2DD2A439E9BD}" type="pres">
      <dgm:prSet presAssocID="{CF26DFE8-95A8-4A2C-BE4B-07D5E363C8B6}" presName="node" presStyleLbl="node1" presStyleIdx="4" presStyleCnt="6">
        <dgm:presLayoutVars>
          <dgm:bulletEnabled val="1"/>
        </dgm:presLayoutVars>
      </dgm:prSet>
      <dgm:spPr/>
    </dgm:pt>
    <dgm:pt modelId="{32EB9DA9-F727-4FE1-B3C0-15E967B07FF4}" type="pres">
      <dgm:prSet presAssocID="{4B1EDF96-673C-4322-B83A-71555626701E}" presName="sibTrans" presStyleCnt="0"/>
      <dgm:spPr/>
    </dgm:pt>
    <dgm:pt modelId="{D8F65746-12DE-480B-9EAB-5CB80C1C7040}" type="pres">
      <dgm:prSet presAssocID="{2D29F3AB-A515-45CB-8969-992F8D113AE3}" presName="node" presStyleLbl="node1" presStyleIdx="5" presStyleCnt="6">
        <dgm:presLayoutVars>
          <dgm:bulletEnabled val="1"/>
        </dgm:presLayoutVars>
      </dgm:prSet>
      <dgm:spPr/>
    </dgm:pt>
  </dgm:ptLst>
  <dgm:cxnLst>
    <dgm:cxn modelId="{054B0006-39BC-4D39-AF94-C78F19085586}" type="presOf" srcId="{F9DCE0BA-0C52-4747-BB47-C65D8CB64C3C}" destId="{2A7A574A-3F1D-4B99-BB8D-10F867DE2974}" srcOrd="0" destOrd="0" presId="urn:microsoft.com/office/officeart/2005/8/layout/default#1"/>
    <dgm:cxn modelId="{AFBAD638-7F17-418E-B446-73F54D1F6C2B}" srcId="{F9DCE0BA-0C52-4747-BB47-C65D8CB64C3C}" destId="{DC5909E5-0F1C-4266-80F7-E128EDA1A319}" srcOrd="1" destOrd="0" parTransId="{50D370FF-E943-4250-8D52-6FABE3894F92}" sibTransId="{EB4EA6BF-4234-4DA0-8850-9524BDC4F642}"/>
    <dgm:cxn modelId="{402F0546-A6D3-48E5-86A9-BD9295072914}" type="presOf" srcId="{2D29F3AB-A515-45CB-8969-992F8D113AE3}" destId="{D8F65746-12DE-480B-9EAB-5CB80C1C7040}" srcOrd="0" destOrd="0" presId="urn:microsoft.com/office/officeart/2005/8/layout/default#1"/>
    <dgm:cxn modelId="{DEE6BF4A-6919-4CDB-9352-157B0716ACD7}" type="presOf" srcId="{CF26DFE8-95A8-4A2C-BE4B-07D5E363C8B6}" destId="{5413FAAA-E1AF-46B6-9F1E-2DD2A439E9BD}" srcOrd="0" destOrd="0" presId="urn:microsoft.com/office/officeart/2005/8/layout/default#1"/>
    <dgm:cxn modelId="{F3E4FE90-46F1-49EB-814F-925B65746B64}" srcId="{F9DCE0BA-0C52-4747-BB47-C65D8CB64C3C}" destId="{9C0C77A7-C930-49CF-A282-951BDA310013}" srcOrd="3" destOrd="0" parTransId="{C3D5BB38-D857-476E-8A42-199690D7E33D}" sibTransId="{D4EEEE01-9834-4F9C-A7E7-9111697FB4A8}"/>
    <dgm:cxn modelId="{90CFD49A-C354-4DEC-A579-2C0138ABD575}" srcId="{F9DCE0BA-0C52-4747-BB47-C65D8CB64C3C}" destId="{CF26DFE8-95A8-4A2C-BE4B-07D5E363C8B6}" srcOrd="4" destOrd="0" parTransId="{DC158B72-8946-4E11-880C-541435DEDC3B}" sibTransId="{4B1EDF96-673C-4322-B83A-71555626701E}"/>
    <dgm:cxn modelId="{63F1BCB1-49B2-4EC6-BC43-5FBD59973230}" type="presOf" srcId="{DC5909E5-0F1C-4266-80F7-E128EDA1A319}" destId="{B1FFC16C-765C-4A03-97DE-975A0581A620}" srcOrd="0" destOrd="0" presId="urn:microsoft.com/office/officeart/2005/8/layout/default#1"/>
    <dgm:cxn modelId="{1D2AB5B5-3F4D-44D1-8C89-2AF4DD222E96}" srcId="{F9DCE0BA-0C52-4747-BB47-C65D8CB64C3C}" destId="{92296CC0-5191-4E6F-ACB5-BA6FD08D95DC}" srcOrd="2" destOrd="0" parTransId="{C3746C02-D9EF-4535-94BD-C1927E28EF81}" sibTransId="{25465941-866F-4C3E-820B-B2F814EBEACE}"/>
    <dgm:cxn modelId="{ABD6B3D7-9348-4AEB-9794-84E6DD1C6A66}" srcId="{F9DCE0BA-0C52-4747-BB47-C65D8CB64C3C}" destId="{2D29F3AB-A515-45CB-8969-992F8D113AE3}" srcOrd="5" destOrd="0" parTransId="{192D5464-50EA-427C-8904-0312A79DFC2A}" sibTransId="{1A7DCAE0-E5D0-4F7A-9F33-435CBDE8C1DD}"/>
    <dgm:cxn modelId="{AA6FB4DB-E5FB-486D-B196-8291C27DFD80}" type="presOf" srcId="{9C0C77A7-C930-49CF-A282-951BDA310013}" destId="{103F5580-D47C-49AD-A56B-0090D265F045}" srcOrd="0" destOrd="0" presId="urn:microsoft.com/office/officeart/2005/8/layout/default#1"/>
    <dgm:cxn modelId="{682AD6F0-5098-47BE-B328-7CF8F8C1857C}" type="presOf" srcId="{07E4F429-5D55-45A8-8A02-039A4BA5FB87}" destId="{2931C538-BD6E-4068-B332-400E2C5D5297}" srcOrd="0" destOrd="0" presId="urn:microsoft.com/office/officeart/2005/8/layout/default#1"/>
    <dgm:cxn modelId="{4F5D6BF5-3A53-4EE2-AB62-D77974334658}" srcId="{F9DCE0BA-0C52-4747-BB47-C65D8CB64C3C}" destId="{07E4F429-5D55-45A8-8A02-039A4BA5FB87}" srcOrd="0" destOrd="0" parTransId="{A03111F3-E231-4E89-8515-55700657573B}" sibTransId="{1546BB01-2E14-4E99-A352-F9EEA8ACF770}"/>
    <dgm:cxn modelId="{773F5BF8-90E0-422B-901A-62F1DC696283}" type="presOf" srcId="{92296CC0-5191-4E6F-ACB5-BA6FD08D95DC}" destId="{6D7ACE8F-80CF-4E76-94A0-384C8C359C5E}" srcOrd="0" destOrd="0" presId="urn:microsoft.com/office/officeart/2005/8/layout/default#1"/>
    <dgm:cxn modelId="{5588243F-BA31-4057-ADB3-3EA3640348EF}" type="presParOf" srcId="{2A7A574A-3F1D-4B99-BB8D-10F867DE2974}" destId="{2931C538-BD6E-4068-B332-400E2C5D5297}" srcOrd="0" destOrd="0" presId="urn:microsoft.com/office/officeart/2005/8/layout/default#1"/>
    <dgm:cxn modelId="{28CDB4F0-1CF6-47EA-8B43-8054CE3B0736}" type="presParOf" srcId="{2A7A574A-3F1D-4B99-BB8D-10F867DE2974}" destId="{A458F255-B283-46BF-9FA7-E75D6C63881A}" srcOrd="1" destOrd="0" presId="urn:microsoft.com/office/officeart/2005/8/layout/default#1"/>
    <dgm:cxn modelId="{13F19D35-D08F-4941-ADE7-3D26F354DE57}" type="presParOf" srcId="{2A7A574A-3F1D-4B99-BB8D-10F867DE2974}" destId="{B1FFC16C-765C-4A03-97DE-975A0581A620}" srcOrd="2" destOrd="0" presId="urn:microsoft.com/office/officeart/2005/8/layout/default#1"/>
    <dgm:cxn modelId="{B6640B35-5112-4042-A6E6-2358D28C17D6}" type="presParOf" srcId="{2A7A574A-3F1D-4B99-BB8D-10F867DE2974}" destId="{4544854A-A4CD-4944-ACC7-75AE4CB3571E}" srcOrd="3" destOrd="0" presId="urn:microsoft.com/office/officeart/2005/8/layout/default#1"/>
    <dgm:cxn modelId="{13D38FE5-5032-4AA0-ADD9-8054CAB7F2BA}" type="presParOf" srcId="{2A7A574A-3F1D-4B99-BB8D-10F867DE2974}" destId="{6D7ACE8F-80CF-4E76-94A0-384C8C359C5E}" srcOrd="4" destOrd="0" presId="urn:microsoft.com/office/officeart/2005/8/layout/default#1"/>
    <dgm:cxn modelId="{CD7B507F-2228-4AC2-9C91-867938781ED4}" type="presParOf" srcId="{2A7A574A-3F1D-4B99-BB8D-10F867DE2974}" destId="{6E98131C-6774-4D53-8C6B-51BFF38BE43D}" srcOrd="5" destOrd="0" presId="urn:microsoft.com/office/officeart/2005/8/layout/default#1"/>
    <dgm:cxn modelId="{2D99D35A-5DBB-47F4-884D-D8C8E6A3393E}" type="presParOf" srcId="{2A7A574A-3F1D-4B99-BB8D-10F867DE2974}" destId="{103F5580-D47C-49AD-A56B-0090D265F045}" srcOrd="6" destOrd="0" presId="urn:microsoft.com/office/officeart/2005/8/layout/default#1"/>
    <dgm:cxn modelId="{B4603511-72A3-4F13-BD41-C088454AC253}" type="presParOf" srcId="{2A7A574A-3F1D-4B99-BB8D-10F867DE2974}" destId="{CF5F16EA-DC34-4A1F-BEC3-48CD90206D28}" srcOrd="7" destOrd="0" presId="urn:microsoft.com/office/officeart/2005/8/layout/default#1"/>
    <dgm:cxn modelId="{869F51AD-5F31-4EFA-AFFA-2D0BCF34DC0F}" type="presParOf" srcId="{2A7A574A-3F1D-4B99-BB8D-10F867DE2974}" destId="{5413FAAA-E1AF-46B6-9F1E-2DD2A439E9BD}" srcOrd="8" destOrd="0" presId="urn:microsoft.com/office/officeart/2005/8/layout/default#1"/>
    <dgm:cxn modelId="{41C58DF8-09E1-4625-8CA6-9F33F8B06CFA}" type="presParOf" srcId="{2A7A574A-3F1D-4B99-BB8D-10F867DE2974}" destId="{32EB9DA9-F727-4FE1-B3C0-15E967B07FF4}" srcOrd="9" destOrd="0" presId="urn:microsoft.com/office/officeart/2005/8/layout/default#1"/>
    <dgm:cxn modelId="{184951B1-C612-47A7-97F4-E44A3D29E983}" type="presParOf" srcId="{2A7A574A-3F1D-4B99-BB8D-10F867DE2974}" destId="{D8F65746-12DE-480B-9EAB-5CB80C1C7040}" srcOrd="10" destOrd="0" presId="urn:microsoft.com/office/officeart/2005/8/layout/defaul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31C538-BD6E-4068-B332-400E2C5D5297}">
      <dsp:nvSpPr>
        <dsp:cNvPr id="0" name=""/>
        <dsp:cNvSpPr/>
      </dsp:nvSpPr>
      <dsp:spPr>
        <a:xfrm>
          <a:off x="114770" y="496"/>
          <a:ext cx="1300497" cy="780298"/>
        </a:xfrm>
        <a:prstGeom prst="rect">
          <a:avLst/>
        </a:prstGeom>
        <a:gradFill rotWithShape="0">
          <a:gsLst>
            <a:gs pos="0">
              <a:schemeClr val="accent1">
                <a:shade val="50000"/>
                <a:hueOff val="0"/>
                <a:satOff val="0"/>
                <a:lumOff val="0"/>
                <a:alphaOff val="0"/>
                <a:satMod val="103000"/>
                <a:lumMod val="102000"/>
                <a:tint val="94000"/>
              </a:schemeClr>
            </a:gs>
            <a:gs pos="50000">
              <a:schemeClr val="accent1">
                <a:shade val="50000"/>
                <a:hueOff val="0"/>
                <a:satOff val="0"/>
                <a:lumOff val="0"/>
                <a:alphaOff val="0"/>
                <a:satMod val="110000"/>
                <a:lumMod val="100000"/>
                <a:shade val="100000"/>
              </a:schemeClr>
            </a:gs>
            <a:gs pos="100000">
              <a:schemeClr val="accent1">
                <a:shade val="5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t>Competition in the Market</a:t>
          </a:r>
          <a:endParaRPr lang="en-US" sz="1300" kern="1200"/>
        </a:p>
      </dsp:txBody>
      <dsp:txXfrm>
        <a:off x="114770" y="496"/>
        <a:ext cx="1300497" cy="780298"/>
      </dsp:txXfrm>
    </dsp:sp>
    <dsp:sp modelId="{B1FFC16C-765C-4A03-97DE-975A0581A620}">
      <dsp:nvSpPr>
        <dsp:cNvPr id="0" name=""/>
        <dsp:cNvSpPr/>
      </dsp:nvSpPr>
      <dsp:spPr>
        <a:xfrm>
          <a:off x="1562328" y="0"/>
          <a:ext cx="1300497" cy="780298"/>
        </a:xfrm>
        <a:prstGeom prst="rect">
          <a:avLst/>
        </a:prstGeom>
        <a:gradFill rotWithShape="0">
          <a:gsLst>
            <a:gs pos="0">
              <a:schemeClr val="accent1">
                <a:shade val="50000"/>
                <a:hueOff val="111419"/>
                <a:satOff val="2985"/>
                <a:lumOff val="13151"/>
                <a:alphaOff val="0"/>
                <a:satMod val="103000"/>
                <a:lumMod val="102000"/>
                <a:tint val="94000"/>
              </a:schemeClr>
            </a:gs>
            <a:gs pos="50000">
              <a:schemeClr val="accent1">
                <a:shade val="50000"/>
                <a:hueOff val="111419"/>
                <a:satOff val="2985"/>
                <a:lumOff val="13151"/>
                <a:alphaOff val="0"/>
                <a:satMod val="110000"/>
                <a:lumMod val="100000"/>
                <a:shade val="100000"/>
              </a:schemeClr>
            </a:gs>
            <a:gs pos="100000">
              <a:schemeClr val="accent1">
                <a:shade val="50000"/>
                <a:hueOff val="111419"/>
                <a:satOff val="2985"/>
                <a:lumOff val="1315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t>Changing Tastes of the Consumer</a:t>
          </a:r>
          <a:endParaRPr lang="en-US" sz="1300" kern="1200"/>
        </a:p>
      </dsp:txBody>
      <dsp:txXfrm>
        <a:off x="1562328" y="0"/>
        <a:ext cx="1300497" cy="780298"/>
      </dsp:txXfrm>
    </dsp:sp>
    <dsp:sp modelId="{6D7ACE8F-80CF-4E76-94A0-384C8C359C5E}">
      <dsp:nvSpPr>
        <dsp:cNvPr id="0" name=""/>
        <dsp:cNvSpPr/>
      </dsp:nvSpPr>
      <dsp:spPr>
        <a:xfrm>
          <a:off x="2975864" y="496"/>
          <a:ext cx="1300497" cy="780298"/>
        </a:xfrm>
        <a:prstGeom prst="rect">
          <a:avLst/>
        </a:prstGeom>
        <a:gradFill rotWithShape="0">
          <a:gsLst>
            <a:gs pos="0">
              <a:schemeClr val="accent1">
                <a:shade val="50000"/>
                <a:hueOff val="222839"/>
                <a:satOff val="5970"/>
                <a:lumOff val="26302"/>
                <a:alphaOff val="0"/>
                <a:satMod val="103000"/>
                <a:lumMod val="102000"/>
                <a:tint val="94000"/>
              </a:schemeClr>
            </a:gs>
            <a:gs pos="50000">
              <a:schemeClr val="accent1">
                <a:shade val="50000"/>
                <a:hueOff val="222839"/>
                <a:satOff val="5970"/>
                <a:lumOff val="26302"/>
                <a:alphaOff val="0"/>
                <a:satMod val="110000"/>
                <a:lumMod val="100000"/>
                <a:shade val="100000"/>
              </a:schemeClr>
            </a:gs>
            <a:gs pos="100000">
              <a:schemeClr val="accent1">
                <a:shade val="50000"/>
                <a:hueOff val="222839"/>
                <a:satOff val="5970"/>
                <a:lumOff val="2630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t>Concerns with Infrastructure and Maintenance</a:t>
          </a:r>
          <a:endParaRPr lang="en-US" sz="1300" kern="1200"/>
        </a:p>
      </dsp:txBody>
      <dsp:txXfrm>
        <a:off x="2975864" y="496"/>
        <a:ext cx="1300497" cy="780298"/>
      </dsp:txXfrm>
    </dsp:sp>
    <dsp:sp modelId="{103F5580-D47C-49AD-A56B-0090D265F045}">
      <dsp:nvSpPr>
        <dsp:cNvPr id="0" name=""/>
        <dsp:cNvSpPr/>
      </dsp:nvSpPr>
      <dsp:spPr>
        <a:xfrm>
          <a:off x="4406411" y="496"/>
          <a:ext cx="1300497" cy="780298"/>
        </a:xfrm>
        <a:prstGeom prst="rect">
          <a:avLst/>
        </a:prstGeom>
        <a:gradFill rotWithShape="0">
          <a:gsLst>
            <a:gs pos="0">
              <a:schemeClr val="accent1">
                <a:shade val="50000"/>
                <a:hueOff val="334258"/>
                <a:satOff val="8955"/>
                <a:lumOff val="39453"/>
                <a:alphaOff val="0"/>
                <a:satMod val="103000"/>
                <a:lumMod val="102000"/>
                <a:tint val="94000"/>
              </a:schemeClr>
            </a:gs>
            <a:gs pos="50000">
              <a:schemeClr val="accent1">
                <a:shade val="50000"/>
                <a:hueOff val="334258"/>
                <a:satOff val="8955"/>
                <a:lumOff val="39453"/>
                <a:alphaOff val="0"/>
                <a:satMod val="110000"/>
                <a:lumMod val="100000"/>
                <a:shade val="100000"/>
              </a:schemeClr>
            </a:gs>
            <a:gs pos="100000">
              <a:schemeClr val="accent1">
                <a:shade val="50000"/>
                <a:hueOff val="334258"/>
                <a:satOff val="8955"/>
                <a:lumOff val="3945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t>Customer Satisfaction and Service</a:t>
          </a:r>
          <a:endParaRPr lang="en-US" sz="1300" kern="1200"/>
        </a:p>
      </dsp:txBody>
      <dsp:txXfrm>
        <a:off x="4406411" y="496"/>
        <a:ext cx="1300497" cy="780298"/>
      </dsp:txXfrm>
    </dsp:sp>
    <dsp:sp modelId="{5413FAAA-E1AF-46B6-9F1E-2DD2A439E9BD}">
      <dsp:nvSpPr>
        <dsp:cNvPr id="0" name=""/>
        <dsp:cNvSpPr/>
      </dsp:nvSpPr>
      <dsp:spPr>
        <a:xfrm>
          <a:off x="1545317" y="910844"/>
          <a:ext cx="1300497" cy="780298"/>
        </a:xfrm>
        <a:prstGeom prst="rect">
          <a:avLst/>
        </a:prstGeom>
        <a:gradFill rotWithShape="0">
          <a:gsLst>
            <a:gs pos="0">
              <a:schemeClr val="accent1">
                <a:shade val="50000"/>
                <a:hueOff val="222839"/>
                <a:satOff val="5970"/>
                <a:lumOff val="26302"/>
                <a:alphaOff val="0"/>
                <a:satMod val="103000"/>
                <a:lumMod val="102000"/>
                <a:tint val="94000"/>
              </a:schemeClr>
            </a:gs>
            <a:gs pos="50000">
              <a:schemeClr val="accent1">
                <a:shade val="50000"/>
                <a:hueOff val="222839"/>
                <a:satOff val="5970"/>
                <a:lumOff val="26302"/>
                <a:alphaOff val="0"/>
                <a:satMod val="110000"/>
                <a:lumMod val="100000"/>
                <a:shade val="100000"/>
              </a:schemeClr>
            </a:gs>
            <a:gs pos="100000">
              <a:schemeClr val="accent1">
                <a:shade val="50000"/>
                <a:hueOff val="222839"/>
                <a:satOff val="5970"/>
                <a:lumOff val="2630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t>Financial crisis</a:t>
          </a:r>
          <a:endParaRPr lang="en-US" sz="1300" kern="1200"/>
        </a:p>
      </dsp:txBody>
      <dsp:txXfrm>
        <a:off x="1545317" y="910844"/>
        <a:ext cx="1300497" cy="780298"/>
      </dsp:txXfrm>
    </dsp:sp>
    <dsp:sp modelId="{D8F65746-12DE-480B-9EAB-5CB80C1C7040}">
      <dsp:nvSpPr>
        <dsp:cNvPr id="0" name=""/>
        <dsp:cNvSpPr/>
      </dsp:nvSpPr>
      <dsp:spPr>
        <a:xfrm>
          <a:off x="2975864" y="910844"/>
          <a:ext cx="1300497" cy="780298"/>
        </a:xfrm>
        <a:prstGeom prst="rect">
          <a:avLst/>
        </a:prstGeom>
        <a:gradFill rotWithShape="0">
          <a:gsLst>
            <a:gs pos="0">
              <a:schemeClr val="accent1">
                <a:shade val="50000"/>
                <a:hueOff val="111419"/>
                <a:satOff val="2985"/>
                <a:lumOff val="13151"/>
                <a:alphaOff val="0"/>
                <a:satMod val="103000"/>
                <a:lumMod val="102000"/>
                <a:tint val="94000"/>
              </a:schemeClr>
            </a:gs>
            <a:gs pos="50000">
              <a:schemeClr val="accent1">
                <a:shade val="50000"/>
                <a:hueOff val="111419"/>
                <a:satOff val="2985"/>
                <a:lumOff val="13151"/>
                <a:alphaOff val="0"/>
                <a:satMod val="110000"/>
                <a:lumMod val="100000"/>
                <a:shade val="100000"/>
              </a:schemeClr>
            </a:gs>
            <a:gs pos="100000">
              <a:schemeClr val="accent1">
                <a:shade val="50000"/>
                <a:hueOff val="111419"/>
                <a:satOff val="2985"/>
                <a:lumOff val="1315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t>Technological Revolutions</a:t>
          </a:r>
          <a:endParaRPr lang="en-GB" sz="1300" kern="1200"/>
        </a:p>
      </dsp:txBody>
      <dsp:txXfrm>
        <a:off x="2975864" y="910844"/>
        <a:ext cx="1300497" cy="780298"/>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rawings/drawing1.xml><?xml version="1.0" encoding="utf-8"?>
<c:userShapes xmlns:c="http://schemas.openxmlformats.org/drawingml/2006/chart">
  <cdr:relSizeAnchor xmlns:cdr="http://schemas.openxmlformats.org/drawingml/2006/chartDrawing">
    <cdr:from>
      <cdr:x>0.49227</cdr:x>
      <cdr:y>0.8668</cdr:y>
    </cdr:from>
    <cdr:to>
      <cdr:x>0.5771</cdr:x>
      <cdr:y>0.91576</cdr:y>
    </cdr:to>
    <cdr:sp macro="" textlink="">
      <cdr:nvSpPr>
        <cdr:cNvPr id="2" name="Rectangle 1"/>
        <cdr:cNvSpPr/>
      </cdr:nvSpPr>
      <cdr:spPr>
        <a:xfrm xmlns:a="http://schemas.openxmlformats.org/drawingml/2006/main">
          <a:off x="2760805" y="2608996"/>
          <a:ext cx="475775" cy="147361"/>
        </a:xfrm>
        <a:prstGeom xmlns:a="http://schemas.openxmlformats.org/drawingml/2006/main" prst="rect">
          <a:avLst/>
        </a:prstGeom>
        <a:solidFill xmlns:a="http://schemas.openxmlformats.org/drawingml/2006/main">
          <a:schemeClr val="bg1"/>
        </a:solidFill>
        <a:ln xmlns:a="http://schemas.openxmlformats.org/drawingml/2006/main">
          <a:solidFill>
            <a:schemeClr val="bg1"/>
          </a:solidFill>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ctr" anchorCtr="0" forceAA="0" compatLnSpc="1">
          <a:prstTxWarp prst="textNoShape">
            <a:avLst/>
          </a:prstTxWarp>
          <a:noAutofit/>
        </a:bodyPr>
        <a:lstStyle xmlns:a="http://schemas.openxmlformats.org/drawingml/2006/main"/>
        <a:p xmlns:a="http://schemas.openxmlformats.org/drawingml/2006/main">
          <a:endParaRPr lang="en-GB"/>
        </a:p>
      </cdr:txBody>
    </cdr:sp>
  </cdr:relSizeAnchor>
  <cdr:relSizeAnchor xmlns:cdr="http://schemas.openxmlformats.org/drawingml/2006/chartDrawing">
    <cdr:from>
      <cdr:x>0.3562</cdr:x>
      <cdr:y>0.97827</cdr:y>
    </cdr:from>
    <cdr:to>
      <cdr:x>0.42889</cdr:x>
      <cdr:y>1</cdr:y>
    </cdr:to>
    <cdr:sp macro="" textlink="">
      <cdr:nvSpPr>
        <cdr:cNvPr id="3" name="Rectangle 2"/>
        <cdr:cNvSpPr/>
      </cdr:nvSpPr>
      <cdr:spPr>
        <a:xfrm xmlns:a="http://schemas.openxmlformats.org/drawingml/2006/main">
          <a:off x="1997710" y="3589655"/>
          <a:ext cx="407670" cy="65405"/>
        </a:xfrm>
        <a:prstGeom xmlns:a="http://schemas.openxmlformats.org/drawingml/2006/main" prst="rect">
          <a:avLst/>
        </a:prstGeom>
        <a:solidFill xmlns:a="http://schemas.openxmlformats.org/drawingml/2006/main">
          <a:schemeClr val="bg1"/>
        </a:solidFill>
        <a:ln xmlns:a="http://schemas.openxmlformats.org/drawingml/2006/main">
          <a:solidFill>
            <a:schemeClr val="bg1"/>
          </a:solidFill>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ctr" anchorCtr="0" forceAA="0" compatLnSpc="1">
          <a:prstTxWarp prst="textNoShape">
            <a:avLst/>
          </a:prstTxWarp>
          <a:noAutofit/>
        </a:bodyPr>
        <a:lstStyle xmlns:a="http://schemas.openxmlformats.org/drawingml/2006/main"/>
        <a:p xmlns:a="http://schemas.openxmlformats.org/drawingml/2006/main">
          <a:endParaRPr lang="en-GB"/>
        </a:p>
      </cdr:txBody>
    </cdr:sp>
  </cdr:relSizeAnchor>
  <cdr:relSizeAnchor xmlns:cdr="http://schemas.openxmlformats.org/drawingml/2006/chartDrawing">
    <cdr:from>
      <cdr:x>0.79255</cdr:x>
      <cdr:y>0.87205</cdr:y>
    </cdr:from>
    <cdr:to>
      <cdr:x>0.86917</cdr:x>
      <cdr:y>0.92232</cdr:y>
    </cdr:to>
    <cdr:sp macro="" textlink="">
      <cdr:nvSpPr>
        <cdr:cNvPr id="4" name="Rectangle 3"/>
        <cdr:cNvSpPr/>
      </cdr:nvSpPr>
      <cdr:spPr>
        <a:xfrm xmlns:a="http://schemas.openxmlformats.org/drawingml/2006/main">
          <a:off x="4444881" y="2624788"/>
          <a:ext cx="429726" cy="151304"/>
        </a:xfrm>
        <a:prstGeom xmlns:a="http://schemas.openxmlformats.org/drawingml/2006/main" prst="rect">
          <a:avLst/>
        </a:prstGeom>
        <a:solidFill xmlns:a="http://schemas.openxmlformats.org/drawingml/2006/main">
          <a:schemeClr val="bg1"/>
        </a:solidFill>
        <a:ln xmlns:a="http://schemas.openxmlformats.org/drawingml/2006/main">
          <a:solidFill>
            <a:schemeClr val="bg1"/>
          </a:solidFill>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ctr" anchorCtr="0" forceAA="0" compatLnSpc="1">
          <a:prstTxWarp prst="textNoShape">
            <a:avLst/>
          </a:prstTxWarp>
          <a:noAutofit/>
        </a:bodyPr>
        <a:lstStyle xmlns:a="http://schemas.openxmlformats.org/drawingml/2006/main"/>
        <a:p xmlns:a="http://schemas.openxmlformats.org/drawingml/2006/main">
          <a:endParaRPr lang="en-GB"/>
        </a:p>
      </cdr:txBody>
    </cdr: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74955919586460BA9F0996AD4D343A9"/>
        <w:category>
          <w:name w:val="General"/>
          <w:gallery w:val="placeholder"/>
        </w:category>
        <w:types>
          <w:type w:val="bbPlcHdr"/>
        </w:types>
        <w:behaviors>
          <w:behavior w:val="content"/>
        </w:behaviors>
        <w:guid w:val="{126C7BC5-565E-4A15-BF44-A4CD22CD05EF}"/>
      </w:docPartPr>
      <w:docPartBody>
        <w:p w:rsidR="00731A51" w:rsidRDefault="00A27A90" w:rsidP="00A27A90">
          <w:pPr>
            <w:pStyle w:val="474955919586460BA9F0996AD4D343A9"/>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27A90"/>
    <w:rsid w:val="00423871"/>
    <w:rsid w:val="004C3E4D"/>
    <w:rsid w:val="00731A51"/>
    <w:rsid w:val="00A27A90"/>
    <w:rsid w:val="00AE2D4B"/>
    <w:rsid w:val="00F8277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D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4955919586460BA9F0996AD4D343A9">
    <w:name w:val="474955919586460BA9F0996AD4D343A9"/>
    <w:rsid w:val="00A27A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7BF27-CBD8-46AA-9A34-BDD385738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2123</TotalTime>
  <Pages>14</Pages>
  <Words>2730</Words>
  <Characters>15566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Seacrest Lodge UK</dc:title>
  <dc:creator>Khaleda Hayder</dc:creator>
  <cp:keywords/>
  <dc:description/>
  <cp:lastModifiedBy>khaleda hayder</cp:lastModifiedBy>
  <cp:revision>2</cp:revision>
  <dcterms:created xsi:type="dcterms:W3CDTF">2024-02-11T09:35:00Z</dcterms:created>
  <dcterms:modified xsi:type="dcterms:W3CDTF">2024-02-29T21:22:00Z</dcterms:modified>
</cp:coreProperties>
</file>