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C1562" w14:textId="29B40674" w:rsidR="00713E39" w:rsidRPr="00FA55E9" w:rsidRDefault="00987E63" w:rsidP="00713E39">
      <w:pPr>
        <w:jc w:val="center"/>
        <w:rPr>
          <w:rFonts w:cs="Times New Roman"/>
          <w:b/>
          <w:bCs/>
          <w:i/>
          <w:iCs/>
          <w:sz w:val="40"/>
          <w:szCs w:val="40"/>
        </w:rPr>
      </w:pPr>
      <w:r w:rsidRPr="00AA5286">
        <w:fldChar w:fldCharType="begin"/>
      </w:r>
      <w:r w:rsidRPr="00AA5286">
        <w:instrText xml:space="preserve"> INCLUDEPICTURE "/Users/kotesh/Library/Group Containers/UBF8T346G9.ms/WebArchiveCopyPasteTempFiles/com.microsoft.Word/a53Wf4f2JQZVblavQ8AAAAASUVORK5CYII=" \* MERGEFORMATINET </w:instrText>
      </w:r>
      <w:r w:rsidRPr="00AA5286">
        <w:fldChar w:fldCharType="separate"/>
      </w:r>
      <w:r w:rsidRPr="00AA5286">
        <w:rPr>
          <w:noProof/>
        </w:rPr>
        <w:drawing>
          <wp:inline distT="0" distB="0" distL="0" distR="0" wp14:anchorId="7A684CE7" wp14:editId="0E5B460A">
            <wp:extent cx="4958715" cy="1635125"/>
            <wp:effectExtent l="0" t="0" r="0" b="3175"/>
            <wp:docPr id="1125681751" name="Picture 7" descr="Steering Group - Technoc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eering Group - Technocamp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58715" cy="1635125"/>
                    </a:xfrm>
                    <a:prstGeom prst="rect">
                      <a:avLst/>
                    </a:prstGeom>
                    <a:noFill/>
                    <a:ln>
                      <a:noFill/>
                    </a:ln>
                  </pic:spPr>
                </pic:pic>
              </a:graphicData>
            </a:graphic>
          </wp:inline>
        </w:drawing>
      </w:r>
      <w:r w:rsidRPr="00AA5286">
        <w:fldChar w:fldCharType="end"/>
      </w:r>
    </w:p>
    <w:p w14:paraId="07881356" w14:textId="77777777" w:rsidR="00713E39" w:rsidRPr="00FA55E9" w:rsidRDefault="00713E39" w:rsidP="00713E39">
      <w:pPr>
        <w:jc w:val="center"/>
        <w:rPr>
          <w:rFonts w:cs="Times New Roman"/>
          <w:b/>
          <w:bCs/>
          <w:i/>
          <w:iCs/>
          <w:sz w:val="40"/>
          <w:szCs w:val="40"/>
        </w:rPr>
      </w:pPr>
    </w:p>
    <w:p w14:paraId="4DC67FCE" w14:textId="77777777" w:rsidR="00713E39" w:rsidRDefault="00713E39" w:rsidP="00713E39">
      <w:pPr>
        <w:jc w:val="center"/>
        <w:rPr>
          <w:rFonts w:cs="Times New Roman"/>
          <w:b/>
          <w:bCs/>
          <w:i/>
          <w:iCs/>
          <w:sz w:val="40"/>
          <w:szCs w:val="40"/>
        </w:rPr>
      </w:pPr>
    </w:p>
    <w:p w14:paraId="63E9BCAB" w14:textId="77777777" w:rsidR="00987E63" w:rsidRDefault="00987E63" w:rsidP="00713E39">
      <w:pPr>
        <w:jc w:val="center"/>
        <w:rPr>
          <w:rFonts w:cs="Times New Roman"/>
          <w:b/>
          <w:bCs/>
          <w:i/>
          <w:iCs/>
          <w:sz w:val="40"/>
          <w:szCs w:val="40"/>
        </w:rPr>
      </w:pPr>
    </w:p>
    <w:p w14:paraId="787471DE" w14:textId="77777777" w:rsidR="00987E63" w:rsidRDefault="00987E63" w:rsidP="00713E39">
      <w:pPr>
        <w:jc w:val="center"/>
        <w:rPr>
          <w:rFonts w:cs="Times New Roman"/>
          <w:b/>
          <w:bCs/>
          <w:i/>
          <w:iCs/>
          <w:sz w:val="40"/>
          <w:szCs w:val="40"/>
        </w:rPr>
      </w:pPr>
    </w:p>
    <w:p w14:paraId="30DA21CB" w14:textId="77777777" w:rsidR="00987E63" w:rsidRPr="00987E63" w:rsidRDefault="00987E63" w:rsidP="00713E39">
      <w:pPr>
        <w:jc w:val="center"/>
        <w:rPr>
          <w:rFonts w:cs="Times New Roman"/>
          <w:b/>
          <w:bCs/>
          <w:sz w:val="40"/>
          <w:szCs w:val="40"/>
        </w:rPr>
      </w:pPr>
    </w:p>
    <w:p w14:paraId="586AA5B0" w14:textId="77777777" w:rsidR="00713E39" w:rsidRDefault="00713E39" w:rsidP="00713E39">
      <w:pPr>
        <w:jc w:val="center"/>
        <w:rPr>
          <w:rFonts w:cs="Times New Roman"/>
          <w:b/>
          <w:bCs/>
          <w:i/>
          <w:iCs/>
          <w:sz w:val="40"/>
          <w:szCs w:val="40"/>
        </w:rPr>
      </w:pPr>
    </w:p>
    <w:p w14:paraId="349F1182" w14:textId="77777777" w:rsidR="00987E63" w:rsidRPr="00987E63" w:rsidRDefault="00987E63" w:rsidP="00713E39">
      <w:pPr>
        <w:jc w:val="center"/>
        <w:rPr>
          <w:rFonts w:cs="Times New Roman"/>
          <w:b/>
          <w:bCs/>
          <w:sz w:val="40"/>
          <w:szCs w:val="40"/>
        </w:rPr>
      </w:pPr>
    </w:p>
    <w:p w14:paraId="46866C37" w14:textId="7BA1B67C" w:rsidR="00987E63" w:rsidRPr="00987E63" w:rsidRDefault="00987E63" w:rsidP="00987E63">
      <w:pPr>
        <w:jc w:val="center"/>
        <w:rPr>
          <w:rFonts w:cs="Times New Roman"/>
          <w:b/>
          <w:bCs/>
          <w:sz w:val="40"/>
          <w:szCs w:val="40"/>
        </w:rPr>
      </w:pPr>
      <w:r w:rsidRPr="00987E63">
        <w:rPr>
          <w:rFonts w:cs="Times New Roman"/>
          <w:b/>
          <w:bCs/>
          <w:sz w:val="40"/>
          <w:szCs w:val="40"/>
        </w:rPr>
        <w:t xml:space="preserve">Topic: </w:t>
      </w:r>
      <w:r w:rsidR="00713E39" w:rsidRPr="00987E63">
        <w:rPr>
          <w:rFonts w:cs="Times New Roman"/>
          <w:b/>
          <w:bCs/>
          <w:sz w:val="40"/>
          <w:szCs w:val="40"/>
        </w:rPr>
        <w:t>Customer Satisfaction in the UK Banking Sector</w:t>
      </w:r>
    </w:p>
    <w:p w14:paraId="43783D1E" w14:textId="77777777" w:rsidR="00987E63" w:rsidRDefault="00987E63" w:rsidP="00713E39">
      <w:pPr>
        <w:jc w:val="center"/>
        <w:rPr>
          <w:rFonts w:cs="Times New Roman"/>
          <w:b/>
          <w:bCs/>
          <w:i/>
          <w:iCs/>
          <w:sz w:val="40"/>
          <w:szCs w:val="40"/>
        </w:rPr>
      </w:pPr>
    </w:p>
    <w:p w14:paraId="47152675" w14:textId="7D40A5A3" w:rsidR="00987E63" w:rsidRPr="002F1C10" w:rsidRDefault="00987E63" w:rsidP="00987E63">
      <w:pPr>
        <w:spacing w:line="360" w:lineRule="auto"/>
        <w:jc w:val="center"/>
        <w:rPr>
          <w:b/>
          <w:bCs/>
          <w:sz w:val="44"/>
          <w:szCs w:val="44"/>
        </w:rPr>
      </w:pPr>
      <w:r w:rsidRPr="002F1C10">
        <w:rPr>
          <w:b/>
          <w:bCs/>
          <w:sz w:val="44"/>
          <w:szCs w:val="44"/>
        </w:rPr>
        <w:t xml:space="preserve">Name : </w:t>
      </w:r>
      <w:r>
        <w:rPr>
          <w:b/>
          <w:bCs/>
          <w:sz w:val="44"/>
          <w:szCs w:val="44"/>
        </w:rPr>
        <w:t xml:space="preserve">Mohammed </w:t>
      </w:r>
      <w:proofErr w:type="spellStart"/>
      <w:r>
        <w:rPr>
          <w:b/>
          <w:bCs/>
          <w:sz w:val="44"/>
          <w:szCs w:val="44"/>
        </w:rPr>
        <w:t>Menhaj</w:t>
      </w:r>
      <w:proofErr w:type="spellEnd"/>
      <w:r>
        <w:rPr>
          <w:b/>
          <w:bCs/>
          <w:sz w:val="44"/>
          <w:szCs w:val="44"/>
        </w:rPr>
        <w:t xml:space="preserve"> Uddin</w:t>
      </w:r>
    </w:p>
    <w:p w14:paraId="11713537" w14:textId="324F4323" w:rsidR="00987E63" w:rsidRPr="002F1C10" w:rsidRDefault="00987E63" w:rsidP="00987E63">
      <w:pPr>
        <w:spacing w:line="360" w:lineRule="auto"/>
        <w:jc w:val="center"/>
        <w:rPr>
          <w:b/>
          <w:bCs/>
          <w:sz w:val="44"/>
          <w:szCs w:val="44"/>
        </w:rPr>
      </w:pPr>
      <w:r w:rsidRPr="002F1C10">
        <w:rPr>
          <w:b/>
          <w:bCs/>
          <w:sz w:val="44"/>
          <w:szCs w:val="44"/>
        </w:rPr>
        <w:t xml:space="preserve">Student ID : </w:t>
      </w:r>
      <w:r w:rsidR="009F1A0D">
        <w:rPr>
          <w:b/>
          <w:bCs/>
          <w:sz w:val="44"/>
          <w:szCs w:val="44"/>
        </w:rPr>
        <w:t>2214605</w:t>
      </w:r>
    </w:p>
    <w:p w14:paraId="45757BA4" w14:textId="77777777" w:rsidR="00987E63" w:rsidRPr="00FA55E9" w:rsidRDefault="00987E63" w:rsidP="00713E39">
      <w:pPr>
        <w:jc w:val="center"/>
        <w:rPr>
          <w:rFonts w:cs="Times New Roman"/>
          <w:b/>
          <w:bCs/>
          <w:i/>
          <w:iCs/>
          <w:sz w:val="40"/>
          <w:szCs w:val="40"/>
        </w:rPr>
      </w:pPr>
    </w:p>
    <w:p w14:paraId="7C9D64A2" w14:textId="77777777" w:rsidR="00713E39" w:rsidRPr="00FA55E9" w:rsidRDefault="00713E39" w:rsidP="00713E39">
      <w:pPr>
        <w:jc w:val="center"/>
        <w:rPr>
          <w:rFonts w:cs="Times New Roman"/>
          <w:b/>
          <w:bCs/>
          <w:i/>
          <w:iCs/>
          <w:sz w:val="40"/>
          <w:szCs w:val="40"/>
        </w:rPr>
      </w:pPr>
    </w:p>
    <w:p w14:paraId="31B3F475" w14:textId="77777777" w:rsidR="006A311B" w:rsidRDefault="006A311B">
      <w:pPr>
        <w:jc w:val="left"/>
        <w:rPr>
          <w:rFonts w:cs="Times New Roman"/>
          <w:b/>
          <w:bCs/>
          <w:szCs w:val="24"/>
        </w:rPr>
      </w:pPr>
      <w:r>
        <w:rPr>
          <w:rFonts w:cs="Times New Roman"/>
          <w:b/>
          <w:bCs/>
          <w:szCs w:val="24"/>
        </w:rPr>
        <w:br w:type="page"/>
      </w:r>
    </w:p>
    <w:p w14:paraId="64D38F8D" w14:textId="77777777" w:rsidR="006A311B" w:rsidRDefault="006A311B" w:rsidP="00292F9B">
      <w:pPr>
        <w:spacing w:line="360" w:lineRule="auto"/>
        <w:rPr>
          <w:rFonts w:cs="Times New Roman"/>
          <w:b/>
          <w:bCs/>
          <w:szCs w:val="24"/>
        </w:rPr>
      </w:pPr>
      <w:r>
        <w:rPr>
          <w:rFonts w:cs="Times New Roman"/>
          <w:b/>
          <w:bCs/>
          <w:szCs w:val="24"/>
        </w:rPr>
        <w:lastRenderedPageBreak/>
        <w:t>Abstract</w:t>
      </w:r>
    </w:p>
    <w:p w14:paraId="07F9E3B7" w14:textId="77777777" w:rsidR="00317F01" w:rsidRDefault="006A311B" w:rsidP="00317F01">
      <w:pPr>
        <w:spacing w:line="360" w:lineRule="auto"/>
        <w:rPr>
          <w:rFonts w:cs="Times New Roman"/>
          <w:szCs w:val="24"/>
        </w:rPr>
      </w:pPr>
      <w:r>
        <w:rPr>
          <w:rFonts w:cs="Times New Roman"/>
          <w:szCs w:val="24"/>
        </w:rPr>
        <w:t xml:space="preserve">The research aims to identify the current banking activities in the UK, as well as, customer satisfaction derived from the economic programme and services. The purpose of the research is to identify multiple nodes of banking priorities valued through customer choices and requirements, and the sensitivity developed by the UK banks to create a </w:t>
      </w:r>
      <w:r w:rsidR="00317F01">
        <w:rPr>
          <w:rFonts w:cs="Times New Roman"/>
          <w:szCs w:val="24"/>
        </w:rPr>
        <w:t>susceptible domain for better customer experience. The purpose of the research is also to identify the redefined and re-structured practices formed by the management for better customer experience, based on which customer retention can also be ensured. Moreover, the identification of customer relationship factors active in the UK market is also a key purpose of the research.</w:t>
      </w:r>
    </w:p>
    <w:p w14:paraId="15027434" w14:textId="77777777" w:rsidR="00292F9B" w:rsidRDefault="00317F01" w:rsidP="00317F01">
      <w:pPr>
        <w:spacing w:line="360" w:lineRule="auto"/>
        <w:rPr>
          <w:rFonts w:cs="Times New Roman"/>
          <w:szCs w:val="24"/>
        </w:rPr>
      </w:pPr>
      <w:r>
        <w:rPr>
          <w:rFonts w:cs="Times New Roman"/>
          <w:szCs w:val="24"/>
        </w:rPr>
        <w:t xml:space="preserve">The research has been conducted based on a secondary data collection method, and a critical approach has been empowered for a better understanding of numeric and non-numeric data. The perception of secondary data collection has been beneficial for the research work, as the productive notion and integrity of data have been successful amid different research limitations. The philosophy of Interpretivism has been utilised by the researcher to ensure the development of the research work, and the social and academic values of data have been understood from different points of view. The argumentative approach followed by the researcher has been able to gain new insights into the research topic, and the challenges of data management have been mitigated for long-term values. </w:t>
      </w:r>
      <w:r w:rsidR="00292F9B">
        <w:rPr>
          <w:rFonts w:cs="Times New Roman"/>
          <w:szCs w:val="24"/>
        </w:rPr>
        <w:t>The inclusion and exclusion principles followed by the researcher have been effective in presenting the research with the most recent data, and in this regard, the timeline of data publication, 2019-2023, has been considered. The ethical practices followed by the researcher have protected the study from any legal accusation, and in this regard, data has been acknowledged and a set of references has been presented at the end of the entire research work.</w:t>
      </w:r>
    </w:p>
    <w:p w14:paraId="64A29533" w14:textId="5153F565" w:rsidR="006A311B" w:rsidRDefault="00292F9B" w:rsidP="00317F01">
      <w:pPr>
        <w:spacing w:line="360" w:lineRule="auto"/>
        <w:rPr>
          <w:rFonts w:cs="Times New Roman"/>
          <w:b/>
          <w:bCs/>
          <w:szCs w:val="24"/>
        </w:rPr>
      </w:pPr>
      <w:r>
        <w:rPr>
          <w:rFonts w:cs="Times New Roman"/>
          <w:szCs w:val="24"/>
        </w:rPr>
        <w:t>For procuring different secondary findings, based on the research topic, numerous pie charts and bar graphs have been derived from reliable resources, and the researcher has interpreted the findings, as well. Moreover, the numeric and non-numeric data have been critically discussed in the research to present a vivid understanding in an academic gesture. A set of recommendations has been provided based on which UK banks can create more opportunities for customers and the customer experience can be more effective, after concluding the research findings. The limitations of the research, as well as, the future opportunities have been identified.</w:t>
      </w:r>
      <w:r w:rsidR="006A311B">
        <w:rPr>
          <w:rFonts w:cs="Times New Roman"/>
          <w:b/>
          <w:bCs/>
          <w:szCs w:val="24"/>
        </w:rPr>
        <w:br w:type="page"/>
      </w:r>
    </w:p>
    <w:p w14:paraId="33E06286" w14:textId="77777777" w:rsidR="00292F9B" w:rsidRDefault="00292F9B" w:rsidP="006A311B">
      <w:pPr>
        <w:rPr>
          <w:rFonts w:cs="Times New Roman"/>
          <w:b/>
          <w:bCs/>
          <w:szCs w:val="24"/>
        </w:rPr>
      </w:pPr>
      <w:r>
        <w:rPr>
          <w:rFonts w:cs="Times New Roman"/>
          <w:b/>
          <w:bCs/>
          <w:szCs w:val="24"/>
        </w:rPr>
        <w:lastRenderedPageBreak/>
        <w:t>Acknowledgement</w:t>
      </w:r>
    </w:p>
    <w:p w14:paraId="5AD3F34C" w14:textId="19ACD7D2" w:rsidR="004C2F60" w:rsidRPr="00FE690D" w:rsidRDefault="00292F9B" w:rsidP="00FE690D">
      <w:pPr>
        <w:spacing w:line="360" w:lineRule="auto"/>
        <w:rPr>
          <w:rFonts w:cs="Times New Roman"/>
          <w:szCs w:val="24"/>
        </w:rPr>
      </w:pPr>
      <w:r w:rsidRPr="00FE690D">
        <w:rPr>
          <w:rFonts w:cs="Times New Roman"/>
          <w:szCs w:val="24"/>
        </w:rPr>
        <w:t xml:space="preserve">Firstly, I want to thank my research guide </w:t>
      </w:r>
      <w:r w:rsidR="009F1A0D">
        <w:rPr>
          <w:rFonts w:cs="Times New Roman"/>
          <w:szCs w:val="24"/>
        </w:rPr>
        <w:t xml:space="preserve">Jia miao </w:t>
      </w:r>
      <w:r w:rsidRPr="00FE690D">
        <w:rPr>
          <w:rFonts w:cs="Times New Roman"/>
          <w:szCs w:val="24"/>
        </w:rPr>
        <w:t>and the teachers for helping me understand the importance of the research and the rational approaches behind it. I am also thankful to them for their kind and considerate attention to the entire course of the research, and I feel blessed by the guidance in collecting data and analysis</w:t>
      </w:r>
      <w:r w:rsidR="00FE690D">
        <w:rPr>
          <w:rFonts w:cs="Times New Roman"/>
          <w:szCs w:val="24"/>
        </w:rPr>
        <w:t xml:space="preserve">. I thank them for helping to choose the research method, based on which the research could have been conducted by </w:t>
      </w:r>
      <w:r w:rsidR="00A1378A">
        <w:rPr>
          <w:rFonts w:cs="Times New Roman"/>
          <w:szCs w:val="24"/>
        </w:rPr>
        <w:t xml:space="preserve">the </w:t>
      </w:r>
      <w:r w:rsidR="00FE690D">
        <w:rPr>
          <w:rFonts w:cs="Times New Roman"/>
          <w:szCs w:val="24"/>
        </w:rPr>
        <w:t>best means and measures. I also want to thank my classmates and friends for guiding me to conduct the research as per its aims and objectives.</w:t>
      </w:r>
      <w:r w:rsidR="004C2F60" w:rsidRPr="00FE690D">
        <w:rPr>
          <w:rFonts w:cs="Times New Roman"/>
          <w:szCs w:val="24"/>
        </w:rPr>
        <w:br w:type="page"/>
      </w:r>
    </w:p>
    <w:sdt>
      <w:sdtPr>
        <w:rPr>
          <w:rFonts w:ascii="Times New Roman" w:eastAsiaTheme="minorHAnsi" w:hAnsi="Times New Roman" w:cs="Vrinda"/>
          <w:color w:val="auto"/>
          <w:kern w:val="2"/>
          <w:sz w:val="24"/>
          <w:szCs w:val="28"/>
          <w:lang w:val="en-GB" w:bidi="bn-IN"/>
          <w14:ligatures w14:val="standardContextual"/>
        </w:rPr>
        <w:id w:val="353082563"/>
        <w:docPartObj>
          <w:docPartGallery w:val="Table of Contents"/>
          <w:docPartUnique/>
        </w:docPartObj>
      </w:sdtPr>
      <w:sdtEndPr>
        <w:rPr>
          <w:b/>
          <w:bCs/>
          <w:noProof/>
        </w:rPr>
      </w:sdtEndPr>
      <w:sdtContent>
        <w:p w14:paraId="3FE9D72E" w14:textId="50593CFF" w:rsidR="00A1378A" w:rsidRPr="00A1378A" w:rsidRDefault="00A1378A" w:rsidP="00A1378A">
          <w:pPr>
            <w:pStyle w:val="TOCHeading"/>
            <w:spacing w:line="360" w:lineRule="auto"/>
            <w:jc w:val="center"/>
            <w:rPr>
              <w:rFonts w:ascii="Times New Roman" w:hAnsi="Times New Roman" w:cs="Times New Roman"/>
              <w:color w:val="auto"/>
              <w:sz w:val="24"/>
              <w:szCs w:val="24"/>
            </w:rPr>
          </w:pPr>
          <w:r w:rsidRPr="00A1378A">
            <w:rPr>
              <w:rFonts w:ascii="Times New Roman" w:hAnsi="Times New Roman" w:cs="Times New Roman"/>
              <w:color w:val="auto"/>
              <w:sz w:val="24"/>
              <w:szCs w:val="24"/>
            </w:rPr>
            <w:t>Table of Contents</w:t>
          </w:r>
        </w:p>
        <w:p w14:paraId="0B6560CA" w14:textId="21653D83" w:rsidR="00A1378A" w:rsidRPr="00A1378A" w:rsidRDefault="00A1378A" w:rsidP="00A1378A">
          <w:pPr>
            <w:pStyle w:val="TOC1"/>
            <w:tabs>
              <w:tab w:val="right" w:leader="dot" w:pos="9016"/>
            </w:tabs>
            <w:spacing w:line="360" w:lineRule="auto"/>
            <w:jc w:val="center"/>
            <w:rPr>
              <w:rFonts w:eastAsiaTheme="minorEastAsia" w:cs="Times New Roman"/>
              <w:noProof/>
              <w:szCs w:val="24"/>
              <w:lang w:val="en-IN" w:eastAsia="en-IN"/>
            </w:rPr>
          </w:pPr>
          <w:r w:rsidRPr="00A1378A">
            <w:rPr>
              <w:rFonts w:cs="Times New Roman"/>
              <w:szCs w:val="24"/>
            </w:rPr>
            <w:fldChar w:fldCharType="begin"/>
          </w:r>
          <w:r w:rsidRPr="00A1378A">
            <w:rPr>
              <w:rFonts w:cs="Times New Roman"/>
              <w:szCs w:val="24"/>
            </w:rPr>
            <w:instrText xml:space="preserve"> TOC \o "1-3" \h \z \u </w:instrText>
          </w:r>
          <w:r w:rsidRPr="00A1378A">
            <w:rPr>
              <w:rFonts w:cs="Times New Roman"/>
              <w:szCs w:val="24"/>
            </w:rPr>
            <w:fldChar w:fldCharType="separate"/>
          </w:r>
          <w:hyperlink w:anchor="_Toc145078388" w:history="1">
            <w:r w:rsidRPr="00A1378A">
              <w:rPr>
                <w:rStyle w:val="Hyperlink"/>
                <w:rFonts w:cs="Times New Roman"/>
                <w:noProof/>
                <w:color w:val="auto"/>
                <w:szCs w:val="24"/>
              </w:rPr>
              <w:t>Chapter 1: Introduction</w:t>
            </w:r>
            <w:r w:rsidRPr="00A1378A">
              <w:rPr>
                <w:rFonts w:cs="Times New Roman"/>
                <w:noProof/>
                <w:webHidden/>
                <w:szCs w:val="24"/>
              </w:rPr>
              <w:tab/>
            </w:r>
            <w:r w:rsidRPr="00A1378A">
              <w:rPr>
                <w:rFonts w:cs="Times New Roman"/>
                <w:noProof/>
                <w:webHidden/>
                <w:szCs w:val="24"/>
              </w:rPr>
              <w:fldChar w:fldCharType="begin"/>
            </w:r>
            <w:r w:rsidRPr="00A1378A">
              <w:rPr>
                <w:rFonts w:cs="Times New Roman"/>
                <w:noProof/>
                <w:webHidden/>
                <w:szCs w:val="24"/>
              </w:rPr>
              <w:instrText xml:space="preserve"> PAGEREF _Toc145078388 \h </w:instrText>
            </w:r>
            <w:r w:rsidRPr="00A1378A">
              <w:rPr>
                <w:rFonts w:cs="Times New Roman"/>
                <w:noProof/>
                <w:webHidden/>
                <w:szCs w:val="24"/>
              </w:rPr>
            </w:r>
            <w:r w:rsidRPr="00A1378A">
              <w:rPr>
                <w:rFonts w:cs="Times New Roman"/>
                <w:noProof/>
                <w:webHidden/>
                <w:szCs w:val="24"/>
              </w:rPr>
              <w:fldChar w:fldCharType="separate"/>
            </w:r>
            <w:r w:rsidRPr="00A1378A">
              <w:rPr>
                <w:rFonts w:cs="Times New Roman"/>
                <w:noProof/>
                <w:webHidden/>
                <w:szCs w:val="24"/>
              </w:rPr>
              <w:t>5</w:t>
            </w:r>
            <w:r w:rsidRPr="00A1378A">
              <w:rPr>
                <w:rFonts w:cs="Times New Roman"/>
                <w:noProof/>
                <w:webHidden/>
                <w:szCs w:val="24"/>
              </w:rPr>
              <w:fldChar w:fldCharType="end"/>
            </w:r>
          </w:hyperlink>
        </w:p>
        <w:p w14:paraId="4B3ED6E9" w14:textId="3EFAEC68"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89" w:history="1">
            <w:r w:rsidR="00A1378A" w:rsidRPr="00A1378A">
              <w:rPr>
                <w:rStyle w:val="Hyperlink"/>
                <w:rFonts w:cs="Times New Roman"/>
                <w:noProof/>
                <w:color w:val="auto"/>
                <w:szCs w:val="24"/>
              </w:rPr>
              <w:t>1.1 Research Background</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_Toc145078389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5</w:t>
            </w:r>
            <w:r w:rsidR="00A1378A" w:rsidRPr="00A1378A">
              <w:rPr>
                <w:rFonts w:cs="Times New Roman"/>
                <w:noProof/>
                <w:webHidden/>
                <w:szCs w:val="24"/>
              </w:rPr>
              <w:fldChar w:fldCharType="end"/>
            </w:r>
          </w:hyperlink>
        </w:p>
        <w:p w14:paraId="44C784F5" w14:textId="7692EE87"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0" w:history="1">
            <w:r w:rsidR="00A1378A" w:rsidRPr="00A1378A">
              <w:rPr>
                <w:rStyle w:val="Hyperlink"/>
                <w:rFonts w:cs="Times New Roman"/>
                <w:noProof/>
                <w:color w:val="auto"/>
                <w:szCs w:val="24"/>
              </w:rPr>
              <w:t>1.2 Research Rationale</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_Toc145078390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9</w:t>
            </w:r>
            <w:r w:rsidR="00A1378A" w:rsidRPr="00A1378A">
              <w:rPr>
                <w:rFonts w:cs="Times New Roman"/>
                <w:noProof/>
                <w:webHidden/>
                <w:szCs w:val="24"/>
              </w:rPr>
              <w:fldChar w:fldCharType="end"/>
            </w:r>
          </w:hyperlink>
        </w:p>
        <w:p w14:paraId="35447C74" w14:textId="67D2592E"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1" w:history="1">
            <w:r w:rsidR="00A1378A" w:rsidRPr="00A1378A">
              <w:rPr>
                <w:rStyle w:val="Hyperlink"/>
                <w:rFonts w:cs="Times New Roman"/>
                <w:noProof/>
                <w:color w:val="auto"/>
                <w:szCs w:val="24"/>
              </w:rPr>
              <w:t>1.3 Problem Statement</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_Toc145078391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10</w:t>
            </w:r>
            <w:r w:rsidR="00A1378A" w:rsidRPr="00A1378A">
              <w:rPr>
                <w:rFonts w:cs="Times New Roman"/>
                <w:noProof/>
                <w:webHidden/>
                <w:szCs w:val="24"/>
              </w:rPr>
              <w:fldChar w:fldCharType="end"/>
            </w:r>
          </w:hyperlink>
        </w:p>
        <w:p w14:paraId="1F6732A1" w14:textId="39D62CEB"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2" w:history="1">
            <w:r w:rsidR="00A1378A" w:rsidRPr="00A1378A">
              <w:rPr>
                <w:rStyle w:val="Hyperlink"/>
                <w:rFonts w:cs="Times New Roman"/>
                <w:noProof/>
                <w:color w:val="auto"/>
                <w:szCs w:val="24"/>
              </w:rPr>
              <w:t>1.4 Research Aim and Objectives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_Toc145078392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10</w:t>
            </w:r>
            <w:r w:rsidR="00A1378A" w:rsidRPr="00A1378A">
              <w:rPr>
                <w:rFonts w:cs="Times New Roman"/>
                <w:noProof/>
                <w:webHidden/>
                <w:szCs w:val="24"/>
              </w:rPr>
              <w:fldChar w:fldCharType="end"/>
            </w:r>
          </w:hyperlink>
        </w:p>
        <w:p w14:paraId="550DFEB6" w14:textId="7BC2FFDB"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3" w:history="1">
            <w:r w:rsidR="00A1378A" w:rsidRPr="00A1378A">
              <w:rPr>
                <w:rStyle w:val="Hyperlink"/>
                <w:rFonts w:cs="Times New Roman"/>
                <w:noProof/>
                <w:color w:val="auto"/>
                <w:szCs w:val="24"/>
              </w:rPr>
              <w:t>1.5 Research Questions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_Toc145078393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10</w:t>
            </w:r>
            <w:r w:rsidR="00A1378A" w:rsidRPr="00A1378A">
              <w:rPr>
                <w:rFonts w:cs="Times New Roman"/>
                <w:noProof/>
                <w:webHidden/>
                <w:szCs w:val="24"/>
              </w:rPr>
              <w:fldChar w:fldCharType="end"/>
            </w:r>
          </w:hyperlink>
        </w:p>
        <w:p w14:paraId="14F17D1D" w14:textId="04ADF9A8"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4" w:history="1">
            <w:r w:rsidR="00A1378A" w:rsidRPr="00A1378A">
              <w:rPr>
                <w:rStyle w:val="Hyperlink"/>
                <w:rFonts w:cs="Times New Roman"/>
                <w:noProof/>
                <w:color w:val="auto"/>
                <w:szCs w:val="24"/>
              </w:rPr>
              <w:t>1.6 Subsequent Research Structure</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_Toc145078394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11</w:t>
            </w:r>
            <w:r w:rsidR="00A1378A" w:rsidRPr="00A1378A">
              <w:rPr>
                <w:rFonts w:cs="Times New Roman"/>
                <w:noProof/>
                <w:webHidden/>
                <w:szCs w:val="24"/>
              </w:rPr>
              <w:fldChar w:fldCharType="end"/>
            </w:r>
          </w:hyperlink>
        </w:p>
        <w:p w14:paraId="0F5971B8" w14:textId="2FD2AD67" w:rsidR="00A1378A" w:rsidRPr="00A1378A" w:rsidRDefault="00000000" w:rsidP="00A1378A">
          <w:pPr>
            <w:pStyle w:val="TOC1"/>
            <w:tabs>
              <w:tab w:val="right" w:leader="dot" w:pos="9016"/>
            </w:tabs>
            <w:spacing w:line="360" w:lineRule="auto"/>
            <w:jc w:val="center"/>
            <w:rPr>
              <w:rFonts w:eastAsiaTheme="minorEastAsia" w:cs="Times New Roman"/>
              <w:noProof/>
              <w:szCs w:val="24"/>
              <w:lang w:val="en-IN" w:eastAsia="en-IN"/>
            </w:rPr>
          </w:pPr>
          <w:hyperlink w:anchor="_Toc145078395" w:history="1">
            <w:r w:rsidR="00A1378A" w:rsidRPr="00A1378A">
              <w:rPr>
                <w:rStyle w:val="Hyperlink"/>
                <w:rFonts w:cs="Times New Roman"/>
                <w:noProof/>
                <w:color w:val="auto"/>
                <w:szCs w:val="24"/>
              </w:rPr>
              <w:t>Chapter 2: Literature Review</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_Toc145078395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12</w:t>
            </w:r>
            <w:r w:rsidR="00A1378A" w:rsidRPr="00A1378A">
              <w:rPr>
                <w:rFonts w:cs="Times New Roman"/>
                <w:noProof/>
                <w:webHidden/>
                <w:szCs w:val="24"/>
              </w:rPr>
              <w:fldChar w:fldCharType="end"/>
            </w:r>
          </w:hyperlink>
        </w:p>
        <w:p w14:paraId="756C4B73" w14:textId="10A32CB3"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6" w:history="1">
            <w:r w:rsidR="00A1378A" w:rsidRPr="00A1378A">
              <w:rPr>
                <w:rStyle w:val="Hyperlink"/>
                <w:rFonts w:cs="Times New Roman"/>
                <w:noProof/>
                <w:color w:val="auto"/>
                <w:szCs w:val="24"/>
              </w:rPr>
              <w:t>2.1 Introduction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_Toc145078396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12</w:t>
            </w:r>
            <w:r w:rsidR="00A1378A" w:rsidRPr="00A1378A">
              <w:rPr>
                <w:rFonts w:cs="Times New Roman"/>
                <w:noProof/>
                <w:webHidden/>
                <w:szCs w:val="24"/>
              </w:rPr>
              <w:fldChar w:fldCharType="end"/>
            </w:r>
          </w:hyperlink>
        </w:p>
        <w:p w14:paraId="5697700A" w14:textId="0257241C"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7" w:history="1">
            <w:r w:rsidR="00A1378A" w:rsidRPr="00A1378A">
              <w:rPr>
                <w:rStyle w:val="Hyperlink"/>
                <w:rFonts w:cs="Times New Roman"/>
                <w:noProof/>
                <w:color w:val="auto"/>
                <w:szCs w:val="24"/>
              </w:rPr>
              <w:t>2.2 Current Growth Factors and Futures of the UK Banking Industry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_Toc145078397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12</w:t>
            </w:r>
            <w:r w:rsidR="00A1378A" w:rsidRPr="00A1378A">
              <w:rPr>
                <w:rFonts w:cs="Times New Roman"/>
                <w:noProof/>
                <w:webHidden/>
                <w:szCs w:val="24"/>
              </w:rPr>
              <w:fldChar w:fldCharType="end"/>
            </w:r>
          </w:hyperlink>
        </w:p>
        <w:p w14:paraId="0AB213D1" w14:textId="6E2D16EF"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8" w:history="1">
            <w:r w:rsidR="00A1378A" w:rsidRPr="00A1378A">
              <w:rPr>
                <w:rStyle w:val="Hyperlink"/>
                <w:rFonts w:cs="Times New Roman"/>
                <w:noProof/>
                <w:color w:val="auto"/>
                <w:szCs w:val="24"/>
              </w:rPr>
              <w:t>2.3 Services and Facilities Available for Customers in the UK Banking Industry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_Toc145078398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15</w:t>
            </w:r>
            <w:r w:rsidR="00A1378A" w:rsidRPr="00A1378A">
              <w:rPr>
                <w:rFonts w:cs="Times New Roman"/>
                <w:noProof/>
                <w:webHidden/>
                <w:szCs w:val="24"/>
              </w:rPr>
              <w:fldChar w:fldCharType="end"/>
            </w:r>
          </w:hyperlink>
        </w:p>
        <w:p w14:paraId="6CAEE6C8" w14:textId="33DD6ECB"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399" w:history="1">
            <w:r w:rsidR="00A1378A" w:rsidRPr="00A1378A">
              <w:rPr>
                <w:rStyle w:val="Hyperlink"/>
                <w:rFonts w:cs="Times New Roman"/>
                <w:noProof/>
                <w:color w:val="auto"/>
                <w:szCs w:val="24"/>
              </w:rPr>
              <w:t>2.4 Customer Relationship Factors in the UK Banking Industry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_Toc145078399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18</w:t>
            </w:r>
            <w:r w:rsidR="00A1378A" w:rsidRPr="00A1378A">
              <w:rPr>
                <w:rFonts w:cs="Times New Roman"/>
                <w:noProof/>
                <w:webHidden/>
                <w:szCs w:val="24"/>
              </w:rPr>
              <w:fldChar w:fldCharType="end"/>
            </w:r>
          </w:hyperlink>
        </w:p>
        <w:p w14:paraId="0CD866CB" w14:textId="140AD734"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0" w:history="1">
            <w:r w:rsidR="00A1378A" w:rsidRPr="00A1378A">
              <w:rPr>
                <w:rStyle w:val="Hyperlink"/>
                <w:rFonts w:cs="Times New Roman"/>
                <w:noProof/>
                <w:color w:val="auto"/>
                <w:szCs w:val="24"/>
              </w:rPr>
              <w:t>2.5 Challenges Associated with the UK Banking Industry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_Toc145078400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21</w:t>
            </w:r>
            <w:r w:rsidR="00A1378A" w:rsidRPr="00A1378A">
              <w:rPr>
                <w:rFonts w:cs="Times New Roman"/>
                <w:noProof/>
                <w:webHidden/>
                <w:szCs w:val="24"/>
              </w:rPr>
              <w:fldChar w:fldCharType="end"/>
            </w:r>
          </w:hyperlink>
        </w:p>
        <w:p w14:paraId="64EC2F05" w14:textId="08CF6A87"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1" w:history="1">
            <w:r w:rsidR="00A1378A" w:rsidRPr="00A1378A">
              <w:rPr>
                <w:rStyle w:val="Hyperlink"/>
                <w:rFonts w:cs="Times New Roman"/>
                <w:noProof/>
                <w:color w:val="auto"/>
                <w:szCs w:val="24"/>
              </w:rPr>
              <w:t>2.6 Literature Gap</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_Toc145078401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24</w:t>
            </w:r>
            <w:r w:rsidR="00A1378A" w:rsidRPr="00A1378A">
              <w:rPr>
                <w:rFonts w:cs="Times New Roman"/>
                <w:noProof/>
                <w:webHidden/>
                <w:szCs w:val="24"/>
              </w:rPr>
              <w:fldChar w:fldCharType="end"/>
            </w:r>
          </w:hyperlink>
        </w:p>
        <w:p w14:paraId="53D4B246" w14:textId="7066E8E8"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2" w:history="1">
            <w:r w:rsidR="00A1378A" w:rsidRPr="00A1378A">
              <w:rPr>
                <w:rStyle w:val="Hyperlink"/>
                <w:rFonts w:cs="Times New Roman"/>
                <w:noProof/>
                <w:color w:val="auto"/>
                <w:szCs w:val="24"/>
              </w:rPr>
              <w:t>2.7 Summary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_Toc145078402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25</w:t>
            </w:r>
            <w:r w:rsidR="00A1378A" w:rsidRPr="00A1378A">
              <w:rPr>
                <w:rFonts w:cs="Times New Roman"/>
                <w:noProof/>
                <w:webHidden/>
                <w:szCs w:val="24"/>
              </w:rPr>
              <w:fldChar w:fldCharType="end"/>
            </w:r>
          </w:hyperlink>
        </w:p>
        <w:p w14:paraId="21C81101" w14:textId="462EC61B"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3" w:history="1">
            <w:r w:rsidR="00A1378A" w:rsidRPr="00A1378A">
              <w:rPr>
                <w:rStyle w:val="Hyperlink"/>
                <w:rFonts w:cs="Times New Roman"/>
                <w:noProof/>
                <w:color w:val="auto"/>
                <w:szCs w:val="24"/>
              </w:rPr>
              <w:t>2.8 Conclusion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_Toc145078403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25</w:t>
            </w:r>
            <w:r w:rsidR="00A1378A" w:rsidRPr="00A1378A">
              <w:rPr>
                <w:rFonts w:cs="Times New Roman"/>
                <w:noProof/>
                <w:webHidden/>
                <w:szCs w:val="24"/>
              </w:rPr>
              <w:fldChar w:fldCharType="end"/>
            </w:r>
          </w:hyperlink>
        </w:p>
        <w:p w14:paraId="13412A95" w14:textId="4A556B2C" w:rsidR="00A1378A" w:rsidRPr="00A1378A" w:rsidRDefault="00000000" w:rsidP="00A1378A">
          <w:pPr>
            <w:pStyle w:val="TOC1"/>
            <w:tabs>
              <w:tab w:val="right" w:leader="dot" w:pos="9016"/>
            </w:tabs>
            <w:spacing w:line="360" w:lineRule="auto"/>
            <w:jc w:val="center"/>
            <w:rPr>
              <w:rFonts w:eastAsiaTheme="minorEastAsia" w:cs="Times New Roman"/>
              <w:noProof/>
              <w:szCs w:val="24"/>
              <w:lang w:val="en-IN" w:eastAsia="en-IN"/>
            </w:rPr>
          </w:pPr>
          <w:hyperlink w:anchor="_Toc145078404" w:history="1">
            <w:r w:rsidR="00A1378A" w:rsidRPr="00A1378A">
              <w:rPr>
                <w:rStyle w:val="Hyperlink"/>
                <w:rFonts w:cs="Times New Roman"/>
                <w:noProof/>
                <w:color w:val="auto"/>
                <w:szCs w:val="24"/>
              </w:rPr>
              <w:t>Chapter 3: Research Methodology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_Toc145078404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25</w:t>
            </w:r>
            <w:r w:rsidR="00A1378A" w:rsidRPr="00A1378A">
              <w:rPr>
                <w:rFonts w:cs="Times New Roman"/>
                <w:noProof/>
                <w:webHidden/>
                <w:szCs w:val="24"/>
              </w:rPr>
              <w:fldChar w:fldCharType="end"/>
            </w:r>
          </w:hyperlink>
        </w:p>
        <w:p w14:paraId="460B5A17" w14:textId="6708EB54"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5" w:history="1">
            <w:r w:rsidR="00A1378A" w:rsidRPr="00A1378A">
              <w:rPr>
                <w:rStyle w:val="Hyperlink"/>
                <w:rFonts w:cs="Times New Roman"/>
                <w:noProof/>
                <w:color w:val="auto"/>
                <w:szCs w:val="24"/>
              </w:rPr>
              <w:t>3.1 Introduction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_Toc145078405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25</w:t>
            </w:r>
            <w:r w:rsidR="00A1378A" w:rsidRPr="00A1378A">
              <w:rPr>
                <w:rFonts w:cs="Times New Roman"/>
                <w:noProof/>
                <w:webHidden/>
                <w:szCs w:val="24"/>
              </w:rPr>
              <w:fldChar w:fldCharType="end"/>
            </w:r>
          </w:hyperlink>
        </w:p>
        <w:p w14:paraId="3C8BF487" w14:textId="36576E48"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6" w:history="1">
            <w:r w:rsidR="00A1378A" w:rsidRPr="00A1378A">
              <w:rPr>
                <w:rStyle w:val="Hyperlink"/>
                <w:rFonts w:cs="Times New Roman"/>
                <w:noProof/>
                <w:color w:val="auto"/>
                <w:szCs w:val="24"/>
              </w:rPr>
              <w:t>3.2 Brief Overview</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_Toc145078406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26</w:t>
            </w:r>
            <w:r w:rsidR="00A1378A" w:rsidRPr="00A1378A">
              <w:rPr>
                <w:rFonts w:cs="Times New Roman"/>
                <w:noProof/>
                <w:webHidden/>
                <w:szCs w:val="24"/>
              </w:rPr>
              <w:fldChar w:fldCharType="end"/>
            </w:r>
          </w:hyperlink>
        </w:p>
        <w:p w14:paraId="6030C684" w14:textId="1F3927B8"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7" w:history="1">
            <w:r w:rsidR="00A1378A" w:rsidRPr="00A1378A">
              <w:rPr>
                <w:rStyle w:val="Hyperlink"/>
                <w:rFonts w:cs="Times New Roman"/>
                <w:noProof/>
                <w:color w:val="auto"/>
                <w:szCs w:val="24"/>
              </w:rPr>
              <w:t>3.3 Used Database</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_Toc145078407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26</w:t>
            </w:r>
            <w:r w:rsidR="00A1378A" w:rsidRPr="00A1378A">
              <w:rPr>
                <w:rFonts w:cs="Times New Roman"/>
                <w:noProof/>
                <w:webHidden/>
                <w:szCs w:val="24"/>
              </w:rPr>
              <w:fldChar w:fldCharType="end"/>
            </w:r>
          </w:hyperlink>
        </w:p>
        <w:p w14:paraId="4A3CB03C" w14:textId="45183C6C"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8" w:history="1">
            <w:r w:rsidR="00A1378A" w:rsidRPr="00A1378A">
              <w:rPr>
                <w:rStyle w:val="Hyperlink"/>
                <w:rFonts w:cs="Times New Roman"/>
                <w:noProof/>
                <w:color w:val="auto"/>
                <w:szCs w:val="24"/>
              </w:rPr>
              <w:t>3.4 Research Philosophy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_Toc145078408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26</w:t>
            </w:r>
            <w:r w:rsidR="00A1378A" w:rsidRPr="00A1378A">
              <w:rPr>
                <w:rFonts w:cs="Times New Roman"/>
                <w:noProof/>
                <w:webHidden/>
                <w:szCs w:val="24"/>
              </w:rPr>
              <w:fldChar w:fldCharType="end"/>
            </w:r>
          </w:hyperlink>
        </w:p>
        <w:p w14:paraId="1541D86C" w14:textId="195F0F87"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09" w:history="1">
            <w:r w:rsidR="00A1378A" w:rsidRPr="00A1378A">
              <w:rPr>
                <w:rStyle w:val="Hyperlink"/>
                <w:rFonts w:cs="Times New Roman"/>
                <w:noProof/>
                <w:color w:val="auto"/>
                <w:szCs w:val="24"/>
              </w:rPr>
              <w:t>3.5 Research Design and Approach</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_Toc145078409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27</w:t>
            </w:r>
            <w:r w:rsidR="00A1378A" w:rsidRPr="00A1378A">
              <w:rPr>
                <w:rFonts w:cs="Times New Roman"/>
                <w:noProof/>
                <w:webHidden/>
                <w:szCs w:val="24"/>
              </w:rPr>
              <w:fldChar w:fldCharType="end"/>
            </w:r>
          </w:hyperlink>
        </w:p>
        <w:p w14:paraId="1A186CEC" w14:textId="3861E912"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0" w:history="1">
            <w:r w:rsidR="00A1378A" w:rsidRPr="00A1378A">
              <w:rPr>
                <w:rStyle w:val="Hyperlink"/>
                <w:rFonts w:cs="Times New Roman"/>
                <w:noProof/>
                <w:color w:val="auto"/>
                <w:szCs w:val="24"/>
              </w:rPr>
              <w:t>3.6 Search Terms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_Toc145078410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27</w:t>
            </w:r>
            <w:r w:rsidR="00A1378A" w:rsidRPr="00A1378A">
              <w:rPr>
                <w:rFonts w:cs="Times New Roman"/>
                <w:noProof/>
                <w:webHidden/>
                <w:szCs w:val="24"/>
              </w:rPr>
              <w:fldChar w:fldCharType="end"/>
            </w:r>
          </w:hyperlink>
        </w:p>
        <w:p w14:paraId="36174A5D" w14:textId="325289C6"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1" w:history="1">
            <w:r w:rsidR="00A1378A" w:rsidRPr="00A1378A">
              <w:rPr>
                <w:rStyle w:val="Hyperlink"/>
                <w:rFonts w:cs="Times New Roman"/>
                <w:noProof/>
                <w:color w:val="auto"/>
                <w:szCs w:val="24"/>
              </w:rPr>
              <w:t>3.7 Inclusion and Exclusion Principles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_Toc145078411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28</w:t>
            </w:r>
            <w:r w:rsidR="00A1378A" w:rsidRPr="00A1378A">
              <w:rPr>
                <w:rFonts w:cs="Times New Roman"/>
                <w:noProof/>
                <w:webHidden/>
                <w:szCs w:val="24"/>
              </w:rPr>
              <w:fldChar w:fldCharType="end"/>
            </w:r>
          </w:hyperlink>
        </w:p>
        <w:p w14:paraId="368CA734" w14:textId="1DCAD32C"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2" w:history="1">
            <w:r w:rsidR="00A1378A" w:rsidRPr="00A1378A">
              <w:rPr>
                <w:rStyle w:val="Hyperlink"/>
                <w:rFonts w:cs="Times New Roman"/>
                <w:noProof/>
                <w:color w:val="auto"/>
                <w:szCs w:val="24"/>
              </w:rPr>
              <w:t>3.8 Research Ethics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_Toc145078412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29</w:t>
            </w:r>
            <w:r w:rsidR="00A1378A" w:rsidRPr="00A1378A">
              <w:rPr>
                <w:rFonts w:cs="Times New Roman"/>
                <w:noProof/>
                <w:webHidden/>
                <w:szCs w:val="24"/>
              </w:rPr>
              <w:fldChar w:fldCharType="end"/>
            </w:r>
          </w:hyperlink>
        </w:p>
        <w:p w14:paraId="4CF7526D" w14:textId="46CA897F"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3" w:history="1">
            <w:r w:rsidR="00A1378A" w:rsidRPr="00A1378A">
              <w:rPr>
                <w:rStyle w:val="Hyperlink"/>
                <w:rFonts w:cs="Times New Roman"/>
                <w:noProof/>
                <w:color w:val="auto"/>
                <w:szCs w:val="24"/>
              </w:rPr>
              <w:t>3.9 Data Analysis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_Toc145078413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29</w:t>
            </w:r>
            <w:r w:rsidR="00A1378A" w:rsidRPr="00A1378A">
              <w:rPr>
                <w:rFonts w:cs="Times New Roman"/>
                <w:noProof/>
                <w:webHidden/>
                <w:szCs w:val="24"/>
              </w:rPr>
              <w:fldChar w:fldCharType="end"/>
            </w:r>
          </w:hyperlink>
        </w:p>
        <w:p w14:paraId="472205F3" w14:textId="4906D3F4"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4" w:history="1">
            <w:r w:rsidR="00A1378A" w:rsidRPr="00A1378A">
              <w:rPr>
                <w:rStyle w:val="Hyperlink"/>
                <w:rFonts w:cs="Times New Roman"/>
                <w:noProof/>
                <w:color w:val="auto"/>
                <w:szCs w:val="24"/>
              </w:rPr>
              <w:t>3.10 Summary</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_Toc145078414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29</w:t>
            </w:r>
            <w:r w:rsidR="00A1378A" w:rsidRPr="00A1378A">
              <w:rPr>
                <w:rFonts w:cs="Times New Roman"/>
                <w:noProof/>
                <w:webHidden/>
                <w:szCs w:val="24"/>
              </w:rPr>
              <w:fldChar w:fldCharType="end"/>
            </w:r>
          </w:hyperlink>
        </w:p>
        <w:p w14:paraId="7F4B19C2" w14:textId="088D06B2"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5" w:history="1">
            <w:r w:rsidR="00A1378A" w:rsidRPr="00A1378A">
              <w:rPr>
                <w:rStyle w:val="Hyperlink"/>
                <w:rFonts w:cs="Times New Roman"/>
                <w:noProof/>
                <w:color w:val="auto"/>
                <w:szCs w:val="24"/>
              </w:rPr>
              <w:t>3.11 Conclusion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_Toc145078415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30</w:t>
            </w:r>
            <w:r w:rsidR="00A1378A" w:rsidRPr="00A1378A">
              <w:rPr>
                <w:rFonts w:cs="Times New Roman"/>
                <w:noProof/>
                <w:webHidden/>
                <w:szCs w:val="24"/>
              </w:rPr>
              <w:fldChar w:fldCharType="end"/>
            </w:r>
          </w:hyperlink>
        </w:p>
        <w:p w14:paraId="7F28298C" w14:textId="7F56F795" w:rsidR="00A1378A" w:rsidRPr="00A1378A" w:rsidRDefault="00000000" w:rsidP="00A1378A">
          <w:pPr>
            <w:pStyle w:val="TOC1"/>
            <w:tabs>
              <w:tab w:val="right" w:leader="dot" w:pos="9016"/>
            </w:tabs>
            <w:spacing w:line="360" w:lineRule="auto"/>
            <w:jc w:val="center"/>
            <w:rPr>
              <w:rFonts w:eastAsiaTheme="minorEastAsia" w:cs="Times New Roman"/>
              <w:noProof/>
              <w:szCs w:val="24"/>
              <w:lang w:val="en-IN" w:eastAsia="en-IN"/>
            </w:rPr>
          </w:pPr>
          <w:hyperlink w:anchor="_Toc145078416" w:history="1">
            <w:r w:rsidR="00A1378A" w:rsidRPr="00A1378A">
              <w:rPr>
                <w:rStyle w:val="Hyperlink"/>
                <w:rFonts w:eastAsia="Times New Roman" w:cs="Times New Roman"/>
                <w:noProof/>
                <w:color w:val="auto"/>
                <w:szCs w:val="24"/>
                <w:lang w:eastAsia="en-IN"/>
              </w:rPr>
              <w:t>Chapter 4: Findings and Discussion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_Toc145078416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30</w:t>
            </w:r>
            <w:r w:rsidR="00A1378A" w:rsidRPr="00A1378A">
              <w:rPr>
                <w:rFonts w:cs="Times New Roman"/>
                <w:noProof/>
                <w:webHidden/>
                <w:szCs w:val="24"/>
              </w:rPr>
              <w:fldChar w:fldCharType="end"/>
            </w:r>
          </w:hyperlink>
        </w:p>
        <w:p w14:paraId="42CEECA6" w14:textId="3531D8C2"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7" w:history="1">
            <w:r w:rsidR="00A1378A" w:rsidRPr="00A1378A">
              <w:rPr>
                <w:rStyle w:val="Hyperlink"/>
                <w:rFonts w:eastAsia="Times New Roman" w:cs="Times New Roman"/>
                <w:noProof/>
                <w:color w:val="auto"/>
                <w:szCs w:val="24"/>
                <w:lang w:eastAsia="en-IN"/>
              </w:rPr>
              <w:t>4.1 Introduction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_Toc145078417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30</w:t>
            </w:r>
            <w:r w:rsidR="00A1378A" w:rsidRPr="00A1378A">
              <w:rPr>
                <w:rFonts w:cs="Times New Roman"/>
                <w:noProof/>
                <w:webHidden/>
                <w:szCs w:val="24"/>
              </w:rPr>
              <w:fldChar w:fldCharType="end"/>
            </w:r>
          </w:hyperlink>
        </w:p>
        <w:p w14:paraId="175981D6" w14:textId="294EBE1F"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8" w:history="1">
            <w:r w:rsidR="00A1378A" w:rsidRPr="00A1378A">
              <w:rPr>
                <w:rStyle w:val="Hyperlink"/>
                <w:rFonts w:eastAsia="Times New Roman" w:cs="Times New Roman"/>
                <w:noProof/>
                <w:color w:val="auto"/>
                <w:szCs w:val="24"/>
                <w:lang w:eastAsia="en-IN"/>
              </w:rPr>
              <w:t>4.2 Findings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_Toc145078418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31</w:t>
            </w:r>
            <w:r w:rsidR="00A1378A" w:rsidRPr="00A1378A">
              <w:rPr>
                <w:rFonts w:cs="Times New Roman"/>
                <w:noProof/>
                <w:webHidden/>
                <w:szCs w:val="24"/>
              </w:rPr>
              <w:fldChar w:fldCharType="end"/>
            </w:r>
          </w:hyperlink>
        </w:p>
        <w:p w14:paraId="5FD6A6F0" w14:textId="4D7AD681"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19" w:history="1">
            <w:r w:rsidR="00A1378A" w:rsidRPr="00A1378A">
              <w:rPr>
                <w:rStyle w:val="Hyperlink"/>
                <w:rFonts w:eastAsia="Times New Roman" w:cs="Times New Roman"/>
                <w:noProof/>
                <w:color w:val="auto"/>
                <w:szCs w:val="24"/>
                <w:lang w:eastAsia="en-IN"/>
              </w:rPr>
              <w:t>4.3 Discussion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_Toc145078419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40</w:t>
            </w:r>
            <w:r w:rsidR="00A1378A" w:rsidRPr="00A1378A">
              <w:rPr>
                <w:rFonts w:cs="Times New Roman"/>
                <w:noProof/>
                <w:webHidden/>
                <w:szCs w:val="24"/>
              </w:rPr>
              <w:fldChar w:fldCharType="end"/>
            </w:r>
          </w:hyperlink>
        </w:p>
        <w:p w14:paraId="48CF27DE" w14:textId="4479047C"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20" w:history="1">
            <w:r w:rsidR="00A1378A" w:rsidRPr="00A1378A">
              <w:rPr>
                <w:rStyle w:val="Hyperlink"/>
                <w:rFonts w:eastAsia="Times New Roman" w:cs="Times New Roman"/>
                <w:noProof/>
                <w:color w:val="auto"/>
                <w:szCs w:val="24"/>
                <w:lang w:eastAsia="en-IN"/>
              </w:rPr>
              <w:t>4.4 Conclusion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_Toc145078420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44</w:t>
            </w:r>
            <w:r w:rsidR="00A1378A" w:rsidRPr="00A1378A">
              <w:rPr>
                <w:rFonts w:cs="Times New Roman"/>
                <w:noProof/>
                <w:webHidden/>
                <w:szCs w:val="24"/>
              </w:rPr>
              <w:fldChar w:fldCharType="end"/>
            </w:r>
          </w:hyperlink>
        </w:p>
        <w:p w14:paraId="4E3951F4" w14:textId="206D9762" w:rsidR="00A1378A" w:rsidRPr="00A1378A" w:rsidRDefault="00000000" w:rsidP="00A1378A">
          <w:pPr>
            <w:pStyle w:val="TOC1"/>
            <w:tabs>
              <w:tab w:val="right" w:leader="dot" w:pos="9016"/>
            </w:tabs>
            <w:spacing w:line="360" w:lineRule="auto"/>
            <w:jc w:val="center"/>
            <w:rPr>
              <w:rFonts w:eastAsiaTheme="minorEastAsia" w:cs="Times New Roman"/>
              <w:noProof/>
              <w:szCs w:val="24"/>
              <w:lang w:val="en-IN" w:eastAsia="en-IN"/>
            </w:rPr>
          </w:pPr>
          <w:hyperlink w:anchor="_Toc145078421" w:history="1">
            <w:r w:rsidR="00A1378A" w:rsidRPr="00A1378A">
              <w:rPr>
                <w:rStyle w:val="Hyperlink"/>
                <w:rFonts w:eastAsia="Times New Roman" w:cs="Times New Roman"/>
                <w:noProof/>
                <w:color w:val="auto"/>
                <w:szCs w:val="24"/>
                <w:lang w:eastAsia="en-IN"/>
              </w:rPr>
              <w:t>Chapter 5: Conclusion and Recommendations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_Toc145078421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44</w:t>
            </w:r>
            <w:r w:rsidR="00A1378A" w:rsidRPr="00A1378A">
              <w:rPr>
                <w:rFonts w:cs="Times New Roman"/>
                <w:noProof/>
                <w:webHidden/>
                <w:szCs w:val="24"/>
              </w:rPr>
              <w:fldChar w:fldCharType="end"/>
            </w:r>
          </w:hyperlink>
        </w:p>
        <w:p w14:paraId="0809E379" w14:textId="710A6CD0"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22" w:history="1">
            <w:r w:rsidR="00A1378A" w:rsidRPr="00A1378A">
              <w:rPr>
                <w:rStyle w:val="Hyperlink"/>
                <w:rFonts w:eastAsia="Times New Roman" w:cs="Times New Roman"/>
                <w:noProof/>
                <w:color w:val="auto"/>
                <w:szCs w:val="24"/>
                <w:lang w:eastAsia="en-IN"/>
              </w:rPr>
              <w:t>5.1 Conclusion</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_Toc145078422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44</w:t>
            </w:r>
            <w:r w:rsidR="00A1378A" w:rsidRPr="00A1378A">
              <w:rPr>
                <w:rFonts w:cs="Times New Roman"/>
                <w:noProof/>
                <w:webHidden/>
                <w:szCs w:val="24"/>
              </w:rPr>
              <w:fldChar w:fldCharType="end"/>
            </w:r>
          </w:hyperlink>
        </w:p>
        <w:p w14:paraId="7E6846A9" w14:textId="3AD48BC0"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23" w:history="1">
            <w:r w:rsidR="00A1378A" w:rsidRPr="00A1378A">
              <w:rPr>
                <w:rStyle w:val="Hyperlink"/>
                <w:rFonts w:eastAsia="Times New Roman" w:cs="Times New Roman"/>
                <w:noProof/>
                <w:color w:val="auto"/>
                <w:szCs w:val="24"/>
                <w:lang w:eastAsia="en-IN"/>
              </w:rPr>
              <w:t>5.2 Recommendations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_Toc145078423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46</w:t>
            </w:r>
            <w:r w:rsidR="00A1378A" w:rsidRPr="00A1378A">
              <w:rPr>
                <w:rFonts w:cs="Times New Roman"/>
                <w:noProof/>
                <w:webHidden/>
                <w:szCs w:val="24"/>
              </w:rPr>
              <w:fldChar w:fldCharType="end"/>
            </w:r>
          </w:hyperlink>
        </w:p>
        <w:p w14:paraId="016BB9F5" w14:textId="60604204"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24" w:history="1">
            <w:r w:rsidR="00A1378A" w:rsidRPr="00A1378A">
              <w:rPr>
                <w:rStyle w:val="Hyperlink"/>
                <w:rFonts w:eastAsia="Times New Roman" w:cs="Times New Roman"/>
                <w:noProof/>
                <w:color w:val="auto"/>
                <w:szCs w:val="24"/>
                <w:lang w:eastAsia="en-IN"/>
              </w:rPr>
              <w:t>5.3 Research Limitations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_Toc145078424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47</w:t>
            </w:r>
            <w:r w:rsidR="00A1378A" w:rsidRPr="00A1378A">
              <w:rPr>
                <w:rFonts w:cs="Times New Roman"/>
                <w:noProof/>
                <w:webHidden/>
                <w:szCs w:val="24"/>
              </w:rPr>
              <w:fldChar w:fldCharType="end"/>
            </w:r>
          </w:hyperlink>
        </w:p>
        <w:p w14:paraId="1CC9A986" w14:textId="4B386C95" w:rsidR="00A1378A" w:rsidRPr="00A1378A" w:rsidRDefault="00000000" w:rsidP="00A1378A">
          <w:pPr>
            <w:pStyle w:val="TOC2"/>
            <w:tabs>
              <w:tab w:val="right" w:leader="dot" w:pos="9016"/>
            </w:tabs>
            <w:spacing w:line="360" w:lineRule="auto"/>
            <w:jc w:val="center"/>
            <w:rPr>
              <w:rFonts w:eastAsiaTheme="minorEastAsia" w:cs="Times New Roman"/>
              <w:noProof/>
              <w:szCs w:val="24"/>
              <w:lang w:val="en-IN" w:eastAsia="en-IN"/>
            </w:rPr>
          </w:pPr>
          <w:hyperlink w:anchor="_Toc145078425" w:history="1">
            <w:r w:rsidR="00A1378A" w:rsidRPr="00A1378A">
              <w:rPr>
                <w:rStyle w:val="Hyperlink"/>
                <w:rFonts w:eastAsia="Times New Roman" w:cs="Times New Roman"/>
                <w:noProof/>
                <w:color w:val="auto"/>
                <w:szCs w:val="24"/>
                <w:lang w:eastAsia="en-IN"/>
              </w:rPr>
              <w:t>5.4 Future Opportunities of Research</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_Toc145078425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47</w:t>
            </w:r>
            <w:r w:rsidR="00A1378A" w:rsidRPr="00A1378A">
              <w:rPr>
                <w:rFonts w:cs="Times New Roman"/>
                <w:noProof/>
                <w:webHidden/>
                <w:szCs w:val="24"/>
              </w:rPr>
              <w:fldChar w:fldCharType="end"/>
            </w:r>
          </w:hyperlink>
        </w:p>
        <w:p w14:paraId="7F793206" w14:textId="0F2A9F9B" w:rsidR="00A1378A" w:rsidRPr="00A1378A" w:rsidRDefault="00000000" w:rsidP="00A1378A">
          <w:pPr>
            <w:pStyle w:val="TOC1"/>
            <w:tabs>
              <w:tab w:val="right" w:leader="dot" w:pos="9016"/>
            </w:tabs>
            <w:spacing w:line="360" w:lineRule="auto"/>
            <w:jc w:val="center"/>
            <w:rPr>
              <w:rFonts w:eastAsiaTheme="minorEastAsia" w:cs="Times New Roman"/>
              <w:noProof/>
              <w:szCs w:val="24"/>
              <w:lang w:val="en-IN" w:eastAsia="en-IN"/>
            </w:rPr>
          </w:pPr>
          <w:hyperlink w:anchor="_Toc145078426" w:history="1">
            <w:r w:rsidR="00A1378A" w:rsidRPr="00A1378A">
              <w:rPr>
                <w:rStyle w:val="Hyperlink"/>
                <w:rFonts w:cs="Times New Roman"/>
                <w:noProof/>
                <w:color w:val="auto"/>
                <w:szCs w:val="24"/>
              </w:rPr>
              <w:t>References</w:t>
            </w:r>
            <w:r w:rsidR="00A1378A" w:rsidRPr="00A1378A">
              <w:rPr>
                <w:rFonts w:cs="Times New Roman"/>
                <w:noProof/>
                <w:webHidden/>
                <w:szCs w:val="24"/>
              </w:rPr>
              <w:tab/>
            </w:r>
            <w:r w:rsidR="00A1378A" w:rsidRPr="00A1378A">
              <w:rPr>
                <w:rFonts w:cs="Times New Roman"/>
                <w:noProof/>
                <w:webHidden/>
                <w:szCs w:val="24"/>
              </w:rPr>
              <w:fldChar w:fldCharType="begin"/>
            </w:r>
            <w:r w:rsidR="00A1378A" w:rsidRPr="00A1378A">
              <w:rPr>
                <w:rFonts w:cs="Times New Roman"/>
                <w:noProof/>
                <w:webHidden/>
                <w:szCs w:val="24"/>
              </w:rPr>
              <w:instrText xml:space="preserve"> PAGEREF _Toc145078426 \h </w:instrText>
            </w:r>
            <w:r w:rsidR="00A1378A" w:rsidRPr="00A1378A">
              <w:rPr>
                <w:rFonts w:cs="Times New Roman"/>
                <w:noProof/>
                <w:webHidden/>
                <w:szCs w:val="24"/>
              </w:rPr>
            </w:r>
            <w:r w:rsidR="00A1378A" w:rsidRPr="00A1378A">
              <w:rPr>
                <w:rFonts w:cs="Times New Roman"/>
                <w:noProof/>
                <w:webHidden/>
                <w:szCs w:val="24"/>
              </w:rPr>
              <w:fldChar w:fldCharType="separate"/>
            </w:r>
            <w:r w:rsidR="00A1378A" w:rsidRPr="00A1378A">
              <w:rPr>
                <w:rFonts w:cs="Times New Roman"/>
                <w:noProof/>
                <w:webHidden/>
                <w:szCs w:val="24"/>
              </w:rPr>
              <w:t>49</w:t>
            </w:r>
            <w:r w:rsidR="00A1378A" w:rsidRPr="00A1378A">
              <w:rPr>
                <w:rFonts w:cs="Times New Roman"/>
                <w:noProof/>
                <w:webHidden/>
                <w:szCs w:val="24"/>
              </w:rPr>
              <w:fldChar w:fldCharType="end"/>
            </w:r>
          </w:hyperlink>
        </w:p>
        <w:p w14:paraId="08F0D0A3" w14:textId="7139C576" w:rsidR="00A1378A" w:rsidRDefault="00A1378A" w:rsidP="00A1378A">
          <w:pPr>
            <w:spacing w:line="360" w:lineRule="auto"/>
            <w:jc w:val="center"/>
          </w:pPr>
          <w:r w:rsidRPr="00A1378A">
            <w:rPr>
              <w:rFonts w:cs="Times New Roman"/>
              <w:b/>
              <w:bCs/>
              <w:noProof/>
              <w:szCs w:val="24"/>
            </w:rPr>
            <w:fldChar w:fldCharType="end"/>
          </w:r>
        </w:p>
      </w:sdtContent>
    </w:sdt>
    <w:p w14:paraId="26128733" w14:textId="77777777" w:rsidR="004C2F60" w:rsidRPr="00FA55E9" w:rsidRDefault="004C2F60">
      <w:pPr>
        <w:rPr>
          <w:rFonts w:cs="Times New Roman"/>
          <w:b/>
          <w:bCs/>
          <w:szCs w:val="24"/>
        </w:rPr>
      </w:pPr>
      <w:r w:rsidRPr="00FA55E9">
        <w:rPr>
          <w:rFonts w:cs="Times New Roman"/>
          <w:b/>
          <w:bCs/>
          <w:szCs w:val="24"/>
        </w:rPr>
        <w:br w:type="page"/>
      </w:r>
    </w:p>
    <w:p w14:paraId="780C8F36" w14:textId="102993A9" w:rsidR="00A33552" w:rsidRPr="00FA55E9" w:rsidRDefault="00B931C4" w:rsidP="004C2F60">
      <w:pPr>
        <w:pStyle w:val="Heading1"/>
      </w:pPr>
      <w:bookmarkStart w:id="0" w:name="_Toc140859111"/>
      <w:bookmarkStart w:id="1" w:name="_Toc145004272"/>
      <w:bookmarkStart w:id="2" w:name="_Toc145078388"/>
      <w:r w:rsidRPr="00FA55E9">
        <w:lastRenderedPageBreak/>
        <w:t>Chapter 1: Introduction</w:t>
      </w:r>
      <w:bookmarkEnd w:id="0"/>
      <w:bookmarkEnd w:id="1"/>
      <w:bookmarkEnd w:id="2"/>
    </w:p>
    <w:p w14:paraId="10BE5F13" w14:textId="108788F6" w:rsidR="00B931C4" w:rsidRPr="00FA55E9" w:rsidRDefault="004C2F60" w:rsidP="004C2F60">
      <w:pPr>
        <w:pStyle w:val="Heading2"/>
      </w:pPr>
      <w:bookmarkStart w:id="3" w:name="_Toc140859112"/>
      <w:bookmarkStart w:id="4" w:name="_Toc145004273"/>
      <w:bookmarkStart w:id="5" w:name="_Toc145078389"/>
      <w:r w:rsidRPr="00FA55E9">
        <w:t xml:space="preserve">1.1 </w:t>
      </w:r>
      <w:r w:rsidR="00B931C4" w:rsidRPr="00FA55E9">
        <w:t>Research Background</w:t>
      </w:r>
      <w:bookmarkEnd w:id="3"/>
      <w:bookmarkEnd w:id="4"/>
      <w:bookmarkEnd w:id="5"/>
    </w:p>
    <w:p w14:paraId="78EB7B5C" w14:textId="6BECA72A" w:rsidR="00597B97" w:rsidRPr="00FA55E9" w:rsidRDefault="00597B97" w:rsidP="00597B97">
      <w:pPr>
        <w:spacing w:line="360" w:lineRule="auto"/>
        <w:rPr>
          <w:rFonts w:cs="Times New Roman"/>
          <w:szCs w:val="24"/>
        </w:rPr>
      </w:pPr>
      <w:r w:rsidRPr="00FA55E9">
        <w:rPr>
          <w:rFonts w:cs="Times New Roman"/>
          <w:szCs w:val="24"/>
        </w:rPr>
        <w:t xml:space="preserve">The socioeconomic and socio-cultural paradigm of the UK has been formed throughout the course of history, and the modern market of the country has been empowered by different financial policies. In this regard, the financial organisations have settled their activities with multiple forms of management, while the changes have been adopted as per requirements. According to </w:t>
      </w:r>
      <w:r w:rsidR="004C2F60" w:rsidRPr="00FA55E9">
        <w:rPr>
          <w:rFonts w:cs="Times New Roman"/>
          <w:color w:val="222222"/>
          <w:szCs w:val="24"/>
          <w:shd w:val="clear" w:color="auto" w:fill="FFFFFF"/>
        </w:rPr>
        <w:t>Shams</w:t>
      </w:r>
      <w:r w:rsidR="004C2F60" w:rsidRPr="00FA55E9">
        <w:rPr>
          <w:rFonts w:cs="Times New Roman"/>
          <w:szCs w:val="24"/>
        </w:rPr>
        <w:t xml:space="preserve"> et al. </w:t>
      </w:r>
      <w:r w:rsidRPr="00FA55E9">
        <w:rPr>
          <w:rFonts w:cs="Times New Roman"/>
          <w:szCs w:val="24"/>
        </w:rPr>
        <w:t>(</w:t>
      </w:r>
      <w:r w:rsidR="004C2F60" w:rsidRPr="00FA55E9">
        <w:rPr>
          <w:rFonts w:cs="Times New Roman"/>
          <w:szCs w:val="24"/>
        </w:rPr>
        <w:t>2019</w:t>
      </w:r>
      <w:r w:rsidRPr="00FA55E9">
        <w:rPr>
          <w:rFonts w:cs="Times New Roman"/>
          <w:szCs w:val="24"/>
        </w:rPr>
        <w:t xml:space="preserve">), the economy of the UK accelerated after the </w:t>
      </w:r>
      <w:r w:rsidR="00E96B09" w:rsidRPr="00FA55E9">
        <w:rPr>
          <w:rFonts w:cs="Times New Roman"/>
          <w:szCs w:val="24"/>
        </w:rPr>
        <w:t>Industrial Revolution</w:t>
      </w:r>
      <w:r w:rsidRPr="00FA55E9">
        <w:rPr>
          <w:rFonts w:cs="Times New Roman"/>
          <w:szCs w:val="24"/>
        </w:rPr>
        <w:t xml:space="preserve">, while the act of colonisation </w:t>
      </w:r>
      <w:r w:rsidR="000D11DD" w:rsidRPr="00FA55E9">
        <w:rPr>
          <w:rFonts w:cs="Times New Roman"/>
          <w:szCs w:val="24"/>
        </w:rPr>
        <w:t xml:space="preserve">fuelled the country’s economy on a significant scale. The report also suggests that the modern UK economy is deeply rooted in banking activities, which are exclusively developed as per customer choices and acts. The customer-centric view nurtures the sector’s financial growth and market programming, as the changes and trends in the economy are followed. </w:t>
      </w:r>
      <w:r w:rsidR="00EF4DC8" w:rsidRPr="00FA55E9">
        <w:rPr>
          <w:rFonts w:cs="Times New Roman"/>
          <w:szCs w:val="24"/>
        </w:rPr>
        <w:t>With rational</w:t>
      </w:r>
      <w:r w:rsidR="000D11DD" w:rsidRPr="00FA55E9">
        <w:rPr>
          <w:rFonts w:cs="Times New Roman"/>
          <w:szCs w:val="24"/>
        </w:rPr>
        <w:t xml:space="preserve"> movements of financial policies and different opportunities </w:t>
      </w:r>
      <w:r w:rsidR="00EF4DC8" w:rsidRPr="00FA55E9">
        <w:rPr>
          <w:rFonts w:cs="Times New Roman"/>
          <w:szCs w:val="24"/>
        </w:rPr>
        <w:t>for customers, the banking sector has created a well-recognised value in the country.</w:t>
      </w:r>
    </w:p>
    <w:p w14:paraId="2464607E" w14:textId="5E8AF076" w:rsidR="00EF4DC8" w:rsidRPr="00FA55E9" w:rsidRDefault="006B7F90" w:rsidP="00597B97">
      <w:pPr>
        <w:spacing w:line="360" w:lineRule="auto"/>
        <w:rPr>
          <w:rFonts w:cs="Times New Roman"/>
          <w:szCs w:val="24"/>
        </w:rPr>
      </w:pPr>
      <w:r w:rsidRPr="00FA55E9">
        <w:rPr>
          <w:rFonts w:cs="Times New Roman"/>
          <w:szCs w:val="24"/>
        </w:rPr>
        <w:t>However, with time, people's requirements and personal demands have changed, which share a proportionate relationship with the banking activities of the UK. The socio-cultural and socio-economic values have been more diverse and complex in nature, and financial support started offering multiple platforms and opportunities to people. Immigration to the UK collectively changed cultural homogeneity, while the changes in the world economy through business also changed the conventional outlook of the country’s economy (</w:t>
      </w:r>
      <w:r w:rsidR="004C2F60" w:rsidRPr="00FA55E9">
        <w:rPr>
          <w:rFonts w:cs="Times New Roman"/>
          <w:color w:val="222222"/>
          <w:szCs w:val="24"/>
          <w:shd w:val="clear" w:color="auto" w:fill="FFFFFF"/>
        </w:rPr>
        <w:t xml:space="preserve">Khalid and </w:t>
      </w:r>
      <w:proofErr w:type="spellStart"/>
      <w:r w:rsidR="004C2F60" w:rsidRPr="00FA55E9">
        <w:rPr>
          <w:rFonts w:cs="Times New Roman"/>
          <w:color w:val="222222"/>
          <w:szCs w:val="24"/>
          <w:shd w:val="clear" w:color="auto" w:fill="FFFFFF"/>
        </w:rPr>
        <w:t>Kunhibava</w:t>
      </w:r>
      <w:proofErr w:type="spellEnd"/>
      <w:r w:rsidR="004C2F60" w:rsidRPr="00FA55E9">
        <w:rPr>
          <w:rFonts w:cs="Times New Roman"/>
          <w:color w:val="222222"/>
          <w:szCs w:val="24"/>
          <w:shd w:val="clear" w:color="auto" w:fill="FFFFFF"/>
        </w:rPr>
        <w:t>, 2021</w:t>
      </w:r>
      <w:r w:rsidRPr="00FA55E9">
        <w:rPr>
          <w:rFonts w:cs="Times New Roman"/>
          <w:szCs w:val="24"/>
        </w:rPr>
        <w:t xml:space="preserve">). Ethnic diversity enforced an impactful modulation on the country's economic course and the financial organisations now act as per the modern priorities. As per </w:t>
      </w:r>
      <w:r w:rsidR="004C2F60" w:rsidRPr="00FA55E9">
        <w:rPr>
          <w:rFonts w:cs="Times New Roman"/>
          <w:color w:val="222222"/>
          <w:szCs w:val="24"/>
          <w:shd w:val="clear" w:color="auto" w:fill="FFFFFF"/>
        </w:rPr>
        <w:t>Delgado,</w:t>
      </w:r>
      <w:r w:rsidR="004C2F60" w:rsidRPr="00FA55E9">
        <w:rPr>
          <w:rFonts w:cs="Times New Roman"/>
          <w:szCs w:val="24"/>
        </w:rPr>
        <w:t xml:space="preserve"> </w:t>
      </w:r>
      <w:r w:rsidRPr="00FA55E9">
        <w:rPr>
          <w:rFonts w:cs="Times New Roman"/>
          <w:szCs w:val="24"/>
        </w:rPr>
        <w:t>(</w:t>
      </w:r>
      <w:r w:rsidR="004C2F60" w:rsidRPr="00FA55E9">
        <w:rPr>
          <w:rFonts w:cs="Times New Roman"/>
          <w:szCs w:val="24"/>
        </w:rPr>
        <w:t>2019</w:t>
      </w:r>
      <w:r w:rsidRPr="00FA55E9">
        <w:rPr>
          <w:rFonts w:cs="Times New Roman"/>
          <w:szCs w:val="24"/>
        </w:rPr>
        <w:t>), it is observed that from the late 90s of the last centuries, the banking sector of the UK started working collaboratively, and the economy of the country started experiencing a major change regarding customer communication and business professionalism.</w:t>
      </w:r>
    </w:p>
    <w:p w14:paraId="52082FDB" w14:textId="430ECFFB" w:rsidR="007A1F3B" w:rsidRPr="00FA55E9" w:rsidRDefault="00844CDD" w:rsidP="00597B97">
      <w:pPr>
        <w:spacing w:line="360" w:lineRule="auto"/>
        <w:rPr>
          <w:rFonts w:cs="Times New Roman"/>
          <w:szCs w:val="24"/>
        </w:rPr>
      </w:pPr>
      <w:r w:rsidRPr="00FA55E9">
        <w:rPr>
          <w:rFonts w:cs="Times New Roman"/>
          <w:szCs w:val="24"/>
        </w:rPr>
        <w:t>Numerous powerful forces drive the banking industry in the UK. They create an imperative for operational and customer-management changes. The landscape with an evolving nature has changed in response to the evolving forces of regulatory requirements, customer expectations, technology, market competitors, shifting economies and demographics of the country. The banking industry of the UK has embraced business policies with impactful changes in financial activities, and agility has been achieved by exploring different market practices and trends (</w:t>
      </w:r>
      <w:r w:rsidR="004C2F60" w:rsidRPr="00FA55E9">
        <w:rPr>
          <w:rFonts w:cs="Times New Roman"/>
          <w:color w:val="222222"/>
          <w:szCs w:val="24"/>
          <w:shd w:val="clear" w:color="auto" w:fill="FFFFFF"/>
        </w:rPr>
        <w:t>Maity and Sahu, 2023</w:t>
      </w:r>
      <w:r w:rsidRPr="00FA55E9">
        <w:rPr>
          <w:rFonts w:cs="Times New Roman"/>
          <w:szCs w:val="24"/>
        </w:rPr>
        <w:t xml:space="preserve">). Retooling has been programmed and the challenges in the market have </w:t>
      </w:r>
      <w:r w:rsidRPr="00FA55E9">
        <w:rPr>
          <w:rFonts w:cs="Times New Roman"/>
          <w:szCs w:val="24"/>
        </w:rPr>
        <w:lastRenderedPageBreak/>
        <w:t>been approached in a significant way to generate successful leads. An integrated form of market management, strategic emergence</w:t>
      </w:r>
      <w:r w:rsidR="008969E2" w:rsidRPr="00FA55E9">
        <w:rPr>
          <w:rFonts w:cs="Times New Roman"/>
          <w:szCs w:val="24"/>
        </w:rPr>
        <w:t>, risk regulations, customers and others has redesigned the process of financial transactions and other activities. Several real-world scale changes have been implemented by the banking sector of the UK to mitigate customer issues, and a common ground of privilege for customers from different backgrounds has been established (</w:t>
      </w:r>
      <w:proofErr w:type="spellStart"/>
      <w:r w:rsidR="004C2F60" w:rsidRPr="00FA55E9">
        <w:rPr>
          <w:rFonts w:cs="Times New Roman"/>
          <w:color w:val="222222"/>
          <w:szCs w:val="24"/>
          <w:shd w:val="clear" w:color="auto" w:fill="FFFFFF"/>
        </w:rPr>
        <w:t>Vahabi</w:t>
      </w:r>
      <w:proofErr w:type="spellEnd"/>
      <w:r w:rsidR="004C2F60" w:rsidRPr="00FA55E9">
        <w:rPr>
          <w:rFonts w:cs="Times New Roman"/>
          <w:color w:val="222222"/>
          <w:szCs w:val="24"/>
          <w:shd w:val="clear" w:color="auto" w:fill="FFFFFF"/>
        </w:rPr>
        <w:t xml:space="preserve"> et al. 2020</w:t>
      </w:r>
      <w:r w:rsidR="008969E2" w:rsidRPr="00FA55E9">
        <w:rPr>
          <w:rFonts w:cs="Times New Roman"/>
          <w:szCs w:val="24"/>
        </w:rPr>
        <w:t>). Moreover, a higher market concentration has been generated by the banking industry, and some key players in the market are Standard Chartered, HSBC, Lloyd’s Bank, Royal Bank of Scotland and Barclays. By generating opportunities for customers, they have emerged as key financial organisations, and the increasing market size with a CAGR of 1.26% has been estimated within the period of 2023-2028 (</w:t>
      </w:r>
      <w:r w:rsidR="004C2F60" w:rsidRPr="00FA55E9">
        <w:rPr>
          <w:rFonts w:cs="Times New Roman"/>
          <w:color w:val="222222"/>
          <w:szCs w:val="24"/>
          <w:shd w:val="clear" w:color="auto" w:fill="FFFFFF"/>
        </w:rPr>
        <w:t>Miralles-Quirós et al. 2019</w:t>
      </w:r>
      <w:r w:rsidR="008969E2" w:rsidRPr="00FA55E9">
        <w:rPr>
          <w:rFonts w:cs="Times New Roman"/>
          <w:szCs w:val="24"/>
        </w:rPr>
        <w:t>). Services, such as checking and savings accounts, personal loans, mortgages and debit and credit cards have changed the business outlook of the industry, and customers have benefited from the act of market management set forward by banks for positive outcomes.</w:t>
      </w:r>
    </w:p>
    <w:p w14:paraId="0088D2D6" w14:textId="5BA1DB82" w:rsidR="00844CDD" w:rsidRPr="00FA55E9" w:rsidRDefault="007A1F3B" w:rsidP="00597B97">
      <w:pPr>
        <w:spacing w:line="360" w:lineRule="auto"/>
        <w:rPr>
          <w:rFonts w:cs="Times New Roman"/>
          <w:szCs w:val="24"/>
        </w:rPr>
      </w:pPr>
      <w:r w:rsidRPr="00FA55E9">
        <w:rPr>
          <w:rFonts w:cs="Times New Roman"/>
          <w:szCs w:val="24"/>
        </w:rPr>
        <w:t xml:space="preserve">By rationalising and repurposing branches, the banking industry of the UK has integrated a successful </w:t>
      </w:r>
      <w:r w:rsidR="00B10D2B" w:rsidRPr="00FA55E9">
        <w:rPr>
          <w:rFonts w:cs="Times New Roman"/>
          <w:szCs w:val="24"/>
        </w:rPr>
        <w:t xml:space="preserve">operation of financial programmes, and the branch networks have evolved from the economic acts and mastering. The sector has reviewed regulatory compliance, cost and others, and the branches are subjected to relocate if required. </w:t>
      </w:r>
      <w:r w:rsidR="008969E2" w:rsidRPr="00FA55E9">
        <w:rPr>
          <w:rFonts w:cs="Times New Roman"/>
          <w:szCs w:val="24"/>
        </w:rPr>
        <w:t xml:space="preserve">In the meantime, the UK economy has experienced several ups and downs, especially due to Brexit issues and inflation. According to </w:t>
      </w:r>
      <w:r w:rsidR="004C2F60" w:rsidRPr="00FA55E9">
        <w:rPr>
          <w:rFonts w:cs="Times New Roman"/>
          <w:color w:val="222222"/>
          <w:szCs w:val="24"/>
          <w:shd w:val="clear" w:color="auto" w:fill="FFFFFF"/>
        </w:rPr>
        <w:t>Joshi</w:t>
      </w:r>
      <w:r w:rsidR="004C2F60" w:rsidRPr="00FA55E9">
        <w:rPr>
          <w:rFonts w:cs="Times New Roman"/>
          <w:szCs w:val="24"/>
        </w:rPr>
        <w:t xml:space="preserve"> et al. </w:t>
      </w:r>
      <w:r w:rsidR="008969E2" w:rsidRPr="00FA55E9">
        <w:rPr>
          <w:rFonts w:cs="Times New Roman"/>
          <w:szCs w:val="24"/>
        </w:rPr>
        <w:t>(</w:t>
      </w:r>
      <w:r w:rsidR="004C2F60" w:rsidRPr="00FA55E9">
        <w:rPr>
          <w:rFonts w:cs="Times New Roman"/>
          <w:szCs w:val="24"/>
        </w:rPr>
        <w:t>2020</w:t>
      </w:r>
      <w:r w:rsidR="008969E2" w:rsidRPr="00FA55E9">
        <w:rPr>
          <w:rFonts w:cs="Times New Roman"/>
          <w:szCs w:val="24"/>
        </w:rPr>
        <w:t xml:space="preserve">), the conventional supply chain management in the banking </w:t>
      </w:r>
      <w:r w:rsidRPr="00FA55E9">
        <w:rPr>
          <w:rFonts w:cs="Times New Roman"/>
          <w:szCs w:val="24"/>
        </w:rPr>
        <w:t>sector of the country has been damaged due to the lack of business relationships with other countries and cross-border issues have further affected it. The report highlights multiple acts and programming relevant to the downfall of economic practices</w:t>
      </w:r>
      <w:r w:rsidR="00B10D2B" w:rsidRPr="00FA55E9">
        <w:rPr>
          <w:rFonts w:cs="Times New Roman"/>
          <w:szCs w:val="24"/>
        </w:rPr>
        <w:t xml:space="preserve"> that have been eliminated through non-traditional technological activities, and a certain base of employees has been created to deal with customers' needs and market demands. On the other hand, the technical support has been facilitated by creative talents and business factors, based on which the steady revenue and market programming have enabled the industry to expand its market positively (</w:t>
      </w:r>
      <w:r w:rsidR="004C2F60" w:rsidRPr="00FA55E9">
        <w:rPr>
          <w:rFonts w:cs="Times New Roman"/>
          <w:color w:val="222222"/>
          <w:szCs w:val="24"/>
          <w:shd w:val="clear" w:color="auto" w:fill="FFFFFF"/>
        </w:rPr>
        <w:t>Kaur et al. 2020</w:t>
      </w:r>
      <w:r w:rsidR="00B10D2B" w:rsidRPr="00FA55E9">
        <w:rPr>
          <w:rFonts w:cs="Times New Roman"/>
          <w:szCs w:val="24"/>
        </w:rPr>
        <w:t xml:space="preserve">). Internal and external challenges adhering to financial practices have been approached with the growth of market factors and business superiority, and customer communication has been established effectively. By evaluating feedback, the industry has been successful </w:t>
      </w:r>
      <w:r w:rsidR="00E96B09" w:rsidRPr="00FA55E9">
        <w:rPr>
          <w:rFonts w:cs="Times New Roman"/>
          <w:szCs w:val="24"/>
        </w:rPr>
        <w:t>in generating</w:t>
      </w:r>
      <w:r w:rsidR="00B10D2B" w:rsidRPr="00FA55E9">
        <w:rPr>
          <w:rFonts w:cs="Times New Roman"/>
          <w:szCs w:val="24"/>
        </w:rPr>
        <w:t xml:space="preserve"> new market policies and programmes, while the generation of new insights has been beneficial for the industry to set a customer-centric view. </w:t>
      </w:r>
      <w:r w:rsidR="00E40D43" w:rsidRPr="00FA55E9">
        <w:rPr>
          <w:rFonts w:cs="Times New Roman"/>
          <w:szCs w:val="24"/>
        </w:rPr>
        <w:t>Technological</w:t>
      </w:r>
      <w:r w:rsidR="00B10D2B" w:rsidRPr="00FA55E9">
        <w:rPr>
          <w:rFonts w:cs="Times New Roman"/>
          <w:szCs w:val="24"/>
        </w:rPr>
        <w:t xml:space="preserve"> support has also reduced </w:t>
      </w:r>
      <w:r w:rsidR="00E40D43" w:rsidRPr="00FA55E9">
        <w:rPr>
          <w:rFonts w:cs="Times New Roman"/>
          <w:szCs w:val="24"/>
        </w:rPr>
        <w:t>time-consuming activities, which has impacted the growth of the industry on a major scale.</w:t>
      </w:r>
    </w:p>
    <w:p w14:paraId="1D16CF01" w14:textId="77777777" w:rsidR="008969E2" w:rsidRPr="00FA55E9" w:rsidRDefault="008969E2" w:rsidP="00597B97">
      <w:pPr>
        <w:spacing w:line="360" w:lineRule="auto"/>
        <w:rPr>
          <w:rFonts w:cs="Times New Roman"/>
          <w:szCs w:val="24"/>
        </w:rPr>
      </w:pPr>
    </w:p>
    <w:p w14:paraId="3C3EAF5D" w14:textId="422CF551" w:rsidR="006B7F90" w:rsidRPr="00FA55E9" w:rsidRDefault="006B7F90" w:rsidP="00597B97">
      <w:pPr>
        <w:spacing w:line="360" w:lineRule="auto"/>
        <w:rPr>
          <w:rFonts w:cs="Times New Roman"/>
          <w:szCs w:val="24"/>
        </w:rPr>
      </w:pPr>
      <w:r w:rsidRPr="00FA55E9">
        <w:rPr>
          <w:rFonts w:cs="Times New Roman"/>
          <w:szCs w:val="24"/>
        </w:rPr>
        <w:t xml:space="preserve">Being a significant market in Europe, the UK launched different digital market programmes for its business sector, and modern English life successfully felt the modesty and advancements. The current market status of the world is significantly </w:t>
      </w:r>
      <w:r w:rsidR="009A5D5F" w:rsidRPr="00FA55E9">
        <w:rPr>
          <w:rFonts w:cs="Times New Roman"/>
          <w:szCs w:val="24"/>
        </w:rPr>
        <w:t xml:space="preserve">empowered by technological practices and tools, and the banking sector of the UK is not an exception. The fundamental services, as well as, a complex chain of economic services </w:t>
      </w:r>
      <w:r w:rsidR="0040660C" w:rsidRPr="00FA55E9">
        <w:rPr>
          <w:rFonts w:cs="Times New Roman"/>
          <w:szCs w:val="24"/>
        </w:rPr>
        <w:t>are</w:t>
      </w:r>
      <w:r w:rsidR="009A5D5F" w:rsidRPr="00FA55E9">
        <w:rPr>
          <w:rFonts w:cs="Times New Roman"/>
          <w:szCs w:val="24"/>
        </w:rPr>
        <w:t xml:space="preserve"> provided for the people, and a customer-centric perspective is the key programme behind it</w:t>
      </w:r>
      <w:r w:rsidR="0040660C" w:rsidRPr="00FA55E9">
        <w:rPr>
          <w:rFonts w:cs="Times New Roman"/>
          <w:szCs w:val="24"/>
        </w:rPr>
        <w:t xml:space="preserve"> (</w:t>
      </w:r>
      <w:r w:rsidR="004C2F60" w:rsidRPr="00FA55E9">
        <w:rPr>
          <w:rFonts w:cs="Times New Roman"/>
          <w:color w:val="222222"/>
          <w:szCs w:val="24"/>
          <w:shd w:val="clear" w:color="auto" w:fill="FFFFFF"/>
        </w:rPr>
        <w:t>Montalbano and Montalbano, 2021</w:t>
      </w:r>
      <w:r w:rsidR="0040660C" w:rsidRPr="00FA55E9">
        <w:rPr>
          <w:rFonts w:cs="Times New Roman"/>
          <w:szCs w:val="24"/>
        </w:rPr>
        <w:t xml:space="preserve">). The emergence of advanced practices, such as AI, cloud computing, machine learning and others </w:t>
      </w:r>
      <w:r w:rsidR="00E96B09" w:rsidRPr="00FA55E9">
        <w:rPr>
          <w:rFonts w:cs="Times New Roman"/>
          <w:szCs w:val="24"/>
        </w:rPr>
        <w:t>has</w:t>
      </w:r>
      <w:r w:rsidR="0040660C" w:rsidRPr="00FA55E9">
        <w:rPr>
          <w:rFonts w:cs="Times New Roman"/>
          <w:szCs w:val="24"/>
        </w:rPr>
        <w:t xml:space="preserve"> ensured a better stakeholder policy. The automation of services has increased employee programmes and customer dealing on a significant scale, while the valuable notion of business has evolved with various positive consequences. The data storage and the exclusive access key for customers have increased customer trust and relationships regarding financial security and </w:t>
      </w:r>
      <w:r w:rsidR="00E96B09" w:rsidRPr="00FA55E9">
        <w:rPr>
          <w:rFonts w:cs="Times New Roman"/>
          <w:szCs w:val="24"/>
        </w:rPr>
        <w:t>transactions</w:t>
      </w:r>
      <w:r w:rsidR="0040660C" w:rsidRPr="00FA55E9">
        <w:rPr>
          <w:rFonts w:cs="Times New Roman"/>
          <w:szCs w:val="24"/>
        </w:rPr>
        <w:t xml:space="preserve">. </w:t>
      </w:r>
    </w:p>
    <w:p w14:paraId="42281A49" w14:textId="51CBEBAF" w:rsidR="00E40D43" w:rsidRPr="00FA55E9" w:rsidRDefault="00E40D43" w:rsidP="00597B97">
      <w:pPr>
        <w:spacing w:line="360" w:lineRule="auto"/>
        <w:rPr>
          <w:rFonts w:cs="Times New Roman"/>
          <w:szCs w:val="24"/>
        </w:rPr>
      </w:pPr>
      <w:r w:rsidRPr="00FA55E9">
        <w:rPr>
          <w:rFonts w:cs="Times New Roman"/>
          <w:szCs w:val="24"/>
        </w:rPr>
        <w:t>A sophisticated workflow has been empowered by the management by developing automation in services, and the role of AI has been significant in this regard. Banking automation has enabled different opportunities for credit unions and banks, and by rendering a better course of services, customer-centricity has been developed (</w:t>
      </w:r>
      <w:r w:rsidR="004C2F60" w:rsidRPr="00FA55E9">
        <w:rPr>
          <w:rFonts w:cs="Times New Roman"/>
          <w:color w:val="222222"/>
          <w:szCs w:val="24"/>
          <w:shd w:val="clear" w:color="auto" w:fill="FFFFFF"/>
        </w:rPr>
        <w:t>Zhao et al. 2019</w:t>
      </w:r>
      <w:r w:rsidRPr="00FA55E9">
        <w:rPr>
          <w:rFonts w:cs="Times New Roman"/>
          <w:szCs w:val="24"/>
        </w:rPr>
        <w:t xml:space="preserve">). Banks in the UK provide multiple channels to customers to access their finances, based on which the satisfactory scale is increased. The channels appear as the tools to deal with </w:t>
      </w:r>
      <w:r w:rsidR="00425BAD" w:rsidRPr="00FA55E9">
        <w:rPr>
          <w:rFonts w:cs="Times New Roman"/>
          <w:szCs w:val="24"/>
        </w:rPr>
        <w:t>customers and customer interaction through online and in-branch services create opportunities for them. The central role of chief operating officers has changed with time and a centralised infrastructure has been developed for monitoring and managing different financial activities. Redesigned services and tools have changed the market projection and business values, while the privilege of customers has been restored in new forms (</w:t>
      </w:r>
      <w:proofErr w:type="spellStart"/>
      <w:r w:rsidR="004C2F60" w:rsidRPr="00FA55E9">
        <w:rPr>
          <w:rFonts w:cs="Times New Roman"/>
          <w:color w:val="222222"/>
          <w:szCs w:val="24"/>
          <w:shd w:val="clear" w:color="auto" w:fill="FFFFFF"/>
        </w:rPr>
        <w:t>Almoneef</w:t>
      </w:r>
      <w:proofErr w:type="spellEnd"/>
      <w:r w:rsidR="004C2F60" w:rsidRPr="00FA55E9">
        <w:rPr>
          <w:rFonts w:cs="Times New Roman"/>
          <w:color w:val="222222"/>
          <w:szCs w:val="24"/>
          <w:shd w:val="clear" w:color="auto" w:fill="FFFFFF"/>
        </w:rPr>
        <w:t xml:space="preserve"> and </w:t>
      </w:r>
      <w:proofErr w:type="spellStart"/>
      <w:r w:rsidR="004C2F60" w:rsidRPr="00FA55E9">
        <w:rPr>
          <w:rFonts w:cs="Times New Roman"/>
          <w:color w:val="222222"/>
          <w:szCs w:val="24"/>
          <w:shd w:val="clear" w:color="auto" w:fill="FFFFFF"/>
        </w:rPr>
        <w:t>Samontaray</w:t>
      </w:r>
      <w:proofErr w:type="spellEnd"/>
      <w:r w:rsidR="004C2F60" w:rsidRPr="00FA55E9">
        <w:rPr>
          <w:rFonts w:cs="Times New Roman"/>
          <w:color w:val="222222"/>
          <w:szCs w:val="24"/>
          <w:shd w:val="clear" w:color="auto" w:fill="FFFFFF"/>
        </w:rPr>
        <w:t>, 2019</w:t>
      </w:r>
      <w:r w:rsidR="00425BAD" w:rsidRPr="00FA55E9">
        <w:rPr>
          <w:rFonts w:cs="Times New Roman"/>
          <w:szCs w:val="24"/>
        </w:rPr>
        <w:t xml:space="preserve">). A targeted operating model has been generated and the misconception regarding financial activities has been removed by the industry to proceed with business factors and business evaluation. The agility of the banking sector in the UK follows the waterfall model, based on which the core operations in the market have benefited and the security of work has been empowered. Minimalised banking has been enabled by technological practices, while the market environment has been channelled through simplified processes and short-term practices have also benefited from it. Being digitally enabled, the banking sector of the UK has produced a progressive business value and the changes have been adopted with definite market plans and practices. However, the emergence of choices for customers has increased and being pertinent to processes, such as underwriting </w:t>
      </w:r>
      <w:r w:rsidR="00425BAD" w:rsidRPr="00FA55E9">
        <w:rPr>
          <w:rFonts w:cs="Times New Roman"/>
          <w:szCs w:val="24"/>
        </w:rPr>
        <w:lastRenderedPageBreak/>
        <w:t>and credit scoring, the banking sector of the UK has successfully procured market opportunities.</w:t>
      </w:r>
    </w:p>
    <w:p w14:paraId="32F7412F" w14:textId="4A532476" w:rsidR="00FB25EC" w:rsidRPr="00FA55E9" w:rsidRDefault="00FB25EC" w:rsidP="00597B97">
      <w:pPr>
        <w:spacing w:line="360" w:lineRule="auto"/>
        <w:rPr>
          <w:rFonts w:cs="Times New Roman"/>
          <w:szCs w:val="24"/>
        </w:rPr>
      </w:pPr>
      <w:r w:rsidRPr="00FA55E9">
        <w:rPr>
          <w:rFonts w:cs="Times New Roman"/>
          <w:szCs w:val="24"/>
        </w:rPr>
        <w:t>The banking segmentation has been critically performed by the industry so that different aspects of financial activities can empower the growth of business with a better decision-making and problem-solving approach. Banking automation and practices have programmed a strict data regulation practice, as the demand for innovative methods is high in nature (</w:t>
      </w:r>
      <w:proofErr w:type="spellStart"/>
      <w:r w:rsidR="004C2F60" w:rsidRPr="00FA55E9">
        <w:rPr>
          <w:rFonts w:cs="Times New Roman"/>
          <w:color w:val="222222"/>
          <w:szCs w:val="24"/>
          <w:shd w:val="clear" w:color="auto" w:fill="FFFFFF"/>
        </w:rPr>
        <w:t>Moşteanu</w:t>
      </w:r>
      <w:proofErr w:type="spellEnd"/>
      <w:r w:rsidR="004C2F60" w:rsidRPr="00FA55E9">
        <w:rPr>
          <w:rFonts w:cs="Times New Roman"/>
          <w:color w:val="222222"/>
          <w:szCs w:val="24"/>
          <w:shd w:val="clear" w:color="auto" w:fill="FFFFFF"/>
        </w:rPr>
        <w:t xml:space="preserve"> et al. 2020</w:t>
      </w:r>
      <w:r w:rsidRPr="00FA55E9">
        <w:rPr>
          <w:rFonts w:cs="Times New Roman"/>
          <w:szCs w:val="24"/>
        </w:rPr>
        <w:t xml:space="preserve">). The market thoughts and ideas to empower the scale of business are exclusively customer-centric, while the credibility of organisations has been generated through services and communication. Moreover, the essential values of instantaneous information, rapid digital transformation and optimal customer experience have been generated to empower the customer-centric growth of the industry. According to </w:t>
      </w:r>
      <w:proofErr w:type="spellStart"/>
      <w:r w:rsidR="004C2F60" w:rsidRPr="00FA55E9">
        <w:rPr>
          <w:rFonts w:cs="Times New Roman"/>
          <w:color w:val="222222"/>
          <w:szCs w:val="24"/>
          <w:shd w:val="clear" w:color="auto" w:fill="FFFFFF"/>
        </w:rPr>
        <w:t>Wewege</w:t>
      </w:r>
      <w:proofErr w:type="spellEnd"/>
      <w:r w:rsidR="004C2F60" w:rsidRPr="00FA55E9">
        <w:rPr>
          <w:rFonts w:cs="Times New Roman"/>
          <w:szCs w:val="24"/>
        </w:rPr>
        <w:t xml:space="preserve"> et al. </w:t>
      </w:r>
      <w:r w:rsidRPr="00FA55E9">
        <w:rPr>
          <w:rFonts w:cs="Times New Roman"/>
          <w:szCs w:val="24"/>
        </w:rPr>
        <w:t>(</w:t>
      </w:r>
      <w:r w:rsidR="004C2F60" w:rsidRPr="00FA55E9">
        <w:rPr>
          <w:rFonts w:cs="Times New Roman"/>
          <w:szCs w:val="24"/>
        </w:rPr>
        <w:t>2020</w:t>
      </w:r>
      <w:r w:rsidRPr="00FA55E9">
        <w:rPr>
          <w:rFonts w:cs="Times New Roman"/>
          <w:szCs w:val="24"/>
        </w:rPr>
        <w:t xml:space="preserve">), with the implication of technological processes, digital banks in the UK have reduced the cost-to-income ratio by 10-15% than the incumbent traditional banks. The report also suggests a study by the “Autonomous Research Forecasts”, which has identified that through AI technologies operating cost of the UK banks will be reduced by 22% by 2030. On the other hand, </w:t>
      </w:r>
      <w:proofErr w:type="spellStart"/>
      <w:r w:rsidR="004C2F60" w:rsidRPr="00FA55E9">
        <w:rPr>
          <w:rFonts w:cs="Times New Roman"/>
          <w:color w:val="222222"/>
          <w:szCs w:val="24"/>
          <w:shd w:val="clear" w:color="auto" w:fill="FFFFFF"/>
        </w:rPr>
        <w:t>Suhel</w:t>
      </w:r>
      <w:proofErr w:type="spellEnd"/>
      <w:r w:rsidR="004C2F60" w:rsidRPr="00FA55E9">
        <w:rPr>
          <w:rFonts w:cs="Times New Roman"/>
          <w:szCs w:val="24"/>
        </w:rPr>
        <w:t xml:space="preserve"> et al. </w:t>
      </w:r>
      <w:r w:rsidRPr="00FA55E9">
        <w:rPr>
          <w:rFonts w:cs="Times New Roman"/>
          <w:szCs w:val="24"/>
        </w:rPr>
        <w:t>(</w:t>
      </w:r>
      <w:r w:rsidR="004C2F60" w:rsidRPr="00FA55E9">
        <w:rPr>
          <w:rFonts w:cs="Times New Roman"/>
          <w:szCs w:val="24"/>
        </w:rPr>
        <w:t>2020</w:t>
      </w:r>
      <w:r w:rsidRPr="00FA55E9">
        <w:rPr>
          <w:rFonts w:cs="Times New Roman"/>
          <w:szCs w:val="24"/>
        </w:rPr>
        <w:t>), mention that the methodological progress to deal wi</w:t>
      </w:r>
      <w:r w:rsidR="002C2D26" w:rsidRPr="00FA55E9">
        <w:rPr>
          <w:rFonts w:cs="Times New Roman"/>
          <w:szCs w:val="24"/>
        </w:rPr>
        <w:t xml:space="preserve">th market programmes has been diverse in nature, and different banks use technologies in different programmes for the </w:t>
      </w:r>
      <w:r w:rsidR="007E1841" w:rsidRPr="00FA55E9">
        <w:rPr>
          <w:rFonts w:cs="Times New Roman"/>
          <w:szCs w:val="24"/>
        </w:rPr>
        <w:t xml:space="preserve">effective </w:t>
      </w:r>
      <w:r w:rsidR="002C2D26" w:rsidRPr="00FA55E9">
        <w:rPr>
          <w:rFonts w:cs="Times New Roman"/>
          <w:szCs w:val="24"/>
        </w:rPr>
        <w:t xml:space="preserve">development of business </w:t>
      </w:r>
      <w:r w:rsidR="007E1841" w:rsidRPr="00FA55E9">
        <w:rPr>
          <w:rFonts w:cs="Times New Roman"/>
          <w:szCs w:val="24"/>
        </w:rPr>
        <w:t>scenarios</w:t>
      </w:r>
      <w:r w:rsidR="002C2D26" w:rsidRPr="00FA55E9">
        <w:rPr>
          <w:rFonts w:cs="Times New Roman"/>
          <w:szCs w:val="24"/>
        </w:rPr>
        <w:t xml:space="preserve"> </w:t>
      </w:r>
      <w:r w:rsidR="007E1841" w:rsidRPr="00FA55E9">
        <w:rPr>
          <w:rFonts w:cs="Times New Roman"/>
          <w:szCs w:val="24"/>
        </w:rPr>
        <w:t>with different purposes.</w:t>
      </w:r>
    </w:p>
    <w:p w14:paraId="0E332DD9" w14:textId="685633AB" w:rsidR="007E1841" w:rsidRPr="00FA55E9" w:rsidRDefault="007E1841" w:rsidP="00597B97">
      <w:pPr>
        <w:spacing w:line="360" w:lineRule="auto"/>
        <w:rPr>
          <w:rFonts w:cs="Times New Roman"/>
          <w:szCs w:val="24"/>
        </w:rPr>
      </w:pPr>
      <w:r w:rsidRPr="00FA55E9">
        <w:rPr>
          <w:rFonts w:cs="Times New Roman"/>
          <w:szCs w:val="24"/>
        </w:rPr>
        <w:t xml:space="preserve">Deploying automation in the UK banking sector has been effective </w:t>
      </w:r>
      <w:r w:rsidR="00E96B09" w:rsidRPr="00FA55E9">
        <w:rPr>
          <w:rFonts w:cs="Times New Roman"/>
          <w:szCs w:val="24"/>
        </w:rPr>
        <w:t>in creating</w:t>
      </w:r>
      <w:r w:rsidRPr="00FA55E9">
        <w:rPr>
          <w:rFonts w:cs="Times New Roman"/>
          <w:szCs w:val="24"/>
        </w:rPr>
        <w:t xml:space="preserve"> different market leads, and by adopting “Robotic </w:t>
      </w:r>
      <w:r w:rsidR="00317F01">
        <w:rPr>
          <w:rFonts w:cs="Times New Roman"/>
          <w:szCs w:val="24"/>
        </w:rPr>
        <w:t>process automation</w:t>
      </w:r>
      <w:r w:rsidRPr="00FA55E9">
        <w:rPr>
          <w:rFonts w:cs="Times New Roman"/>
          <w:szCs w:val="24"/>
        </w:rPr>
        <w:t xml:space="preserve">” intelligent bots have been created </w:t>
      </w:r>
      <w:r w:rsidR="00E96B09" w:rsidRPr="00FA55E9">
        <w:rPr>
          <w:rFonts w:cs="Times New Roman"/>
          <w:szCs w:val="24"/>
        </w:rPr>
        <w:t>to provide</w:t>
      </w:r>
      <w:r w:rsidRPr="00FA55E9">
        <w:rPr>
          <w:rFonts w:cs="Times New Roman"/>
          <w:szCs w:val="24"/>
        </w:rPr>
        <w:t xml:space="preserve"> better services and growth. The future aspects of providing opportunities for customers have further benefited from it. The decision-making and problem-solving practices are also monitored for the financial growth of the business and the industry experiences a broader spectrum of opportunities regarding the advantages of business and financial forecasting (</w:t>
      </w:r>
      <w:proofErr w:type="spellStart"/>
      <w:r w:rsidR="004C2F60" w:rsidRPr="00FA55E9">
        <w:rPr>
          <w:rFonts w:cs="Times New Roman"/>
          <w:color w:val="222222"/>
          <w:szCs w:val="24"/>
          <w:shd w:val="clear" w:color="auto" w:fill="FFFFFF"/>
        </w:rPr>
        <w:t>Golovkova</w:t>
      </w:r>
      <w:proofErr w:type="spellEnd"/>
      <w:r w:rsidR="004C2F60" w:rsidRPr="00FA55E9">
        <w:rPr>
          <w:rFonts w:cs="Times New Roman"/>
          <w:color w:val="222222"/>
          <w:szCs w:val="24"/>
          <w:shd w:val="clear" w:color="auto" w:fill="FFFFFF"/>
        </w:rPr>
        <w:t xml:space="preserve"> et al. 2019</w:t>
      </w:r>
      <w:r w:rsidRPr="00FA55E9">
        <w:rPr>
          <w:rFonts w:cs="Times New Roman"/>
          <w:szCs w:val="24"/>
        </w:rPr>
        <w:t xml:space="preserve">). The evaluation of the sector suggests that the technical assembly and assimilation of different ideas have accelerated the programmes, such as payment authorisation, and data analytics has been beneficial for banking activities. A broader aspect of </w:t>
      </w:r>
      <w:r w:rsidR="00754165" w:rsidRPr="00FA55E9">
        <w:rPr>
          <w:rFonts w:cs="Times New Roman"/>
          <w:szCs w:val="24"/>
        </w:rPr>
        <w:t xml:space="preserve">banking activities has been created with a global view, and the European economy and its changes have further been prioritised by the sector for the growth of market programming and business effectiveness. Ethnicity, gender, religion, culture and other social factors have become inseparable aspects of market creativities, and the banking sector of the UK has benefited from open data and open finance. According to </w:t>
      </w:r>
      <w:bookmarkStart w:id="6" w:name="_Hlk140854435"/>
      <w:r w:rsidR="004C2F60" w:rsidRPr="00FA55E9">
        <w:rPr>
          <w:rFonts w:cs="Times New Roman"/>
          <w:color w:val="222222"/>
          <w:szCs w:val="24"/>
          <w:shd w:val="clear" w:color="auto" w:fill="FFFFFF"/>
        </w:rPr>
        <w:t xml:space="preserve">Khalid, and </w:t>
      </w:r>
      <w:proofErr w:type="spellStart"/>
      <w:r w:rsidR="004C2F60" w:rsidRPr="00FA55E9">
        <w:rPr>
          <w:rFonts w:cs="Times New Roman"/>
          <w:color w:val="222222"/>
          <w:szCs w:val="24"/>
          <w:shd w:val="clear" w:color="auto" w:fill="FFFFFF"/>
        </w:rPr>
        <w:t>Kunhibava</w:t>
      </w:r>
      <w:proofErr w:type="spellEnd"/>
      <w:r w:rsidR="004C2F60" w:rsidRPr="00FA55E9">
        <w:rPr>
          <w:rFonts w:cs="Times New Roman"/>
          <w:color w:val="222222"/>
          <w:szCs w:val="24"/>
          <w:shd w:val="clear" w:color="auto" w:fill="FFFFFF"/>
        </w:rPr>
        <w:t>,</w:t>
      </w:r>
      <w:bookmarkEnd w:id="6"/>
      <w:r w:rsidR="004C2F60" w:rsidRPr="00FA55E9">
        <w:rPr>
          <w:rFonts w:cs="Times New Roman"/>
          <w:color w:val="222222"/>
          <w:szCs w:val="24"/>
          <w:shd w:val="clear" w:color="auto" w:fill="FFFFFF"/>
        </w:rPr>
        <w:t xml:space="preserve"> </w:t>
      </w:r>
      <w:r w:rsidR="00754165" w:rsidRPr="00FA55E9">
        <w:rPr>
          <w:rFonts w:cs="Times New Roman"/>
          <w:szCs w:val="24"/>
        </w:rPr>
        <w:t>(</w:t>
      </w:r>
      <w:r w:rsidR="004C2F60" w:rsidRPr="00FA55E9">
        <w:rPr>
          <w:rFonts w:cs="Times New Roman"/>
          <w:szCs w:val="24"/>
        </w:rPr>
        <w:t>2021</w:t>
      </w:r>
      <w:r w:rsidR="00754165" w:rsidRPr="00FA55E9">
        <w:rPr>
          <w:rFonts w:cs="Times New Roman"/>
          <w:szCs w:val="24"/>
        </w:rPr>
        <w:t xml:space="preserve">), “data-driven customer experiences” </w:t>
      </w:r>
      <w:r w:rsidR="00E96B09" w:rsidRPr="00FA55E9">
        <w:rPr>
          <w:rFonts w:cs="Times New Roman"/>
          <w:szCs w:val="24"/>
        </w:rPr>
        <w:t>have</w:t>
      </w:r>
      <w:r w:rsidR="00754165" w:rsidRPr="00FA55E9">
        <w:rPr>
          <w:rFonts w:cs="Times New Roman"/>
          <w:szCs w:val="24"/>
        </w:rPr>
        <w:t xml:space="preserve"> helped the sector to programme “open banking data-sharing </w:t>
      </w:r>
      <w:r w:rsidR="00754165" w:rsidRPr="00FA55E9">
        <w:rPr>
          <w:rFonts w:cs="Times New Roman"/>
          <w:szCs w:val="24"/>
        </w:rPr>
        <w:lastRenderedPageBreak/>
        <w:t>principles”, which is also beneficial for the future of works and market programming.</w:t>
      </w:r>
      <w:r w:rsidR="004C2F60" w:rsidRPr="00FA55E9">
        <w:rPr>
          <w:rFonts w:cs="Times New Roman"/>
          <w:szCs w:val="24"/>
        </w:rPr>
        <w:t xml:space="preserve"> Open banking and open finance have shaped the fortune of the UK banking sector in an exclusive pathway, and the digital programming for transactions, investments and others has made the sector more innovative </w:t>
      </w:r>
      <w:r w:rsidR="00E96B09" w:rsidRPr="00FA55E9">
        <w:rPr>
          <w:rFonts w:cs="Times New Roman"/>
          <w:szCs w:val="24"/>
        </w:rPr>
        <w:t>in dealing</w:t>
      </w:r>
      <w:r w:rsidR="004C2F60" w:rsidRPr="00FA55E9">
        <w:rPr>
          <w:rFonts w:cs="Times New Roman"/>
          <w:szCs w:val="24"/>
        </w:rPr>
        <w:t xml:space="preserve"> with customers.</w:t>
      </w:r>
    </w:p>
    <w:p w14:paraId="4F22DFBA" w14:textId="2D32C85B" w:rsidR="00754165" w:rsidRPr="00FA55E9" w:rsidRDefault="00754165" w:rsidP="00597B97">
      <w:pPr>
        <w:spacing w:line="360" w:lineRule="auto"/>
        <w:rPr>
          <w:rFonts w:cs="Times New Roman"/>
          <w:szCs w:val="24"/>
        </w:rPr>
      </w:pPr>
      <w:r w:rsidRPr="00FA55E9">
        <w:rPr>
          <w:rFonts w:cs="Times New Roman"/>
          <w:szCs w:val="24"/>
        </w:rPr>
        <w:t xml:space="preserve">Third-party providers are distinct in nature, while innovative values and market management have enforced the industry’s outlook with constant support to empower business values. </w:t>
      </w:r>
      <w:r w:rsidR="00170B29" w:rsidRPr="00FA55E9">
        <w:rPr>
          <w:rFonts w:cs="Times New Roman"/>
          <w:szCs w:val="24"/>
        </w:rPr>
        <w:t>In 202</w:t>
      </w:r>
      <w:r w:rsidR="004C2F60" w:rsidRPr="00FA55E9">
        <w:rPr>
          <w:rFonts w:cs="Times New Roman"/>
          <w:szCs w:val="24"/>
        </w:rPr>
        <w:t>0</w:t>
      </w:r>
      <w:r w:rsidR="00170B29" w:rsidRPr="00FA55E9">
        <w:rPr>
          <w:rFonts w:cs="Times New Roman"/>
          <w:szCs w:val="24"/>
        </w:rPr>
        <w:t>, the industry successfully initiated a better platform with data-sharing and open finance, based on which the customer-centric values and segmentations have benefited from different market thoughts and business ideas (</w:t>
      </w:r>
      <w:bookmarkStart w:id="7" w:name="_Hlk140854542"/>
      <w:r w:rsidR="004C2F60" w:rsidRPr="00FA55E9">
        <w:rPr>
          <w:rFonts w:cs="Times New Roman"/>
          <w:color w:val="222222"/>
          <w:szCs w:val="24"/>
          <w:shd w:val="clear" w:color="auto" w:fill="FFFFFF"/>
        </w:rPr>
        <w:t>Joshi</w:t>
      </w:r>
      <w:bookmarkEnd w:id="7"/>
      <w:r w:rsidR="004C2F60" w:rsidRPr="00FA55E9">
        <w:rPr>
          <w:rFonts w:cs="Times New Roman"/>
          <w:color w:val="222222"/>
          <w:szCs w:val="24"/>
          <w:shd w:val="clear" w:color="auto" w:fill="FFFFFF"/>
        </w:rPr>
        <w:t xml:space="preserve"> et al. 2020</w:t>
      </w:r>
      <w:r w:rsidR="00170B29" w:rsidRPr="00FA55E9">
        <w:rPr>
          <w:rFonts w:cs="Times New Roman"/>
          <w:szCs w:val="24"/>
        </w:rPr>
        <w:t xml:space="preserve">). The development of the “Open Banking Implementation Entity” has changed the conventional outlook of the industry.  According to </w:t>
      </w:r>
      <w:bookmarkStart w:id="8" w:name="_Hlk140854562"/>
      <w:r w:rsidR="004C2F60" w:rsidRPr="00FA55E9">
        <w:rPr>
          <w:rFonts w:cs="Times New Roman"/>
          <w:color w:val="222222"/>
          <w:szCs w:val="24"/>
          <w:shd w:val="clear" w:color="auto" w:fill="FFFFFF"/>
        </w:rPr>
        <w:t>Kaur</w:t>
      </w:r>
      <w:bookmarkEnd w:id="8"/>
      <w:r w:rsidR="004C2F60" w:rsidRPr="00FA55E9">
        <w:rPr>
          <w:rFonts w:cs="Times New Roman"/>
          <w:szCs w:val="24"/>
        </w:rPr>
        <w:t xml:space="preserve"> et al. </w:t>
      </w:r>
      <w:r w:rsidR="00170B29" w:rsidRPr="00FA55E9">
        <w:rPr>
          <w:rFonts w:cs="Times New Roman"/>
          <w:szCs w:val="24"/>
        </w:rPr>
        <w:t>(</w:t>
      </w:r>
      <w:r w:rsidR="004C2F60" w:rsidRPr="00FA55E9">
        <w:rPr>
          <w:rFonts w:cs="Times New Roman"/>
          <w:szCs w:val="24"/>
        </w:rPr>
        <w:t>2020</w:t>
      </w:r>
      <w:r w:rsidR="00170B29" w:rsidRPr="00FA55E9">
        <w:rPr>
          <w:rFonts w:cs="Times New Roman"/>
          <w:szCs w:val="24"/>
        </w:rPr>
        <w:t>), the number of users in the case of open banking has crossed 2 million and European clients experience a wider notion of services as to personal needs and demands. The individual values of customers have increased and the centrality of the industry has become keener to create financial and service opportunities for customers, even in the situation of different national issues.</w:t>
      </w:r>
    </w:p>
    <w:p w14:paraId="59C46DF5" w14:textId="20252C82" w:rsidR="00425BAD" w:rsidRPr="00FA55E9" w:rsidRDefault="00170B29" w:rsidP="00597B97">
      <w:pPr>
        <w:spacing w:line="360" w:lineRule="auto"/>
        <w:rPr>
          <w:rFonts w:cs="Times New Roman"/>
          <w:szCs w:val="24"/>
        </w:rPr>
      </w:pPr>
      <w:r w:rsidRPr="00FA55E9">
        <w:rPr>
          <w:rFonts w:cs="Times New Roman"/>
          <w:szCs w:val="24"/>
        </w:rPr>
        <w:t xml:space="preserve">In this context, the research will be generated and different segments of the UK banking industry will be </w:t>
      </w:r>
      <w:r w:rsidR="0073789C" w:rsidRPr="00FA55E9">
        <w:rPr>
          <w:rFonts w:cs="Times New Roman"/>
          <w:szCs w:val="24"/>
        </w:rPr>
        <w:t>evaluated critically. A set of aims and objectives will be identified in the research, as well as, several research questions will also be identified for performing the research with academic perspectives. The research will be performed through secondary data, and statistics and data will be collected as per the aims and objectives. A literature review will be produced, and a critical discussion of the UK banking sector and its customer-centric notion will be performed. A set of recommendations for better market activities will also be carefully identified.</w:t>
      </w:r>
    </w:p>
    <w:p w14:paraId="7EFB863C" w14:textId="7467C89E" w:rsidR="00B931C4" w:rsidRPr="00FA55E9" w:rsidRDefault="004C2F60" w:rsidP="004C2F60">
      <w:pPr>
        <w:pStyle w:val="Heading2"/>
      </w:pPr>
      <w:bookmarkStart w:id="9" w:name="_Toc140859113"/>
      <w:bookmarkStart w:id="10" w:name="_Toc145004274"/>
      <w:bookmarkStart w:id="11" w:name="_Toc145078390"/>
      <w:r w:rsidRPr="00FA55E9">
        <w:t xml:space="preserve">1.2 </w:t>
      </w:r>
      <w:r w:rsidR="00B931C4" w:rsidRPr="00FA55E9">
        <w:t>Research Rationale</w:t>
      </w:r>
      <w:bookmarkEnd w:id="9"/>
      <w:bookmarkEnd w:id="10"/>
      <w:bookmarkEnd w:id="11"/>
    </w:p>
    <w:p w14:paraId="4348FFAB" w14:textId="264AE735" w:rsidR="0073789C" w:rsidRPr="00FA55E9" w:rsidRDefault="0073789C" w:rsidP="0073789C">
      <w:pPr>
        <w:spacing w:line="360" w:lineRule="auto"/>
        <w:rPr>
          <w:rFonts w:cs="Times New Roman"/>
          <w:szCs w:val="24"/>
        </w:rPr>
      </w:pPr>
      <w:r w:rsidRPr="00FA55E9">
        <w:rPr>
          <w:rFonts w:cs="Times New Roman"/>
          <w:szCs w:val="24"/>
        </w:rPr>
        <w:t xml:space="preserve">The research is valuable to perform as it will analyse the banking industry of the UK, as well as, the resources it </w:t>
      </w:r>
      <w:r w:rsidR="00A26D85" w:rsidRPr="00FA55E9">
        <w:rPr>
          <w:rFonts w:cs="Times New Roman"/>
          <w:szCs w:val="24"/>
        </w:rPr>
        <w:t>uses</w:t>
      </w:r>
      <w:r w:rsidRPr="00FA55E9">
        <w:rPr>
          <w:rFonts w:cs="Times New Roman"/>
          <w:szCs w:val="24"/>
        </w:rPr>
        <w:t xml:space="preserve"> to create a steady market format in the country.</w:t>
      </w:r>
      <w:r w:rsidR="00A26D85" w:rsidRPr="00FA55E9">
        <w:rPr>
          <w:rFonts w:cs="Times New Roman"/>
          <w:szCs w:val="24"/>
        </w:rPr>
        <w:t xml:space="preserve"> The research is also valuable as the discussion will proceed regarding the sociocultural and socioeconomic values of the country and its relationship with the banking industry. The study is relevant due to its perception of the customer-centricity of the banking industry, and it will also look into the growth factors procured by the industry in the domestic market of the UK. Multiple banks and their performance will be evaluated, and the research is significant to understand the future programmes developed by the industry to secure its flow of work as per the economic needs of </w:t>
      </w:r>
      <w:r w:rsidR="00A26D85" w:rsidRPr="00FA55E9">
        <w:rPr>
          <w:rFonts w:cs="Times New Roman"/>
          <w:szCs w:val="24"/>
        </w:rPr>
        <w:lastRenderedPageBreak/>
        <w:t>the country and individuals (</w:t>
      </w:r>
      <w:bookmarkStart w:id="12" w:name="_Hlk140854581"/>
      <w:r w:rsidR="004C2F60" w:rsidRPr="00FA55E9">
        <w:rPr>
          <w:rFonts w:cs="Times New Roman"/>
          <w:color w:val="222222"/>
          <w:szCs w:val="24"/>
          <w:shd w:val="clear" w:color="auto" w:fill="FFFFFF"/>
        </w:rPr>
        <w:t>Montalbano and Montalbano,</w:t>
      </w:r>
      <w:bookmarkEnd w:id="12"/>
      <w:r w:rsidR="004C2F60" w:rsidRPr="00FA55E9">
        <w:rPr>
          <w:rFonts w:cs="Times New Roman"/>
          <w:color w:val="222222"/>
          <w:szCs w:val="24"/>
          <w:shd w:val="clear" w:color="auto" w:fill="FFFFFF"/>
        </w:rPr>
        <w:t xml:space="preserve"> 2021</w:t>
      </w:r>
      <w:r w:rsidR="00A26D85" w:rsidRPr="00FA55E9">
        <w:rPr>
          <w:rFonts w:cs="Times New Roman"/>
          <w:szCs w:val="24"/>
        </w:rPr>
        <w:t xml:space="preserve">). The challenges faced by the industry will be evaluated in the research and it is important to conduct the study under certain observations, </w:t>
      </w:r>
      <w:r w:rsidR="00E96B09" w:rsidRPr="00FA55E9">
        <w:rPr>
          <w:rFonts w:cs="Times New Roman"/>
          <w:szCs w:val="24"/>
        </w:rPr>
        <w:t>aims</w:t>
      </w:r>
      <w:r w:rsidR="00A26D85" w:rsidRPr="00FA55E9">
        <w:rPr>
          <w:rFonts w:cs="Times New Roman"/>
          <w:szCs w:val="24"/>
        </w:rPr>
        <w:t xml:space="preserve"> and objectives to understand the consequences of the issues affecting the conventional flow of the sector. Moreover, as the research will identify different remedies to mitigate issues and increase customer values, it is significant to perform, based on multiple secondary data.</w:t>
      </w:r>
      <w:r w:rsidR="00725D19" w:rsidRPr="00FA55E9">
        <w:rPr>
          <w:rFonts w:cs="Times New Roman"/>
          <w:szCs w:val="24"/>
        </w:rPr>
        <w:t xml:space="preserve"> The research is important to procure overall knowledge regarding the banking sector of the UK, and secondary findings will be critically analysed for a better understanding.</w:t>
      </w:r>
    </w:p>
    <w:p w14:paraId="18A3A50C" w14:textId="0E2717EB" w:rsidR="005F0587" w:rsidRPr="00FA55E9" w:rsidRDefault="005F0587" w:rsidP="005F0587">
      <w:pPr>
        <w:pStyle w:val="Heading2"/>
      </w:pPr>
      <w:bookmarkStart w:id="13" w:name="_Toc140859114"/>
      <w:bookmarkStart w:id="14" w:name="_Toc145004275"/>
      <w:bookmarkStart w:id="15" w:name="_Toc145078391"/>
      <w:r w:rsidRPr="00FA55E9">
        <w:t>1.3 Problem Statement</w:t>
      </w:r>
      <w:bookmarkEnd w:id="13"/>
      <w:bookmarkEnd w:id="14"/>
      <w:bookmarkEnd w:id="15"/>
    </w:p>
    <w:p w14:paraId="5D518D0A" w14:textId="5571F34D" w:rsidR="005F0587" w:rsidRPr="00FA55E9" w:rsidRDefault="005F0587" w:rsidP="005F0587">
      <w:pPr>
        <w:spacing w:line="360" w:lineRule="auto"/>
        <w:rPr>
          <w:rFonts w:cs="Times New Roman"/>
          <w:szCs w:val="24"/>
        </w:rPr>
      </w:pPr>
      <w:r w:rsidRPr="00FA55E9">
        <w:rPr>
          <w:rFonts w:cs="Times New Roman"/>
          <w:szCs w:val="24"/>
        </w:rPr>
        <w:t>The banking sector of the UK leads the economic growth of the country and its different segments play a pivotal role in the case of programming business opportunities. Amidst the growing notion, valuing customer satisfaction is a key factor for the industry to act as per market requirements, while the opportunities are created as per the market trends and economic changes</w:t>
      </w:r>
      <w:r w:rsidR="00DE0F23" w:rsidRPr="00FA55E9">
        <w:rPr>
          <w:rFonts w:cs="Times New Roman"/>
          <w:szCs w:val="24"/>
        </w:rPr>
        <w:t xml:space="preserve"> (</w:t>
      </w:r>
      <w:proofErr w:type="spellStart"/>
      <w:r w:rsidR="00DE0F23" w:rsidRPr="00FA55E9">
        <w:rPr>
          <w:rFonts w:cs="Times New Roman"/>
          <w:color w:val="222222"/>
          <w:szCs w:val="24"/>
          <w:shd w:val="clear" w:color="auto" w:fill="FFFFFF"/>
        </w:rPr>
        <w:t>Moşteanu</w:t>
      </w:r>
      <w:proofErr w:type="spellEnd"/>
      <w:r w:rsidR="00DE0F23" w:rsidRPr="00FA55E9">
        <w:rPr>
          <w:rFonts w:cs="Times New Roman"/>
          <w:color w:val="222222"/>
          <w:szCs w:val="24"/>
          <w:shd w:val="clear" w:color="auto" w:fill="FFFFFF"/>
        </w:rPr>
        <w:t xml:space="preserve"> et al. 2020).</w:t>
      </w:r>
      <w:r w:rsidRPr="00FA55E9">
        <w:rPr>
          <w:rFonts w:cs="Times New Roman"/>
          <w:szCs w:val="24"/>
        </w:rPr>
        <w:t xml:space="preserve"> The research aims to understand the professional and personal needs of customers regarding monetary acts and activities. The challenges at different levels of commerce will also be identified by the researcher in the concerned research.</w:t>
      </w:r>
    </w:p>
    <w:p w14:paraId="13DFBF9C" w14:textId="041E6DA4" w:rsidR="00B931C4" w:rsidRPr="00FA55E9" w:rsidRDefault="004C2F60" w:rsidP="004C2F60">
      <w:pPr>
        <w:pStyle w:val="Heading2"/>
      </w:pPr>
      <w:bookmarkStart w:id="16" w:name="_Toc140859115"/>
      <w:bookmarkStart w:id="17" w:name="_Toc145004276"/>
      <w:bookmarkStart w:id="18" w:name="_Toc145078392"/>
      <w:r w:rsidRPr="00FA55E9">
        <w:t>1.</w:t>
      </w:r>
      <w:r w:rsidR="005F0587" w:rsidRPr="00FA55E9">
        <w:t>4</w:t>
      </w:r>
      <w:r w:rsidRPr="00FA55E9">
        <w:t xml:space="preserve"> </w:t>
      </w:r>
      <w:r w:rsidR="00B931C4" w:rsidRPr="00FA55E9">
        <w:t>Research Aim and Objectives</w:t>
      </w:r>
      <w:bookmarkEnd w:id="16"/>
      <w:bookmarkEnd w:id="17"/>
      <w:bookmarkEnd w:id="18"/>
    </w:p>
    <w:p w14:paraId="557C9772" w14:textId="63D9F4EE" w:rsidR="00A26D85" w:rsidRPr="00FA55E9" w:rsidRDefault="00A26D85" w:rsidP="00A26D85">
      <w:pPr>
        <w:spacing w:line="360" w:lineRule="auto"/>
        <w:rPr>
          <w:rFonts w:cs="Times New Roman"/>
          <w:szCs w:val="24"/>
        </w:rPr>
      </w:pPr>
      <w:r w:rsidRPr="00FA55E9">
        <w:rPr>
          <w:rFonts w:cs="Times New Roman"/>
          <w:szCs w:val="24"/>
        </w:rPr>
        <w:t xml:space="preserve">The research aims to understand the influential factors procured by the banking sector of the UK for creating customer opportunities and how it has impacted the business protocols and </w:t>
      </w:r>
      <w:r w:rsidR="00725D19" w:rsidRPr="00FA55E9">
        <w:rPr>
          <w:rFonts w:cs="Times New Roman"/>
          <w:szCs w:val="24"/>
        </w:rPr>
        <w:t>market alignment with collaborative values.</w:t>
      </w:r>
    </w:p>
    <w:p w14:paraId="0B63DA56" w14:textId="34DE1D96" w:rsidR="00725D19" w:rsidRPr="00FA55E9" w:rsidRDefault="00725D19" w:rsidP="00A26D85">
      <w:pPr>
        <w:spacing w:line="360" w:lineRule="auto"/>
        <w:rPr>
          <w:rFonts w:cs="Times New Roman"/>
          <w:szCs w:val="24"/>
        </w:rPr>
      </w:pPr>
      <w:r w:rsidRPr="00FA55E9">
        <w:rPr>
          <w:rFonts w:cs="Times New Roman"/>
          <w:szCs w:val="24"/>
        </w:rPr>
        <w:t>The objectives of the study include:</w:t>
      </w:r>
    </w:p>
    <w:p w14:paraId="52D67E59" w14:textId="66FB7487" w:rsidR="00725D19" w:rsidRPr="00FA55E9" w:rsidRDefault="00725D19" w:rsidP="00725D19">
      <w:pPr>
        <w:pStyle w:val="ListParagraph"/>
        <w:numPr>
          <w:ilvl w:val="0"/>
          <w:numId w:val="2"/>
        </w:numPr>
        <w:spacing w:line="360" w:lineRule="auto"/>
        <w:rPr>
          <w:rFonts w:cs="Times New Roman"/>
          <w:szCs w:val="24"/>
        </w:rPr>
      </w:pPr>
      <w:r w:rsidRPr="00FA55E9">
        <w:rPr>
          <w:rFonts w:cs="Times New Roman"/>
          <w:szCs w:val="24"/>
        </w:rPr>
        <w:t>To analyse the growth factors of the UK banking industry and its several aspects relevant to business opportunities with services.</w:t>
      </w:r>
    </w:p>
    <w:p w14:paraId="7086EADC" w14:textId="20087B87" w:rsidR="00725D19" w:rsidRPr="00FA55E9" w:rsidRDefault="00725D19" w:rsidP="00725D19">
      <w:pPr>
        <w:pStyle w:val="ListParagraph"/>
        <w:numPr>
          <w:ilvl w:val="0"/>
          <w:numId w:val="2"/>
        </w:numPr>
        <w:spacing w:line="360" w:lineRule="auto"/>
        <w:rPr>
          <w:rFonts w:cs="Times New Roman"/>
          <w:szCs w:val="24"/>
        </w:rPr>
      </w:pPr>
      <w:r w:rsidRPr="00FA55E9">
        <w:rPr>
          <w:rFonts w:cs="Times New Roman"/>
          <w:szCs w:val="24"/>
        </w:rPr>
        <w:t>To evaluate the opportunities experienced by customers to access banking programmes for their personal and professional programmes.</w:t>
      </w:r>
    </w:p>
    <w:p w14:paraId="0AA02970" w14:textId="39AB1B7A" w:rsidR="00725D19" w:rsidRPr="00FA55E9" w:rsidRDefault="00725D19" w:rsidP="00725D19">
      <w:pPr>
        <w:pStyle w:val="ListParagraph"/>
        <w:numPr>
          <w:ilvl w:val="0"/>
          <w:numId w:val="2"/>
        </w:numPr>
        <w:spacing w:line="360" w:lineRule="auto"/>
        <w:rPr>
          <w:rFonts w:cs="Times New Roman"/>
          <w:szCs w:val="24"/>
        </w:rPr>
      </w:pPr>
      <w:r w:rsidRPr="00FA55E9">
        <w:rPr>
          <w:rFonts w:cs="Times New Roman"/>
          <w:szCs w:val="24"/>
        </w:rPr>
        <w:t xml:space="preserve">To understand the technological factors that have changed the flow of banking and customer </w:t>
      </w:r>
      <w:r w:rsidR="00E96B09" w:rsidRPr="00FA55E9">
        <w:rPr>
          <w:rFonts w:cs="Times New Roman"/>
          <w:szCs w:val="24"/>
        </w:rPr>
        <w:t>relationships</w:t>
      </w:r>
      <w:r w:rsidRPr="00FA55E9">
        <w:rPr>
          <w:rFonts w:cs="Times New Roman"/>
          <w:szCs w:val="24"/>
        </w:rPr>
        <w:t xml:space="preserve"> in the UK.</w:t>
      </w:r>
    </w:p>
    <w:p w14:paraId="3B470405" w14:textId="451C302D" w:rsidR="00725D19" w:rsidRPr="00FA55E9" w:rsidRDefault="00725D19" w:rsidP="00725D19">
      <w:pPr>
        <w:pStyle w:val="ListParagraph"/>
        <w:numPr>
          <w:ilvl w:val="0"/>
          <w:numId w:val="2"/>
        </w:numPr>
        <w:spacing w:line="360" w:lineRule="auto"/>
        <w:rPr>
          <w:rFonts w:cs="Times New Roman"/>
          <w:szCs w:val="24"/>
        </w:rPr>
      </w:pPr>
      <w:r w:rsidRPr="00FA55E9">
        <w:rPr>
          <w:rFonts w:cs="Times New Roman"/>
          <w:szCs w:val="24"/>
        </w:rPr>
        <w:t>To identify the challenges faced by the industry while conducting a reliable monetary programme in the UK.</w:t>
      </w:r>
    </w:p>
    <w:p w14:paraId="6428C1FF" w14:textId="03D9BDC6" w:rsidR="00B931C4" w:rsidRPr="00FA55E9" w:rsidRDefault="004C2F60" w:rsidP="004C2F60">
      <w:pPr>
        <w:pStyle w:val="Heading2"/>
      </w:pPr>
      <w:bookmarkStart w:id="19" w:name="_Toc140859116"/>
      <w:bookmarkStart w:id="20" w:name="_Toc145004277"/>
      <w:bookmarkStart w:id="21" w:name="_Toc145078393"/>
      <w:r w:rsidRPr="00FA55E9">
        <w:t>1.</w:t>
      </w:r>
      <w:r w:rsidR="005F0587" w:rsidRPr="00FA55E9">
        <w:t>5</w:t>
      </w:r>
      <w:r w:rsidRPr="00FA55E9">
        <w:t xml:space="preserve"> </w:t>
      </w:r>
      <w:r w:rsidR="00B931C4" w:rsidRPr="00FA55E9">
        <w:t>Research Questions</w:t>
      </w:r>
      <w:bookmarkEnd w:id="19"/>
      <w:bookmarkEnd w:id="20"/>
      <w:bookmarkEnd w:id="21"/>
    </w:p>
    <w:p w14:paraId="3AAA7E40" w14:textId="6F231D7E" w:rsidR="00725D19" w:rsidRPr="00FA55E9" w:rsidRDefault="00725D19" w:rsidP="00725D19">
      <w:pPr>
        <w:pStyle w:val="ListParagraph"/>
        <w:numPr>
          <w:ilvl w:val="0"/>
          <w:numId w:val="3"/>
        </w:numPr>
        <w:spacing w:line="360" w:lineRule="auto"/>
        <w:rPr>
          <w:rFonts w:cs="Times New Roman"/>
          <w:szCs w:val="24"/>
        </w:rPr>
      </w:pPr>
      <w:r w:rsidRPr="00FA55E9">
        <w:rPr>
          <w:rFonts w:cs="Times New Roman"/>
          <w:szCs w:val="24"/>
        </w:rPr>
        <w:t>What are the growth factors of the UK banking industry and its several aspects relevant to business opportunities with services?</w:t>
      </w:r>
    </w:p>
    <w:p w14:paraId="00CF05AD" w14:textId="31D60770" w:rsidR="00725D19" w:rsidRPr="00FA55E9" w:rsidRDefault="00725D19" w:rsidP="00725D19">
      <w:pPr>
        <w:pStyle w:val="ListParagraph"/>
        <w:numPr>
          <w:ilvl w:val="0"/>
          <w:numId w:val="3"/>
        </w:numPr>
        <w:spacing w:line="360" w:lineRule="auto"/>
        <w:rPr>
          <w:rFonts w:cs="Times New Roman"/>
          <w:szCs w:val="24"/>
        </w:rPr>
      </w:pPr>
      <w:r w:rsidRPr="00FA55E9">
        <w:rPr>
          <w:rFonts w:cs="Times New Roman"/>
          <w:szCs w:val="24"/>
        </w:rPr>
        <w:lastRenderedPageBreak/>
        <w:t>What are the opportunities experienced by customers to access banking programmes for their personal and professional programmes?</w:t>
      </w:r>
    </w:p>
    <w:p w14:paraId="34E5CB38" w14:textId="0C28442C" w:rsidR="00725D19" w:rsidRPr="00FA55E9" w:rsidRDefault="00725D19" w:rsidP="00725D19">
      <w:pPr>
        <w:pStyle w:val="ListParagraph"/>
        <w:numPr>
          <w:ilvl w:val="0"/>
          <w:numId w:val="3"/>
        </w:numPr>
        <w:spacing w:line="360" w:lineRule="auto"/>
        <w:rPr>
          <w:rFonts w:cs="Times New Roman"/>
          <w:szCs w:val="24"/>
        </w:rPr>
      </w:pPr>
      <w:r w:rsidRPr="00FA55E9">
        <w:rPr>
          <w:rFonts w:cs="Times New Roman"/>
          <w:szCs w:val="24"/>
        </w:rPr>
        <w:t>What are the challenges faced by the industry while conducting a reliable monetary programme in the UK?</w:t>
      </w:r>
    </w:p>
    <w:p w14:paraId="500E63CC" w14:textId="505FC9FA" w:rsidR="00725D19" w:rsidRPr="00FA55E9" w:rsidRDefault="00725D19" w:rsidP="00725D19">
      <w:pPr>
        <w:pStyle w:val="ListParagraph"/>
        <w:numPr>
          <w:ilvl w:val="0"/>
          <w:numId w:val="3"/>
        </w:numPr>
        <w:spacing w:line="360" w:lineRule="auto"/>
        <w:rPr>
          <w:rFonts w:cs="Times New Roman"/>
          <w:szCs w:val="24"/>
        </w:rPr>
      </w:pPr>
      <w:r w:rsidRPr="00FA55E9">
        <w:rPr>
          <w:rFonts w:cs="Times New Roman"/>
          <w:szCs w:val="24"/>
        </w:rPr>
        <w:t xml:space="preserve">What are the technological factors that have changed the flow of banking and customer </w:t>
      </w:r>
      <w:r w:rsidR="00E96B09" w:rsidRPr="00FA55E9">
        <w:rPr>
          <w:rFonts w:cs="Times New Roman"/>
          <w:szCs w:val="24"/>
        </w:rPr>
        <w:t>relationships</w:t>
      </w:r>
      <w:r w:rsidRPr="00FA55E9">
        <w:rPr>
          <w:rFonts w:cs="Times New Roman"/>
          <w:szCs w:val="24"/>
        </w:rPr>
        <w:t xml:space="preserve"> in the UK?</w:t>
      </w:r>
    </w:p>
    <w:p w14:paraId="0BD47E12" w14:textId="326A72AF" w:rsidR="005F0587" w:rsidRPr="00FA55E9" w:rsidRDefault="005F0587" w:rsidP="005F0587">
      <w:pPr>
        <w:pStyle w:val="Heading2"/>
      </w:pPr>
      <w:bookmarkStart w:id="22" w:name="_Toc140859117"/>
      <w:bookmarkStart w:id="23" w:name="_Toc145004278"/>
      <w:bookmarkStart w:id="24" w:name="_Toc145078394"/>
      <w:r w:rsidRPr="00FA55E9">
        <w:t>1.6 Subsequent Research Structure</w:t>
      </w:r>
      <w:bookmarkEnd w:id="22"/>
      <w:bookmarkEnd w:id="23"/>
      <w:bookmarkEnd w:id="24"/>
    </w:p>
    <w:p w14:paraId="671BF6F8" w14:textId="77777777" w:rsidR="005F0587" w:rsidRPr="00FA55E9" w:rsidRDefault="005F0587" w:rsidP="00DE0F23">
      <w:pPr>
        <w:spacing w:line="360" w:lineRule="auto"/>
        <w:rPr>
          <w:rFonts w:cs="Times New Roman"/>
          <w:b/>
          <w:bCs/>
          <w:szCs w:val="24"/>
        </w:rPr>
      </w:pPr>
      <w:r w:rsidRPr="00FA55E9">
        <w:rPr>
          <w:rFonts w:cs="Times New Roman"/>
          <w:b/>
          <w:bCs/>
          <w:szCs w:val="24"/>
        </w:rPr>
        <w:t>Introduction</w:t>
      </w:r>
    </w:p>
    <w:p w14:paraId="0805EB9B" w14:textId="4E012979" w:rsidR="005F0587" w:rsidRPr="00FA55E9" w:rsidRDefault="005F0587" w:rsidP="00DE0F23">
      <w:pPr>
        <w:spacing w:line="360" w:lineRule="auto"/>
        <w:rPr>
          <w:rFonts w:cs="Times New Roman"/>
          <w:szCs w:val="24"/>
        </w:rPr>
      </w:pPr>
      <w:r w:rsidRPr="00FA55E9">
        <w:rPr>
          <w:rFonts w:cs="Times New Roman"/>
          <w:szCs w:val="24"/>
        </w:rPr>
        <w:t>The first chapter of the study will identify different aims and objectives, as well as, research questions, based on which the research will be performed. The importance of the research has also been discussed.</w:t>
      </w:r>
    </w:p>
    <w:p w14:paraId="64E08707" w14:textId="77777777" w:rsidR="005F0587" w:rsidRPr="00FA55E9" w:rsidRDefault="005F0587" w:rsidP="00DE0F23">
      <w:pPr>
        <w:spacing w:line="360" w:lineRule="auto"/>
        <w:rPr>
          <w:rFonts w:cs="Times New Roman"/>
          <w:b/>
          <w:bCs/>
          <w:szCs w:val="24"/>
        </w:rPr>
      </w:pPr>
      <w:r w:rsidRPr="00FA55E9">
        <w:rPr>
          <w:rFonts w:cs="Times New Roman"/>
          <w:b/>
          <w:bCs/>
          <w:szCs w:val="24"/>
        </w:rPr>
        <w:t>Literature Review</w:t>
      </w:r>
    </w:p>
    <w:p w14:paraId="4A2C07FB" w14:textId="31A4654D" w:rsidR="005F0587" w:rsidRPr="00FA55E9" w:rsidRDefault="005F0587" w:rsidP="00DE0F23">
      <w:pPr>
        <w:spacing w:line="360" w:lineRule="auto"/>
        <w:rPr>
          <w:rFonts w:cs="Times New Roman"/>
          <w:szCs w:val="24"/>
        </w:rPr>
      </w:pPr>
      <w:r w:rsidRPr="00FA55E9">
        <w:rPr>
          <w:rFonts w:cs="Times New Roman"/>
          <w:szCs w:val="24"/>
        </w:rPr>
        <w:t>Different aspects of the research topic will be identified in the chapter. A literature gap will also be discussed</w:t>
      </w:r>
      <w:r w:rsidR="00DE0F23" w:rsidRPr="00FA55E9">
        <w:rPr>
          <w:rFonts w:cs="Times New Roman"/>
          <w:szCs w:val="24"/>
        </w:rPr>
        <w:t xml:space="preserve"> to uplift the academic value of the research.</w:t>
      </w:r>
    </w:p>
    <w:p w14:paraId="2E6F9171" w14:textId="77777777" w:rsidR="005F0587" w:rsidRPr="00FA55E9" w:rsidRDefault="005F0587" w:rsidP="00DE0F23">
      <w:pPr>
        <w:spacing w:line="360" w:lineRule="auto"/>
        <w:rPr>
          <w:rFonts w:cs="Times New Roman"/>
          <w:b/>
          <w:bCs/>
          <w:szCs w:val="24"/>
        </w:rPr>
      </w:pPr>
      <w:r w:rsidRPr="00FA55E9">
        <w:rPr>
          <w:rFonts w:cs="Times New Roman"/>
          <w:b/>
          <w:bCs/>
          <w:szCs w:val="24"/>
        </w:rPr>
        <w:t>Methodology</w:t>
      </w:r>
    </w:p>
    <w:p w14:paraId="6ECCA8BD" w14:textId="26C9FF4A" w:rsidR="005F0587" w:rsidRPr="00FA55E9" w:rsidRDefault="00DE0F23" w:rsidP="00DE0F23">
      <w:pPr>
        <w:spacing w:line="360" w:lineRule="auto"/>
        <w:rPr>
          <w:rFonts w:cs="Times New Roman"/>
          <w:szCs w:val="24"/>
        </w:rPr>
      </w:pPr>
      <w:r w:rsidRPr="00FA55E9">
        <w:rPr>
          <w:rFonts w:cs="Times New Roman"/>
          <w:szCs w:val="24"/>
        </w:rPr>
        <w:t>Tools and techniques required for the research to programme a better outcome will be identified and justified. The ethical perspective of the research will also be understood.</w:t>
      </w:r>
    </w:p>
    <w:p w14:paraId="61FD429C" w14:textId="77777777" w:rsidR="005F0587" w:rsidRPr="00FA55E9" w:rsidRDefault="005F0587" w:rsidP="00DE0F23">
      <w:pPr>
        <w:spacing w:line="360" w:lineRule="auto"/>
        <w:rPr>
          <w:rFonts w:cs="Times New Roman"/>
          <w:b/>
          <w:bCs/>
          <w:szCs w:val="24"/>
        </w:rPr>
      </w:pPr>
      <w:r w:rsidRPr="00FA55E9">
        <w:rPr>
          <w:rFonts w:cs="Times New Roman"/>
          <w:b/>
          <w:bCs/>
          <w:szCs w:val="24"/>
        </w:rPr>
        <w:t>Findings and Discussion</w:t>
      </w:r>
    </w:p>
    <w:p w14:paraId="0A1781D5" w14:textId="1E2D8C26" w:rsidR="005F0587" w:rsidRPr="00FA55E9" w:rsidRDefault="00DE0F23" w:rsidP="00DE0F23">
      <w:pPr>
        <w:spacing w:line="360" w:lineRule="auto"/>
        <w:rPr>
          <w:rFonts w:cs="Times New Roman"/>
          <w:szCs w:val="24"/>
        </w:rPr>
      </w:pPr>
      <w:r w:rsidRPr="00FA55E9">
        <w:rPr>
          <w:rFonts w:cs="Times New Roman"/>
          <w:szCs w:val="24"/>
        </w:rPr>
        <w:t>Multiple secondary findings will be procured from existing data pools, in this chapter of the study. The data will also be critically evaluated for better comprehension.</w:t>
      </w:r>
    </w:p>
    <w:p w14:paraId="2A3D0ED0" w14:textId="77777777" w:rsidR="005F0587" w:rsidRPr="00FA55E9" w:rsidRDefault="005F0587" w:rsidP="00DE0F23">
      <w:pPr>
        <w:spacing w:line="360" w:lineRule="auto"/>
        <w:rPr>
          <w:rFonts w:cs="Times New Roman"/>
          <w:b/>
          <w:bCs/>
          <w:szCs w:val="24"/>
        </w:rPr>
      </w:pPr>
      <w:r w:rsidRPr="00FA55E9">
        <w:rPr>
          <w:rFonts w:cs="Times New Roman"/>
          <w:b/>
          <w:bCs/>
          <w:szCs w:val="24"/>
        </w:rPr>
        <w:t>Conclusion</w:t>
      </w:r>
    </w:p>
    <w:p w14:paraId="1ED8FA1F" w14:textId="06C12044" w:rsidR="005F0587" w:rsidRPr="00FA55E9" w:rsidRDefault="00DE0F23" w:rsidP="00DE0F23">
      <w:pPr>
        <w:spacing w:line="360" w:lineRule="auto"/>
        <w:rPr>
          <w:rFonts w:cs="Times New Roman"/>
          <w:szCs w:val="24"/>
        </w:rPr>
      </w:pPr>
      <w:r w:rsidRPr="00FA55E9">
        <w:rPr>
          <w:rFonts w:cs="Times New Roman"/>
          <w:szCs w:val="24"/>
        </w:rPr>
        <w:t>In this chapter, the findings of the study will be concluded. Moreover, the gap of the study will also be identified, as well as, the future aspects of the study will be highlighted.</w:t>
      </w:r>
    </w:p>
    <w:p w14:paraId="183FC440" w14:textId="77777777" w:rsidR="00DE0F23" w:rsidRPr="00FA55E9" w:rsidRDefault="005F0587" w:rsidP="00DE0F23">
      <w:pPr>
        <w:spacing w:line="360" w:lineRule="auto"/>
        <w:rPr>
          <w:rFonts w:cs="Times New Roman"/>
          <w:b/>
          <w:bCs/>
          <w:szCs w:val="24"/>
        </w:rPr>
      </w:pPr>
      <w:r w:rsidRPr="00FA55E9">
        <w:rPr>
          <w:rFonts w:cs="Times New Roman"/>
          <w:b/>
          <w:bCs/>
          <w:szCs w:val="24"/>
        </w:rPr>
        <w:t>Recommendations</w:t>
      </w:r>
    </w:p>
    <w:p w14:paraId="15B284FE" w14:textId="05D4519E" w:rsidR="00E11AC2" w:rsidRPr="00FA55E9" w:rsidRDefault="00DE0F23" w:rsidP="00DE0F23">
      <w:pPr>
        <w:spacing w:line="360" w:lineRule="auto"/>
        <w:rPr>
          <w:rFonts w:cs="Times New Roman"/>
          <w:szCs w:val="24"/>
        </w:rPr>
      </w:pPr>
      <w:r w:rsidRPr="00FA55E9">
        <w:rPr>
          <w:rFonts w:cs="Times New Roman"/>
          <w:szCs w:val="24"/>
        </w:rPr>
        <w:t xml:space="preserve">The final chapter of the study will suggest a set of recommendations, based on which the UK banking sector can empower a steady growth of </w:t>
      </w:r>
      <w:r w:rsidR="00E96B09" w:rsidRPr="00FA55E9">
        <w:rPr>
          <w:rFonts w:cs="Times New Roman"/>
          <w:szCs w:val="24"/>
        </w:rPr>
        <w:t xml:space="preserve">the </w:t>
      </w:r>
      <w:r w:rsidRPr="00FA55E9">
        <w:rPr>
          <w:rFonts w:cs="Times New Roman"/>
          <w:szCs w:val="24"/>
        </w:rPr>
        <w:t>business.</w:t>
      </w:r>
    </w:p>
    <w:p w14:paraId="7CA4D1E5" w14:textId="77777777" w:rsidR="00E11AC2" w:rsidRPr="00FA55E9" w:rsidRDefault="00E11AC2" w:rsidP="00E11AC2">
      <w:pPr>
        <w:pStyle w:val="Heading1"/>
      </w:pPr>
      <w:bookmarkStart w:id="25" w:name="_Toc142323011"/>
      <w:bookmarkStart w:id="26" w:name="_Toc145004279"/>
      <w:bookmarkStart w:id="27" w:name="_Toc145078395"/>
      <w:r w:rsidRPr="00FA55E9">
        <w:lastRenderedPageBreak/>
        <w:t>Chapter 2: Literature Review</w:t>
      </w:r>
      <w:bookmarkEnd w:id="25"/>
      <w:bookmarkEnd w:id="26"/>
      <w:bookmarkEnd w:id="27"/>
    </w:p>
    <w:p w14:paraId="5A154549" w14:textId="77777777" w:rsidR="00E11AC2" w:rsidRPr="00FA55E9" w:rsidRDefault="00E11AC2" w:rsidP="00E11AC2">
      <w:pPr>
        <w:pStyle w:val="Heading2"/>
      </w:pPr>
      <w:bookmarkStart w:id="28" w:name="_Toc142323012"/>
      <w:bookmarkStart w:id="29" w:name="_Toc145004280"/>
      <w:bookmarkStart w:id="30" w:name="_Toc145078396"/>
      <w:r w:rsidRPr="00FA55E9">
        <w:t>2.1 Introduction</w:t>
      </w:r>
      <w:bookmarkEnd w:id="28"/>
      <w:bookmarkEnd w:id="29"/>
      <w:bookmarkEnd w:id="30"/>
    </w:p>
    <w:p w14:paraId="7D0FEE89" w14:textId="20063D79" w:rsidR="00E11AC2" w:rsidRPr="00FA55E9" w:rsidRDefault="00E11AC2" w:rsidP="00E11AC2">
      <w:pPr>
        <w:spacing w:line="360" w:lineRule="auto"/>
        <w:rPr>
          <w:rFonts w:cs="Times New Roman"/>
          <w:szCs w:val="24"/>
        </w:rPr>
      </w:pPr>
      <w:r w:rsidRPr="00FA55E9">
        <w:rPr>
          <w:rFonts w:cs="Times New Roman"/>
          <w:szCs w:val="24"/>
        </w:rPr>
        <w:t xml:space="preserve">The banking sector of the UK reflects different choices and opportunities for customers, which has paved the roadmap to success with customer involvement and voluntary participation. An organised approach to </w:t>
      </w:r>
      <w:r w:rsidR="00E96B09" w:rsidRPr="00FA55E9">
        <w:rPr>
          <w:rFonts w:cs="Times New Roman"/>
          <w:szCs w:val="24"/>
        </w:rPr>
        <w:t>shaping</w:t>
      </w:r>
      <w:r w:rsidRPr="00FA55E9">
        <w:rPr>
          <w:rFonts w:cs="Times New Roman"/>
          <w:szCs w:val="24"/>
        </w:rPr>
        <w:t xml:space="preserve"> the market with confident attire and ability has been processed by the industry, while significant managerial governance has ensured professionalism and adequate support for the industry to deal with customer requirements. On the other hand, by focusing on accuracy and detail, the infrastructure of the industry has managed to perform as per the aims and objectives.</w:t>
      </w:r>
    </w:p>
    <w:p w14:paraId="673F08FC" w14:textId="77777777" w:rsidR="00E11AC2" w:rsidRPr="00FA55E9" w:rsidRDefault="00E11AC2" w:rsidP="00E11AC2">
      <w:pPr>
        <w:spacing w:line="360" w:lineRule="auto"/>
        <w:rPr>
          <w:rFonts w:cs="Times New Roman"/>
          <w:szCs w:val="24"/>
        </w:rPr>
      </w:pPr>
      <w:r w:rsidRPr="00FA55E9">
        <w:rPr>
          <w:rFonts w:cs="Times New Roman"/>
          <w:szCs w:val="24"/>
        </w:rPr>
        <w:t>The chapter of the study will analyse customer satisfaction in the UK banking sector, and in this regard, several aspects of UK banking will be critically analysed. Relevant data and statistics will also be discussed to better understand the relationship between customers and the banking sector of the UK.</w:t>
      </w:r>
    </w:p>
    <w:p w14:paraId="78489844" w14:textId="77777777" w:rsidR="00E11AC2" w:rsidRPr="00FA55E9" w:rsidRDefault="00E11AC2" w:rsidP="00E11AC2">
      <w:pPr>
        <w:pStyle w:val="Heading2"/>
      </w:pPr>
      <w:bookmarkStart w:id="31" w:name="_Toc142323013"/>
      <w:bookmarkStart w:id="32" w:name="_Toc145004281"/>
      <w:bookmarkStart w:id="33" w:name="_Toc145078397"/>
      <w:r w:rsidRPr="00FA55E9">
        <w:t>2.2 Current Growth Factors and Futures of the UK Banking Industry</w:t>
      </w:r>
      <w:bookmarkEnd w:id="31"/>
      <w:bookmarkEnd w:id="32"/>
      <w:bookmarkEnd w:id="33"/>
    </w:p>
    <w:p w14:paraId="1406580D" w14:textId="77777777" w:rsidR="00E11AC2" w:rsidRPr="00FA55E9" w:rsidRDefault="00E11AC2" w:rsidP="00E11AC2">
      <w:pPr>
        <w:spacing w:line="360" w:lineRule="auto"/>
        <w:rPr>
          <w:rFonts w:cs="Times New Roman"/>
        </w:rPr>
      </w:pPr>
      <w:r w:rsidRPr="00FA55E9">
        <w:rPr>
          <w:rFonts w:cs="Times New Roman"/>
        </w:rPr>
        <w:t xml:space="preserve">As per the research conducted by </w:t>
      </w:r>
      <w:r w:rsidRPr="00FA55E9">
        <w:rPr>
          <w:rFonts w:cs="Times New Roman"/>
          <w:color w:val="222222"/>
          <w:szCs w:val="20"/>
          <w:shd w:val="clear" w:color="auto" w:fill="FFFFFF"/>
        </w:rPr>
        <w:t>Chang</w:t>
      </w:r>
      <w:r w:rsidRPr="00FA55E9">
        <w:rPr>
          <w:rFonts w:cs="Times New Roman"/>
        </w:rPr>
        <w:t xml:space="preserve"> et al. (2020), the United Kingdom's banking industry has expanded greatly since the introduction of modern technology, contributing to the country's rise to the top of the list of economic giants in the developed world. The success of the company as a whole could not have been maintained without these technical improvements. Digital innovations including online banking platforms, smartphone apps, and developments in financial technology (fintech) have radically altered the delivery of banking services to end users. The ensuing shift has far-reaching and far-reaching consequences. Businesses may now grow their offers in ways that are consistent with the goods and services they currently supply thanks to the use of this novel technique, which has boosted customer convenience. This is because the unique strategy provides an opportunity for businesses to develop new lines of service that complement their core competencies. One way that businesses may better position themselves to take advantage of opportunities is by creating apps with a streamlined user experience for digital platforms (</w:t>
      </w:r>
      <w:r w:rsidRPr="00FA55E9">
        <w:rPr>
          <w:rFonts w:cs="Times New Roman"/>
          <w:color w:val="222222"/>
          <w:szCs w:val="20"/>
          <w:shd w:val="clear" w:color="auto" w:fill="FFFFFF"/>
        </w:rPr>
        <w:t>Niemand et al., 2021)</w:t>
      </w:r>
      <w:r w:rsidRPr="00FA55E9">
        <w:rPr>
          <w:rFonts w:cs="Times New Roman"/>
        </w:rPr>
        <w:t>. The integration being referred to allows for a wider range of services to be offered. The goal of these changes is to provide a better experience for the client as a whole. Among these supplementary offerings are tailored approaches to money management, computerized suggestions for investments, and tailored funding alternatives. These items also come equipped with a wide range of optional extras.</w:t>
      </w:r>
    </w:p>
    <w:p w14:paraId="526C9B33" w14:textId="77777777" w:rsidR="00E11AC2" w:rsidRPr="00FA55E9" w:rsidRDefault="00E11AC2" w:rsidP="00E11AC2">
      <w:pPr>
        <w:spacing w:line="360" w:lineRule="auto"/>
        <w:rPr>
          <w:rFonts w:cs="Times New Roman"/>
        </w:rPr>
      </w:pPr>
      <w:r w:rsidRPr="00FA55E9">
        <w:rPr>
          <w:rFonts w:cs="Times New Roman"/>
        </w:rPr>
        <w:lastRenderedPageBreak/>
        <w:t xml:space="preserve">On the other hand, </w:t>
      </w:r>
      <w:r w:rsidRPr="00FA55E9">
        <w:rPr>
          <w:rFonts w:cs="Times New Roman"/>
          <w:color w:val="222222"/>
          <w:szCs w:val="20"/>
          <w:shd w:val="clear" w:color="auto" w:fill="FFFFFF"/>
        </w:rPr>
        <w:t>Milian</w:t>
      </w:r>
      <w:r w:rsidRPr="00FA55E9">
        <w:rPr>
          <w:rFonts w:cs="Times New Roman"/>
        </w:rPr>
        <w:t xml:space="preserve"> et al. (2019) stated that there have been several changes in the foundational regulatory framework governing the financial industry in the United Kingdom. These changes were made primarily to increase competition, safeguard consumers, and keep the financial system running smoothly. Recent regulatory reforms, such as Open Banking and the Payment Services Directive (PSD2), have made a range of previously inaccessible opportunities available to fintech startups. These adjustments have made it easier for traditional banks to partner with new fintech firms, which has led to the creation of innovative financial products and services. Businesses with expertise in areas such as identity verification, data security, and legal framework compliance have seen an explosion in accessible prospects. To meet the growing demand for their goods and services, some of these businesses may choose to expand their present operations.</w:t>
      </w:r>
    </w:p>
    <w:p w14:paraId="2B8AE160" w14:textId="4CD7CEBF" w:rsidR="00E11AC2" w:rsidRPr="00FA55E9" w:rsidRDefault="00E11AC2" w:rsidP="00E11AC2">
      <w:pPr>
        <w:spacing w:line="360" w:lineRule="auto"/>
        <w:rPr>
          <w:rFonts w:cs="Times New Roman"/>
        </w:rPr>
      </w:pPr>
      <w:r w:rsidRPr="00FA55E9">
        <w:rPr>
          <w:rFonts w:cs="Times New Roman"/>
          <w:color w:val="222222"/>
          <w:szCs w:val="20"/>
          <w:shd w:val="clear" w:color="auto" w:fill="FFFFFF"/>
        </w:rPr>
        <w:t>Pakurár</w:t>
      </w:r>
      <w:r w:rsidRPr="00FA55E9">
        <w:rPr>
          <w:rFonts w:cs="Times New Roman"/>
        </w:rPr>
        <w:t xml:space="preserve"> et al. (2019), </w:t>
      </w:r>
      <w:r w:rsidR="00E96B09" w:rsidRPr="00FA55E9">
        <w:rPr>
          <w:rFonts w:cs="Times New Roman"/>
        </w:rPr>
        <w:t>that</w:t>
      </w:r>
      <w:r w:rsidRPr="00FA55E9">
        <w:rPr>
          <w:rFonts w:cs="Times New Roman"/>
        </w:rPr>
        <w:t xml:space="preserve"> British businesses and financial institutions may benefit greatly from data analytics and AI because of the easy availability of massive datasets. British banks and other financial entities have access to this information. Using predictive analytics, a powerful and convincing tool, and organizations may better understand their customers' wants and requirements. The result is improved communication between the company and its clientele. Advanced statistical models and machine learning algorithms are now widely used, allowing organizations to analyse vast amounts of data, find useful insights, and anticipate consumers' future actions. This choice wasn't available to businesses before. As a result, companies may adjust not just the quality of their products but also their advertising. Businesses may be better equipped to anticipate the special requirements of niche markets by studying consumer data to uncover trends and patterns that will help them satisfy the expectations of certain populations. Now more than ever, businesses can cater to the needs of their customers by offering personalized guidance, suggestions, and discounts on products and services. Each person may have their own unique version of this. Given this, the individualized approach has a good chance of boosting customer happiness and devotion to the company (</w:t>
      </w:r>
      <w:proofErr w:type="spellStart"/>
      <w:r w:rsidRPr="00FA55E9">
        <w:rPr>
          <w:rFonts w:cs="Times New Roman"/>
          <w:color w:val="222222"/>
          <w:szCs w:val="20"/>
          <w:shd w:val="clear" w:color="auto" w:fill="FFFFFF"/>
        </w:rPr>
        <w:t>O'Dwyer</w:t>
      </w:r>
      <w:proofErr w:type="spellEnd"/>
      <w:r w:rsidRPr="00FA55E9">
        <w:rPr>
          <w:rFonts w:cs="Times New Roman"/>
          <w:color w:val="222222"/>
          <w:szCs w:val="20"/>
          <w:shd w:val="clear" w:color="auto" w:fill="FFFFFF"/>
        </w:rPr>
        <w:t xml:space="preserve"> and </w:t>
      </w:r>
      <w:proofErr w:type="spellStart"/>
      <w:r w:rsidRPr="00FA55E9">
        <w:rPr>
          <w:rFonts w:cs="Times New Roman"/>
          <w:color w:val="222222"/>
          <w:szCs w:val="20"/>
          <w:shd w:val="clear" w:color="auto" w:fill="FFFFFF"/>
        </w:rPr>
        <w:t>Unerman</w:t>
      </w:r>
      <w:proofErr w:type="spellEnd"/>
      <w:r w:rsidRPr="00FA55E9">
        <w:rPr>
          <w:rFonts w:cs="Times New Roman"/>
          <w:color w:val="222222"/>
          <w:szCs w:val="20"/>
          <w:shd w:val="clear" w:color="auto" w:fill="FFFFFF"/>
        </w:rPr>
        <w:t>, 2020)</w:t>
      </w:r>
      <w:r w:rsidRPr="00FA55E9">
        <w:rPr>
          <w:rFonts w:cs="Times New Roman"/>
        </w:rPr>
        <w:t xml:space="preserve">. Predictive analytics has the ability to help businesses make better use of their resources and speed up the processes that keep the firm running smoothly. Successful and effective inventory management, production, and supply chain management are all bolstered by an accurate estimate of consumer demand. Lower operating expenses, reduced waste, and more operational effectiveness are just some of the potential advantages of this technique. These advantages are only examples of what may be gained. Businesses now have greater opportunities for collaborative partnerships with banks and customized services thanks to the </w:t>
      </w:r>
      <w:r w:rsidRPr="00FA55E9">
        <w:rPr>
          <w:rFonts w:cs="Times New Roman"/>
        </w:rPr>
        <w:lastRenderedPageBreak/>
        <w:t>adoption of predictive Artificial Intelligence (AI)-enabled credit scoring algorithms and fraud detection systems.</w:t>
      </w:r>
    </w:p>
    <w:p w14:paraId="09F4DE4B" w14:textId="79952D68" w:rsidR="00E11AC2" w:rsidRPr="00FA55E9" w:rsidRDefault="00E11AC2" w:rsidP="00E11AC2">
      <w:pPr>
        <w:spacing w:line="360" w:lineRule="auto"/>
        <w:rPr>
          <w:rFonts w:cs="Times New Roman"/>
        </w:rPr>
      </w:pPr>
      <w:r w:rsidRPr="00FA55E9">
        <w:rPr>
          <w:rFonts w:cs="Times New Roman"/>
        </w:rPr>
        <w:t xml:space="preserve">As per </w:t>
      </w:r>
      <w:r w:rsidRPr="00FA55E9">
        <w:rPr>
          <w:rFonts w:cs="Times New Roman"/>
          <w:color w:val="222222"/>
          <w:szCs w:val="20"/>
          <w:shd w:val="clear" w:color="auto" w:fill="FFFFFF"/>
        </w:rPr>
        <w:t>Zhao</w:t>
      </w:r>
      <w:r w:rsidRPr="00FA55E9">
        <w:rPr>
          <w:rFonts w:cs="Times New Roman"/>
        </w:rPr>
        <w:t xml:space="preserve"> et al. (2019), due to its access to huge volumes of data, the United Kingdom's financial services industry has been a leader in the adoption of data analytics and artificial intelligence by other industries and financial institutions. Predictive analytics is a powerful tool that helps organizations learn about and anticipate their customers' wants and requirements, allowing them to provide them proactively. The firm will have an easier time introducing the new system with this. By examining past data using sophisticated statistical models and algorithms, firms may use predictive analytics to peek into the future and plan accordingly. In turn, this facilitates fact-based </w:t>
      </w:r>
      <w:r w:rsidR="00E96B09" w:rsidRPr="00FA55E9">
        <w:rPr>
          <w:rFonts w:cs="Times New Roman"/>
        </w:rPr>
        <w:t>decision-making</w:t>
      </w:r>
      <w:r w:rsidRPr="00FA55E9">
        <w:rPr>
          <w:rFonts w:cs="Times New Roman"/>
        </w:rPr>
        <w:t xml:space="preserve"> inside organizations. To improve company tactics, make better use of resources, and, ultimately, retain and attract more happy consumers, an analytical frame of mind is crucial. Businesses now have the tools necessary to undertake in-depth analyses of massive datasets thanks to the deployment of sophisticated statistical models and the adoption of machine learning methods (</w:t>
      </w:r>
      <w:r w:rsidRPr="00FA55E9">
        <w:rPr>
          <w:rFonts w:cs="Times New Roman"/>
          <w:color w:val="222222"/>
          <w:szCs w:val="20"/>
          <w:shd w:val="clear" w:color="auto" w:fill="FFFFFF"/>
        </w:rPr>
        <w:t>Bilan et al., 2019)</w:t>
      </w:r>
      <w:r w:rsidRPr="00FA55E9">
        <w:rPr>
          <w:rFonts w:cs="Times New Roman"/>
        </w:rPr>
        <w:t>. Due to the development of big data, this is now possible. They are so capable of seeing and understanding tiny patterns, picking out larger trends, and making pertinent associations. With this information at hand, companies may better anticipate their customers' future actions and adjust their product lineups and advertising campaigns accordingly. With the use of predictive analytics, companies can give their clients with the specialized attention that helps them stand out from the crowd by delivering better goods and services. These businesses may save time and money by focusing primarily on potential clients identified using predictive analytics. Credit scoring models and fraud detection systems that use AI technology provide a big potential for companies to forge strategic partnerships with financial institutions and deliver individualized offerings.</w:t>
      </w:r>
    </w:p>
    <w:p w14:paraId="1200A27D" w14:textId="77777777" w:rsidR="00E11AC2" w:rsidRPr="00FA55E9" w:rsidRDefault="00E11AC2" w:rsidP="00E11AC2">
      <w:pPr>
        <w:spacing w:line="360" w:lineRule="auto"/>
        <w:rPr>
          <w:rFonts w:cs="Times New Roman"/>
        </w:rPr>
      </w:pPr>
      <w:r w:rsidRPr="00FA55E9">
        <w:rPr>
          <w:rFonts w:cs="Times New Roman"/>
          <w:color w:val="222222"/>
          <w:szCs w:val="20"/>
          <w:shd w:val="clear" w:color="auto" w:fill="FFFFFF"/>
        </w:rPr>
        <w:t>Park and Kim</w:t>
      </w:r>
      <w:r w:rsidRPr="00FA55E9">
        <w:rPr>
          <w:rFonts w:cs="Times New Roman"/>
        </w:rPr>
        <w:t xml:space="preserve">  (2020) stated that the banking business has a great chance to produce new products and services when it works with other sectors, such as retail, healthcare, and the entertainment industry. Establishing partnerships with major stores may pave the way for innovative consumer loyalty programs and new forms of payment processing. One of the potential effects of doing such an action is this. The healthcare and insurance businesses may work together to attain their full potential by providing individuals with financial planning services that are specifically tailored to their health information.</w:t>
      </w:r>
    </w:p>
    <w:p w14:paraId="3D665493" w14:textId="77777777" w:rsidR="00E11AC2" w:rsidRPr="00FA55E9" w:rsidRDefault="00E11AC2" w:rsidP="00E11AC2">
      <w:pPr>
        <w:spacing w:line="360" w:lineRule="auto"/>
        <w:rPr>
          <w:rFonts w:cs="Times New Roman"/>
        </w:rPr>
      </w:pPr>
      <w:r w:rsidRPr="00FA55E9">
        <w:rPr>
          <w:rFonts w:cs="Times New Roman"/>
        </w:rPr>
        <w:lastRenderedPageBreak/>
        <w:t>The growth of Britain's financial sector is heavily influenced by a wide range of factors, many of which are interrelated. Multiple variables, many of which interact, contribute to an industry's growth. One of the most important elements is the rapid pace of technological progress, which helps firms enhance their procedures and achieve greater levels of efficiency. Because of this, it must be one of your top priorities. The establishment of standards and regulations for firms is another way in which legislative changes affect economic development. This stipulation must be fulfilled by businesses if they want to continue operations. This is crucial because changes in customer tastes may drastically alter market dynamics and the demand for products. As a result of its usefulness in helping organizations get insights and make choices based on reliable data, data analytics has become more important across all sectors. This is a major reason why data analytics is becoming more and more important (</w:t>
      </w:r>
      <w:r w:rsidRPr="00FA55E9">
        <w:rPr>
          <w:rFonts w:cs="Times New Roman"/>
          <w:color w:val="222222"/>
          <w:szCs w:val="20"/>
          <w:shd w:val="clear" w:color="auto" w:fill="FFFFFF"/>
        </w:rPr>
        <w:t>Allen et al., 2021)</w:t>
      </w:r>
      <w:r w:rsidRPr="00FA55E9">
        <w:rPr>
          <w:rFonts w:cs="Times New Roman"/>
        </w:rPr>
        <w:t>. As a consequence of the sustainability movement, more and more businesses are realizing they need to implement environmentally friendly policies and practices. Therefore, campaigning for long-term sustainability is increasingly considered crucial. As a result, encouraging environmentally responsible behaviours has risen to prominence. There has been a rise in the number of partnerships that operate across different sectors as businesses learn the value of working together with others to pool their expertise and resources. The favourable circumstances brought about by the confluence of many unique traits have resulted in the emergence of several new business prospects. These selections have been carefully selected to meet the ever-evolving standards of the business environment in which we compete. Businesses that can quickly adapt to the shifting needs of customers, come up with innovative answers to the issues they face, and successfully satisfy their expectations have a better chance of succeeding in today's vast and competitive market. Entrepreneurial ventures with the potential to significantly change the future of the UK banking business have found fertile ground in the confluence of technical breakthroughs, regulatory frameworks, and shifting customer preferences (</w:t>
      </w:r>
      <w:r w:rsidRPr="00FA55E9">
        <w:rPr>
          <w:rFonts w:cs="Times New Roman"/>
          <w:color w:val="222222"/>
          <w:szCs w:val="20"/>
          <w:shd w:val="clear" w:color="auto" w:fill="FFFFFF"/>
        </w:rPr>
        <w:t>Sahay et al., 2020)</w:t>
      </w:r>
      <w:r w:rsidRPr="00FA55E9">
        <w:rPr>
          <w:rFonts w:cs="Times New Roman"/>
        </w:rPr>
        <w:t>. These factors encourage the development of novel business strategies, some of which might have significant effects on the British financial sector. Because of this merging, novel company ideas now have fertile ground to grow in.</w:t>
      </w:r>
    </w:p>
    <w:p w14:paraId="19C769F7" w14:textId="6AFBE16B" w:rsidR="00E11AC2" w:rsidRPr="00FA55E9" w:rsidRDefault="00E11AC2" w:rsidP="00E11AC2">
      <w:pPr>
        <w:pStyle w:val="Heading2"/>
      </w:pPr>
      <w:bookmarkStart w:id="34" w:name="_Toc142323014"/>
      <w:bookmarkStart w:id="35" w:name="_Toc145004282"/>
      <w:bookmarkStart w:id="36" w:name="_Toc145078398"/>
      <w:r w:rsidRPr="00FA55E9">
        <w:t xml:space="preserve">2.3 Services and Facilities Available for Customers in </w:t>
      </w:r>
      <w:r w:rsidR="00E96B09" w:rsidRPr="00FA55E9">
        <w:t xml:space="preserve">the </w:t>
      </w:r>
      <w:r w:rsidRPr="00FA55E9">
        <w:t>UK Banking Industry</w:t>
      </w:r>
      <w:bookmarkEnd w:id="34"/>
      <w:bookmarkEnd w:id="35"/>
      <w:bookmarkEnd w:id="36"/>
    </w:p>
    <w:p w14:paraId="1238E50D" w14:textId="37A1F52D" w:rsidR="00E11AC2" w:rsidRPr="00FA55E9" w:rsidRDefault="00E11AC2" w:rsidP="00E11AC2">
      <w:pPr>
        <w:pStyle w:val="NormalWeb"/>
        <w:spacing w:before="0" w:beforeAutospacing="0" w:after="0" w:afterAutospacing="0" w:line="360" w:lineRule="auto"/>
        <w:rPr>
          <w:color w:val="000000"/>
          <w:lang w:val="en-GB"/>
        </w:rPr>
      </w:pPr>
      <w:r w:rsidRPr="00FA55E9">
        <w:rPr>
          <w:lang w:val="en-GB"/>
        </w:rPr>
        <w:t xml:space="preserve">The banking services in the UK are active under the incorporation of </w:t>
      </w:r>
      <w:r w:rsidR="00E96B09" w:rsidRPr="00FA55E9">
        <w:rPr>
          <w:lang w:val="en-GB"/>
        </w:rPr>
        <w:t xml:space="preserve">a </w:t>
      </w:r>
      <w:r w:rsidRPr="00FA55E9">
        <w:rPr>
          <w:lang w:val="en-GB"/>
        </w:rPr>
        <w:t xml:space="preserve">retailing approach, as well as, with the development of online banking has changed the conventional financial courses of the country. According to </w:t>
      </w:r>
      <w:proofErr w:type="spellStart"/>
      <w:r w:rsidRPr="00FA55E9">
        <w:rPr>
          <w:color w:val="222222"/>
          <w:shd w:val="clear" w:color="auto" w:fill="FFFFFF"/>
          <w:lang w:val="en-GB"/>
        </w:rPr>
        <w:t>Kornelakis</w:t>
      </w:r>
      <w:proofErr w:type="spellEnd"/>
      <w:r w:rsidRPr="00FA55E9">
        <w:rPr>
          <w:lang w:val="en-GB"/>
        </w:rPr>
        <w:t xml:space="preserve"> et al. (2020), revolutionary acts and activities for envisaging challenges and opportunities have facilitated multipurpose schemes and policies for </w:t>
      </w:r>
      <w:r w:rsidRPr="00FA55E9">
        <w:rPr>
          <w:lang w:val="en-GB"/>
        </w:rPr>
        <w:lastRenderedPageBreak/>
        <w:t xml:space="preserve">providing opportunities to customers, as well as, for its revenue. The report suggests that the banks and credit unions of the UK are supported by the “Financial Services Compensation Schemes” (FSCS). If the financial bodies fail to perform, for an individual account, FSCS provides compensation of </w:t>
      </w:r>
      <w:r w:rsidRPr="00FA55E9">
        <w:rPr>
          <w:color w:val="000000"/>
          <w:lang w:val="en-GB"/>
        </w:rPr>
        <w:t xml:space="preserve">£85,000, while for the joint account, the amount is increased to £170,000. On the other hand, </w:t>
      </w:r>
      <w:r w:rsidRPr="00FA55E9">
        <w:rPr>
          <w:color w:val="222222"/>
          <w:shd w:val="clear" w:color="auto" w:fill="FFFFFF"/>
          <w:lang w:val="en-GB"/>
        </w:rPr>
        <w:t xml:space="preserve">Ruiz and Garcia, </w:t>
      </w:r>
      <w:r w:rsidRPr="00FA55E9">
        <w:rPr>
          <w:color w:val="000000"/>
          <w:lang w:val="en-GB"/>
        </w:rPr>
        <w:t xml:space="preserve">(2021), argue that the banking industry of the UK is more focused </w:t>
      </w:r>
      <w:r w:rsidR="00E96B09" w:rsidRPr="00FA55E9">
        <w:rPr>
          <w:color w:val="000000"/>
          <w:lang w:val="en-GB"/>
        </w:rPr>
        <w:t>on offering</w:t>
      </w:r>
      <w:r w:rsidRPr="00FA55E9">
        <w:rPr>
          <w:color w:val="000000"/>
          <w:lang w:val="en-GB"/>
        </w:rPr>
        <w:t xml:space="preserve"> a wide range of services and the facilities empowered by the industry </w:t>
      </w:r>
      <w:r w:rsidR="00E96B09" w:rsidRPr="00FA55E9">
        <w:rPr>
          <w:color w:val="000000"/>
          <w:lang w:val="en-GB"/>
        </w:rPr>
        <w:t>secure</w:t>
      </w:r>
      <w:r w:rsidRPr="00FA55E9">
        <w:rPr>
          <w:color w:val="000000"/>
          <w:lang w:val="en-GB"/>
        </w:rPr>
        <w:t xml:space="preserve"> public involvement and programmes. Several accounts of the UK banks provide a facility for digital cards, while regular cards are usable from any corner of the country. The report mentions that the digital cards are secured with PIN and other securities, while the standard usage is programmed with a “contactless feature”. Debit cards are allowed to be added to the digital wallet, and these contactless services are well-recognised in the UK.</w:t>
      </w:r>
    </w:p>
    <w:p w14:paraId="2BB7DFAB" w14:textId="143814D6" w:rsidR="00E11AC2" w:rsidRPr="00FA55E9" w:rsidRDefault="00E11AC2" w:rsidP="00E11AC2">
      <w:pPr>
        <w:pStyle w:val="NormalWeb"/>
        <w:spacing w:before="0" w:beforeAutospacing="0" w:after="0" w:afterAutospacing="0" w:line="360" w:lineRule="auto"/>
        <w:rPr>
          <w:color w:val="000000"/>
          <w:lang w:val="en-GB"/>
        </w:rPr>
      </w:pPr>
      <w:r w:rsidRPr="00FA55E9">
        <w:rPr>
          <w:color w:val="000000"/>
          <w:lang w:val="en-GB"/>
        </w:rPr>
        <w:t xml:space="preserve">A significant service of over-drafting is also programmed by the UK banking industry, which allows customers to spend more than the account balance. The service incurs interest on a certain scale, while a limit can also be set by customers before crossing the current balance. On the other hand, </w:t>
      </w:r>
      <w:r w:rsidRPr="00FA55E9">
        <w:rPr>
          <w:color w:val="222222"/>
          <w:shd w:val="clear" w:color="auto" w:fill="FFFFFF"/>
          <w:lang w:val="en-GB"/>
        </w:rPr>
        <w:t xml:space="preserve">Feridun and Güngör, </w:t>
      </w:r>
      <w:r w:rsidRPr="00FA55E9">
        <w:rPr>
          <w:color w:val="000000"/>
          <w:lang w:val="en-GB"/>
        </w:rPr>
        <w:t xml:space="preserve">(2020), mention that numerous accounts in the UK facilitate reward policies for customers, while Individual Savings Accounts also </w:t>
      </w:r>
      <w:r w:rsidR="00E96B09" w:rsidRPr="00FA55E9">
        <w:rPr>
          <w:color w:val="000000"/>
          <w:lang w:val="en-GB"/>
        </w:rPr>
        <w:t>benefit</w:t>
      </w:r>
      <w:r w:rsidRPr="00FA55E9">
        <w:rPr>
          <w:color w:val="000000"/>
          <w:lang w:val="en-GB"/>
        </w:rPr>
        <w:t xml:space="preserve"> from it. The tax amount is reduced with respect to earned interests through ISA, and in this regard, multiple eligibility criteria are considered. However, regular repayments and the usage of credit card has been facilitated by the banking sector of the UK, and up to a certain limit, money can be borrowed. </w:t>
      </w:r>
      <w:r w:rsidRPr="00FA55E9">
        <w:rPr>
          <w:color w:val="222222"/>
          <w:szCs w:val="20"/>
          <w:shd w:val="clear" w:color="auto" w:fill="FFFFFF"/>
          <w:lang w:val="en-GB"/>
        </w:rPr>
        <w:t>Sahay</w:t>
      </w:r>
      <w:r w:rsidRPr="00FA55E9">
        <w:rPr>
          <w:color w:val="000000"/>
          <w:lang w:val="en-GB"/>
        </w:rPr>
        <w:t xml:space="preserve"> et al. (2020), </w:t>
      </w:r>
      <w:r w:rsidR="00E96B09" w:rsidRPr="00FA55E9">
        <w:rPr>
          <w:color w:val="000000"/>
          <w:lang w:val="en-GB"/>
        </w:rPr>
        <w:t>mention</w:t>
      </w:r>
      <w:r w:rsidRPr="00FA55E9">
        <w:rPr>
          <w:color w:val="000000"/>
          <w:lang w:val="en-GB"/>
        </w:rPr>
        <w:t xml:space="preserve"> that a physical credit card is provided by UK banks, which can be used effectively for financial activities. Interest comes to action if the card is carried from month to month, while the digital wallet can also be utilised for monetary practices and programmes.</w:t>
      </w:r>
    </w:p>
    <w:p w14:paraId="480C6296" w14:textId="77777777" w:rsidR="00E11AC2" w:rsidRPr="00FA55E9" w:rsidRDefault="00E11AC2" w:rsidP="00E11AC2">
      <w:pPr>
        <w:pStyle w:val="NormalWeb"/>
        <w:spacing w:before="0" w:beforeAutospacing="0" w:after="0" w:afterAutospacing="0" w:line="360" w:lineRule="auto"/>
        <w:rPr>
          <w:color w:val="000000"/>
          <w:lang w:val="en-GB"/>
        </w:rPr>
      </w:pPr>
    </w:p>
    <w:p w14:paraId="1E2EE890" w14:textId="77777777" w:rsidR="00E11AC2" w:rsidRPr="00FA55E9" w:rsidRDefault="00E11AC2" w:rsidP="00E11AC2">
      <w:pPr>
        <w:spacing w:line="360" w:lineRule="auto"/>
        <w:rPr>
          <w:rFonts w:cs="Times New Roman"/>
          <w:szCs w:val="24"/>
        </w:rPr>
      </w:pPr>
      <w:r w:rsidRPr="00FA55E9">
        <w:rPr>
          <w:rFonts w:cs="Times New Roman"/>
          <w:szCs w:val="24"/>
        </w:rPr>
        <w:t>The chart depicted below refers to the net profit of leading banks in the UK in 2022. It is observed from the chart that HSBC profited 13,779.09 million GBP, while Barclays profited 5,973 million GBP. On the other hand, Lloyds experienced a profit of 5,556 million GBP, and in the case of NatWest, the profit was observed at 3,595 million GBP. Lastly, Standard Chartered of the UK procured a net profit of 2,398.74 million GBP.</w:t>
      </w:r>
    </w:p>
    <w:p w14:paraId="089CAE83" w14:textId="77777777" w:rsidR="00E11AC2" w:rsidRPr="00FA55E9" w:rsidRDefault="00E11AC2" w:rsidP="00E11AC2">
      <w:pPr>
        <w:spacing w:line="360" w:lineRule="auto"/>
        <w:rPr>
          <w:rFonts w:cs="Times New Roman"/>
          <w:szCs w:val="24"/>
        </w:rPr>
      </w:pPr>
      <w:r w:rsidRPr="00FA55E9">
        <w:rPr>
          <w:rFonts w:cs="Times New Roman"/>
          <w:szCs w:val="24"/>
        </w:rPr>
        <w:t>The profitability and business factors of the banks have been well-established through business measures and creative growth, while the essentials have been channelled with different acts and activities relevant to business and customer relationships.</w:t>
      </w:r>
    </w:p>
    <w:p w14:paraId="7DDF9507" w14:textId="77777777" w:rsidR="00E11AC2" w:rsidRPr="00FA55E9" w:rsidRDefault="00E11AC2" w:rsidP="00E11AC2">
      <w:pPr>
        <w:spacing w:line="360" w:lineRule="auto"/>
        <w:jc w:val="center"/>
        <w:rPr>
          <w:rFonts w:cs="Times New Roman"/>
          <w:szCs w:val="24"/>
        </w:rPr>
      </w:pPr>
    </w:p>
    <w:p w14:paraId="05652BA7" w14:textId="77777777" w:rsidR="00E11AC2" w:rsidRPr="00FA55E9" w:rsidRDefault="00E11AC2" w:rsidP="00E11AC2">
      <w:pPr>
        <w:spacing w:line="360" w:lineRule="auto"/>
        <w:jc w:val="center"/>
        <w:rPr>
          <w:rFonts w:cs="Times New Roman"/>
          <w:szCs w:val="24"/>
        </w:rPr>
      </w:pPr>
      <w:r w:rsidRPr="00FA55E9">
        <w:rPr>
          <w:noProof/>
          <w:bdr w:val="single" w:sz="4" w:space="0" w:color="auto"/>
        </w:rPr>
        <w:lastRenderedPageBreak/>
        <w:drawing>
          <wp:inline distT="0" distB="0" distL="0" distR="0" wp14:anchorId="6E0D0B64" wp14:editId="057AE548">
            <wp:extent cx="4542145" cy="3375660"/>
            <wp:effectExtent l="0" t="0" r="0" b="0"/>
            <wp:docPr id="226663241" name="Picture 1" descr="Net profit of leading UK banks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 profit of leading UK banks 2022 | Statist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49020" cy="3380769"/>
                    </a:xfrm>
                    <a:prstGeom prst="rect">
                      <a:avLst/>
                    </a:prstGeom>
                    <a:noFill/>
                    <a:ln>
                      <a:noFill/>
                    </a:ln>
                  </pic:spPr>
                </pic:pic>
              </a:graphicData>
            </a:graphic>
          </wp:inline>
        </w:drawing>
      </w:r>
    </w:p>
    <w:p w14:paraId="15484DC2" w14:textId="77777777" w:rsidR="00E11AC2" w:rsidRPr="00FA55E9" w:rsidRDefault="00E11AC2" w:rsidP="00E11AC2">
      <w:pPr>
        <w:spacing w:line="360" w:lineRule="auto"/>
        <w:jc w:val="center"/>
        <w:rPr>
          <w:rFonts w:cs="Times New Roman"/>
          <w:b/>
          <w:bCs/>
          <w:szCs w:val="24"/>
        </w:rPr>
      </w:pPr>
      <w:r w:rsidRPr="00FA55E9">
        <w:rPr>
          <w:rFonts w:cs="Times New Roman"/>
          <w:b/>
          <w:bCs/>
          <w:szCs w:val="24"/>
        </w:rPr>
        <w:t>Figure 1: Net Profit of Leading Banks in the United Kingdom, (2022)</w:t>
      </w:r>
    </w:p>
    <w:p w14:paraId="11DBC5C6" w14:textId="77777777" w:rsidR="00E11AC2" w:rsidRPr="00FA55E9" w:rsidRDefault="00E11AC2" w:rsidP="00E11AC2">
      <w:pPr>
        <w:spacing w:line="360" w:lineRule="auto"/>
        <w:jc w:val="center"/>
        <w:rPr>
          <w:rFonts w:cs="Times New Roman"/>
          <w:szCs w:val="24"/>
        </w:rPr>
      </w:pPr>
      <w:r w:rsidRPr="00FA55E9">
        <w:rPr>
          <w:rFonts w:cs="Times New Roman"/>
          <w:szCs w:val="24"/>
        </w:rPr>
        <w:t>Source: Statista, (2023)</w:t>
      </w:r>
    </w:p>
    <w:p w14:paraId="373EFC8B" w14:textId="5F0700F8" w:rsidR="00E11AC2" w:rsidRPr="00FA55E9" w:rsidRDefault="00E11AC2" w:rsidP="00E11AC2">
      <w:pPr>
        <w:spacing w:line="360" w:lineRule="auto"/>
        <w:rPr>
          <w:rFonts w:cs="Times New Roman"/>
          <w:szCs w:val="24"/>
        </w:rPr>
      </w:pPr>
      <w:r w:rsidRPr="00FA55E9">
        <w:rPr>
          <w:rFonts w:cs="Times New Roman"/>
          <w:szCs w:val="24"/>
        </w:rPr>
        <w:t xml:space="preserve">The banking industry of the UK provides services regarding long-term loans through mortgage and in this regard, customers can have access to a lump sum for regular payments or buying any property. </w:t>
      </w:r>
      <w:r w:rsidRPr="00FA55E9">
        <w:rPr>
          <w:rFonts w:cs="Times New Roman"/>
          <w:color w:val="222222"/>
          <w:szCs w:val="20"/>
          <w:shd w:val="clear" w:color="auto" w:fill="FFFFFF"/>
        </w:rPr>
        <w:t xml:space="preserve">Park and Kim, </w:t>
      </w:r>
      <w:r w:rsidRPr="00FA55E9">
        <w:rPr>
          <w:rFonts w:cs="Times New Roman"/>
          <w:szCs w:val="24"/>
        </w:rPr>
        <w:t xml:space="preserve">(2020), mention that before making any deal regarding a mortgage, the banking industry communicates effectively with customers, and a clear knowledge of payments and relevant methods is ensured, so that customers can act as per their </w:t>
      </w:r>
      <w:r w:rsidR="00E96B09" w:rsidRPr="00FA55E9">
        <w:rPr>
          <w:rFonts w:cs="Times New Roman"/>
          <w:szCs w:val="24"/>
        </w:rPr>
        <w:t>needs</w:t>
      </w:r>
      <w:r w:rsidRPr="00FA55E9">
        <w:rPr>
          <w:rFonts w:cs="Times New Roman"/>
          <w:szCs w:val="24"/>
        </w:rPr>
        <w:t xml:space="preserve">. Apart from </w:t>
      </w:r>
      <w:r w:rsidR="007162D0" w:rsidRPr="00FA55E9">
        <w:rPr>
          <w:rFonts w:cs="Times New Roman"/>
          <w:szCs w:val="24"/>
        </w:rPr>
        <w:t>that</w:t>
      </w:r>
      <w:r w:rsidRPr="00FA55E9">
        <w:rPr>
          <w:rFonts w:cs="Times New Roman"/>
          <w:szCs w:val="24"/>
        </w:rPr>
        <w:t>, personal loan services are also provided by the UK banking industry, which plays a pivotal role in the socio-economic and socio-cultural life of the country. With respect to mortgages, a shorter period of time is considered for paying off personal loans, while online banking empowered by the industry has been beneficial for the country’s banking acts and activities.</w:t>
      </w:r>
    </w:p>
    <w:p w14:paraId="066B4282" w14:textId="30B7B345" w:rsidR="00E11AC2" w:rsidRPr="00FA55E9" w:rsidRDefault="00E11AC2" w:rsidP="00E11AC2">
      <w:pPr>
        <w:spacing w:line="360" w:lineRule="auto"/>
        <w:rPr>
          <w:rFonts w:cs="Times New Roman"/>
          <w:color w:val="000000"/>
          <w:szCs w:val="24"/>
        </w:rPr>
      </w:pPr>
      <w:r w:rsidRPr="00FA55E9">
        <w:rPr>
          <w:rFonts w:cs="Times New Roman"/>
          <w:szCs w:val="24"/>
        </w:rPr>
        <w:t>“Potential interest earnings” based on a savings account are highlighted by the sector with the involvement of the “Annual Equivalent Rate” (AER), while the estimation of returns is also calculated. On the other hand, by considering the “Business Identifier Code” (BIC), automated “international payments” are confirmed by the industry, and sometimes, it is also termed as “SWIFT Code” (</w:t>
      </w:r>
      <w:r w:rsidRPr="00FA55E9">
        <w:rPr>
          <w:rFonts w:cs="Times New Roman"/>
          <w:color w:val="222222"/>
          <w:szCs w:val="20"/>
          <w:shd w:val="clear" w:color="auto" w:fill="FFFFFF"/>
        </w:rPr>
        <w:t>Pakurár et al. 2019</w:t>
      </w:r>
      <w:r w:rsidRPr="00FA55E9">
        <w:rPr>
          <w:rFonts w:cs="Times New Roman"/>
          <w:szCs w:val="24"/>
        </w:rPr>
        <w:t xml:space="preserve">). For checking balance and withdrawing a certain amount of money, </w:t>
      </w:r>
      <w:r w:rsidR="00E96B09" w:rsidRPr="00FA55E9">
        <w:rPr>
          <w:rFonts w:cs="Times New Roman"/>
          <w:szCs w:val="24"/>
        </w:rPr>
        <w:t xml:space="preserve">a </w:t>
      </w:r>
      <w:r w:rsidRPr="00FA55E9">
        <w:rPr>
          <w:rFonts w:cs="Times New Roman"/>
          <w:szCs w:val="24"/>
        </w:rPr>
        <w:t xml:space="preserve">cash machine is provided by the industry, and for paying from one account to another, direct debit services are provided. </w:t>
      </w:r>
      <w:r w:rsidRPr="00FA55E9">
        <w:rPr>
          <w:rFonts w:cs="Times New Roman"/>
          <w:color w:val="222222"/>
          <w:szCs w:val="24"/>
          <w:shd w:val="clear" w:color="auto" w:fill="FFFFFF"/>
        </w:rPr>
        <w:t>Miralles-Quirós</w:t>
      </w:r>
      <w:r w:rsidRPr="00FA55E9">
        <w:rPr>
          <w:rFonts w:cs="Times New Roman"/>
          <w:szCs w:val="24"/>
        </w:rPr>
        <w:t xml:space="preserve"> et al. (2019), highlights as per the </w:t>
      </w:r>
      <w:r w:rsidRPr="00FA55E9">
        <w:rPr>
          <w:rFonts w:cs="Times New Roman"/>
          <w:szCs w:val="24"/>
        </w:rPr>
        <w:lastRenderedPageBreak/>
        <w:t xml:space="preserve">banking reports of the UK, from 2023/2024, if the account holder is above 16 and their weekly income is more than </w:t>
      </w:r>
      <w:r w:rsidRPr="00FA55E9">
        <w:rPr>
          <w:rFonts w:cs="Times New Roman"/>
          <w:color w:val="000000"/>
          <w:szCs w:val="24"/>
        </w:rPr>
        <w:t>£242, the “national insurance” must be paid. Moreover, the industry provides a greater service through standing order and sort code, the six-digit code to identify the bank branch.</w:t>
      </w:r>
    </w:p>
    <w:p w14:paraId="5BE318D1" w14:textId="4F161CDA" w:rsidR="00E11AC2" w:rsidRPr="00FA55E9" w:rsidRDefault="00E96B09" w:rsidP="00E11AC2">
      <w:pPr>
        <w:spacing w:line="360" w:lineRule="auto"/>
        <w:rPr>
          <w:rFonts w:cs="Times New Roman"/>
          <w:szCs w:val="24"/>
        </w:rPr>
      </w:pPr>
      <w:r w:rsidRPr="00FA55E9">
        <w:rPr>
          <w:rFonts w:cs="Times New Roman"/>
          <w:color w:val="000000"/>
          <w:szCs w:val="24"/>
        </w:rPr>
        <w:t>Online banking</w:t>
      </w:r>
      <w:r w:rsidR="00E11AC2" w:rsidRPr="00FA55E9">
        <w:rPr>
          <w:rFonts w:cs="Times New Roman"/>
          <w:color w:val="000000"/>
          <w:szCs w:val="24"/>
        </w:rPr>
        <w:t xml:space="preserve"> activities maintained by the UK banking industry have made the monetary practices wide and transparent, and the credibility among people about banks has also increased. With the implementation of automation services through AI and data management through cloud computing and machine learning, the industry has been effective for the country’s financial sector and monetary upbringing.</w:t>
      </w:r>
    </w:p>
    <w:p w14:paraId="323BEE7B" w14:textId="31378020" w:rsidR="00E11AC2" w:rsidRPr="00FA55E9" w:rsidRDefault="00E11AC2" w:rsidP="00E11AC2">
      <w:pPr>
        <w:pStyle w:val="Heading2"/>
      </w:pPr>
      <w:bookmarkStart w:id="37" w:name="_Toc142323015"/>
      <w:bookmarkStart w:id="38" w:name="_Toc145004283"/>
      <w:bookmarkStart w:id="39" w:name="_Toc145078399"/>
      <w:r w:rsidRPr="00FA55E9">
        <w:t xml:space="preserve">2.4 Customer Relationship </w:t>
      </w:r>
      <w:r w:rsidR="00E96B09" w:rsidRPr="00FA55E9">
        <w:t>Factors</w:t>
      </w:r>
      <w:r w:rsidRPr="00FA55E9">
        <w:t xml:space="preserve"> in </w:t>
      </w:r>
      <w:r w:rsidR="00E96B09" w:rsidRPr="00FA55E9">
        <w:t xml:space="preserve">the </w:t>
      </w:r>
      <w:r w:rsidRPr="00FA55E9">
        <w:t>UK Banking Industry</w:t>
      </w:r>
      <w:bookmarkEnd w:id="37"/>
      <w:bookmarkEnd w:id="38"/>
      <w:bookmarkEnd w:id="39"/>
    </w:p>
    <w:p w14:paraId="4038B562" w14:textId="393B0DB6" w:rsidR="00E11AC2" w:rsidRPr="00FA55E9" w:rsidRDefault="00E11AC2" w:rsidP="00E11AC2">
      <w:pPr>
        <w:spacing w:line="360" w:lineRule="auto"/>
        <w:rPr>
          <w:rFonts w:cs="Times New Roman"/>
          <w:szCs w:val="24"/>
        </w:rPr>
      </w:pPr>
      <w:r w:rsidRPr="00FA55E9">
        <w:rPr>
          <w:rFonts w:cs="Times New Roman"/>
          <w:szCs w:val="24"/>
        </w:rPr>
        <w:t xml:space="preserve">With the implication of distinct plans and economic programmes, the banking sector of the UK has been successful </w:t>
      </w:r>
      <w:r w:rsidR="00E96B09" w:rsidRPr="00FA55E9">
        <w:rPr>
          <w:rFonts w:cs="Times New Roman"/>
          <w:szCs w:val="24"/>
        </w:rPr>
        <w:t>in creating</w:t>
      </w:r>
      <w:r w:rsidRPr="00FA55E9">
        <w:rPr>
          <w:rFonts w:cs="Times New Roman"/>
          <w:szCs w:val="24"/>
        </w:rPr>
        <w:t xml:space="preserve"> a better stakeholder relationship. The development of the customer-centric infrastructure and model has changed the conventional outlook of UK banking, and customer reliability has been satisfactory in nature. According to </w:t>
      </w:r>
      <w:proofErr w:type="spellStart"/>
      <w:r w:rsidRPr="00FA55E9">
        <w:rPr>
          <w:rFonts w:cs="Times New Roman"/>
          <w:color w:val="222222"/>
          <w:szCs w:val="24"/>
          <w:shd w:val="clear" w:color="auto" w:fill="FFFFFF"/>
        </w:rPr>
        <w:t>Almoneef</w:t>
      </w:r>
      <w:proofErr w:type="spellEnd"/>
      <w:r w:rsidRPr="00FA55E9">
        <w:rPr>
          <w:rFonts w:cs="Times New Roman"/>
          <w:color w:val="222222"/>
          <w:szCs w:val="24"/>
          <w:shd w:val="clear" w:color="auto" w:fill="FFFFFF"/>
        </w:rPr>
        <w:t xml:space="preserve"> and </w:t>
      </w:r>
      <w:proofErr w:type="spellStart"/>
      <w:r w:rsidRPr="00FA55E9">
        <w:rPr>
          <w:rFonts w:cs="Times New Roman"/>
          <w:color w:val="222222"/>
          <w:szCs w:val="24"/>
          <w:shd w:val="clear" w:color="auto" w:fill="FFFFFF"/>
        </w:rPr>
        <w:t>Samontaray</w:t>
      </w:r>
      <w:proofErr w:type="spellEnd"/>
      <w:r w:rsidRPr="00FA55E9">
        <w:rPr>
          <w:rFonts w:cs="Times New Roman"/>
          <w:color w:val="222222"/>
          <w:szCs w:val="24"/>
          <w:shd w:val="clear" w:color="auto" w:fill="FFFFFF"/>
        </w:rPr>
        <w:t xml:space="preserve">, </w:t>
      </w:r>
      <w:r w:rsidRPr="00FA55E9">
        <w:rPr>
          <w:rFonts w:cs="Times New Roman"/>
          <w:szCs w:val="24"/>
        </w:rPr>
        <w:t xml:space="preserve">(2019), with the emergence of online banking with the development of tools and techniques, customer satisfaction has increased on a significant scale, and the relationship between banks and customers has been effective </w:t>
      </w:r>
      <w:r w:rsidR="00E96B09" w:rsidRPr="00FA55E9">
        <w:rPr>
          <w:rFonts w:cs="Times New Roman"/>
          <w:szCs w:val="24"/>
        </w:rPr>
        <w:t>in creating</w:t>
      </w:r>
      <w:r w:rsidRPr="00FA55E9">
        <w:rPr>
          <w:rFonts w:cs="Times New Roman"/>
          <w:szCs w:val="24"/>
        </w:rPr>
        <w:t xml:space="preserve"> market programming and financial sensitivity. On the other hand, the UK financial reports suggest that in the last 25 years, the branching network of the country’s banking sector though halved by 8,000, and customer satisfaction and involvement remain high due to the quality of services (</w:t>
      </w:r>
      <w:proofErr w:type="spellStart"/>
      <w:r w:rsidRPr="00FA55E9">
        <w:rPr>
          <w:rFonts w:cs="Times New Roman"/>
          <w:color w:val="222222"/>
          <w:szCs w:val="20"/>
          <w:shd w:val="clear" w:color="auto" w:fill="FFFFFF"/>
        </w:rPr>
        <w:t>O'Dwyer</w:t>
      </w:r>
      <w:proofErr w:type="spellEnd"/>
      <w:r w:rsidRPr="00FA55E9">
        <w:rPr>
          <w:rFonts w:cs="Times New Roman"/>
          <w:color w:val="222222"/>
          <w:szCs w:val="20"/>
          <w:shd w:val="clear" w:color="auto" w:fill="FFFFFF"/>
        </w:rPr>
        <w:t xml:space="preserve"> and </w:t>
      </w:r>
      <w:proofErr w:type="spellStart"/>
      <w:r w:rsidRPr="00FA55E9">
        <w:rPr>
          <w:rFonts w:cs="Times New Roman"/>
          <w:color w:val="222222"/>
          <w:szCs w:val="20"/>
          <w:shd w:val="clear" w:color="auto" w:fill="FFFFFF"/>
        </w:rPr>
        <w:t>Unerman</w:t>
      </w:r>
      <w:proofErr w:type="spellEnd"/>
      <w:r w:rsidRPr="00FA55E9">
        <w:rPr>
          <w:rFonts w:cs="Times New Roman"/>
          <w:color w:val="222222"/>
          <w:szCs w:val="20"/>
          <w:shd w:val="clear" w:color="auto" w:fill="FFFFFF"/>
        </w:rPr>
        <w:t>, 2020</w:t>
      </w:r>
      <w:r w:rsidRPr="00FA55E9">
        <w:rPr>
          <w:rFonts w:cs="Times New Roman"/>
          <w:szCs w:val="24"/>
        </w:rPr>
        <w:t xml:space="preserve">). It is also observed that customer satisfaction and growth management have been empowered by technical acts and observations, and data-driven decision-making has been beneficial </w:t>
      </w:r>
      <w:r w:rsidR="00E96B09" w:rsidRPr="00FA55E9">
        <w:rPr>
          <w:rFonts w:cs="Times New Roman"/>
          <w:szCs w:val="24"/>
        </w:rPr>
        <w:t>in creating</w:t>
      </w:r>
      <w:r w:rsidRPr="00FA55E9">
        <w:rPr>
          <w:rFonts w:cs="Times New Roman"/>
          <w:szCs w:val="24"/>
        </w:rPr>
        <w:t xml:space="preserve"> a valuable bridge between UK banks and customers. The widely identified trend of consumer perception of the country reflects that the banking industry is the best sector of the country with the index of satisfaction by 91% (</w:t>
      </w:r>
      <w:r w:rsidRPr="00FA55E9">
        <w:rPr>
          <w:rFonts w:cs="Times New Roman"/>
          <w:color w:val="222222"/>
          <w:szCs w:val="24"/>
          <w:shd w:val="clear" w:color="auto" w:fill="FFFFFF"/>
        </w:rPr>
        <w:t>Joshi et al. 2020</w:t>
      </w:r>
      <w:r w:rsidRPr="00FA55E9">
        <w:rPr>
          <w:rFonts w:cs="Times New Roman"/>
          <w:szCs w:val="24"/>
        </w:rPr>
        <w:t xml:space="preserve">). From the post-2007 period to the current, the economic programming and financial activities of banks have been significant with the development of communication and services, as per requirements. The assimilation of plans and multipurpose programmes have shaped the industry’s economic acts and activities, while the security of customer services and management, as well as, industrial preferences have been effective </w:t>
      </w:r>
      <w:r w:rsidR="00E96B09" w:rsidRPr="00FA55E9">
        <w:rPr>
          <w:rFonts w:cs="Times New Roman"/>
          <w:szCs w:val="24"/>
        </w:rPr>
        <w:t>in creating</w:t>
      </w:r>
      <w:r w:rsidRPr="00FA55E9">
        <w:rPr>
          <w:rFonts w:cs="Times New Roman"/>
          <w:szCs w:val="24"/>
        </w:rPr>
        <w:t xml:space="preserve"> a better stakeholder relationship.</w:t>
      </w:r>
    </w:p>
    <w:p w14:paraId="5A933C21" w14:textId="77777777" w:rsidR="00E11AC2" w:rsidRPr="00FA55E9" w:rsidRDefault="00E11AC2" w:rsidP="00E11AC2">
      <w:pPr>
        <w:spacing w:line="360" w:lineRule="auto"/>
        <w:rPr>
          <w:rFonts w:cs="Times New Roman"/>
          <w:szCs w:val="24"/>
        </w:rPr>
      </w:pPr>
      <w:r w:rsidRPr="00FA55E9">
        <w:rPr>
          <w:rFonts w:cs="Times New Roman"/>
          <w:szCs w:val="24"/>
        </w:rPr>
        <w:lastRenderedPageBreak/>
        <w:t xml:space="preserve">The chart presented below refers to the environmental and ethical index scores of different banks in the UK. According to the chart, </w:t>
      </w:r>
      <w:proofErr w:type="spellStart"/>
      <w:r w:rsidRPr="00FA55E9">
        <w:rPr>
          <w:rFonts w:cs="Times New Roman"/>
          <w:szCs w:val="24"/>
        </w:rPr>
        <w:t>Triodos</w:t>
      </w:r>
      <w:proofErr w:type="spellEnd"/>
      <w:r w:rsidRPr="00FA55E9">
        <w:rPr>
          <w:rFonts w:cs="Times New Roman"/>
          <w:szCs w:val="24"/>
        </w:rPr>
        <w:t xml:space="preserve"> Bank of the UK ranks the highest with 92, which is followed by the Ecology Building Society and Nationwide Building Society with 90, each. The co-operative bank and NatWest Group score 58 and 54, and HSBC and Barclays score 44 and 41. Lastly, it is observed from the chart that the ethical score of Santander is 35.</w:t>
      </w:r>
    </w:p>
    <w:p w14:paraId="5D769B6C" w14:textId="77777777" w:rsidR="00E11AC2" w:rsidRPr="00FA55E9" w:rsidRDefault="00E11AC2" w:rsidP="00E11AC2">
      <w:pPr>
        <w:spacing w:line="360" w:lineRule="auto"/>
        <w:rPr>
          <w:rFonts w:cs="Times New Roman"/>
          <w:szCs w:val="24"/>
        </w:rPr>
      </w:pPr>
    </w:p>
    <w:p w14:paraId="2A356B7B" w14:textId="77777777" w:rsidR="00E11AC2" w:rsidRPr="00FA55E9" w:rsidRDefault="00E11AC2" w:rsidP="00E11AC2">
      <w:pPr>
        <w:spacing w:line="360" w:lineRule="auto"/>
        <w:jc w:val="center"/>
        <w:rPr>
          <w:rFonts w:cs="Times New Roman"/>
          <w:szCs w:val="24"/>
        </w:rPr>
      </w:pPr>
      <w:r w:rsidRPr="00FA55E9">
        <w:rPr>
          <w:noProof/>
          <w:bdr w:val="single" w:sz="4" w:space="0" w:color="auto"/>
        </w:rPr>
        <w:drawing>
          <wp:inline distT="0" distB="0" distL="0" distR="0" wp14:anchorId="56BAA8A3" wp14:editId="51E458DE">
            <wp:extent cx="3642360" cy="3642360"/>
            <wp:effectExtent l="0" t="0" r="0" b="0"/>
            <wp:docPr id="72942500" name="Picture 3" descr="Chart: Is Your Bank Ethical?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Is Your Bank Ethical? | Statist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42360" cy="3642360"/>
                    </a:xfrm>
                    <a:prstGeom prst="rect">
                      <a:avLst/>
                    </a:prstGeom>
                    <a:noFill/>
                    <a:ln>
                      <a:noFill/>
                    </a:ln>
                  </pic:spPr>
                </pic:pic>
              </a:graphicData>
            </a:graphic>
          </wp:inline>
        </w:drawing>
      </w:r>
    </w:p>
    <w:p w14:paraId="5E692114" w14:textId="77777777" w:rsidR="00E11AC2" w:rsidRPr="00FA55E9" w:rsidRDefault="00E11AC2" w:rsidP="00E11AC2">
      <w:pPr>
        <w:spacing w:line="360" w:lineRule="auto"/>
        <w:jc w:val="center"/>
        <w:rPr>
          <w:rFonts w:cs="Times New Roman"/>
          <w:b/>
          <w:bCs/>
          <w:szCs w:val="24"/>
        </w:rPr>
      </w:pPr>
      <w:r w:rsidRPr="00FA55E9">
        <w:rPr>
          <w:rFonts w:cs="Times New Roman"/>
          <w:b/>
          <w:bCs/>
          <w:szCs w:val="24"/>
        </w:rPr>
        <w:t>Figure 2: Ethical Banking</w:t>
      </w:r>
    </w:p>
    <w:p w14:paraId="0226DC7A" w14:textId="77777777" w:rsidR="00E11AC2" w:rsidRPr="00FA55E9" w:rsidRDefault="00E11AC2" w:rsidP="00E11AC2">
      <w:pPr>
        <w:spacing w:line="360" w:lineRule="auto"/>
        <w:jc w:val="center"/>
        <w:rPr>
          <w:rFonts w:cs="Times New Roman"/>
          <w:szCs w:val="24"/>
        </w:rPr>
      </w:pPr>
      <w:r w:rsidRPr="00FA55E9">
        <w:rPr>
          <w:rFonts w:cs="Times New Roman"/>
          <w:szCs w:val="24"/>
        </w:rPr>
        <w:t>Source: Statista, (2021)</w:t>
      </w:r>
    </w:p>
    <w:p w14:paraId="27E4F07D" w14:textId="340C94F3" w:rsidR="00E11AC2" w:rsidRPr="00FA55E9" w:rsidRDefault="00E11AC2" w:rsidP="00E11AC2">
      <w:pPr>
        <w:spacing w:line="360" w:lineRule="auto"/>
        <w:rPr>
          <w:rFonts w:cs="Times New Roman"/>
          <w:szCs w:val="24"/>
        </w:rPr>
      </w:pPr>
      <w:r w:rsidRPr="00FA55E9">
        <w:rPr>
          <w:rFonts w:cs="Times New Roman"/>
          <w:szCs w:val="24"/>
        </w:rPr>
        <w:t xml:space="preserve">However, </w:t>
      </w:r>
      <w:r w:rsidRPr="00FA55E9">
        <w:rPr>
          <w:rFonts w:cs="Times New Roman"/>
          <w:color w:val="222222"/>
          <w:szCs w:val="24"/>
          <w:shd w:val="clear" w:color="auto" w:fill="FFFFFF"/>
        </w:rPr>
        <w:t>Kaur et al.</w:t>
      </w:r>
      <w:r w:rsidRPr="00FA55E9">
        <w:rPr>
          <w:rFonts w:cs="Times New Roman"/>
          <w:szCs w:val="24"/>
        </w:rPr>
        <w:t xml:space="preserve"> (2020), </w:t>
      </w:r>
      <w:r w:rsidR="00E96B09" w:rsidRPr="00FA55E9">
        <w:rPr>
          <w:rFonts w:cs="Times New Roman"/>
          <w:szCs w:val="24"/>
        </w:rPr>
        <w:t>mention</w:t>
      </w:r>
      <w:r w:rsidRPr="00FA55E9">
        <w:rPr>
          <w:rFonts w:cs="Times New Roman"/>
          <w:szCs w:val="24"/>
        </w:rPr>
        <w:t xml:space="preserve"> that communication with customers has become more personal since the incorporation of technical acts and activities, while the integrated value of the market with effective needs and quality has been impactful. The report suggests that the organised act to influence customers with better words and activities has been significant </w:t>
      </w:r>
      <w:r w:rsidR="00E96B09" w:rsidRPr="00FA55E9">
        <w:rPr>
          <w:rFonts w:cs="Times New Roman"/>
          <w:szCs w:val="24"/>
        </w:rPr>
        <w:t>in establishing</w:t>
      </w:r>
      <w:r w:rsidRPr="00FA55E9">
        <w:rPr>
          <w:rFonts w:cs="Times New Roman"/>
          <w:szCs w:val="24"/>
        </w:rPr>
        <w:t xml:space="preserve"> the growth of communication with customers. Electronic mail, professional reminders, digital marketing, personal messaging and others have been effective </w:t>
      </w:r>
      <w:r w:rsidR="00E96B09" w:rsidRPr="00FA55E9">
        <w:rPr>
          <w:rFonts w:cs="Times New Roman"/>
          <w:szCs w:val="24"/>
        </w:rPr>
        <w:t>in reaching</w:t>
      </w:r>
      <w:r w:rsidRPr="00FA55E9">
        <w:rPr>
          <w:rFonts w:cs="Times New Roman"/>
          <w:szCs w:val="24"/>
        </w:rPr>
        <w:t xml:space="preserve"> customers easily, while the creative acts and activities to reduce the communication gap </w:t>
      </w:r>
      <w:r w:rsidR="00E96B09" w:rsidRPr="00FA55E9">
        <w:rPr>
          <w:rFonts w:cs="Times New Roman"/>
          <w:szCs w:val="24"/>
        </w:rPr>
        <w:t>have</w:t>
      </w:r>
      <w:r w:rsidRPr="00FA55E9">
        <w:rPr>
          <w:rFonts w:cs="Times New Roman"/>
          <w:szCs w:val="24"/>
        </w:rPr>
        <w:t xml:space="preserve"> been impactful as well. </w:t>
      </w:r>
      <w:r w:rsidRPr="00FA55E9">
        <w:rPr>
          <w:rFonts w:cs="Times New Roman"/>
          <w:color w:val="222222"/>
          <w:szCs w:val="24"/>
          <w:shd w:val="clear" w:color="auto" w:fill="FFFFFF"/>
        </w:rPr>
        <w:t xml:space="preserve">Montalbano and Montalbano, </w:t>
      </w:r>
      <w:r w:rsidRPr="00FA55E9">
        <w:rPr>
          <w:rFonts w:cs="Times New Roman"/>
          <w:szCs w:val="24"/>
        </w:rPr>
        <w:t xml:space="preserve">(2021), provide insight into customer relationships by identifying the increased customer satisfaction rate in the UK, and the banking </w:t>
      </w:r>
      <w:r w:rsidRPr="00FA55E9">
        <w:rPr>
          <w:rFonts w:cs="Times New Roman"/>
          <w:szCs w:val="24"/>
        </w:rPr>
        <w:lastRenderedPageBreak/>
        <w:t xml:space="preserve">experiences have been more convenient and easier in nature. Starling Bank and First Direct are the two most satisfactory banks in the UK, as the report suggests with an index of 90% and 88%. Moreover, customer values and choices have been prioritised with the significant scale of market management and financial policies, while the changes in the UK market and different trends have been considered to network the relationship stronger with ample opportunities and services. The digital acts of communication and market growth have been effective </w:t>
      </w:r>
      <w:r w:rsidR="00E96B09" w:rsidRPr="00FA55E9">
        <w:rPr>
          <w:rFonts w:cs="Times New Roman"/>
          <w:szCs w:val="24"/>
        </w:rPr>
        <w:t>in creating</w:t>
      </w:r>
      <w:r w:rsidRPr="00FA55E9">
        <w:rPr>
          <w:rFonts w:cs="Times New Roman"/>
          <w:szCs w:val="24"/>
        </w:rPr>
        <w:t xml:space="preserve"> competitive advantages for banks, while the challenges regarding it, have been approached with tools and techniques. The customer-centric objective of the industry is well-justified, and the road to success has been facilitated for long-term values.</w:t>
      </w:r>
    </w:p>
    <w:p w14:paraId="14EABFC9" w14:textId="5CAC75AB" w:rsidR="00E11AC2" w:rsidRPr="00FA55E9" w:rsidRDefault="00E11AC2" w:rsidP="00E11AC2">
      <w:pPr>
        <w:spacing w:line="360" w:lineRule="auto"/>
        <w:rPr>
          <w:rFonts w:cs="Times New Roman"/>
          <w:szCs w:val="24"/>
        </w:rPr>
      </w:pPr>
      <w:r w:rsidRPr="00FA55E9">
        <w:rPr>
          <w:rFonts w:cs="Times New Roman"/>
          <w:szCs w:val="24"/>
        </w:rPr>
        <w:t xml:space="preserve">The chart depicted below refers to the total software spending in the UK banking, finance and insurance industry from 2018 to 2024. As per the graph, in 2018, the spending was calculated at $454.81 million, which was reduced to $429.89 million in 2019. On the other hand, in 2020, the amount of spending increased to $470.43 million, which further increased to $491.86 million in 2021. In 2022, spending for software purposes </w:t>
      </w:r>
      <w:r w:rsidR="00E96B09" w:rsidRPr="00FA55E9">
        <w:rPr>
          <w:rFonts w:cs="Times New Roman"/>
          <w:szCs w:val="24"/>
        </w:rPr>
        <w:t>rose</w:t>
      </w:r>
      <w:r w:rsidRPr="00FA55E9">
        <w:rPr>
          <w:rFonts w:cs="Times New Roman"/>
          <w:szCs w:val="24"/>
        </w:rPr>
        <w:t xml:space="preserve"> to $516.43 million, and in 2023, it was estimated at $524.73 million. A future estimation of $536.66 million has also been observed in the chart, for the financial year of 2024.</w:t>
      </w:r>
    </w:p>
    <w:p w14:paraId="0CCC3A5E" w14:textId="0FD35691" w:rsidR="00E11AC2" w:rsidRPr="00FA55E9" w:rsidRDefault="00E11AC2" w:rsidP="00E11AC2">
      <w:pPr>
        <w:spacing w:line="360" w:lineRule="auto"/>
        <w:rPr>
          <w:rFonts w:cs="Times New Roman"/>
          <w:szCs w:val="24"/>
        </w:rPr>
      </w:pPr>
      <w:r w:rsidRPr="00FA55E9">
        <w:rPr>
          <w:rFonts w:cs="Times New Roman"/>
          <w:szCs w:val="24"/>
        </w:rPr>
        <w:t xml:space="preserve">The increasing notion of software spending shows that the industry prioritises the usage of tools and techniques for the development of its customer relationships, and online banking has been qualitatively improved. The communication in one-on-one policy has further been facilitated by the industry, which has been effective </w:t>
      </w:r>
      <w:r w:rsidR="00E96B09" w:rsidRPr="00FA55E9">
        <w:rPr>
          <w:rFonts w:cs="Times New Roman"/>
          <w:szCs w:val="24"/>
        </w:rPr>
        <w:t>in creating</w:t>
      </w:r>
      <w:r w:rsidRPr="00FA55E9">
        <w:rPr>
          <w:rFonts w:cs="Times New Roman"/>
          <w:szCs w:val="24"/>
        </w:rPr>
        <w:t xml:space="preserve"> harmony between the banking sector and customers. </w:t>
      </w:r>
    </w:p>
    <w:p w14:paraId="11E7F268" w14:textId="77777777" w:rsidR="00E11AC2" w:rsidRPr="00FA55E9" w:rsidRDefault="00E11AC2" w:rsidP="00E11AC2">
      <w:pPr>
        <w:spacing w:line="360" w:lineRule="auto"/>
        <w:rPr>
          <w:rFonts w:cs="Times New Roman"/>
          <w:szCs w:val="24"/>
        </w:rPr>
      </w:pPr>
    </w:p>
    <w:p w14:paraId="0A4B337C" w14:textId="77777777" w:rsidR="00E11AC2" w:rsidRPr="00FA55E9" w:rsidRDefault="00E11AC2" w:rsidP="00E11AC2">
      <w:pPr>
        <w:spacing w:line="360" w:lineRule="auto"/>
        <w:jc w:val="center"/>
        <w:rPr>
          <w:rFonts w:cs="Times New Roman"/>
          <w:szCs w:val="24"/>
        </w:rPr>
      </w:pPr>
      <w:r w:rsidRPr="00FA55E9">
        <w:rPr>
          <w:rFonts w:cs="Times New Roman"/>
          <w:noProof/>
          <w:szCs w:val="24"/>
          <w:bdr w:val="single" w:sz="4" w:space="0" w:color="auto"/>
        </w:rPr>
        <w:lastRenderedPageBreak/>
        <w:drawing>
          <wp:inline distT="0" distB="0" distL="0" distR="0" wp14:anchorId="40322CD1" wp14:editId="5FEE248B">
            <wp:extent cx="4853940" cy="3131991"/>
            <wp:effectExtent l="0" t="0" r="3810" b="0"/>
            <wp:docPr id="1376652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52482" name=""/>
                    <pic:cNvPicPr/>
                  </pic:nvPicPr>
                  <pic:blipFill>
                    <a:blip r:embed="rId9"/>
                    <a:stretch>
                      <a:fillRect/>
                    </a:stretch>
                  </pic:blipFill>
                  <pic:spPr>
                    <a:xfrm>
                      <a:off x="0" y="0"/>
                      <a:ext cx="4869713" cy="3142169"/>
                    </a:xfrm>
                    <a:prstGeom prst="rect">
                      <a:avLst/>
                    </a:prstGeom>
                  </pic:spPr>
                </pic:pic>
              </a:graphicData>
            </a:graphic>
          </wp:inline>
        </w:drawing>
      </w:r>
    </w:p>
    <w:p w14:paraId="0202DC44" w14:textId="77777777" w:rsidR="00E11AC2" w:rsidRPr="00FA55E9" w:rsidRDefault="00E11AC2" w:rsidP="00E11AC2">
      <w:pPr>
        <w:spacing w:line="360" w:lineRule="auto"/>
        <w:jc w:val="center"/>
        <w:rPr>
          <w:rFonts w:cs="Times New Roman"/>
          <w:b/>
          <w:bCs/>
          <w:szCs w:val="24"/>
          <w:bdr w:val="none" w:sz="0" w:space="0" w:color="auto" w:frame="1"/>
        </w:rPr>
      </w:pPr>
      <w:r w:rsidRPr="00FA55E9">
        <w:rPr>
          <w:rFonts w:cs="Times New Roman"/>
          <w:b/>
          <w:bCs/>
          <w:szCs w:val="24"/>
        </w:rPr>
        <w:t xml:space="preserve">Figure 3: </w:t>
      </w:r>
      <w:r w:rsidRPr="00FA55E9">
        <w:rPr>
          <w:rFonts w:cs="Times New Roman"/>
          <w:b/>
          <w:bCs/>
          <w:szCs w:val="24"/>
          <w:bdr w:val="none" w:sz="0" w:space="0" w:color="auto" w:frame="1"/>
        </w:rPr>
        <w:t>Total software spending in the banking, finance and insurance industry in the United Kingdom (UK) from 2018 to 2024 (in million U.S. dollars)</w:t>
      </w:r>
    </w:p>
    <w:p w14:paraId="42C8C35E" w14:textId="77777777" w:rsidR="00E11AC2" w:rsidRPr="00FA55E9" w:rsidRDefault="00E11AC2" w:rsidP="00E11AC2">
      <w:pPr>
        <w:spacing w:line="360" w:lineRule="auto"/>
        <w:jc w:val="center"/>
        <w:rPr>
          <w:rFonts w:cs="Times New Roman"/>
          <w:szCs w:val="24"/>
        </w:rPr>
      </w:pPr>
      <w:r w:rsidRPr="00FA55E9">
        <w:rPr>
          <w:rFonts w:cs="Times New Roman"/>
          <w:szCs w:val="24"/>
          <w:bdr w:val="none" w:sz="0" w:space="0" w:color="auto" w:frame="1"/>
        </w:rPr>
        <w:t>Source: Statista, (2023)</w:t>
      </w:r>
    </w:p>
    <w:p w14:paraId="2AFBBC80" w14:textId="77777777" w:rsidR="00E11AC2" w:rsidRPr="00FA55E9" w:rsidRDefault="00E11AC2" w:rsidP="00E11AC2">
      <w:pPr>
        <w:spacing w:line="360" w:lineRule="auto"/>
        <w:rPr>
          <w:rFonts w:cs="Times New Roman"/>
          <w:szCs w:val="24"/>
        </w:rPr>
      </w:pPr>
    </w:p>
    <w:p w14:paraId="167B52B2" w14:textId="2ABD23DB" w:rsidR="00E11AC2" w:rsidRPr="00FA55E9" w:rsidRDefault="00E11AC2" w:rsidP="00E11AC2">
      <w:pPr>
        <w:pStyle w:val="Heading2"/>
      </w:pPr>
      <w:bookmarkStart w:id="40" w:name="_Toc142323016"/>
      <w:bookmarkStart w:id="41" w:name="_Toc145004284"/>
      <w:bookmarkStart w:id="42" w:name="_Toc145078400"/>
      <w:r w:rsidRPr="00FA55E9">
        <w:t xml:space="preserve">2.5 Challenges </w:t>
      </w:r>
      <w:r w:rsidR="00E96B09" w:rsidRPr="00FA55E9">
        <w:t>Associated</w:t>
      </w:r>
      <w:r w:rsidRPr="00FA55E9">
        <w:t xml:space="preserve"> with </w:t>
      </w:r>
      <w:r w:rsidR="007162D0" w:rsidRPr="00FA55E9">
        <w:t xml:space="preserve">the </w:t>
      </w:r>
      <w:r w:rsidRPr="00FA55E9">
        <w:t>UK Banking Industry</w:t>
      </w:r>
      <w:bookmarkEnd w:id="40"/>
      <w:bookmarkEnd w:id="41"/>
      <w:bookmarkEnd w:id="42"/>
    </w:p>
    <w:p w14:paraId="14202220" w14:textId="77777777" w:rsidR="00E11AC2" w:rsidRPr="00FA55E9" w:rsidRDefault="00E11AC2" w:rsidP="00E11AC2">
      <w:pPr>
        <w:spacing w:line="360" w:lineRule="auto"/>
        <w:rPr>
          <w:rFonts w:cs="Times New Roman"/>
          <w:szCs w:val="24"/>
        </w:rPr>
      </w:pPr>
      <w:r w:rsidRPr="00FA55E9">
        <w:rPr>
          <w:rFonts w:cs="Times New Roman"/>
          <w:szCs w:val="24"/>
        </w:rPr>
        <w:t xml:space="preserve">Despite several acts and activities developed by the banking sector of the UK, some key challenges have been identified in the sector, which are spontaneously harming the effective acts and principles of the industry. A study by </w:t>
      </w:r>
      <w:r w:rsidRPr="00FA55E9">
        <w:rPr>
          <w:rFonts w:cs="Times New Roman"/>
          <w:color w:val="222222"/>
          <w:szCs w:val="24"/>
          <w:shd w:val="clear" w:color="auto" w:fill="FFFFFF"/>
        </w:rPr>
        <w:t xml:space="preserve">Khalid and </w:t>
      </w:r>
      <w:proofErr w:type="spellStart"/>
      <w:r w:rsidRPr="00FA55E9">
        <w:rPr>
          <w:rFonts w:cs="Times New Roman"/>
          <w:color w:val="222222"/>
          <w:szCs w:val="24"/>
          <w:shd w:val="clear" w:color="auto" w:fill="FFFFFF"/>
        </w:rPr>
        <w:t>Kunhibava</w:t>
      </w:r>
      <w:proofErr w:type="spellEnd"/>
      <w:r w:rsidRPr="00FA55E9">
        <w:rPr>
          <w:rFonts w:cs="Times New Roman"/>
          <w:color w:val="222222"/>
          <w:szCs w:val="24"/>
          <w:shd w:val="clear" w:color="auto" w:fill="FFFFFF"/>
        </w:rPr>
        <w:t xml:space="preserve">, </w:t>
      </w:r>
      <w:r w:rsidRPr="00FA55E9">
        <w:rPr>
          <w:rFonts w:cs="Times New Roman"/>
          <w:szCs w:val="24"/>
        </w:rPr>
        <w:t>(2021), mentions that in 2023, the post-Brexit phase of the UK has created several economic dilemmas in the country, as the business supply chain management has lost the controlled practices as per expenses and management. The report mentions that the most recent damage to the UK banking industry is the downfall of the “Silicon Valley Bank”, and the short-lived sell-off of the bank’s stocks triggered a greater looming with respect to the banking recession. The economic issues that came into action due to the Brexit factors have influenced the financial activities on a major scale, while the selective notion of changing the banking acts and activities has been threatened by it (</w:t>
      </w:r>
      <w:r w:rsidRPr="00FA55E9">
        <w:rPr>
          <w:rFonts w:cs="Times New Roman"/>
          <w:color w:val="222222"/>
          <w:szCs w:val="24"/>
          <w:shd w:val="clear" w:color="auto" w:fill="FFFFFF"/>
        </w:rPr>
        <w:t>Maity and Sahu, 2023</w:t>
      </w:r>
      <w:r w:rsidRPr="00FA55E9">
        <w:rPr>
          <w:rFonts w:cs="Times New Roman"/>
          <w:szCs w:val="24"/>
        </w:rPr>
        <w:t>), argue that the overall state of the UK banking with the strong support of the EU is though strong enough to deal with the downfall, but enough to affect the investors’ confidence. Reassuring investors has been tough, while the political regulations have been effective to some extent.</w:t>
      </w:r>
    </w:p>
    <w:p w14:paraId="2FC9E697" w14:textId="0CDE6483" w:rsidR="00E11AC2" w:rsidRPr="00FA55E9" w:rsidRDefault="00E11AC2" w:rsidP="00E11AC2">
      <w:pPr>
        <w:spacing w:line="360" w:lineRule="auto"/>
        <w:rPr>
          <w:rFonts w:cs="Times New Roman"/>
          <w:szCs w:val="24"/>
        </w:rPr>
      </w:pPr>
      <w:r w:rsidRPr="00FA55E9">
        <w:rPr>
          <w:rFonts w:cs="Times New Roman"/>
          <w:szCs w:val="24"/>
        </w:rPr>
        <w:lastRenderedPageBreak/>
        <w:t xml:space="preserve">The chart depicted below refers to several risks that affect the banking industry of the UK, due to financial dilemmas that emerged as outcomes of the risks. As per the chart, UK political risks impact the banking sector by 91% and it is the most significant risk of the country’s banking industry. On the other hand, it is also observed that geopolitical risk impacts the industry by 61% and cyber threats influence the risk by 57%. The chart also highlights the risk of the UK economic downturn and the risks around regulation and taxes, which affect the banking sector of the country by 34% and 29%, respectively. However, the risks surrounding monetary and fiscal policy and the risk of property price fall influence the banking industry of the country by 27% and 23%. The risk of financial market disruption and the global economic downturn </w:t>
      </w:r>
      <w:r w:rsidR="00E96B09" w:rsidRPr="00FA55E9">
        <w:rPr>
          <w:rFonts w:cs="Times New Roman"/>
          <w:szCs w:val="24"/>
        </w:rPr>
        <w:t>have</w:t>
      </w:r>
      <w:r w:rsidRPr="00FA55E9">
        <w:rPr>
          <w:rFonts w:cs="Times New Roman"/>
          <w:szCs w:val="24"/>
        </w:rPr>
        <w:t xml:space="preserve"> also been identified as key issues regarding the financial risks faced by the banking industry of the country, and both of the risks affect the economic practices with greater opportunities and customer management by 18%, individually. Lastly, corporate credit risk is also a major factor </w:t>
      </w:r>
      <w:r w:rsidR="00E96B09" w:rsidRPr="00FA55E9">
        <w:rPr>
          <w:rFonts w:cs="Times New Roman"/>
          <w:szCs w:val="24"/>
        </w:rPr>
        <w:t>in interrupting</w:t>
      </w:r>
      <w:r w:rsidRPr="00FA55E9">
        <w:rPr>
          <w:rFonts w:cs="Times New Roman"/>
          <w:szCs w:val="24"/>
        </w:rPr>
        <w:t xml:space="preserve"> the cycle of economic propagation by 15%.</w:t>
      </w:r>
    </w:p>
    <w:p w14:paraId="6F9FF4D6" w14:textId="77777777" w:rsidR="00E11AC2" w:rsidRPr="00FA55E9" w:rsidRDefault="00E11AC2" w:rsidP="00E11AC2">
      <w:pPr>
        <w:spacing w:line="360" w:lineRule="auto"/>
        <w:rPr>
          <w:rFonts w:cs="Times New Roman"/>
          <w:szCs w:val="24"/>
        </w:rPr>
      </w:pPr>
      <w:r w:rsidRPr="00FA55E9">
        <w:rPr>
          <w:rFonts w:cs="Times New Roman"/>
          <w:szCs w:val="24"/>
        </w:rPr>
        <w:t>The issues have affected the trustworthy nature of the banking industry, and transparency has dropped. Customer programmes and the development of external and internal market activities have also been affected due to them, and the geopolitical hindrances have made the market more challenging. The economic spontaneity of the country has been affected due to the risks, and future plans to propagate better practices have been affected by them.</w:t>
      </w:r>
    </w:p>
    <w:p w14:paraId="6680A89B" w14:textId="77777777" w:rsidR="00E11AC2" w:rsidRPr="00FA55E9" w:rsidRDefault="00E11AC2" w:rsidP="00E11AC2">
      <w:pPr>
        <w:spacing w:line="360" w:lineRule="auto"/>
        <w:rPr>
          <w:rFonts w:cs="Times New Roman"/>
          <w:szCs w:val="24"/>
        </w:rPr>
      </w:pPr>
    </w:p>
    <w:p w14:paraId="70D12DAE" w14:textId="77777777" w:rsidR="00E11AC2" w:rsidRPr="00FA55E9" w:rsidRDefault="00E11AC2" w:rsidP="00E11AC2">
      <w:pPr>
        <w:spacing w:line="360" w:lineRule="auto"/>
        <w:rPr>
          <w:rFonts w:cs="Times New Roman"/>
          <w:szCs w:val="24"/>
        </w:rPr>
      </w:pPr>
    </w:p>
    <w:p w14:paraId="23D25137" w14:textId="77777777" w:rsidR="00E11AC2" w:rsidRPr="00FA55E9" w:rsidRDefault="00E11AC2" w:rsidP="00E11AC2">
      <w:pPr>
        <w:spacing w:line="360" w:lineRule="auto"/>
        <w:rPr>
          <w:rFonts w:cs="Times New Roman"/>
          <w:szCs w:val="24"/>
        </w:rPr>
      </w:pPr>
    </w:p>
    <w:p w14:paraId="56827F20" w14:textId="77777777" w:rsidR="00E11AC2" w:rsidRPr="00FA55E9" w:rsidRDefault="00E11AC2" w:rsidP="00E11AC2">
      <w:pPr>
        <w:spacing w:line="360" w:lineRule="auto"/>
        <w:jc w:val="center"/>
        <w:rPr>
          <w:rFonts w:cs="Times New Roman"/>
          <w:szCs w:val="24"/>
        </w:rPr>
      </w:pPr>
      <w:r w:rsidRPr="00FA55E9">
        <w:rPr>
          <w:rFonts w:cs="Times New Roman"/>
          <w:noProof/>
          <w:szCs w:val="24"/>
          <w:bdr w:val="single" w:sz="4" w:space="0" w:color="auto"/>
        </w:rPr>
        <w:drawing>
          <wp:inline distT="0" distB="0" distL="0" distR="0" wp14:anchorId="4DFCC16F" wp14:editId="7495B077">
            <wp:extent cx="4077053" cy="1950889"/>
            <wp:effectExtent l="0" t="0" r="0" b="0"/>
            <wp:docPr id="1339229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229830" name=""/>
                    <pic:cNvPicPr/>
                  </pic:nvPicPr>
                  <pic:blipFill>
                    <a:blip r:embed="rId10"/>
                    <a:stretch>
                      <a:fillRect/>
                    </a:stretch>
                  </pic:blipFill>
                  <pic:spPr>
                    <a:xfrm>
                      <a:off x="0" y="0"/>
                      <a:ext cx="4077053" cy="1950889"/>
                    </a:xfrm>
                    <a:prstGeom prst="rect">
                      <a:avLst/>
                    </a:prstGeom>
                  </pic:spPr>
                </pic:pic>
              </a:graphicData>
            </a:graphic>
          </wp:inline>
        </w:drawing>
      </w:r>
    </w:p>
    <w:p w14:paraId="6753C7CA" w14:textId="77777777" w:rsidR="00E11AC2" w:rsidRPr="00FA55E9" w:rsidRDefault="00E11AC2" w:rsidP="00E11AC2">
      <w:pPr>
        <w:spacing w:line="360" w:lineRule="auto"/>
        <w:jc w:val="center"/>
        <w:rPr>
          <w:rFonts w:cs="Times New Roman"/>
          <w:b/>
          <w:bCs/>
          <w:szCs w:val="24"/>
        </w:rPr>
      </w:pPr>
      <w:r w:rsidRPr="00FA55E9">
        <w:rPr>
          <w:rFonts w:cs="Times New Roman"/>
          <w:b/>
          <w:bCs/>
          <w:szCs w:val="24"/>
        </w:rPr>
        <w:t>Figure 4: Biggest Risks to the UK Financial System</w:t>
      </w:r>
    </w:p>
    <w:p w14:paraId="14247012" w14:textId="77777777" w:rsidR="00E11AC2" w:rsidRPr="00FA55E9" w:rsidRDefault="00E11AC2" w:rsidP="00E11AC2">
      <w:pPr>
        <w:spacing w:line="360" w:lineRule="auto"/>
        <w:jc w:val="center"/>
        <w:rPr>
          <w:rFonts w:cs="Times New Roman"/>
          <w:szCs w:val="24"/>
        </w:rPr>
      </w:pPr>
      <w:r w:rsidRPr="00FA55E9">
        <w:rPr>
          <w:rFonts w:cs="Times New Roman"/>
          <w:szCs w:val="24"/>
        </w:rPr>
        <w:t>Source: Statista, (2021)</w:t>
      </w:r>
    </w:p>
    <w:p w14:paraId="54EC144A" w14:textId="61F8FBCE" w:rsidR="00E11AC2" w:rsidRPr="00FA55E9" w:rsidRDefault="00E11AC2" w:rsidP="00E11AC2">
      <w:pPr>
        <w:spacing w:line="360" w:lineRule="auto"/>
        <w:rPr>
          <w:rFonts w:cs="Times New Roman"/>
          <w:szCs w:val="24"/>
        </w:rPr>
      </w:pPr>
      <w:r w:rsidRPr="00FA55E9">
        <w:rPr>
          <w:rFonts w:cs="Times New Roman"/>
          <w:szCs w:val="24"/>
        </w:rPr>
        <w:lastRenderedPageBreak/>
        <w:t xml:space="preserve">On the other hand, </w:t>
      </w:r>
      <w:proofErr w:type="spellStart"/>
      <w:r w:rsidRPr="00FA55E9">
        <w:rPr>
          <w:rFonts w:cs="Times New Roman"/>
          <w:color w:val="222222"/>
          <w:szCs w:val="24"/>
          <w:shd w:val="clear" w:color="auto" w:fill="FFFFFF"/>
        </w:rPr>
        <w:t>Vahabi</w:t>
      </w:r>
      <w:proofErr w:type="spellEnd"/>
      <w:r w:rsidRPr="00FA55E9">
        <w:rPr>
          <w:rFonts w:cs="Times New Roman"/>
          <w:szCs w:val="24"/>
        </w:rPr>
        <w:t xml:space="preserve"> et al. (2020), mention that the outbreak of the covid-19 affected the financial activities of the country effectively, while the banking challenges have been impactful regarding customer relationships and services. </w:t>
      </w:r>
      <w:r w:rsidR="00E96B09" w:rsidRPr="00FA55E9">
        <w:rPr>
          <w:rFonts w:cs="Times New Roman"/>
          <w:szCs w:val="24"/>
        </w:rPr>
        <w:t>Low interest</w:t>
      </w:r>
      <w:r w:rsidRPr="00FA55E9">
        <w:rPr>
          <w:rFonts w:cs="Times New Roman"/>
          <w:szCs w:val="24"/>
        </w:rPr>
        <w:t xml:space="preserve"> rates threatened the banking sector, which also questioned the conventional public life in the UK. The report also suggests that as business issues also emerged in the other sectors of the country, the economic burden for banks increased and the financial loss was unavoidable. The survey produced by the “Bank of England Monetary Policy Report”, suggests that the economic growth of the UK banks dropped to 34% in November 2021, and the downfall affected the authoritative practices of banks and the customer relationship has further been influenced negatively (</w:t>
      </w:r>
      <w:bookmarkStart w:id="43" w:name="_Hlk142321629"/>
      <w:r w:rsidRPr="00FA55E9">
        <w:rPr>
          <w:rFonts w:cs="Times New Roman"/>
          <w:color w:val="222222"/>
          <w:szCs w:val="24"/>
          <w:shd w:val="clear" w:color="auto" w:fill="FFFFFF"/>
        </w:rPr>
        <w:t>Joshi</w:t>
      </w:r>
      <w:bookmarkEnd w:id="43"/>
      <w:r w:rsidRPr="00FA55E9">
        <w:rPr>
          <w:rFonts w:cs="Times New Roman"/>
          <w:color w:val="222222"/>
          <w:szCs w:val="24"/>
          <w:shd w:val="clear" w:color="auto" w:fill="FFFFFF"/>
        </w:rPr>
        <w:t xml:space="preserve"> et al. 2020</w:t>
      </w:r>
      <w:r w:rsidRPr="00FA55E9">
        <w:rPr>
          <w:rFonts w:cs="Times New Roman"/>
          <w:szCs w:val="24"/>
        </w:rPr>
        <w:t xml:space="preserve">). Due to the outbreak of the virus and its consequences, the expenditure and income flows have also been affected, as the monetary programmes for assisting business bodies have been affected with severe outcomes. A report by </w:t>
      </w:r>
      <w:bookmarkStart w:id="44" w:name="_Hlk142321464"/>
      <w:proofErr w:type="spellStart"/>
      <w:r w:rsidRPr="00FA55E9">
        <w:rPr>
          <w:rFonts w:cs="Times New Roman"/>
          <w:color w:val="222222"/>
          <w:szCs w:val="24"/>
          <w:shd w:val="clear" w:color="auto" w:fill="FFFFFF"/>
        </w:rPr>
        <w:t>Kornelakis</w:t>
      </w:r>
      <w:bookmarkEnd w:id="44"/>
      <w:proofErr w:type="spellEnd"/>
      <w:r w:rsidRPr="00FA55E9">
        <w:rPr>
          <w:rFonts w:cs="Times New Roman"/>
          <w:color w:val="222222"/>
          <w:szCs w:val="24"/>
          <w:shd w:val="clear" w:color="auto" w:fill="FFFFFF"/>
        </w:rPr>
        <w:t xml:space="preserve"> et al. </w:t>
      </w:r>
      <w:r w:rsidRPr="00FA55E9">
        <w:rPr>
          <w:rFonts w:cs="Times New Roman"/>
          <w:szCs w:val="24"/>
        </w:rPr>
        <w:t xml:space="preserve">(2023), mentions that HSBC, one of the leading banks in the UK, lost $13 million during the </w:t>
      </w:r>
      <w:r w:rsidR="00E96B09" w:rsidRPr="00FA55E9">
        <w:rPr>
          <w:rFonts w:cs="Times New Roman"/>
          <w:szCs w:val="24"/>
        </w:rPr>
        <w:t>COVID</w:t>
      </w:r>
      <w:r w:rsidRPr="00FA55E9">
        <w:rPr>
          <w:rFonts w:cs="Times New Roman"/>
          <w:szCs w:val="24"/>
        </w:rPr>
        <w:t xml:space="preserve"> period, despite economic recognition and well-established customer </w:t>
      </w:r>
      <w:r w:rsidR="00E96B09" w:rsidRPr="00FA55E9">
        <w:rPr>
          <w:rFonts w:cs="Times New Roman"/>
          <w:szCs w:val="24"/>
        </w:rPr>
        <w:t>relationships</w:t>
      </w:r>
      <w:r w:rsidRPr="00FA55E9">
        <w:rPr>
          <w:rFonts w:cs="Times New Roman"/>
          <w:szCs w:val="24"/>
        </w:rPr>
        <w:t xml:space="preserve"> required for creating reliable banking and financial effectiveness.</w:t>
      </w:r>
    </w:p>
    <w:p w14:paraId="7FD34C19" w14:textId="77777777" w:rsidR="00E11AC2" w:rsidRPr="00FA55E9" w:rsidRDefault="00E11AC2" w:rsidP="00E11AC2">
      <w:pPr>
        <w:spacing w:line="360" w:lineRule="auto"/>
        <w:rPr>
          <w:rFonts w:cs="Times New Roman"/>
          <w:szCs w:val="24"/>
        </w:rPr>
      </w:pPr>
      <w:r w:rsidRPr="00FA55E9">
        <w:rPr>
          <w:rFonts w:cs="Times New Roman"/>
          <w:szCs w:val="24"/>
        </w:rPr>
        <w:t xml:space="preserve">Thirdly, the issues regarding cyber threats and the security of customers have been challenging for the banking industry. </w:t>
      </w:r>
      <w:bookmarkStart w:id="45" w:name="_Hlk142321483"/>
      <w:r w:rsidRPr="00FA55E9">
        <w:rPr>
          <w:rFonts w:cs="Times New Roman"/>
          <w:color w:val="222222"/>
          <w:szCs w:val="24"/>
          <w:shd w:val="clear" w:color="auto" w:fill="FFFFFF"/>
        </w:rPr>
        <w:t>Ruiz and Garcia</w:t>
      </w:r>
      <w:bookmarkEnd w:id="45"/>
      <w:r w:rsidRPr="00FA55E9">
        <w:rPr>
          <w:rFonts w:cs="Times New Roman"/>
          <w:color w:val="222222"/>
          <w:szCs w:val="24"/>
          <w:shd w:val="clear" w:color="auto" w:fill="FFFFFF"/>
        </w:rPr>
        <w:t xml:space="preserve">, </w:t>
      </w:r>
      <w:r w:rsidRPr="00FA55E9">
        <w:rPr>
          <w:rFonts w:cs="Times New Roman"/>
          <w:szCs w:val="24"/>
        </w:rPr>
        <w:t xml:space="preserve">(2021), mention that the technical assimilation and digital practices of the UK require more attention from the management, as the security is not enough to hold data tight for exclusive usage. The cultural shift in the UK is not adequately dealt with by the industry despite the usage of AI-based practices and automotive opportunities enabled by it. The report suggests that the lack of financial tools and techniques is also vivid in the country, due to which market channelling and customer retention rate has been affected. </w:t>
      </w:r>
    </w:p>
    <w:p w14:paraId="681B4687" w14:textId="77777777" w:rsidR="00E11AC2" w:rsidRPr="00FA55E9" w:rsidRDefault="00E11AC2" w:rsidP="00E11AC2">
      <w:pPr>
        <w:spacing w:line="360" w:lineRule="auto"/>
        <w:rPr>
          <w:rFonts w:cs="Times New Roman"/>
          <w:szCs w:val="24"/>
        </w:rPr>
      </w:pPr>
      <w:r w:rsidRPr="00FA55E9">
        <w:rPr>
          <w:rFonts w:cs="Times New Roman"/>
          <w:szCs w:val="24"/>
        </w:rPr>
        <w:t>The image depicted below refers to the top five banking services, UK customers are most dissatisfied with. As per the depiction, 47% of UK people are not satisfied with the savings account interest rates, while 40% of customers are not satisfied with the branch availability. On the other hand, it is also observed that 40% of UK citizens are not happy about Additional perks offered, such as insurance, discounts and others, while 35% do not think that budgeting and spending support are not supportive enough. Lastly, 35% of the banking customers in the UK are not happy regarding the phone call waiting time.</w:t>
      </w:r>
    </w:p>
    <w:p w14:paraId="796D9529" w14:textId="77777777" w:rsidR="00E11AC2" w:rsidRPr="00FA55E9" w:rsidRDefault="00E11AC2" w:rsidP="00E11AC2">
      <w:pPr>
        <w:spacing w:line="360" w:lineRule="auto"/>
        <w:rPr>
          <w:rFonts w:cs="Times New Roman"/>
          <w:szCs w:val="24"/>
        </w:rPr>
      </w:pPr>
      <w:r w:rsidRPr="00FA55E9">
        <w:rPr>
          <w:rFonts w:cs="Times New Roman"/>
          <w:szCs w:val="24"/>
        </w:rPr>
        <w:t>Due to the dissatisfaction and issues regarding services, the customer relationship is hampered, and the mitigation of these is urgent for the industry.</w:t>
      </w:r>
    </w:p>
    <w:p w14:paraId="7C004A37" w14:textId="77777777" w:rsidR="00E11AC2" w:rsidRPr="00FA55E9" w:rsidRDefault="00E11AC2" w:rsidP="00E11AC2">
      <w:pPr>
        <w:spacing w:line="360" w:lineRule="auto"/>
        <w:jc w:val="center"/>
        <w:rPr>
          <w:rFonts w:cs="Times New Roman"/>
          <w:szCs w:val="24"/>
        </w:rPr>
      </w:pPr>
      <w:r w:rsidRPr="00FA55E9">
        <w:rPr>
          <w:rFonts w:cs="Times New Roman"/>
          <w:noProof/>
          <w:szCs w:val="24"/>
          <w:bdr w:val="single" w:sz="4" w:space="0" w:color="auto"/>
        </w:rPr>
        <w:lastRenderedPageBreak/>
        <w:drawing>
          <wp:inline distT="0" distB="0" distL="0" distR="0" wp14:anchorId="2D9FA9B6" wp14:editId="44137236">
            <wp:extent cx="3429000" cy="3201268"/>
            <wp:effectExtent l="0" t="0" r="0" b="0"/>
            <wp:docPr id="1272652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52830" name=""/>
                    <pic:cNvPicPr/>
                  </pic:nvPicPr>
                  <pic:blipFill>
                    <a:blip r:embed="rId11"/>
                    <a:stretch>
                      <a:fillRect/>
                    </a:stretch>
                  </pic:blipFill>
                  <pic:spPr>
                    <a:xfrm>
                      <a:off x="0" y="0"/>
                      <a:ext cx="3431320" cy="3203434"/>
                    </a:xfrm>
                    <a:prstGeom prst="rect">
                      <a:avLst/>
                    </a:prstGeom>
                  </pic:spPr>
                </pic:pic>
              </a:graphicData>
            </a:graphic>
          </wp:inline>
        </w:drawing>
      </w:r>
    </w:p>
    <w:p w14:paraId="322C17CB" w14:textId="77777777" w:rsidR="00E11AC2" w:rsidRPr="00FA55E9" w:rsidRDefault="00E11AC2" w:rsidP="00E11AC2">
      <w:pPr>
        <w:spacing w:line="360" w:lineRule="auto"/>
        <w:jc w:val="center"/>
        <w:rPr>
          <w:rFonts w:cs="Times New Roman"/>
          <w:b/>
          <w:bCs/>
          <w:szCs w:val="24"/>
        </w:rPr>
      </w:pPr>
      <w:r w:rsidRPr="00FA55E9">
        <w:rPr>
          <w:rFonts w:cs="Times New Roman"/>
          <w:b/>
          <w:bCs/>
          <w:szCs w:val="24"/>
        </w:rPr>
        <w:t>Figure 5 Top-5 Five Banking Services UK Customers are Dissatisfied with</w:t>
      </w:r>
    </w:p>
    <w:p w14:paraId="60998B4E" w14:textId="77777777" w:rsidR="00E11AC2" w:rsidRPr="00FA55E9" w:rsidRDefault="00E11AC2" w:rsidP="00E11AC2">
      <w:pPr>
        <w:spacing w:line="360" w:lineRule="auto"/>
        <w:jc w:val="center"/>
        <w:rPr>
          <w:rFonts w:cs="Times New Roman"/>
          <w:szCs w:val="24"/>
        </w:rPr>
      </w:pPr>
      <w:r w:rsidRPr="00FA55E9">
        <w:rPr>
          <w:rFonts w:cs="Times New Roman"/>
          <w:szCs w:val="24"/>
        </w:rPr>
        <w:t>Source: Fluro, (2022)</w:t>
      </w:r>
    </w:p>
    <w:p w14:paraId="7D8210E4" w14:textId="77777777" w:rsidR="00E11AC2" w:rsidRPr="00FA55E9" w:rsidRDefault="00E11AC2" w:rsidP="00E11AC2">
      <w:pPr>
        <w:pStyle w:val="Heading2"/>
      </w:pPr>
      <w:bookmarkStart w:id="46" w:name="_Toc142323017"/>
      <w:bookmarkStart w:id="47" w:name="_Toc145004285"/>
      <w:bookmarkStart w:id="48" w:name="_Toc145078401"/>
      <w:r w:rsidRPr="00FA55E9">
        <w:t>2.6 Literature Gap</w:t>
      </w:r>
      <w:bookmarkEnd w:id="46"/>
      <w:bookmarkEnd w:id="47"/>
      <w:bookmarkEnd w:id="48"/>
    </w:p>
    <w:p w14:paraId="01CEE7B4" w14:textId="77777777" w:rsidR="00E11AC2" w:rsidRPr="00FA55E9" w:rsidRDefault="00E11AC2" w:rsidP="00E11AC2">
      <w:pPr>
        <w:spacing w:line="360" w:lineRule="auto"/>
        <w:rPr>
          <w:rFonts w:cs="Times New Roman"/>
          <w:szCs w:val="24"/>
        </w:rPr>
      </w:pPr>
      <w:r w:rsidRPr="00FA55E9">
        <w:rPr>
          <w:rFonts w:cs="Times New Roman"/>
          <w:szCs w:val="24"/>
        </w:rPr>
        <w:t>By reviewing different academic journals and analysing the view of authors critically, the chapter of the study reflects the development of customer satisfaction in the UK banking sector. Though the chapter has analysed different aspects of it, literature gaps can be found in the study. Firstly, the study has been programmed by considering the entire banking industry of the country, but the discussion on different banks individually could have increased the study’s academic value more effectively. Due to different economic policies and socioeconomic cultures, banks in the UK work differently, and customer satisfaction is measured by them with distinct acts and activities (</w:t>
      </w:r>
      <w:r w:rsidRPr="00FA55E9">
        <w:rPr>
          <w:rFonts w:cs="Times New Roman"/>
          <w:color w:val="222222"/>
          <w:szCs w:val="24"/>
          <w:shd w:val="clear" w:color="auto" w:fill="FFFFFF"/>
        </w:rPr>
        <w:t>Feridun and Güngör, 2020</w:t>
      </w:r>
      <w:r w:rsidRPr="00FA55E9">
        <w:rPr>
          <w:rFonts w:cs="Times New Roman"/>
          <w:szCs w:val="24"/>
        </w:rPr>
        <w:t>). Secondly, the challenges faced by banks are also different in nature, while the effective means and techniques are secured with the growth of individual economic programmes and valuable growth factors. In this regard, the study could have been more vivid and insightful, if the challenges were discussed more elaborately, and how they hamper the economic market of the UK and the banking practices. The research could have been more impactful and significant with the discussion of the customer relationship measures more effectively, as followed by banks.</w:t>
      </w:r>
    </w:p>
    <w:p w14:paraId="799B9504" w14:textId="77777777" w:rsidR="00E11AC2" w:rsidRPr="00FA55E9" w:rsidRDefault="00E11AC2" w:rsidP="00E11AC2">
      <w:pPr>
        <w:pStyle w:val="Heading2"/>
      </w:pPr>
      <w:bookmarkStart w:id="49" w:name="_Toc142323018"/>
      <w:bookmarkStart w:id="50" w:name="_Toc145004286"/>
      <w:bookmarkStart w:id="51" w:name="_Toc145078402"/>
      <w:r w:rsidRPr="00FA55E9">
        <w:lastRenderedPageBreak/>
        <w:t>2.7 Summary</w:t>
      </w:r>
      <w:bookmarkEnd w:id="49"/>
      <w:bookmarkEnd w:id="50"/>
      <w:bookmarkEnd w:id="51"/>
    </w:p>
    <w:p w14:paraId="60B0B63C" w14:textId="77777777" w:rsidR="00E11AC2" w:rsidRPr="00FA55E9" w:rsidRDefault="00E11AC2" w:rsidP="00E11AC2">
      <w:pPr>
        <w:spacing w:line="360" w:lineRule="auto"/>
        <w:rPr>
          <w:rFonts w:cs="Times New Roman"/>
          <w:szCs w:val="24"/>
        </w:rPr>
      </w:pPr>
      <w:r w:rsidRPr="00FA55E9">
        <w:rPr>
          <w:rFonts w:cs="Times New Roman"/>
          <w:szCs w:val="24"/>
        </w:rPr>
        <w:t>The chapter has discussed different acts and activities followed by the banking industry of the UK and the measures provided by the industry for the development of customer relationships and practices. The chapter identifies the services, such as personal loans, mortgages and others, as well as, the relevant facilities provided by the banking authority of the country. The challenges regarding the banking sector of the country have also been identified, due to which the economic course of business is affected on a major scale. It highlights the issues regarding Brexit and the covid-19 that have affected the banking growth of the country, and subsequently, the consequences regarding customer relationships have also been identified. Moreover, the issues regarding cyber-attacks have also been discussed in the chapter, as well as, the lack of practices due to managerial deficiency have been identified. Different growth factors of the banking industry have also been identified, based on which the creative gestures of the country’s financial services have evolved successfully to support the banking system.</w:t>
      </w:r>
    </w:p>
    <w:p w14:paraId="764C0F69" w14:textId="77777777" w:rsidR="00E11AC2" w:rsidRPr="00FA55E9" w:rsidRDefault="00E11AC2" w:rsidP="00E11AC2">
      <w:pPr>
        <w:pStyle w:val="Heading2"/>
      </w:pPr>
      <w:bookmarkStart w:id="52" w:name="_Toc142323019"/>
      <w:bookmarkStart w:id="53" w:name="_Toc145004287"/>
      <w:bookmarkStart w:id="54" w:name="_Toc145078403"/>
      <w:r w:rsidRPr="00FA55E9">
        <w:t>2.8 Conclusion</w:t>
      </w:r>
      <w:bookmarkEnd w:id="52"/>
      <w:bookmarkEnd w:id="53"/>
      <w:bookmarkEnd w:id="54"/>
    </w:p>
    <w:p w14:paraId="5EF81366" w14:textId="77777777" w:rsidR="00E11AC2" w:rsidRPr="00FA55E9" w:rsidRDefault="00E11AC2" w:rsidP="00E11AC2">
      <w:pPr>
        <w:spacing w:line="360" w:lineRule="auto"/>
        <w:rPr>
          <w:rFonts w:cs="Times New Roman"/>
          <w:szCs w:val="24"/>
        </w:rPr>
      </w:pPr>
      <w:r w:rsidRPr="00FA55E9">
        <w:rPr>
          <w:rFonts w:cs="Times New Roman"/>
          <w:szCs w:val="24"/>
        </w:rPr>
        <w:t>It can be concluded from the report that customer relationships with the development of business practices and channels have been effective for the UK banking industry and the challenges have been programmed with different acts and activities, that are relevant to the growth of business and market programming of the UK banking industry. On the other hand, it can also be concluded from the chapter that the challenges have been critical in several cases, due to which the economic loss and deficiency in market programmes have been observed effectively. Lastly, the growth factors and services are the key principles for the industry to create effectiveness in the UK market. However, it can also be concluded from the chapter that the growth factors are diverse and impactful in nature, and the consequences of economic activities empowered by the banking sector of the country are effective for the economic growth of the country significantly.</w:t>
      </w:r>
    </w:p>
    <w:p w14:paraId="3F6B9C33" w14:textId="1145A8FF" w:rsidR="00E11AC2" w:rsidRPr="00FA55E9" w:rsidRDefault="00E11AC2" w:rsidP="0056658D">
      <w:pPr>
        <w:pStyle w:val="Heading1"/>
        <w:rPr>
          <w:rFonts w:cs="Times New Roman"/>
          <w:szCs w:val="24"/>
        </w:rPr>
      </w:pPr>
      <w:bookmarkStart w:id="55" w:name="_Toc145004288"/>
      <w:bookmarkStart w:id="56" w:name="_Toc145078404"/>
      <w:r w:rsidRPr="00FA55E9">
        <w:rPr>
          <w:rFonts w:cs="Times New Roman"/>
          <w:szCs w:val="24"/>
        </w:rPr>
        <w:t>Chapter 3: Research Methodology</w:t>
      </w:r>
      <w:bookmarkEnd w:id="55"/>
      <w:bookmarkEnd w:id="56"/>
    </w:p>
    <w:p w14:paraId="6340EEF6" w14:textId="42BB971F" w:rsidR="00E11AC2" w:rsidRPr="00FA55E9" w:rsidRDefault="00E11AC2" w:rsidP="0056658D">
      <w:pPr>
        <w:pStyle w:val="Heading2"/>
        <w:rPr>
          <w:rFonts w:cs="Times New Roman"/>
          <w:szCs w:val="24"/>
        </w:rPr>
      </w:pPr>
      <w:bookmarkStart w:id="57" w:name="_Toc145004289"/>
      <w:bookmarkStart w:id="58" w:name="_Toc145078405"/>
      <w:r w:rsidRPr="00FA55E9">
        <w:rPr>
          <w:rFonts w:cs="Times New Roman"/>
          <w:szCs w:val="24"/>
        </w:rPr>
        <w:t>3.1 Introduction</w:t>
      </w:r>
      <w:bookmarkEnd w:id="57"/>
      <w:bookmarkEnd w:id="58"/>
    </w:p>
    <w:p w14:paraId="3FC11009" w14:textId="41E56068" w:rsidR="0056658D" w:rsidRPr="00FA55E9" w:rsidRDefault="0056658D" w:rsidP="00C819C8">
      <w:pPr>
        <w:spacing w:line="360" w:lineRule="auto"/>
        <w:rPr>
          <w:rFonts w:cs="Times New Roman"/>
          <w:szCs w:val="24"/>
        </w:rPr>
      </w:pPr>
      <w:r w:rsidRPr="00FA55E9">
        <w:rPr>
          <w:rFonts w:cs="Times New Roman"/>
          <w:szCs w:val="24"/>
        </w:rPr>
        <w:t xml:space="preserve">By using different tools and techniques, research work is led under a certain course, and the aims and objectives of the research are </w:t>
      </w:r>
      <w:r w:rsidR="0093346E" w:rsidRPr="00FA55E9">
        <w:rPr>
          <w:rFonts w:cs="Times New Roman"/>
          <w:szCs w:val="24"/>
        </w:rPr>
        <w:t xml:space="preserve">followed by the researcher for collecting </w:t>
      </w:r>
      <w:r w:rsidR="00C819C8" w:rsidRPr="00FA55E9">
        <w:rPr>
          <w:rFonts w:cs="Times New Roman"/>
          <w:szCs w:val="24"/>
        </w:rPr>
        <w:t xml:space="preserve">relevant data. The research methodology includes different research apparatus, including research philosophy, design, approach, search terms, inclusion and exclusion principles and others. The </w:t>
      </w:r>
      <w:r w:rsidR="00C819C8" w:rsidRPr="00FA55E9">
        <w:rPr>
          <w:rFonts w:cs="Times New Roman"/>
          <w:szCs w:val="24"/>
        </w:rPr>
        <w:lastRenderedPageBreak/>
        <w:t>concerned chapter of the study will identify the appropriate tools and techniques based on which the data collection and further analysis have been conducted.</w:t>
      </w:r>
    </w:p>
    <w:p w14:paraId="1615E89A" w14:textId="7E4333E4" w:rsidR="00E11AC2" w:rsidRPr="00FA55E9" w:rsidRDefault="00E11AC2" w:rsidP="0056658D">
      <w:pPr>
        <w:pStyle w:val="Heading2"/>
        <w:rPr>
          <w:rFonts w:cs="Times New Roman"/>
          <w:szCs w:val="24"/>
        </w:rPr>
      </w:pPr>
      <w:bookmarkStart w:id="59" w:name="_Toc145004290"/>
      <w:bookmarkStart w:id="60" w:name="_Toc145078406"/>
      <w:r w:rsidRPr="00FA55E9">
        <w:rPr>
          <w:rFonts w:cs="Times New Roman"/>
          <w:szCs w:val="24"/>
        </w:rPr>
        <w:t>3.2 Brief Overview</w:t>
      </w:r>
      <w:bookmarkEnd w:id="59"/>
      <w:bookmarkEnd w:id="60"/>
    </w:p>
    <w:p w14:paraId="3658379A" w14:textId="349F7CA2" w:rsidR="00C819C8" w:rsidRPr="00FA55E9" w:rsidRDefault="00C819C8" w:rsidP="003516BA">
      <w:pPr>
        <w:spacing w:line="360" w:lineRule="auto"/>
        <w:rPr>
          <w:rFonts w:cs="Times New Roman"/>
          <w:szCs w:val="24"/>
        </w:rPr>
      </w:pPr>
      <w:r w:rsidRPr="00FA55E9">
        <w:rPr>
          <w:rFonts w:cs="Times New Roman"/>
          <w:szCs w:val="24"/>
        </w:rPr>
        <w:t>The customer-centrism led by the UK banking sector has been a key part of the economic activities of the country, and the research aims to empower the growth of different acts and activities procured by the banking body to facilitate customers with different services. In this chapter, the individual methods utilised by the researcher to create research opportunities will be discussed, and the specification of data and its analysis will also be programmed. The techniques and methodological approaches will empower the research by creating a scope of analysis and discussion, and the ethical perspectives of the research will also be highlighted as per the research requirements.</w:t>
      </w:r>
    </w:p>
    <w:p w14:paraId="46C63C9F" w14:textId="65BB36EA" w:rsidR="00E11AC2" w:rsidRPr="00FA55E9" w:rsidRDefault="00E11AC2" w:rsidP="003516BA">
      <w:pPr>
        <w:pStyle w:val="Heading2"/>
        <w:rPr>
          <w:rFonts w:cs="Times New Roman"/>
          <w:szCs w:val="24"/>
        </w:rPr>
      </w:pPr>
      <w:bookmarkStart w:id="61" w:name="_Toc145004291"/>
      <w:bookmarkStart w:id="62" w:name="_Toc145078407"/>
      <w:r w:rsidRPr="00FA55E9">
        <w:rPr>
          <w:rFonts w:cs="Times New Roman"/>
          <w:szCs w:val="24"/>
        </w:rPr>
        <w:t>3.3 Used Database</w:t>
      </w:r>
      <w:bookmarkEnd w:id="61"/>
      <w:bookmarkEnd w:id="62"/>
    </w:p>
    <w:p w14:paraId="09ECA4BB" w14:textId="6F985175" w:rsidR="00C819C8" w:rsidRPr="00FA55E9" w:rsidRDefault="00C819C8" w:rsidP="003516BA">
      <w:pPr>
        <w:spacing w:line="360" w:lineRule="auto"/>
        <w:rPr>
          <w:rFonts w:cs="Times New Roman"/>
          <w:szCs w:val="24"/>
        </w:rPr>
      </w:pPr>
      <w:r w:rsidRPr="00FA55E9">
        <w:rPr>
          <w:rFonts w:cs="Times New Roman"/>
          <w:szCs w:val="24"/>
        </w:rPr>
        <w:t xml:space="preserve">Procuring data from valid resources and their authentic depiction change the course of a study by formulating advantages, while the academic segmentation of data will also be programmed with essential acts and activities. In this regard, two major </w:t>
      </w:r>
      <w:r w:rsidR="004835F3" w:rsidRPr="00FA55E9">
        <w:rPr>
          <w:rFonts w:cs="Times New Roman"/>
          <w:szCs w:val="24"/>
        </w:rPr>
        <w:t>data collection methods are followed, including primary and secondary data collection processes. In the case of primary data collection, a certain segment of the population is considered from different geographical locations and socioeconomic backgrounds. Their perspectives as per their recent experience regarding the components of the research topic are understood, while the challenges regarding data are also identified (</w:t>
      </w:r>
      <w:proofErr w:type="spellStart"/>
      <w:r w:rsidR="00676AC4" w:rsidRPr="00FA55E9">
        <w:rPr>
          <w:rFonts w:cs="Times New Roman"/>
          <w:color w:val="222222"/>
          <w:szCs w:val="24"/>
          <w:shd w:val="clear" w:color="auto" w:fill="FFFFFF"/>
        </w:rPr>
        <w:t>Bairagi</w:t>
      </w:r>
      <w:proofErr w:type="spellEnd"/>
      <w:r w:rsidR="00676AC4" w:rsidRPr="00FA55E9">
        <w:rPr>
          <w:rFonts w:cs="Times New Roman"/>
          <w:color w:val="222222"/>
          <w:szCs w:val="24"/>
          <w:shd w:val="clear" w:color="auto" w:fill="FFFFFF"/>
        </w:rPr>
        <w:t xml:space="preserve"> and </w:t>
      </w:r>
      <w:proofErr w:type="spellStart"/>
      <w:r w:rsidR="00676AC4" w:rsidRPr="00FA55E9">
        <w:rPr>
          <w:rFonts w:cs="Times New Roman"/>
          <w:color w:val="222222"/>
          <w:szCs w:val="24"/>
          <w:shd w:val="clear" w:color="auto" w:fill="FFFFFF"/>
        </w:rPr>
        <w:t>Munot</w:t>
      </w:r>
      <w:proofErr w:type="spellEnd"/>
      <w:r w:rsidR="00676AC4" w:rsidRPr="00FA55E9">
        <w:rPr>
          <w:rFonts w:cs="Times New Roman"/>
          <w:color w:val="222222"/>
          <w:szCs w:val="24"/>
          <w:shd w:val="clear" w:color="auto" w:fill="FFFFFF"/>
        </w:rPr>
        <w:t>, 2019</w:t>
      </w:r>
      <w:r w:rsidR="004835F3" w:rsidRPr="00FA55E9">
        <w:rPr>
          <w:rFonts w:cs="Times New Roman"/>
          <w:szCs w:val="24"/>
        </w:rPr>
        <w:t xml:space="preserve">). On the other hand, in the case of secondary data collection, </w:t>
      </w:r>
      <w:r w:rsidR="00AE69A6" w:rsidRPr="00FA55E9">
        <w:rPr>
          <w:rFonts w:cs="Times New Roman"/>
          <w:szCs w:val="24"/>
        </w:rPr>
        <w:t>existing databases, such as government reports, academic journals, magazines, reliable websites and others are utilised. The social values of data are emphasised, as well as, the academic interpretation of data is also programmed to create research opportunities.</w:t>
      </w:r>
    </w:p>
    <w:p w14:paraId="03FB8C31" w14:textId="43799BBE" w:rsidR="00AE69A6" w:rsidRPr="00FA55E9" w:rsidRDefault="00AE69A6" w:rsidP="003516BA">
      <w:pPr>
        <w:spacing w:line="360" w:lineRule="auto"/>
        <w:rPr>
          <w:rFonts w:cs="Times New Roman"/>
          <w:szCs w:val="24"/>
        </w:rPr>
      </w:pPr>
      <w:r w:rsidRPr="00FA55E9">
        <w:rPr>
          <w:rFonts w:cs="Times New Roman"/>
          <w:szCs w:val="24"/>
        </w:rPr>
        <w:t>For conducting the concerned research, the researcher has utilised secondary data, and in this regard, several well-recognised and well-accomplished data collection platforms have been utilised. Economic reports, academic journals and peer-reviewed journals have been considered and the data has been critically analysed.</w:t>
      </w:r>
    </w:p>
    <w:p w14:paraId="1A9192CE" w14:textId="7F03BC09" w:rsidR="0056658D" w:rsidRPr="00FA55E9" w:rsidRDefault="0056658D" w:rsidP="003516BA">
      <w:pPr>
        <w:pStyle w:val="Heading2"/>
        <w:rPr>
          <w:rFonts w:cs="Times New Roman"/>
          <w:szCs w:val="24"/>
        </w:rPr>
      </w:pPr>
      <w:bookmarkStart w:id="63" w:name="_Toc145004292"/>
      <w:bookmarkStart w:id="64" w:name="_Toc145078408"/>
      <w:r w:rsidRPr="00FA55E9">
        <w:rPr>
          <w:rFonts w:cs="Times New Roman"/>
          <w:szCs w:val="24"/>
        </w:rPr>
        <w:t>3.4 Research Philosophy</w:t>
      </w:r>
      <w:bookmarkEnd w:id="63"/>
      <w:bookmarkEnd w:id="64"/>
    </w:p>
    <w:p w14:paraId="00244588" w14:textId="4172A090" w:rsidR="00AE69A6" w:rsidRPr="00FA55E9" w:rsidRDefault="00AE69A6" w:rsidP="003516BA">
      <w:pPr>
        <w:spacing w:line="360" w:lineRule="auto"/>
        <w:rPr>
          <w:rFonts w:cs="Times New Roman"/>
          <w:szCs w:val="24"/>
        </w:rPr>
      </w:pPr>
      <w:r w:rsidRPr="00FA55E9">
        <w:rPr>
          <w:rFonts w:cs="Times New Roman"/>
          <w:szCs w:val="24"/>
        </w:rPr>
        <w:t>The research has been conducted based on the “interpretivism research philosophy”, and the interpretation of data has been programmed to highlight different aspects of the research topic with academic values (</w:t>
      </w:r>
      <w:r w:rsidR="00676AC4" w:rsidRPr="00FA55E9">
        <w:rPr>
          <w:rFonts w:cs="Times New Roman"/>
          <w:color w:val="222222"/>
          <w:szCs w:val="24"/>
          <w:shd w:val="clear" w:color="auto" w:fill="FFFFFF"/>
        </w:rPr>
        <w:t>Patel and Patel, 2019</w:t>
      </w:r>
      <w:r w:rsidRPr="00FA55E9">
        <w:rPr>
          <w:rFonts w:cs="Times New Roman"/>
          <w:szCs w:val="24"/>
        </w:rPr>
        <w:t xml:space="preserve">). The data has been critically interpreted to </w:t>
      </w:r>
      <w:r w:rsidRPr="00FA55E9">
        <w:rPr>
          <w:rFonts w:cs="Times New Roman"/>
          <w:szCs w:val="24"/>
        </w:rPr>
        <w:lastRenderedPageBreak/>
        <w:t xml:space="preserve">programme the research course in a steady way, while the essential </w:t>
      </w:r>
      <w:r w:rsidR="00B933DC" w:rsidRPr="00FA55E9">
        <w:rPr>
          <w:rFonts w:cs="Times New Roman"/>
          <w:szCs w:val="24"/>
        </w:rPr>
        <w:t>outcomes have been prioritised to produce the research in an effective way. The social values of secondary data collected from the research have been prioritised by the researcher, while the academic insights have been created by assuming that the reality of data is multiple, subjective and socially constructed.</w:t>
      </w:r>
    </w:p>
    <w:p w14:paraId="4E3ABC3E" w14:textId="3BD116DB" w:rsidR="0056658D" w:rsidRPr="00FA55E9" w:rsidRDefault="0056658D" w:rsidP="003516BA">
      <w:pPr>
        <w:pStyle w:val="Heading2"/>
        <w:rPr>
          <w:rFonts w:cs="Times New Roman"/>
          <w:szCs w:val="24"/>
        </w:rPr>
      </w:pPr>
      <w:bookmarkStart w:id="65" w:name="_Toc145004293"/>
      <w:bookmarkStart w:id="66" w:name="_Toc145078409"/>
      <w:r w:rsidRPr="00FA55E9">
        <w:rPr>
          <w:rFonts w:cs="Times New Roman"/>
          <w:szCs w:val="24"/>
        </w:rPr>
        <w:t>3.5 Research Design and Approach</w:t>
      </w:r>
      <w:bookmarkEnd w:id="65"/>
      <w:bookmarkEnd w:id="66"/>
    </w:p>
    <w:p w14:paraId="6DB0CC74" w14:textId="76C7C2B2" w:rsidR="00B933DC" w:rsidRPr="00FA55E9" w:rsidRDefault="00B933DC" w:rsidP="003516BA">
      <w:pPr>
        <w:spacing w:line="360" w:lineRule="auto"/>
        <w:rPr>
          <w:rFonts w:cs="Times New Roman"/>
          <w:szCs w:val="24"/>
        </w:rPr>
      </w:pPr>
      <w:r w:rsidRPr="00FA55E9">
        <w:rPr>
          <w:rFonts w:cs="Times New Roman"/>
          <w:szCs w:val="24"/>
        </w:rPr>
        <w:t xml:space="preserve">The study has been conducted under the influence of the “qualitative research design”, and the quality of data has been valued for the critical analysis. On the other hand, creative research activities with academic growth and programmes have also benefited from the procurement of quality data and the research actions have been influential </w:t>
      </w:r>
      <w:r w:rsidR="003516BA" w:rsidRPr="00FA55E9">
        <w:rPr>
          <w:rFonts w:cs="Times New Roman"/>
          <w:szCs w:val="24"/>
        </w:rPr>
        <w:t>in</w:t>
      </w:r>
      <w:r w:rsidRPr="00FA55E9">
        <w:rPr>
          <w:rFonts w:cs="Times New Roman"/>
          <w:szCs w:val="24"/>
        </w:rPr>
        <w:t xml:space="preserve"> developing academic acts and measures (</w:t>
      </w:r>
      <w:proofErr w:type="spellStart"/>
      <w:r w:rsidR="00676AC4" w:rsidRPr="00FA55E9">
        <w:rPr>
          <w:rFonts w:cs="Times New Roman"/>
          <w:color w:val="222222"/>
          <w:szCs w:val="24"/>
          <w:shd w:val="clear" w:color="auto" w:fill="FFFFFF"/>
        </w:rPr>
        <w:t>Dzwigol</w:t>
      </w:r>
      <w:proofErr w:type="spellEnd"/>
      <w:r w:rsidR="00676AC4" w:rsidRPr="00FA55E9">
        <w:rPr>
          <w:rFonts w:cs="Times New Roman"/>
          <w:color w:val="222222"/>
          <w:szCs w:val="24"/>
          <w:shd w:val="clear" w:color="auto" w:fill="FFFFFF"/>
        </w:rPr>
        <w:t>, 2022</w:t>
      </w:r>
      <w:r w:rsidRPr="00FA55E9">
        <w:rPr>
          <w:rFonts w:cs="Times New Roman"/>
          <w:szCs w:val="24"/>
        </w:rPr>
        <w:t xml:space="preserve">). On the other, a descriptive approach for the research has been programmed by the research to describe the findings elaborately, while the changes in data have been considered for the essential movements of </w:t>
      </w:r>
      <w:r w:rsidR="003516BA" w:rsidRPr="00FA55E9">
        <w:rPr>
          <w:rFonts w:cs="Times New Roman"/>
          <w:szCs w:val="24"/>
        </w:rPr>
        <w:t>the research under the right actions.</w:t>
      </w:r>
    </w:p>
    <w:p w14:paraId="7EBA3407" w14:textId="7BD01CE5" w:rsidR="0056658D" w:rsidRPr="00FA55E9" w:rsidRDefault="0056658D" w:rsidP="0056658D">
      <w:pPr>
        <w:pStyle w:val="Heading2"/>
        <w:rPr>
          <w:rFonts w:cs="Times New Roman"/>
          <w:szCs w:val="24"/>
        </w:rPr>
      </w:pPr>
      <w:bookmarkStart w:id="67" w:name="_Toc145004294"/>
      <w:bookmarkStart w:id="68" w:name="_Toc145078410"/>
      <w:r w:rsidRPr="00FA55E9">
        <w:rPr>
          <w:rFonts w:cs="Times New Roman"/>
          <w:szCs w:val="24"/>
        </w:rPr>
        <w:t>3.6 Search Terms</w:t>
      </w:r>
      <w:bookmarkEnd w:id="67"/>
      <w:bookmarkEnd w:id="68"/>
    </w:p>
    <w:p w14:paraId="0C5BFB37" w14:textId="510DD477" w:rsidR="00676AC4" w:rsidRPr="00FA55E9" w:rsidRDefault="003516BA" w:rsidP="006A3159">
      <w:pPr>
        <w:spacing w:line="360" w:lineRule="auto"/>
        <w:rPr>
          <w:rFonts w:cs="Times New Roman"/>
          <w:szCs w:val="24"/>
        </w:rPr>
      </w:pPr>
      <w:r w:rsidRPr="00FA55E9">
        <w:rPr>
          <w:rFonts w:cs="Times New Roman"/>
          <w:szCs w:val="24"/>
        </w:rPr>
        <w:t>For collecting data from different databases, the researcher has utilised different search terms, based on which the data collection has been programmed and the base of further analysis has been established. The researcher has considered Google Scholar and JSTOR for collecting academic journals and economic reports, and electronic searches have been programmed as per the aim and objectives of the research.</w:t>
      </w:r>
      <w:r w:rsidR="00676AC4" w:rsidRPr="00FA55E9">
        <w:rPr>
          <w:rFonts w:cs="Times New Roman"/>
          <w:szCs w:val="24"/>
        </w:rPr>
        <w:t xml:space="preserve"> The platforms are effective for the research work, as they provide a diverse notion of datasets and they are well-recognised for providing authentic data and information regarding different subjects and research topics.</w:t>
      </w:r>
    </w:p>
    <w:tbl>
      <w:tblPr>
        <w:tblStyle w:val="TableGrid"/>
        <w:tblW w:w="0" w:type="auto"/>
        <w:tblLook w:val="04A0" w:firstRow="1" w:lastRow="0" w:firstColumn="1" w:lastColumn="0" w:noHBand="0" w:noVBand="1"/>
      </w:tblPr>
      <w:tblGrid>
        <w:gridCol w:w="3005"/>
        <w:gridCol w:w="3005"/>
        <w:gridCol w:w="3006"/>
      </w:tblGrid>
      <w:tr w:rsidR="003516BA" w:rsidRPr="00FA55E9" w14:paraId="0CF2A836" w14:textId="77777777" w:rsidTr="003516BA">
        <w:tc>
          <w:tcPr>
            <w:tcW w:w="3005" w:type="dxa"/>
          </w:tcPr>
          <w:p w14:paraId="600E15B7" w14:textId="7524119C" w:rsidR="003516BA" w:rsidRPr="00FA55E9" w:rsidRDefault="003516BA" w:rsidP="006D5572">
            <w:pPr>
              <w:spacing w:line="360" w:lineRule="auto"/>
              <w:rPr>
                <w:rFonts w:cs="Times New Roman"/>
                <w:b/>
                <w:bCs/>
                <w:szCs w:val="24"/>
              </w:rPr>
            </w:pPr>
            <w:r w:rsidRPr="00FA55E9">
              <w:rPr>
                <w:rFonts w:cs="Times New Roman"/>
                <w:b/>
                <w:bCs/>
                <w:szCs w:val="24"/>
              </w:rPr>
              <w:t>Search Terms</w:t>
            </w:r>
          </w:p>
        </w:tc>
        <w:tc>
          <w:tcPr>
            <w:tcW w:w="3005" w:type="dxa"/>
          </w:tcPr>
          <w:p w14:paraId="17640166" w14:textId="7939DDCA" w:rsidR="003516BA" w:rsidRPr="00FA55E9" w:rsidRDefault="003516BA" w:rsidP="006D5572">
            <w:pPr>
              <w:spacing w:line="360" w:lineRule="auto"/>
              <w:rPr>
                <w:rFonts w:cs="Times New Roman"/>
                <w:b/>
                <w:bCs/>
                <w:szCs w:val="24"/>
              </w:rPr>
            </w:pPr>
            <w:r w:rsidRPr="00FA55E9">
              <w:rPr>
                <w:rFonts w:cs="Times New Roman"/>
                <w:b/>
                <w:bCs/>
                <w:szCs w:val="24"/>
              </w:rPr>
              <w:t>Boolean Words</w:t>
            </w:r>
          </w:p>
        </w:tc>
        <w:tc>
          <w:tcPr>
            <w:tcW w:w="3006" w:type="dxa"/>
          </w:tcPr>
          <w:p w14:paraId="72965974" w14:textId="13CF5E52" w:rsidR="003516BA" w:rsidRPr="00FA55E9" w:rsidRDefault="003516BA" w:rsidP="006D5572">
            <w:pPr>
              <w:spacing w:line="360" w:lineRule="auto"/>
              <w:rPr>
                <w:rFonts w:cs="Times New Roman"/>
                <w:b/>
                <w:bCs/>
                <w:szCs w:val="24"/>
              </w:rPr>
            </w:pPr>
            <w:r w:rsidRPr="00FA55E9">
              <w:rPr>
                <w:rFonts w:cs="Times New Roman"/>
                <w:b/>
                <w:bCs/>
                <w:szCs w:val="24"/>
              </w:rPr>
              <w:t>Search Terms</w:t>
            </w:r>
          </w:p>
        </w:tc>
      </w:tr>
      <w:tr w:rsidR="003516BA" w:rsidRPr="00FA55E9" w14:paraId="79A2C534" w14:textId="77777777" w:rsidTr="003516BA">
        <w:tc>
          <w:tcPr>
            <w:tcW w:w="3005" w:type="dxa"/>
          </w:tcPr>
          <w:p w14:paraId="542BD6D7" w14:textId="1B3E1F1D" w:rsidR="003516BA" w:rsidRPr="00FA55E9" w:rsidRDefault="003516BA" w:rsidP="006D5572">
            <w:pPr>
              <w:spacing w:line="360" w:lineRule="auto"/>
              <w:rPr>
                <w:rFonts w:cs="Times New Roman"/>
                <w:szCs w:val="24"/>
              </w:rPr>
            </w:pPr>
            <w:r w:rsidRPr="00FA55E9">
              <w:rPr>
                <w:rFonts w:cs="Times New Roman"/>
                <w:szCs w:val="24"/>
              </w:rPr>
              <w:t>The UK banking sector and its current activities and infrastructural condition.</w:t>
            </w:r>
          </w:p>
        </w:tc>
        <w:tc>
          <w:tcPr>
            <w:tcW w:w="3005" w:type="dxa"/>
          </w:tcPr>
          <w:p w14:paraId="30DDCAED" w14:textId="2CAE84E6" w:rsidR="003516BA" w:rsidRPr="00FA55E9" w:rsidRDefault="003516BA" w:rsidP="006D5572">
            <w:pPr>
              <w:spacing w:line="360" w:lineRule="auto"/>
              <w:rPr>
                <w:rFonts w:cs="Times New Roman"/>
                <w:szCs w:val="24"/>
              </w:rPr>
            </w:pPr>
            <w:r w:rsidRPr="00FA55E9">
              <w:rPr>
                <w:rFonts w:cs="Times New Roman"/>
                <w:szCs w:val="24"/>
              </w:rPr>
              <w:t>Or</w:t>
            </w:r>
          </w:p>
        </w:tc>
        <w:tc>
          <w:tcPr>
            <w:tcW w:w="3006" w:type="dxa"/>
          </w:tcPr>
          <w:p w14:paraId="47BEB140" w14:textId="77DAC773" w:rsidR="003516BA" w:rsidRPr="00FA55E9" w:rsidRDefault="003516BA" w:rsidP="006D5572">
            <w:pPr>
              <w:spacing w:line="360" w:lineRule="auto"/>
              <w:rPr>
                <w:rFonts w:cs="Times New Roman"/>
                <w:szCs w:val="24"/>
              </w:rPr>
            </w:pPr>
            <w:r w:rsidRPr="00FA55E9">
              <w:rPr>
                <w:rFonts w:cs="Times New Roman"/>
                <w:szCs w:val="24"/>
              </w:rPr>
              <w:t>Recent programmes and resources of the UK banking sector.</w:t>
            </w:r>
          </w:p>
        </w:tc>
      </w:tr>
      <w:tr w:rsidR="003516BA" w:rsidRPr="00FA55E9" w14:paraId="4305F64B" w14:textId="77777777" w:rsidTr="003516BA">
        <w:tc>
          <w:tcPr>
            <w:tcW w:w="3005" w:type="dxa"/>
          </w:tcPr>
          <w:p w14:paraId="74745DBD" w14:textId="25907C13" w:rsidR="003516BA" w:rsidRPr="00FA55E9" w:rsidRDefault="003516BA" w:rsidP="006D5572">
            <w:pPr>
              <w:spacing w:line="360" w:lineRule="auto"/>
              <w:rPr>
                <w:rFonts w:cs="Times New Roman"/>
                <w:szCs w:val="24"/>
              </w:rPr>
            </w:pPr>
            <w:r w:rsidRPr="00FA55E9">
              <w:rPr>
                <w:rFonts w:cs="Times New Roman"/>
                <w:szCs w:val="24"/>
              </w:rPr>
              <w:t>Services and facilities empowered by the banking sector to create customer-centric value for long-term economic activities.</w:t>
            </w:r>
          </w:p>
        </w:tc>
        <w:tc>
          <w:tcPr>
            <w:tcW w:w="3005" w:type="dxa"/>
          </w:tcPr>
          <w:p w14:paraId="2F3D139F" w14:textId="6623EE67" w:rsidR="003516BA" w:rsidRPr="00FA55E9" w:rsidRDefault="003516BA" w:rsidP="006D5572">
            <w:pPr>
              <w:spacing w:line="360" w:lineRule="auto"/>
              <w:rPr>
                <w:rFonts w:cs="Times New Roman"/>
                <w:szCs w:val="24"/>
              </w:rPr>
            </w:pPr>
            <w:r w:rsidRPr="00FA55E9">
              <w:rPr>
                <w:rFonts w:cs="Times New Roman"/>
                <w:szCs w:val="24"/>
              </w:rPr>
              <w:t>And</w:t>
            </w:r>
          </w:p>
        </w:tc>
        <w:tc>
          <w:tcPr>
            <w:tcW w:w="3006" w:type="dxa"/>
          </w:tcPr>
          <w:p w14:paraId="55268D42" w14:textId="6ADF3A3D" w:rsidR="003516BA" w:rsidRPr="00FA55E9" w:rsidRDefault="003516BA" w:rsidP="006D5572">
            <w:pPr>
              <w:spacing w:line="360" w:lineRule="auto"/>
              <w:rPr>
                <w:rFonts w:cs="Times New Roman"/>
                <w:szCs w:val="24"/>
              </w:rPr>
            </w:pPr>
            <w:r w:rsidRPr="00FA55E9">
              <w:rPr>
                <w:rFonts w:cs="Times New Roman"/>
                <w:szCs w:val="24"/>
              </w:rPr>
              <w:t>Customer-centrism of the UK banking sector and the opportunities it provides to customers.</w:t>
            </w:r>
          </w:p>
        </w:tc>
      </w:tr>
      <w:tr w:rsidR="003516BA" w:rsidRPr="00FA55E9" w14:paraId="6ABB02BE" w14:textId="77777777" w:rsidTr="003516BA">
        <w:tc>
          <w:tcPr>
            <w:tcW w:w="3005" w:type="dxa"/>
          </w:tcPr>
          <w:p w14:paraId="56C66280" w14:textId="50EC4572" w:rsidR="003516BA" w:rsidRPr="00FA55E9" w:rsidRDefault="003516BA" w:rsidP="006D5572">
            <w:pPr>
              <w:spacing w:line="360" w:lineRule="auto"/>
              <w:rPr>
                <w:rFonts w:cs="Times New Roman"/>
                <w:szCs w:val="24"/>
              </w:rPr>
            </w:pPr>
            <w:r w:rsidRPr="00FA55E9">
              <w:rPr>
                <w:rFonts w:cs="Times New Roman"/>
                <w:szCs w:val="24"/>
              </w:rPr>
              <w:lastRenderedPageBreak/>
              <w:t xml:space="preserve">Challenges faced by the UK banking sector </w:t>
            </w:r>
            <w:r w:rsidR="006A3159" w:rsidRPr="00FA55E9">
              <w:rPr>
                <w:rFonts w:cs="Times New Roman"/>
                <w:szCs w:val="24"/>
              </w:rPr>
              <w:t>to provide optimum opportunities.</w:t>
            </w:r>
          </w:p>
        </w:tc>
        <w:tc>
          <w:tcPr>
            <w:tcW w:w="3005" w:type="dxa"/>
          </w:tcPr>
          <w:p w14:paraId="13BDBEBD" w14:textId="741BBD05" w:rsidR="003516BA" w:rsidRPr="00FA55E9" w:rsidRDefault="003516BA" w:rsidP="006D5572">
            <w:pPr>
              <w:spacing w:line="360" w:lineRule="auto"/>
              <w:rPr>
                <w:rFonts w:cs="Times New Roman"/>
                <w:szCs w:val="24"/>
              </w:rPr>
            </w:pPr>
            <w:r w:rsidRPr="00FA55E9">
              <w:rPr>
                <w:rFonts w:cs="Times New Roman"/>
                <w:szCs w:val="24"/>
              </w:rPr>
              <w:t>Or</w:t>
            </w:r>
          </w:p>
        </w:tc>
        <w:tc>
          <w:tcPr>
            <w:tcW w:w="3006" w:type="dxa"/>
          </w:tcPr>
          <w:p w14:paraId="714B2443" w14:textId="1E7EC245" w:rsidR="003516BA" w:rsidRPr="00FA55E9" w:rsidRDefault="006A3159" w:rsidP="006D5572">
            <w:pPr>
              <w:spacing w:line="360" w:lineRule="auto"/>
              <w:rPr>
                <w:rFonts w:cs="Times New Roman"/>
                <w:szCs w:val="24"/>
              </w:rPr>
            </w:pPr>
            <w:r w:rsidRPr="00FA55E9">
              <w:rPr>
                <w:rFonts w:cs="Times New Roman"/>
                <w:szCs w:val="24"/>
              </w:rPr>
              <w:t>Issues that impact the customer-centric nature of the UK banking industry.</w:t>
            </w:r>
          </w:p>
        </w:tc>
      </w:tr>
    </w:tbl>
    <w:p w14:paraId="02938069" w14:textId="77777777" w:rsidR="003516BA" w:rsidRPr="00FA55E9" w:rsidRDefault="003516BA" w:rsidP="006D5572">
      <w:pPr>
        <w:spacing w:line="360" w:lineRule="auto"/>
        <w:rPr>
          <w:rFonts w:cs="Times New Roman"/>
          <w:szCs w:val="24"/>
        </w:rPr>
      </w:pPr>
    </w:p>
    <w:p w14:paraId="3E53753C" w14:textId="2AC9DFD4" w:rsidR="0056658D" w:rsidRPr="00FA55E9" w:rsidRDefault="0056658D" w:rsidP="006D5572">
      <w:pPr>
        <w:pStyle w:val="Heading2"/>
        <w:rPr>
          <w:rFonts w:cs="Times New Roman"/>
          <w:szCs w:val="24"/>
        </w:rPr>
      </w:pPr>
      <w:bookmarkStart w:id="69" w:name="_Toc145004295"/>
      <w:bookmarkStart w:id="70" w:name="_Toc145078411"/>
      <w:r w:rsidRPr="00FA55E9">
        <w:rPr>
          <w:rFonts w:cs="Times New Roman"/>
          <w:szCs w:val="24"/>
        </w:rPr>
        <w:t xml:space="preserve">3.7 Inclusion and Exclusion </w:t>
      </w:r>
      <w:r w:rsidR="006A3159" w:rsidRPr="00FA55E9">
        <w:rPr>
          <w:rFonts w:cs="Times New Roman"/>
          <w:szCs w:val="24"/>
        </w:rPr>
        <w:t>Principles</w:t>
      </w:r>
      <w:bookmarkEnd w:id="69"/>
      <w:bookmarkEnd w:id="70"/>
    </w:p>
    <w:p w14:paraId="464653A2" w14:textId="0FDF375B" w:rsidR="006A3159" w:rsidRPr="00FA55E9" w:rsidRDefault="006A3159" w:rsidP="006D5572">
      <w:pPr>
        <w:spacing w:line="360" w:lineRule="auto"/>
        <w:rPr>
          <w:rFonts w:cs="Times New Roman"/>
          <w:szCs w:val="24"/>
        </w:rPr>
      </w:pPr>
      <w:r w:rsidRPr="00FA55E9">
        <w:rPr>
          <w:rFonts w:cs="Times New Roman"/>
          <w:szCs w:val="24"/>
        </w:rPr>
        <w:t>To ensure the academic value of the research, the researcher will consider several inclusion and exclusion principles, based on which the data will be filtered to use as per the research aims and objectives. The entire pool of data collected from secondary resources has been examined under these principles for the academic upbringing of the research work.</w:t>
      </w:r>
    </w:p>
    <w:p w14:paraId="09C4FD3F" w14:textId="27E0EF05" w:rsidR="00676AC4" w:rsidRPr="00FA55E9" w:rsidRDefault="00676AC4" w:rsidP="006D5572">
      <w:pPr>
        <w:spacing w:line="360" w:lineRule="auto"/>
        <w:rPr>
          <w:rFonts w:cs="Times New Roman"/>
          <w:szCs w:val="24"/>
        </w:rPr>
      </w:pPr>
      <w:r w:rsidRPr="00FA55E9">
        <w:rPr>
          <w:rFonts w:cs="Times New Roman"/>
          <w:szCs w:val="24"/>
        </w:rPr>
        <w:t xml:space="preserve">The below-presented table </w:t>
      </w:r>
      <w:r w:rsidR="00E96B09" w:rsidRPr="00FA55E9">
        <w:rPr>
          <w:rFonts w:cs="Times New Roman"/>
          <w:szCs w:val="24"/>
        </w:rPr>
        <w:t xml:space="preserve">below </w:t>
      </w:r>
      <w:r w:rsidRPr="00FA55E9">
        <w:rPr>
          <w:rFonts w:cs="Times New Roman"/>
          <w:szCs w:val="24"/>
        </w:rPr>
        <w:t>identifies the principles.</w:t>
      </w:r>
    </w:p>
    <w:tbl>
      <w:tblPr>
        <w:tblStyle w:val="TableGrid"/>
        <w:tblW w:w="0" w:type="auto"/>
        <w:tblLook w:val="04A0" w:firstRow="1" w:lastRow="0" w:firstColumn="1" w:lastColumn="0" w:noHBand="0" w:noVBand="1"/>
      </w:tblPr>
      <w:tblGrid>
        <w:gridCol w:w="3005"/>
        <w:gridCol w:w="3005"/>
        <w:gridCol w:w="3006"/>
      </w:tblGrid>
      <w:tr w:rsidR="006A3159" w:rsidRPr="00FA55E9" w14:paraId="16CEEA53" w14:textId="77777777" w:rsidTr="006A3159">
        <w:tc>
          <w:tcPr>
            <w:tcW w:w="3005" w:type="dxa"/>
          </w:tcPr>
          <w:p w14:paraId="2EBAEE4F" w14:textId="0D16056B" w:rsidR="006A3159" w:rsidRPr="00FA55E9" w:rsidRDefault="006A3159" w:rsidP="006D5572">
            <w:pPr>
              <w:spacing w:line="360" w:lineRule="auto"/>
              <w:rPr>
                <w:rFonts w:cs="Times New Roman"/>
                <w:b/>
                <w:bCs/>
                <w:szCs w:val="24"/>
              </w:rPr>
            </w:pPr>
            <w:r w:rsidRPr="00FA55E9">
              <w:rPr>
                <w:rFonts w:cs="Times New Roman"/>
                <w:b/>
                <w:bCs/>
                <w:szCs w:val="24"/>
              </w:rPr>
              <w:t>Inclusion Principles</w:t>
            </w:r>
          </w:p>
        </w:tc>
        <w:tc>
          <w:tcPr>
            <w:tcW w:w="3005" w:type="dxa"/>
          </w:tcPr>
          <w:p w14:paraId="54550E7C" w14:textId="54DE4AAA" w:rsidR="006A3159" w:rsidRPr="00FA55E9" w:rsidRDefault="006A3159" w:rsidP="006D5572">
            <w:pPr>
              <w:spacing w:line="360" w:lineRule="auto"/>
              <w:rPr>
                <w:rFonts w:cs="Times New Roman"/>
                <w:b/>
                <w:bCs/>
                <w:szCs w:val="24"/>
              </w:rPr>
            </w:pPr>
            <w:r w:rsidRPr="00FA55E9">
              <w:rPr>
                <w:rFonts w:cs="Times New Roman"/>
                <w:b/>
                <w:bCs/>
                <w:szCs w:val="24"/>
              </w:rPr>
              <w:t>Justification</w:t>
            </w:r>
          </w:p>
        </w:tc>
        <w:tc>
          <w:tcPr>
            <w:tcW w:w="3006" w:type="dxa"/>
          </w:tcPr>
          <w:p w14:paraId="5E199751" w14:textId="1D9C8037" w:rsidR="006A3159" w:rsidRPr="00FA55E9" w:rsidRDefault="006A3159" w:rsidP="006D5572">
            <w:pPr>
              <w:spacing w:line="360" w:lineRule="auto"/>
              <w:rPr>
                <w:rFonts w:cs="Times New Roman"/>
                <w:b/>
                <w:bCs/>
                <w:szCs w:val="24"/>
              </w:rPr>
            </w:pPr>
            <w:r w:rsidRPr="00FA55E9">
              <w:rPr>
                <w:rFonts w:cs="Times New Roman"/>
                <w:b/>
                <w:bCs/>
                <w:szCs w:val="24"/>
              </w:rPr>
              <w:t>Exclusion Principles</w:t>
            </w:r>
          </w:p>
        </w:tc>
      </w:tr>
      <w:tr w:rsidR="006A3159" w:rsidRPr="00FA55E9" w14:paraId="4020FA37" w14:textId="77777777" w:rsidTr="006A3159">
        <w:tc>
          <w:tcPr>
            <w:tcW w:w="3005" w:type="dxa"/>
          </w:tcPr>
          <w:p w14:paraId="1B003B36" w14:textId="3C7A1949" w:rsidR="006A3159" w:rsidRPr="00FA55E9" w:rsidRDefault="00B80F02" w:rsidP="006D5572">
            <w:pPr>
              <w:spacing w:line="360" w:lineRule="auto"/>
              <w:rPr>
                <w:rFonts w:cs="Times New Roman"/>
                <w:szCs w:val="24"/>
              </w:rPr>
            </w:pPr>
            <w:r w:rsidRPr="00FA55E9">
              <w:rPr>
                <w:rFonts w:cs="Times New Roman"/>
                <w:szCs w:val="24"/>
              </w:rPr>
              <w:t>Peer-reviewed journals and reports only available in English are the sole priority for the research.</w:t>
            </w:r>
          </w:p>
        </w:tc>
        <w:tc>
          <w:tcPr>
            <w:tcW w:w="3005" w:type="dxa"/>
          </w:tcPr>
          <w:p w14:paraId="72EC3DE9" w14:textId="46AFE048" w:rsidR="006A3159" w:rsidRPr="00FA55E9" w:rsidRDefault="00B53270" w:rsidP="006D5572">
            <w:pPr>
              <w:spacing w:line="360" w:lineRule="auto"/>
              <w:rPr>
                <w:rFonts w:cs="Times New Roman"/>
                <w:szCs w:val="24"/>
              </w:rPr>
            </w:pPr>
            <w:r w:rsidRPr="00FA55E9">
              <w:rPr>
                <w:rFonts w:cs="Times New Roman"/>
                <w:szCs w:val="24"/>
              </w:rPr>
              <w:t>Being the global language, English holds the power to enforce research with more effective acts and activities (</w:t>
            </w:r>
            <w:r w:rsidR="00676AC4" w:rsidRPr="00FA55E9">
              <w:rPr>
                <w:rFonts w:cs="Times New Roman"/>
                <w:color w:val="222222"/>
                <w:szCs w:val="24"/>
                <w:shd w:val="clear" w:color="auto" w:fill="FFFFFF"/>
              </w:rPr>
              <w:t>Newman and Gough, 2020</w:t>
            </w:r>
            <w:r w:rsidRPr="00FA55E9">
              <w:rPr>
                <w:rFonts w:cs="Times New Roman"/>
                <w:szCs w:val="24"/>
              </w:rPr>
              <w:t>). The researcher has considered data published in English to provide the researcher with exposure to multiple opportunities without any lingual barrier.</w:t>
            </w:r>
          </w:p>
        </w:tc>
        <w:tc>
          <w:tcPr>
            <w:tcW w:w="3006" w:type="dxa"/>
          </w:tcPr>
          <w:p w14:paraId="6C1015CB" w14:textId="74A57EE5" w:rsidR="006A3159" w:rsidRPr="00FA55E9" w:rsidRDefault="00B80F02" w:rsidP="006D5572">
            <w:pPr>
              <w:spacing w:line="360" w:lineRule="auto"/>
              <w:rPr>
                <w:rFonts w:cs="Times New Roman"/>
                <w:szCs w:val="24"/>
              </w:rPr>
            </w:pPr>
            <w:r w:rsidRPr="00FA55E9">
              <w:rPr>
                <w:rFonts w:cs="Times New Roman"/>
                <w:szCs w:val="24"/>
              </w:rPr>
              <w:t>Academic works and economic reports published in any other language have been purposefully excluded from the database of the research.</w:t>
            </w:r>
          </w:p>
        </w:tc>
      </w:tr>
      <w:tr w:rsidR="006A3159" w:rsidRPr="00FA55E9" w14:paraId="319FA40A" w14:textId="77777777" w:rsidTr="006A3159">
        <w:tc>
          <w:tcPr>
            <w:tcW w:w="3005" w:type="dxa"/>
          </w:tcPr>
          <w:p w14:paraId="4C2BF85B" w14:textId="5BCF2F77" w:rsidR="006A3159" w:rsidRPr="00FA55E9" w:rsidRDefault="00B80F02" w:rsidP="006D5572">
            <w:pPr>
              <w:spacing w:line="360" w:lineRule="auto"/>
              <w:rPr>
                <w:rFonts w:cs="Times New Roman"/>
                <w:szCs w:val="24"/>
              </w:rPr>
            </w:pPr>
            <w:r w:rsidRPr="00FA55E9">
              <w:rPr>
                <w:rFonts w:cs="Times New Roman"/>
                <w:szCs w:val="24"/>
              </w:rPr>
              <w:t>Effective and appropriate sets of data have been procured from secondary data sources for conducting the research focusing on better outcomes.</w:t>
            </w:r>
          </w:p>
        </w:tc>
        <w:tc>
          <w:tcPr>
            <w:tcW w:w="3005" w:type="dxa"/>
          </w:tcPr>
          <w:p w14:paraId="4DE395DF" w14:textId="160285CA" w:rsidR="006A3159" w:rsidRPr="00FA55E9" w:rsidRDefault="00B53270" w:rsidP="006D5572">
            <w:pPr>
              <w:spacing w:line="360" w:lineRule="auto"/>
              <w:rPr>
                <w:rFonts w:cs="Times New Roman"/>
                <w:szCs w:val="24"/>
              </w:rPr>
            </w:pPr>
            <w:r w:rsidRPr="00FA55E9">
              <w:rPr>
                <w:rFonts w:cs="Times New Roman"/>
                <w:szCs w:val="24"/>
              </w:rPr>
              <w:t>For channelling the research work in an efficient way, the researcher has solely prioritised the complete sets of data and the ineffective and misinterpreted data sets have been removed from the secondary database of the research.</w:t>
            </w:r>
          </w:p>
        </w:tc>
        <w:tc>
          <w:tcPr>
            <w:tcW w:w="3006" w:type="dxa"/>
          </w:tcPr>
          <w:p w14:paraId="2EF96B8C" w14:textId="57FE5F07" w:rsidR="006A3159" w:rsidRPr="00FA55E9" w:rsidRDefault="00B80F02" w:rsidP="006D5572">
            <w:pPr>
              <w:spacing w:line="360" w:lineRule="auto"/>
              <w:rPr>
                <w:rFonts w:cs="Times New Roman"/>
                <w:szCs w:val="24"/>
              </w:rPr>
            </w:pPr>
            <w:r w:rsidRPr="00FA55E9">
              <w:rPr>
                <w:rFonts w:cs="Times New Roman"/>
                <w:szCs w:val="24"/>
              </w:rPr>
              <w:t xml:space="preserve">Incomplete or ineffective data sets have been avoided by the researcher </w:t>
            </w:r>
            <w:r w:rsidR="00B53270" w:rsidRPr="00FA55E9">
              <w:rPr>
                <w:rFonts w:cs="Times New Roman"/>
                <w:szCs w:val="24"/>
              </w:rPr>
              <w:t>for the concerned study.</w:t>
            </w:r>
          </w:p>
        </w:tc>
      </w:tr>
      <w:tr w:rsidR="006A3159" w:rsidRPr="00FA55E9" w14:paraId="139334B8" w14:textId="77777777" w:rsidTr="006A3159">
        <w:tc>
          <w:tcPr>
            <w:tcW w:w="3005" w:type="dxa"/>
          </w:tcPr>
          <w:p w14:paraId="5464E6BA" w14:textId="634CD4BC" w:rsidR="006A3159" w:rsidRPr="00FA55E9" w:rsidRDefault="00B80F02" w:rsidP="006D5572">
            <w:pPr>
              <w:spacing w:line="360" w:lineRule="auto"/>
              <w:rPr>
                <w:rFonts w:cs="Times New Roman"/>
                <w:szCs w:val="24"/>
              </w:rPr>
            </w:pPr>
            <w:r w:rsidRPr="00FA55E9">
              <w:rPr>
                <w:rFonts w:cs="Times New Roman"/>
                <w:szCs w:val="24"/>
              </w:rPr>
              <w:lastRenderedPageBreak/>
              <w:t>Journals and reports published in 2019 and onwards have been considered to develop the research work effectively.</w:t>
            </w:r>
          </w:p>
        </w:tc>
        <w:tc>
          <w:tcPr>
            <w:tcW w:w="3005" w:type="dxa"/>
          </w:tcPr>
          <w:p w14:paraId="3DF45845" w14:textId="39DD5FF8" w:rsidR="006A3159" w:rsidRPr="00FA55E9" w:rsidRDefault="00E96B09" w:rsidP="006D5572">
            <w:pPr>
              <w:spacing w:line="360" w:lineRule="auto"/>
              <w:rPr>
                <w:rFonts w:cs="Times New Roman"/>
                <w:szCs w:val="24"/>
              </w:rPr>
            </w:pPr>
            <w:r w:rsidRPr="00FA55E9">
              <w:rPr>
                <w:rFonts w:cs="Times New Roman"/>
                <w:szCs w:val="24"/>
              </w:rPr>
              <w:t>To make</w:t>
            </w:r>
            <w:r w:rsidR="00B53270" w:rsidRPr="00FA55E9">
              <w:rPr>
                <w:rFonts w:cs="Times New Roman"/>
                <w:szCs w:val="24"/>
              </w:rPr>
              <w:t xml:space="preserve"> the research relevant and effective for future usage, the researcher has valued the </w:t>
            </w:r>
            <w:r w:rsidRPr="00FA55E9">
              <w:rPr>
                <w:rFonts w:cs="Times New Roman"/>
                <w:szCs w:val="24"/>
              </w:rPr>
              <w:t>most recent</w:t>
            </w:r>
            <w:r w:rsidR="00B53270" w:rsidRPr="00FA55E9">
              <w:rPr>
                <w:rFonts w:cs="Times New Roman"/>
                <w:szCs w:val="24"/>
              </w:rPr>
              <w:t xml:space="preserve"> datasets, so that the research work does not get hampered by any irrational and old data (</w:t>
            </w:r>
            <w:r w:rsidR="00676AC4" w:rsidRPr="00FA55E9">
              <w:rPr>
                <w:rFonts w:cs="Times New Roman"/>
                <w:color w:val="222222"/>
                <w:szCs w:val="24"/>
                <w:shd w:val="clear" w:color="auto" w:fill="FFFFFF"/>
              </w:rPr>
              <w:t>Pandey and Pandey, 2019</w:t>
            </w:r>
            <w:r w:rsidR="00B53270" w:rsidRPr="00FA55E9">
              <w:rPr>
                <w:rFonts w:cs="Times New Roman"/>
                <w:szCs w:val="24"/>
              </w:rPr>
              <w:t>).</w:t>
            </w:r>
          </w:p>
        </w:tc>
        <w:tc>
          <w:tcPr>
            <w:tcW w:w="3006" w:type="dxa"/>
          </w:tcPr>
          <w:p w14:paraId="61EB1BB7" w14:textId="689B924B" w:rsidR="006A3159" w:rsidRPr="00FA55E9" w:rsidRDefault="00B53270" w:rsidP="006D5572">
            <w:pPr>
              <w:spacing w:line="360" w:lineRule="auto"/>
              <w:rPr>
                <w:rFonts w:cs="Times New Roman"/>
                <w:szCs w:val="24"/>
              </w:rPr>
            </w:pPr>
            <w:r w:rsidRPr="00FA55E9">
              <w:rPr>
                <w:rFonts w:cs="Times New Roman"/>
                <w:szCs w:val="24"/>
              </w:rPr>
              <w:t>Databases published before 2019 have been deliberately avoided.</w:t>
            </w:r>
          </w:p>
        </w:tc>
      </w:tr>
    </w:tbl>
    <w:p w14:paraId="27930399" w14:textId="77777777" w:rsidR="006A3159" w:rsidRPr="00FA55E9" w:rsidRDefault="006A3159" w:rsidP="006D5572">
      <w:pPr>
        <w:spacing w:line="360" w:lineRule="auto"/>
        <w:rPr>
          <w:rFonts w:cs="Times New Roman"/>
          <w:szCs w:val="24"/>
        </w:rPr>
      </w:pPr>
    </w:p>
    <w:p w14:paraId="0FC89C35" w14:textId="77777777" w:rsidR="003516BA" w:rsidRPr="00FA55E9" w:rsidRDefault="003516BA" w:rsidP="006D5572">
      <w:pPr>
        <w:spacing w:line="360" w:lineRule="auto"/>
        <w:rPr>
          <w:rFonts w:cs="Times New Roman"/>
          <w:szCs w:val="24"/>
        </w:rPr>
      </w:pPr>
    </w:p>
    <w:p w14:paraId="63F97AAE" w14:textId="00E552E3" w:rsidR="0056658D" w:rsidRPr="00FA55E9" w:rsidRDefault="0056658D" w:rsidP="006D5572">
      <w:pPr>
        <w:pStyle w:val="Heading2"/>
        <w:rPr>
          <w:rFonts w:cs="Times New Roman"/>
          <w:szCs w:val="24"/>
        </w:rPr>
      </w:pPr>
      <w:bookmarkStart w:id="71" w:name="_Toc145004296"/>
      <w:bookmarkStart w:id="72" w:name="_Toc145078412"/>
      <w:r w:rsidRPr="00FA55E9">
        <w:rPr>
          <w:rFonts w:cs="Times New Roman"/>
          <w:szCs w:val="24"/>
        </w:rPr>
        <w:t>3.8 Research Ethics</w:t>
      </w:r>
      <w:bookmarkEnd w:id="71"/>
      <w:bookmarkEnd w:id="72"/>
    </w:p>
    <w:p w14:paraId="68F361F8" w14:textId="07891523" w:rsidR="003516BA" w:rsidRPr="00FA55E9" w:rsidRDefault="00B53270" w:rsidP="006D5572">
      <w:pPr>
        <w:spacing w:line="360" w:lineRule="auto"/>
        <w:rPr>
          <w:rFonts w:cs="Times New Roman"/>
          <w:szCs w:val="24"/>
        </w:rPr>
      </w:pPr>
      <w:r w:rsidRPr="00FA55E9">
        <w:rPr>
          <w:rFonts w:cs="Times New Roman"/>
          <w:szCs w:val="24"/>
        </w:rPr>
        <w:t>The ethical association of different principles and programmes ensure a steady base of the research, while the research can be conducted under the method of different acts and activities secured under the valuable approach of a legal framework. The researcher has provided a complete set of references at the end of the research work, and the citations have also been programmed to indicate the findings as per sources (</w:t>
      </w:r>
      <w:r w:rsidR="00676AC4" w:rsidRPr="00FA55E9">
        <w:rPr>
          <w:rFonts w:cs="Times New Roman"/>
          <w:color w:val="222222"/>
          <w:szCs w:val="24"/>
          <w:shd w:val="clear" w:color="auto" w:fill="FFFFFF"/>
        </w:rPr>
        <w:t>Mishra and Alok, 2022</w:t>
      </w:r>
      <w:r w:rsidRPr="00FA55E9">
        <w:rPr>
          <w:rFonts w:cs="Times New Roman"/>
          <w:szCs w:val="24"/>
        </w:rPr>
        <w:t xml:space="preserve">). On the other hand, the security of data has further been valued by the researcher, so that the research interest remains intact. </w:t>
      </w:r>
      <w:r w:rsidR="00CD22F8" w:rsidRPr="00FA55E9">
        <w:rPr>
          <w:rFonts w:cs="Times New Roman"/>
          <w:szCs w:val="24"/>
        </w:rPr>
        <w:t>Based on these ethical programmes, the research has been protected from any legal issues, and data has been rationally acknowledged.</w:t>
      </w:r>
    </w:p>
    <w:p w14:paraId="18979B7D" w14:textId="478D7232" w:rsidR="0056658D" w:rsidRPr="00FA55E9" w:rsidRDefault="0056658D" w:rsidP="006D5572">
      <w:pPr>
        <w:pStyle w:val="Heading2"/>
        <w:rPr>
          <w:rFonts w:cs="Times New Roman"/>
          <w:szCs w:val="24"/>
        </w:rPr>
      </w:pPr>
      <w:bookmarkStart w:id="73" w:name="_Toc145004297"/>
      <w:bookmarkStart w:id="74" w:name="_Toc145078413"/>
      <w:r w:rsidRPr="00FA55E9">
        <w:rPr>
          <w:rFonts w:cs="Times New Roman"/>
          <w:szCs w:val="24"/>
        </w:rPr>
        <w:t>3.9 Data Analysis</w:t>
      </w:r>
      <w:bookmarkEnd w:id="73"/>
      <w:bookmarkEnd w:id="74"/>
    </w:p>
    <w:p w14:paraId="61B21241" w14:textId="2725177B" w:rsidR="003516BA" w:rsidRPr="00FA55E9" w:rsidRDefault="00CD22F8" w:rsidP="003440E2">
      <w:pPr>
        <w:spacing w:line="360" w:lineRule="auto"/>
        <w:rPr>
          <w:rFonts w:cs="Times New Roman"/>
          <w:szCs w:val="24"/>
        </w:rPr>
      </w:pPr>
      <w:r w:rsidRPr="00FA55E9">
        <w:rPr>
          <w:rFonts w:cs="Times New Roman"/>
          <w:szCs w:val="24"/>
        </w:rPr>
        <w:t>Critical analysis of data has been strictly followed by the researcher to establish a distinct field of research, while the amplification of data has been performed in a wide approach (</w:t>
      </w:r>
      <w:r w:rsidR="00676AC4" w:rsidRPr="00FA55E9">
        <w:rPr>
          <w:rFonts w:cs="Times New Roman"/>
          <w:color w:val="222222"/>
          <w:szCs w:val="24"/>
          <w:shd w:val="clear" w:color="auto" w:fill="FFFFFF"/>
        </w:rPr>
        <w:t>Mukherjee, 2019</w:t>
      </w:r>
      <w:r w:rsidRPr="00FA55E9">
        <w:rPr>
          <w:rFonts w:cs="Times New Roman"/>
          <w:szCs w:val="24"/>
        </w:rPr>
        <w:t xml:space="preserve">). The argumentative approach has </w:t>
      </w:r>
      <w:r w:rsidR="00E96B09" w:rsidRPr="00FA55E9">
        <w:rPr>
          <w:rFonts w:cs="Times New Roman"/>
          <w:szCs w:val="24"/>
        </w:rPr>
        <w:t>effectively detailed the interpretation of data</w:t>
      </w:r>
      <w:r w:rsidRPr="00FA55E9">
        <w:rPr>
          <w:rFonts w:cs="Times New Roman"/>
          <w:szCs w:val="24"/>
        </w:rPr>
        <w:t>, while the analysis of data has been programmed as per the aims and objectives of the research. Moreover, the critical analysis has been beneficial as it has distinctly provided several insights regarding the research topic.</w:t>
      </w:r>
    </w:p>
    <w:p w14:paraId="1F3AF7BA" w14:textId="40446916" w:rsidR="0056658D" w:rsidRPr="00FA55E9" w:rsidRDefault="0056658D" w:rsidP="006D5572">
      <w:pPr>
        <w:pStyle w:val="Heading2"/>
        <w:rPr>
          <w:rFonts w:cs="Times New Roman"/>
          <w:szCs w:val="24"/>
        </w:rPr>
      </w:pPr>
      <w:bookmarkStart w:id="75" w:name="_Toc145004298"/>
      <w:bookmarkStart w:id="76" w:name="_Toc145078414"/>
      <w:r w:rsidRPr="00FA55E9">
        <w:rPr>
          <w:rFonts w:cs="Times New Roman"/>
          <w:szCs w:val="24"/>
        </w:rPr>
        <w:t>3.10 Summary</w:t>
      </w:r>
      <w:bookmarkEnd w:id="75"/>
      <w:bookmarkEnd w:id="76"/>
    </w:p>
    <w:p w14:paraId="6C2113E6" w14:textId="06914FBB" w:rsidR="003516BA" w:rsidRPr="00FA55E9" w:rsidRDefault="00CD22F8" w:rsidP="003440E2">
      <w:pPr>
        <w:spacing w:line="360" w:lineRule="auto"/>
        <w:rPr>
          <w:rFonts w:cs="Times New Roman"/>
          <w:szCs w:val="24"/>
        </w:rPr>
      </w:pPr>
      <w:r w:rsidRPr="00FA55E9">
        <w:rPr>
          <w:rFonts w:cs="Times New Roman"/>
          <w:szCs w:val="24"/>
        </w:rPr>
        <w:t xml:space="preserve">The chapter of the study states that secondary sets of data have been procured by the researcher to ensure the value of the study, and in this regard, Google Scholar and JSTOR have been the major platforms. The wide and well-acknowledged sets of data have been analysed under the interpretivism research philosophy, and the social and academic values of data have been </w:t>
      </w:r>
      <w:r w:rsidRPr="00FA55E9">
        <w:rPr>
          <w:rFonts w:cs="Times New Roman"/>
          <w:szCs w:val="24"/>
        </w:rPr>
        <w:lastRenderedPageBreak/>
        <w:t>prioritised to present the research in an effective way. It can also be identified from the section of the research that the implication of ethical acts and activities has shaped the future of the research work in an effective way, while the search terms have been identified as per the academic goals of the research.</w:t>
      </w:r>
    </w:p>
    <w:p w14:paraId="245ED812" w14:textId="0EF110D4" w:rsidR="0056658D" w:rsidRPr="00FA55E9" w:rsidRDefault="0056658D" w:rsidP="006D5572">
      <w:pPr>
        <w:pStyle w:val="Heading2"/>
        <w:rPr>
          <w:rFonts w:cs="Times New Roman"/>
          <w:szCs w:val="24"/>
        </w:rPr>
      </w:pPr>
      <w:bookmarkStart w:id="77" w:name="_Toc145004299"/>
      <w:bookmarkStart w:id="78" w:name="_Toc145078415"/>
      <w:r w:rsidRPr="00FA55E9">
        <w:rPr>
          <w:rFonts w:cs="Times New Roman"/>
          <w:szCs w:val="24"/>
        </w:rPr>
        <w:t>3.11 Conclusion</w:t>
      </w:r>
      <w:bookmarkEnd w:id="77"/>
      <w:bookmarkEnd w:id="78"/>
    </w:p>
    <w:p w14:paraId="4A46D0AE" w14:textId="1C9021BA" w:rsidR="00CD22F8" w:rsidRPr="00FA55E9" w:rsidRDefault="00CD22F8" w:rsidP="003440E2">
      <w:pPr>
        <w:spacing w:line="360" w:lineRule="auto"/>
        <w:rPr>
          <w:rFonts w:cs="Times New Roman"/>
          <w:szCs w:val="24"/>
        </w:rPr>
      </w:pPr>
      <w:r w:rsidRPr="00FA55E9">
        <w:rPr>
          <w:rFonts w:cs="Times New Roman"/>
          <w:szCs w:val="24"/>
        </w:rPr>
        <w:t>It can be concluded from the chapter that the critical analysis of secondary data is effective for the research as it has provided different insightful actions and understanding regarding the research topic. It can further be concluded from the chapter that to maintain the relevance of the research</w:t>
      </w:r>
      <w:r w:rsidR="006D5572" w:rsidRPr="00FA55E9">
        <w:rPr>
          <w:rFonts w:cs="Times New Roman"/>
          <w:szCs w:val="24"/>
        </w:rPr>
        <w:t>, the researcher has utilised the most recent datasets, and in this regard, 2019-2023, has been the timeline of data collection and analysis. The ethical acts and activities have been significant for the research, as the legal framework of the research work has been productive for the research work. The quality of data has been valued by the researcher, and the effective acts and activities to create a steady database for the development of the research have been distinct and versatile in nature.</w:t>
      </w:r>
    </w:p>
    <w:p w14:paraId="00AC3834" w14:textId="77777777" w:rsidR="00D81529" w:rsidRPr="00FA55E9" w:rsidRDefault="00D81529" w:rsidP="0031466A">
      <w:pPr>
        <w:pStyle w:val="Heading1"/>
        <w:rPr>
          <w:rFonts w:eastAsia="Times New Roman"/>
          <w:lang w:eastAsia="en-IN"/>
        </w:rPr>
      </w:pPr>
      <w:bookmarkStart w:id="79" w:name="_Toc145004300"/>
      <w:bookmarkStart w:id="80" w:name="_Toc145078416"/>
      <w:r w:rsidRPr="00FA55E9">
        <w:rPr>
          <w:rFonts w:eastAsia="Times New Roman"/>
          <w:lang w:eastAsia="en-IN"/>
        </w:rPr>
        <w:t>Chapter 4: Findings and Discussion</w:t>
      </w:r>
      <w:bookmarkEnd w:id="79"/>
      <w:bookmarkEnd w:id="80"/>
    </w:p>
    <w:p w14:paraId="69F4DD42" w14:textId="77777777" w:rsidR="00D81529" w:rsidRPr="00FA55E9" w:rsidRDefault="00D81529" w:rsidP="0031466A">
      <w:pPr>
        <w:pStyle w:val="Heading2"/>
        <w:rPr>
          <w:rFonts w:eastAsia="Times New Roman"/>
          <w:lang w:eastAsia="en-IN"/>
        </w:rPr>
      </w:pPr>
      <w:bookmarkStart w:id="81" w:name="_Toc145004301"/>
      <w:bookmarkStart w:id="82" w:name="_Toc145078417"/>
      <w:r w:rsidRPr="00FA55E9">
        <w:rPr>
          <w:rFonts w:eastAsia="Times New Roman"/>
          <w:lang w:eastAsia="en-IN"/>
        </w:rPr>
        <w:t>4.1 Introduction</w:t>
      </w:r>
      <w:bookmarkEnd w:id="81"/>
      <w:bookmarkEnd w:id="82"/>
    </w:p>
    <w:p w14:paraId="6BDF7B00" w14:textId="3A3B4752" w:rsidR="00EA6C80" w:rsidRPr="00FA55E9" w:rsidRDefault="005E0371" w:rsidP="00A25C51">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t xml:space="preserve">The banking programmes in the UK </w:t>
      </w:r>
      <w:r w:rsidR="00E96B09" w:rsidRPr="00FA55E9">
        <w:rPr>
          <w:rFonts w:eastAsia="Times New Roman" w:cs="Times New Roman"/>
          <w:color w:val="000000"/>
          <w:kern w:val="0"/>
          <w:szCs w:val="24"/>
          <w:lang w:eastAsia="en-IN"/>
          <w14:ligatures w14:val="none"/>
        </w:rPr>
        <w:t>have</w:t>
      </w:r>
      <w:r w:rsidRPr="00FA55E9">
        <w:rPr>
          <w:rFonts w:eastAsia="Times New Roman" w:cs="Times New Roman"/>
          <w:color w:val="000000"/>
          <w:kern w:val="0"/>
          <w:szCs w:val="24"/>
          <w:lang w:eastAsia="en-IN"/>
          <w14:ligatures w14:val="none"/>
        </w:rPr>
        <w:t xml:space="preserve"> been diverse in nature and their socioeconomic and sociocultural impact has been able to ensure the development of opportunities for customers significantly. The extension of branch banking, as well as, the online banking has changed the conventional outlook of the UK banking sector, while the changes developed by the banking management </w:t>
      </w:r>
      <w:r w:rsidR="00E96B09" w:rsidRPr="00FA55E9">
        <w:rPr>
          <w:rFonts w:eastAsia="Times New Roman" w:cs="Times New Roman"/>
          <w:color w:val="000000"/>
          <w:kern w:val="0"/>
          <w:szCs w:val="24"/>
          <w:lang w:eastAsia="en-IN"/>
          <w14:ligatures w14:val="none"/>
        </w:rPr>
        <w:t>have</w:t>
      </w:r>
      <w:r w:rsidRPr="00FA55E9">
        <w:rPr>
          <w:rFonts w:eastAsia="Times New Roman" w:cs="Times New Roman"/>
          <w:color w:val="000000"/>
          <w:kern w:val="0"/>
          <w:szCs w:val="24"/>
          <w:lang w:eastAsia="en-IN"/>
          <w14:ligatures w14:val="none"/>
        </w:rPr>
        <w:t xml:space="preserve"> met customer needs and requirements. The technical programming and effectiveness have elevated the relationship between the banking management and customers, while the effectiveness of programming market activities has increased with the time. </w:t>
      </w:r>
    </w:p>
    <w:p w14:paraId="3E93766C" w14:textId="0F2BDD3F" w:rsidR="005E0371" w:rsidRPr="00FA55E9" w:rsidRDefault="005E0371" w:rsidP="00A25C51">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t xml:space="preserve">The intensity of customer involvement has changed with the initiatives and efforts incorporated by the banking activities in the UK, and the customer retention and the development of new customer bases have been deeply influenced by it. Moreover, the emerging trends have also been a definite part of the banking activity, and the associations have been </w:t>
      </w:r>
      <w:r w:rsidR="00EA6C80" w:rsidRPr="00FA55E9">
        <w:rPr>
          <w:rFonts w:eastAsia="Times New Roman" w:cs="Times New Roman"/>
          <w:color w:val="000000"/>
          <w:kern w:val="0"/>
          <w:szCs w:val="24"/>
          <w:lang w:eastAsia="en-IN"/>
          <w14:ligatures w14:val="none"/>
        </w:rPr>
        <w:t xml:space="preserve">durable </w:t>
      </w:r>
      <w:r w:rsidR="00E96B09" w:rsidRPr="00FA55E9">
        <w:rPr>
          <w:rFonts w:eastAsia="Times New Roman" w:cs="Times New Roman"/>
          <w:color w:val="000000"/>
          <w:kern w:val="0"/>
          <w:szCs w:val="24"/>
          <w:lang w:eastAsia="en-IN"/>
          <w14:ligatures w14:val="none"/>
        </w:rPr>
        <w:t xml:space="preserve">enough </w:t>
      </w:r>
      <w:r w:rsidR="00EA6C80" w:rsidRPr="00FA55E9">
        <w:rPr>
          <w:rFonts w:eastAsia="Times New Roman" w:cs="Times New Roman"/>
          <w:color w:val="000000"/>
          <w:kern w:val="0"/>
          <w:szCs w:val="24"/>
          <w:lang w:eastAsia="en-IN"/>
          <w14:ligatures w14:val="none"/>
        </w:rPr>
        <w:t>to help customers with monetary practices.</w:t>
      </w:r>
    </w:p>
    <w:p w14:paraId="571C271B" w14:textId="1911116D" w:rsidR="00EA6C80" w:rsidRPr="00FA55E9" w:rsidRDefault="00EA6C80" w:rsidP="00A25C51">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t xml:space="preserve">The concerned chapter of the research will highlight different secondary data found by the researcher, and in this regard, several charts and graphs will be presented with their analysis and interpretation. The findings will also be critically discussed </w:t>
      </w:r>
      <w:r w:rsidR="004837B3" w:rsidRPr="00FA55E9">
        <w:rPr>
          <w:rFonts w:eastAsia="Times New Roman" w:cs="Times New Roman"/>
          <w:color w:val="000000"/>
          <w:kern w:val="0"/>
          <w:szCs w:val="24"/>
          <w:lang w:eastAsia="en-IN"/>
          <w14:ligatures w14:val="none"/>
        </w:rPr>
        <w:t>per the research aims and objectives</w:t>
      </w:r>
      <w:r w:rsidRPr="00FA55E9">
        <w:rPr>
          <w:rFonts w:eastAsia="Times New Roman" w:cs="Times New Roman"/>
          <w:color w:val="000000"/>
          <w:kern w:val="0"/>
          <w:szCs w:val="24"/>
          <w:lang w:eastAsia="en-IN"/>
          <w14:ligatures w14:val="none"/>
        </w:rPr>
        <w:t>.</w:t>
      </w:r>
    </w:p>
    <w:p w14:paraId="3FFB8D2D" w14:textId="7F7DB75F" w:rsidR="00A25C51" w:rsidRPr="00FA55E9" w:rsidRDefault="00A25C51" w:rsidP="0031466A">
      <w:pPr>
        <w:pStyle w:val="Heading2"/>
        <w:rPr>
          <w:rFonts w:eastAsia="Times New Roman"/>
          <w:lang w:eastAsia="en-IN"/>
        </w:rPr>
      </w:pPr>
      <w:bookmarkStart w:id="83" w:name="_Toc145004302"/>
      <w:bookmarkStart w:id="84" w:name="_Toc145078418"/>
      <w:r w:rsidRPr="00FA55E9">
        <w:rPr>
          <w:rFonts w:eastAsia="Times New Roman"/>
          <w:lang w:eastAsia="en-IN"/>
        </w:rPr>
        <w:lastRenderedPageBreak/>
        <w:t>4.2 Findings</w:t>
      </w:r>
      <w:bookmarkEnd w:id="83"/>
      <w:bookmarkEnd w:id="84"/>
    </w:p>
    <w:p w14:paraId="43E68FD8" w14:textId="0BA14BF4" w:rsidR="005E0371" w:rsidRPr="00FA55E9" w:rsidRDefault="007162D0" w:rsidP="00A25C51">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t>The graphs</w:t>
      </w:r>
      <w:r w:rsidR="005E0371" w:rsidRPr="00FA55E9">
        <w:rPr>
          <w:rFonts w:eastAsia="Times New Roman" w:cs="Times New Roman"/>
          <w:color w:val="000000"/>
          <w:kern w:val="0"/>
          <w:szCs w:val="24"/>
          <w:lang w:eastAsia="en-IN"/>
          <w14:ligatures w14:val="none"/>
        </w:rPr>
        <w:t xml:space="preserve"> and charts identified below are based on different aspects of the research topic.</w:t>
      </w:r>
    </w:p>
    <w:p w14:paraId="24522A99" w14:textId="77777777" w:rsidR="005E0371" w:rsidRPr="00FA55E9" w:rsidRDefault="005E0371" w:rsidP="00A25C51">
      <w:pPr>
        <w:spacing w:after="0" w:line="360" w:lineRule="auto"/>
        <w:rPr>
          <w:rFonts w:eastAsia="Times New Roman" w:cs="Times New Roman"/>
          <w:color w:val="000000"/>
          <w:kern w:val="0"/>
          <w:szCs w:val="24"/>
          <w:lang w:eastAsia="en-IN"/>
          <w14:ligatures w14:val="none"/>
        </w:rPr>
      </w:pPr>
    </w:p>
    <w:p w14:paraId="2885E0A1" w14:textId="4759425D" w:rsidR="00A25C51" w:rsidRPr="00FA55E9" w:rsidRDefault="00461D9B" w:rsidP="00A25C51">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The data chart observed below refers to the performance of the UK retail banking market, which eventually </w:t>
      </w:r>
      <w:r w:rsidR="00E96B09" w:rsidRPr="00FA55E9">
        <w:rPr>
          <w:rFonts w:eastAsia="Times New Roman" w:cs="Times New Roman"/>
          <w:kern w:val="0"/>
          <w:szCs w:val="24"/>
          <w:lang w:eastAsia="en-IN"/>
          <w14:ligatures w14:val="none"/>
        </w:rPr>
        <w:t>influences</w:t>
      </w:r>
      <w:r w:rsidRPr="00FA55E9">
        <w:rPr>
          <w:rFonts w:eastAsia="Times New Roman" w:cs="Times New Roman"/>
          <w:kern w:val="0"/>
          <w:szCs w:val="24"/>
          <w:lang w:eastAsia="en-IN"/>
          <w14:ligatures w14:val="none"/>
        </w:rPr>
        <w:t xml:space="preserve"> customer activities and their involvement with different banking activities. For presenting the data chart, FY 2022 has been considered as the base year for estimation, and the study period for procuring and estimating data is 2019-2028. </w:t>
      </w:r>
      <w:r w:rsidR="00E96B09" w:rsidRPr="00FA55E9">
        <w:rPr>
          <w:rFonts w:eastAsia="Times New Roman" w:cs="Times New Roman"/>
          <w:kern w:val="0"/>
          <w:szCs w:val="24"/>
          <w:lang w:eastAsia="en-IN"/>
          <w14:ligatures w14:val="none"/>
        </w:rPr>
        <w:t>The market</w:t>
      </w:r>
      <w:r w:rsidRPr="00FA55E9">
        <w:rPr>
          <w:rFonts w:eastAsia="Times New Roman" w:cs="Times New Roman"/>
          <w:kern w:val="0"/>
          <w:szCs w:val="24"/>
          <w:lang w:eastAsia="en-IN"/>
          <w14:ligatures w14:val="none"/>
        </w:rPr>
        <w:t xml:space="preserve"> size of the UK banking has been derived in the chart, and it can be observed that at </w:t>
      </w:r>
      <w:r w:rsidR="00E96B09" w:rsidRPr="00FA55E9">
        <w:rPr>
          <w:rFonts w:eastAsia="Times New Roman" w:cs="Times New Roman"/>
          <w:kern w:val="0"/>
          <w:szCs w:val="24"/>
          <w:lang w:eastAsia="en-IN"/>
          <w14:ligatures w14:val="none"/>
        </w:rPr>
        <w:t xml:space="preserve">a </w:t>
      </w:r>
      <w:r w:rsidRPr="00FA55E9">
        <w:rPr>
          <w:rFonts w:eastAsia="Times New Roman" w:cs="Times New Roman"/>
          <w:kern w:val="0"/>
          <w:szCs w:val="24"/>
          <w:lang w:eastAsia="en-IN"/>
          <w14:ligatures w14:val="none"/>
        </w:rPr>
        <w:t xml:space="preserve">CAGR of 1.26%, the market size of the UK banking is estimated to improve. </w:t>
      </w:r>
      <w:r w:rsidR="00E24461" w:rsidRPr="00FA55E9">
        <w:rPr>
          <w:rFonts w:eastAsia="Times New Roman" w:cs="Times New Roman"/>
          <w:kern w:val="0"/>
          <w:szCs w:val="24"/>
          <w:lang w:eastAsia="en-IN"/>
          <w14:ligatures w14:val="none"/>
        </w:rPr>
        <w:t xml:space="preserve">It can also be observed from the chart that in 2023, the estimation of the total market size of the UK banking industry </w:t>
      </w:r>
      <w:r w:rsidR="00E96B09" w:rsidRPr="00FA55E9">
        <w:rPr>
          <w:rFonts w:eastAsia="Times New Roman" w:cs="Times New Roman"/>
          <w:kern w:val="0"/>
          <w:szCs w:val="24"/>
          <w:lang w:eastAsia="en-IN"/>
          <w14:ligatures w14:val="none"/>
        </w:rPr>
        <w:t>will be</w:t>
      </w:r>
      <w:r w:rsidR="00E24461" w:rsidRPr="00FA55E9">
        <w:rPr>
          <w:rFonts w:eastAsia="Times New Roman" w:cs="Times New Roman"/>
          <w:kern w:val="0"/>
          <w:szCs w:val="24"/>
          <w:lang w:eastAsia="en-IN"/>
          <w14:ligatures w14:val="none"/>
        </w:rPr>
        <w:t xml:space="preserve"> $43.18 billion, which will eventually reach $45.97 billion in 2028. A high market concentration and also be observed in the chart, and major players in the UK banking sector have been identified as the Standard Chartered, BARCLAYS, Llyod’s Bank, HSBC and Royal Bank of Scotland.</w:t>
      </w:r>
    </w:p>
    <w:p w14:paraId="71D919EC" w14:textId="67D4A003" w:rsidR="00D81529" w:rsidRPr="00FA55E9" w:rsidRDefault="00D81529"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noProof/>
          <w:color w:val="000000"/>
          <w:kern w:val="0"/>
          <w:szCs w:val="24"/>
          <w:bdr w:val="single" w:sz="4" w:space="0" w:color="auto"/>
          <w:lang w:eastAsia="en-IN"/>
          <w14:ligatures w14:val="none"/>
        </w:rPr>
        <w:drawing>
          <wp:inline distT="0" distB="0" distL="0" distR="0" wp14:anchorId="055BFB50" wp14:editId="2B695041">
            <wp:extent cx="5068570" cy="2820115"/>
            <wp:effectExtent l="0" t="0" r="0" b="0"/>
            <wp:docPr id="2041561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73187" cy="2822684"/>
                    </a:xfrm>
                    <a:prstGeom prst="rect">
                      <a:avLst/>
                    </a:prstGeom>
                    <a:noFill/>
                    <a:ln>
                      <a:noFill/>
                    </a:ln>
                  </pic:spPr>
                </pic:pic>
              </a:graphicData>
            </a:graphic>
          </wp:inline>
        </w:drawing>
      </w:r>
    </w:p>
    <w:p w14:paraId="51746AB6" w14:textId="0F2AB023"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5: UK retail banking market</w:t>
      </w:r>
    </w:p>
    <w:p w14:paraId="5926EA62" w14:textId="37EAC570"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Source: </w:t>
      </w:r>
      <w:proofErr w:type="spellStart"/>
      <w:r w:rsidRPr="00FA55E9">
        <w:rPr>
          <w:rFonts w:eastAsia="Times New Roman" w:cs="Times New Roman"/>
          <w:b/>
          <w:bCs/>
          <w:kern w:val="0"/>
          <w:szCs w:val="24"/>
          <w:lang w:eastAsia="en-IN"/>
          <w14:ligatures w14:val="none"/>
        </w:rPr>
        <w:t>mordorintelligence</w:t>
      </w:r>
      <w:proofErr w:type="spellEnd"/>
      <w:r w:rsidRPr="00FA55E9">
        <w:rPr>
          <w:rFonts w:eastAsia="Times New Roman" w:cs="Times New Roman"/>
          <w:b/>
          <w:bCs/>
          <w:kern w:val="0"/>
          <w:szCs w:val="24"/>
          <w:lang w:eastAsia="en-IN"/>
          <w14:ligatures w14:val="none"/>
        </w:rPr>
        <w:t>, (2023)</w:t>
      </w:r>
    </w:p>
    <w:p w14:paraId="10EBB748" w14:textId="21C9BB30" w:rsidR="00F9668D" w:rsidRPr="00FA55E9" w:rsidRDefault="00F9668D" w:rsidP="00F9668D">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According to </w:t>
      </w:r>
      <w:r w:rsidR="00E96B09" w:rsidRPr="00FA55E9">
        <w:rPr>
          <w:rFonts w:cs="Times New Roman"/>
          <w:szCs w:val="24"/>
          <w:shd w:val="clear" w:color="auto" w:fill="FFFFFF"/>
        </w:rPr>
        <w:t>Shams</w:t>
      </w:r>
      <w:r w:rsidR="00E96B09" w:rsidRPr="00FA55E9">
        <w:rPr>
          <w:rFonts w:eastAsia="Times New Roman" w:cs="Times New Roman"/>
          <w:kern w:val="0"/>
          <w:szCs w:val="24"/>
          <w:lang w:eastAsia="en-IN"/>
          <w14:ligatures w14:val="none"/>
        </w:rPr>
        <w:t xml:space="preserve"> et al. </w:t>
      </w:r>
      <w:r w:rsidRPr="00FA55E9">
        <w:rPr>
          <w:rFonts w:eastAsia="Times New Roman" w:cs="Times New Roman"/>
          <w:kern w:val="0"/>
          <w:szCs w:val="24"/>
          <w:lang w:eastAsia="en-IN"/>
          <w14:ligatures w14:val="none"/>
        </w:rPr>
        <w:t>(</w:t>
      </w:r>
      <w:r w:rsidR="00E96B09" w:rsidRPr="00FA55E9">
        <w:rPr>
          <w:rFonts w:eastAsia="Times New Roman" w:cs="Times New Roman"/>
          <w:kern w:val="0"/>
          <w:szCs w:val="24"/>
          <w:lang w:eastAsia="en-IN"/>
          <w14:ligatures w14:val="none"/>
        </w:rPr>
        <w:t>2020</w:t>
      </w:r>
      <w:r w:rsidRPr="00FA55E9">
        <w:rPr>
          <w:rFonts w:eastAsia="Times New Roman" w:cs="Times New Roman"/>
          <w:kern w:val="0"/>
          <w:szCs w:val="24"/>
          <w:lang w:eastAsia="en-IN"/>
          <w14:ligatures w14:val="none"/>
        </w:rPr>
        <w:t xml:space="preserve">), customer-centricity, undertaken by the UK banking activities </w:t>
      </w:r>
      <w:r w:rsidR="00E96B09" w:rsidRPr="00FA55E9">
        <w:rPr>
          <w:rFonts w:eastAsia="Times New Roman" w:cs="Times New Roman"/>
          <w:kern w:val="0"/>
          <w:szCs w:val="24"/>
          <w:lang w:eastAsia="en-IN"/>
          <w14:ligatures w14:val="none"/>
        </w:rPr>
        <w:t>has</w:t>
      </w:r>
      <w:r w:rsidRPr="00FA55E9">
        <w:rPr>
          <w:rFonts w:eastAsia="Times New Roman" w:cs="Times New Roman"/>
          <w:kern w:val="0"/>
          <w:szCs w:val="24"/>
          <w:lang w:eastAsia="en-IN"/>
          <w14:ligatures w14:val="none"/>
        </w:rPr>
        <w:t xml:space="preserve"> been able to create different acts and activities for the development of market acts and activities, while the efficiency of banks has also been increased with different acts and activities. The report mentions that in the post-pandemic </w:t>
      </w:r>
      <w:r w:rsidR="00E96B09" w:rsidRPr="00FA55E9">
        <w:rPr>
          <w:rFonts w:eastAsia="Times New Roman" w:cs="Times New Roman"/>
          <w:kern w:val="0"/>
          <w:szCs w:val="24"/>
          <w:lang w:eastAsia="en-IN"/>
          <w14:ligatures w14:val="none"/>
        </w:rPr>
        <w:t>era</w:t>
      </w:r>
      <w:r w:rsidRPr="00FA55E9">
        <w:rPr>
          <w:rFonts w:eastAsia="Times New Roman" w:cs="Times New Roman"/>
          <w:kern w:val="0"/>
          <w:szCs w:val="24"/>
          <w:lang w:eastAsia="en-IN"/>
          <w14:ligatures w14:val="none"/>
        </w:rPr>
        <w:t xml:space="preserve">, the banking sector of the UK has been able to ensure the development of new market conditions and business values, based on which customers’ requirements have been fulfilled, and the estimated value of the banking </w:t>
      </w:r>
      <w:r w:rsidRPr="00FA55E9">
        <w:rPr>
          <w:rFonts w:eastAsia="Times New Roman" w:cs="Times New Roman"/>
          <w:kern w:val="0"/>
          <w:szCs w:val="24"/>
          <w:lang w:eastAsia="en-IN"/>
          <w14:ligatures w14:val="none"/>
        </w:rPr>
        <w:lastRenderedPageBreak/>
        <w:t>market size in 2028, as observed in the data chart, is an outcome of it. Moreover, the technical prosperity and equivalent growth factors have been effective for the banking scenario, and customer relationship has improved with the time.</w:t>
      </w:r>
    </w:p>
    <w:p w14:paraId="75388827" w14:textId="4D7AA233" w:rsidR="00E24461" w:rsidRPr="00FA55E9" w:rsidRDefault="00E24461" w:rsidP="00E24461">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The chart depicted below refers to the preference of UK customers regarding their preference of banks, and whether they want to move towards any alternative providers. According to </w:t>
      </w:r>
      <w:r w:rsidR="00E96B09" w:rsidRPr="00FA55E9">
        <w:rPr>
          <w:rFonts w:cs="Times New Roman"/>
          <w:szCs w:val="20"/>
          <w:shd w:val="clear" w:color="auto" w:fill="FFFFFF"/>
        </w:rPr>
        <w:t>Chang</w:t>
      </w:r>
      <w:r w:rsidR="00E96B09" w:rsidRPr="00FA55E9">
        <w:rPr>
          <w:rFonts w:eastAsia="Times New Roman" w:cs="Times New Roman"/>
          <w:kern w:val="0"/>
          <w:szCs w:val="24"/>
          <w:lang w:eastAsia="en-IN"/>
          <w14:ligatures w14:val="none"/>
        </w:rPr>
        <w:t xml:space="preserve"> et al. </w:t>
      </w:r>
      <w:r w:rsidRPr="00FA55E9">
        <w:rPr>
          <w:rFonts w:eastAsia="Times New Roman" w:cs="Times New Roman"/>
          <w:kern w:val="0"/>
          <w:szCs w:val="24"/>
          <w:lang w:eastAsia="en-IN"/>
          <w14:ligatures w14:val="none"/>
        </w:rPr>
        <w:t>(</w:t>
      </w:r>
      <w:r w:rsidR="00E96B09" w:rsidRPr="00FA55E9">
        <w:rPr>
          <w:rFonts w:eastAsia="Times New Roman" w:cs="Times New Roman"/>
          <w:kern w:val="0"/>
          <w:szCs w:val="24"/>
          <w:lang w:eastAsia="en-IN"/>
          <w14:ligatures w14:val="none"/>
        </w:rPr>
        <w:t>2020</w:t>
      </w:r>
      <w:r w:rsidRPr="00FA55E9">
        <w:rPr>
          <w:rFonts w:eastAsia="Times New Roman" w:cs="Times New Roman"/>
          <w:kern w:val="0"/>
          <w:szCs w:val="24"/>
          <w:lang w:eastAsia="en-IN"/>
          <w14:ligatures w14:val="none"/>
        </w:rPr>
        <w:t>), the number of alternative financial providers in the UK has increased by 6.81% in the last two years, and in that case, customers have an inclination towards their services and monetary performance. The chart has considered two financial years of 2020 and 2021, and it can be observed that in 2020, 30% of the customers preferred alternative banking processes, while 70% remained with their financial activities through traditional banking. On the other hand, it can also be found that in 2021, the number of customers preferring alternative financial institutions increased to 42%, and the involvement of people with traditional banking dropped to 58%.</w:t>
      </w:r>
    </w:p>
    <w:p w14:paraId="326D8C06" w14:textId="1BEE886F" w:rsidR="00E24461" w:rsidRPr="00FA55E9" w:rsidRDefault="00E24461" w:rsidP="00E24461">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Several reasons and their impact on customers’ preference </w:t>
      </w:r>
      <w:r w:rsidR="00E96B09" w:rsidRPr="00FA55E9">
        <w:rPr>
          <w:rFonts w:eastAsia="Times New Roman" w:cs="Times New Roman"/>
          <w:kern w:val="0"/>
          <w:szCs w:val="24"/>
          <w:lang w:eastAsia="en-IN"/>
          <w14:ligatures w14:val="none"/>
        </w:rPr>
        <w:t>for</w:t>
      </w:r>
      <w:r w:rsidRPr="00FA55E9">
        <w:rPr>
          <w:rFonts w:eastAsia="Times New Roman" w:cs="Times New Roman"/>
          <w:kern w:val="0"/>
          <w:szCs w:val="24"/>
          <w:lang w:eastAsia="en-IN"/>
          <w14:ligatures w14:val="none"/>
        </w:rPr>
        <w:t xml:space="preserve"> alternative monetary institutions over traditional banking</w:t>
      </w:r>
      <w:r w:rsidR="004C505D" w:rsidRPr="00FA55E9">
        <w:rPr>
          <w:rFonts w:eastAsia="Times New Roman" w:cs="Times New Roman"/>
          <w:kern w:val="0"/>
          <w:szCs w:val="24"/>
          <w:lang w:eastAsia="en-IN"/>
          <w14:ligatures w14:val="none"/>
        </w:rPr>
        <w:t>. According to the chart, better rates and rewards have influenced the customers by the most, 27%, while better overall security has influenced them by 15%.</w:t>
      </w:r>
      <w:r w:rsidR="00E22595" w:rsidRPr="00FA55E9">
        <w:rPr>
          <w:rFonts w:eastAsia="Times New Roman" w:cs="Times New Roman"/>
          <w:kern w:val="0"/>
          <w:szCs w:val="24"/>
          <w:lang w:eastAsia="en-IN"/>
          <w14:ligatures w14:val="none"/>
        </w:rPr>
        <w:t xml:space="preserve"> On the other hand, it can also be observed from the data chart that superior digital banking functionality empowered by alternative financial forums </w:t>
      </w:r>
      <w:r w:rsidR="00E96B09" w:rsidRPr="00FA55E9">
        <w:rPr>
          <w:rFonts w:eastAsia="Times New Roman" w:cs="Times New Roman"/>
          <w:kern w:val="0"/>
          <w:szCs w:val="24"/>
          <w:lang w:eastAsia="en-IN"/>
          <w14:ligatures w14:val="none"/>
        </w:rPr>
        <w:t>influences</w:t>
      </w:r>
      <w:r w:rsidR="00E22595" w:rsidRPr="00FA55E9">
        <w:rPr>
          <w:rFonts w:eastAsia="Times New Roman" w:cs="Times New Roman"/>
          <w:kern w:val="0"/>
          <w:szCs w:val="24"/>
          <w:lang w:eastAsia="en-IN"/>
          <w14:ligatures w14:val="none"/>
        </w:rPr>
        <w:t xml:space="preserve"> them by 13% and in the case of better customer services, it is 11%. The findings observed in the chart </w:t>
      </w:r>
      <w:r w:rsidR="00E96B09" w:rsidRPr="00FA55E9">
        <w:rPr>
          <w:rFonts w:eastAsia="Times New Roman" w:cs="Times New Roman"/>
          <w:kern w:val="0"/>
          <w:szCs w:val="24"/>
          <w:lang w:eastAsia="en-IN"/>
          <w14:ligatures w14:val="none"/>
        </w:rPr>
        <w:t>highlight</w:t>
      </w:r>
      <w:r w:rsidR="00E22595" w:rsidRPr="00FA55E9">
        <w:rPr>
          <w:rFonts w:eastAsia="Times New Roman" w:cs="Times New Roman"/>
          <w:kern w:val="0"/>
          <w:szCs w:val="24"/>
          <w:lang w:eastAsia="en-IN"/>
          <w14:ligatures w14:val="none"/>
        </w:rPr>
        <w:t xml:space="preserve"> the more advanced digital budgeting tools and recommendations influence the UK customers by 10% and 9%, respectively. Lastly, </w:t>
      </w:r>
      <w:r w:rsidR="00E96B09" w:rsidRPr="00FA55E9">
        <w:rPr>
          <w:rFonts w:eastAsia="Times New Roman" w:cs="Times New Roman"/>
          <w:kern w:val="0"/>
          <w:szCs w:val="24"/>
          <w:lang w:eastAsia="en-IN"/>
          <w14:ligatures w14:val="none"/>
        </w:rPr>
        <w:t>aligning</w:t>
      </w:r>
      <w:r w:rsidR="00E22595" w:rsidRPr="00FA55E9">
        <w:rPr>
          <w:rFonts w:eastAsia="Times New Roman" w:cs="Times New Roman"/>
          <w:kern w:val="0"/>
          <w:szCs w:val="24"/>
          <w:lang w:eastAsia="en-IN"/>
          <w14:ligatures w14:val="none"/>
        </w:rPr>
        <w:t xml:space="preserve"> with ESG values and appealing brand image is responsible for their movements towards alternative economic institutions by 8% each.</w:t>
      </w:r>
    </w:p>
    <w:p w14:paraId="30C45C16" w14:textId="53AC107D" w:rsidR="00D81529" w:rsidRPr="00FA55E9" w:rsidRDefault="00D81529"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noProof/>
          <w:color w:val="000000"/>
          <w:kern w:val="0"/>
          <w:szCs w:val="24"/>
          <w:bdr w:val="single" w:sz="4" w:space="0" w:color="auto"/>
          <w:lang w:eastAsia="en-IN"/>
          <w14:ligatures w14:val="none"/>
        </w:rPr>
        <w:drawing>
          <wp:inline distT="0" distB="0" distL="0" distR="0" wp14:anchorId="34C4E5AF" wp14:editId="5FB5DBB0">
            <wp:extent cx="4817211" cy="1605915"/>
            <wp:effectExtent l="0" t="0" r="2540" b="0"/>
            <wp:docPr id="116676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18289" cy="1606274"/>
                    </a:xfrm>
                    <a:prstGeom prst="rect">
                      <a:avLst/>
                    </a:prstGeom>
                    <a:noFill/>
                    <a:ln>
                      <a:noFill/>
                    </a:ln>
                  </pic:spPr>
                </pic:pic>
              </a:graphicData>
            </a:graphic>
          </wp:inline>
        </w:drawing>
      </w:r>
    </w:p>
    <w:p w14:paraId="1249019D" w14:textId="71A5C93A"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Figure 6: UK customers and their reasons </w:t>
      </w:r>
      <w:r w:rsidR="00E96B09" w:rsidRPr="00FA55E9">
        <w:rPr>
          <w:rFonts w:eastAsia="Times New Roman" w:cs="Times New Roman"/>
          <w:b/>
          <w:bCs/>
          <w:kern w:val="0"/>
          <w:szCs w:val="24"/>
          <w:lang w:eastAsia="en-IN"/>
          <w14:ligatures w14:val="none"/>
        </w:rPr>
        <w:t>for preferring</w:t>
      </w:r>
      <w:r w:rsidRPr="00FA55E9">
        <w:rPr>
          <w:rFonts w:eastAsia="Times New Roman" w:cs="Times New Roman"/>
          <w:b/>
          <w:bCs/>
          <w:kern w:val="0"/>
          <w:szCs w:val="24"/>
          <w:lang w:eastAsia="en-IN"/>
          <w14:ligatures w14:val="none"/>
        </w:rPr>
        <w:t xml:space="preserve"> alternative financial services </w:t>
      </w:r>
      <w:r w:rsidR="00E96B09" w:rsidRPr="00FA55E9">
        <w:rPr>
          <w:rFonts w:eastAsia="Times New Roman" w:cs="Times New Roman"/>
          <w:b/>
          <w:bCs/>
          <w:kern w:val="0"/>
          <w:szCs w:val="24"/>
          <w:lang w:eastAsia="en-IN"/>
          <w14:ligatures w14:val="none"/>
        </w:rPr>
        <w:t>over</w:t>
      </w:r>
      <w:r w:rsidRPr="00FA55E9">
        <w:rPr>
          <w:rFonts w:eastAsia="Times New Roman" w:cs="Times New Roman"/>
          <w:b/>
          <w:bCs/>
          <w:kern w:val="0"/>
          <w:szCs w:val="24"/>
          <w:lang w:eastAsia="en-IN"/>
          <w14:ligatures w14:val="none"/>
        </w:rPr>
        <w:t xml:space="preserve"> traditional banks</w:t>
      </w:r>
    </w:p>
    <w:p w14:paraId="56529892" w14:textId="4A311A34"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Source: </w:t>
      </w:r>
      <w:proofErr w:type="spellStart"/>
      <w:r w:rsidR="00E96B09" w:rsidRPr="00FA55E9">
        <w:rPr>
          <w:rFonts w:eastAsia="Times New Roman" w:cs="Times New Roman"/>
          <w:b/>
          <w:bCs/>
          <w:kern w:val="0"/>
          <w:szCs w:val="24"/>
          <w:lang w:eastAsia="en-IN"/>
          <w14:ligatures w14:val="none"/>
        </w:rPr>
        <w:t>Haapio</w:t>
      </w:r>
      <w:proofErr w:type="spellEnd"/>
      <w:r w:rsidR="00E96B09" w:rsidRPr="00FA55E9">
        <w:rPr>
          <w:rFonts w:eastAsia="Times New Roman" w:cs="Times New Roman"/>
          <w:b/>
          <w:bCs/>
          <w:kern w:val="0"/>
          <w:szCs w:val="24"/>
          <w:lang w:eastAsia="en-IN"/>
          <w14:ligatures w14:val="none"/>
        </w:rPr>
        <w:t xml:space="preserve"> et al. </w:t>
      </w:r>
      <w:r w:rsidRPr="00FA55E9">
        <w:rPr>
          <w:rFonts w:eastAsia="Times New Roman" w:cs="Times New Roman"/>
          <w:b/>
          <w:bCs/>
          <w:kern w:val="0"/>
          <w:szCs w:val="24"/>
          <w:lang w:eastAsia="en-IN"/>
          <w14:ligatures w14:val="none"/>
        </w:rPr>
        <w:t>(</w:t>
      </w:r>
      <w:r w:rsidR="00E96B09" w:rsidRPr="00FA55E9">
        <w:rPr>
          <w:rFonts w:eastAsia="Times New Roman" w:cs="Times New Roman"/>
          <w:b/>
          <w:bCs/>
          <w:kern w:val="0"/>
          <w:szCs w:val="24"/>
          <w:lang w:eastAsia="en-IN"/>
          <w14:ligatures w14:val="none"/>
        </w:rPr>
        <w:t>2021</w:t>
      </w:r>
      <w:r w:rsidRPr="00FA55E9">
        <w:rPr>
          <w:rFonts w:eastAsia="Times New Roman" w:cs="Times New Roman"/>
          <w:b/>
          <w:bCs/>
          <w:kern w:val="0"/>
          <w:szCs w:val="24"/>
          <w:lang w:eastAsia="en-IN"/>
          <w14:ligatures w14:val="none"/>
        </w:rPr>
        <w:t>)</w:t>
      </w:r>
    </w:p>
    <w:p w14:paraId="00B597A9" w14:textId="33A586FD" w:rsidR="00ED0BC3" w:rsidRPr="00FA55E9" w:rsidRDefault="00ED0BC3" w:rsidP="00ED0BC3">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Figure 7 refers to the satisfaction with </w:t>
      </w:r>
      <w:r w:rsidR="00E96B09"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primary bank by </w:t>
      </w:r>
      <w:r w:rsidR="00E96B09" w:rsidRPr="00FA55E9">
        <w:rPr>
          <w:rFonts w:eastAsia="Times New Roman" w:cs="Times New Roman"/>
          <w:kern w:val="0"/>
          <w:szCs w:val="24"/>
          <w:lang w:eastAsia="en-IN"/>
          <w14:ligatures w14:val="none"/>
        </w:rPr>
        <w:t>age</w:t>
      </w:r>
      <w:r w:rsidRPr="00FA55E9">
        <w:rPr>
          <w:rFonts w:eastAsia="Times New Roman" w:cs="Times New Roman"/>
          <w:kern w:val="0"/>
          <w:szCs w:val="24"/>
          <w:lang w:eastAsia="en-IN"/>
          <w14:ligatures w14:val="none"/>
        </w:rPr>
        <w:t xml:space="preserve"> versus switching risk for </w:t>
      </w:r>
      <w:r w:rsidR="00E96B09"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primary bank by age. In this regard, six different age groups have been considered, including </w:t>
      </w:r>
      <w:r w:rsidR="00E96B09" w:rsidRPr="00FA55E9">
        <w:rPr>
          <w:rFonts w:eastAsia="Times New Roman" w:cs="Times New Roman"/>
          <w:kern w:val="0"/>
          <w:szCs w:val="24"/>
          <w:lang w:eastAsia="en-IN"/>
          <w14:ligatures w14:val="none"/>
        </w:rPr>
        <w:lastRenderedPageBreak/>
        <w:t>Gen</w:t>
      </w:r>
      <w:r w:rsidRPr="00FA55E9">
        <w:rPr>
          <w:rFonts w:eastAsia="Times New Roman" w:cs="Times New Roman"/>
          <w:kern w:val="0"/>
          <w:szCs w:val="24"/>
          <w:lang w:eastAsia="en-IN"/>
          <w14:ligatures w14:val="none"/>
        </w:rPr>
        <w:t xml:space="preserve"> Z, millennials, </w:t>
      </w:r>
      <w:r w:rsidR="00E96B09" w:rsidRPr="00FA55E9">
        <w:rPr>
          <w:rFonts w:eastAsia="Times New Roman" w:cs="Times New Roman"/>
          <w:kern w:val="0"/>
          <w:szCs w:val="24"/>
          <w:lang w:eastAsia="en-IN"/>
          <w14:ligatures w14:val="none"/>
        </w:rPr>
        <w:t>Gen</w:t>
      </w:r>
      <w:r w:rsidRPr="00FA55E9">
        <w:rPr>
          <w:rFonts w:eastAsia="Times New Roman" w:cs="Times New Roman"/>
          <w:kern w:val="0"/>
          <w:szCs w:val="24"/>
          <w:lang w:eastAsia="en-IN"/>
          <w14:ligatures w14:val="none"/>
        </w:rPr>
        <w:t xml:space="preserve"> X, boomers and </w:t>
      </w:r>
      <w:r w:rsidR="00E96B09"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silent generation. The study performed by </w:t>
      </w:r>
      <w:r w:rsidR="00E96B09" w:rsidRPr="00FA55E9">
        <w:rPr>
          <w:rFonts w:cs="Times New Roman"/>
          <w:szCs w:val="24"/>
          <w:shd w:val="clear" w:color="auto" w:fill="FFFFFF"/>
        </w:rPr>
        <w:t>Kaur</w:t>
      </w:r>
      <w:r w:rsidR="00E96B09" w:rsidRPr="00FA55E9">
        <w:rPr>
          <w:rFonts w:eastAsia="Times New Roman" w:cs="Times New Roman"/>
          <w:kern w:val="0"/>
          <w:szCs w:val="24"/>
          <w:lang w:eastAsia="en-IN"/>
          <w14:ligatures w14:val="none"/>
        </w:rPr>
        <w:t xml:space="preserve"> et al. </w:t>
      </w:r>
      <w:r w:rsidRPr="00FA55E9">
        <w:rPr>
          <w:rFonts w:eastAsia="Times New Roman" w:cs="Times New Roman"/>
          <w:kern w:val="0"/>
          <w:szCs w:val="24"/>
          <w:lang w:eastAsia="en-IN"/>
          <w14:ligatures w14:val="none"/>
        </w:rPr>
        <w:t>(</w:t>
      </w:r>
      <w:r w:rsidR="00E96B09" w:rsidRPr="00FA55E9">
        <w:rPr>
          <w:rFonts w:eastAsia="Times New Roman" w:cs="Times New Roman"/>
          <w:kern w:val="0"/>
          <w:szCs w:val="24"/>
          <w:lang w:eastAsia="en-IN"/>
          <w14:ligatures w14:val="none"/>
        </w:rPr>
        <w:t>2020</w:t>
      </w:r>
      <w:r w:rsidRPr="00FA55E9">
        <w:rPr>
          <w:rFonts w:eastAsia="Times New Roman" w:cs="Times New Roman"/>
          <w:kern w:val="0"/>
          <w:szCs w:val="24"/>
          <w:lang w:eastAsia="en-IN"/>
          <w14:ligatures w14:val="none"/>
        </w:rPr>
        <w:t xml:space="preserve">), </w:t>
      </w:r>
      <w:r w:rsidR="007162D0" w:rsidRPr="00FA55E9">
        <w:rPr>
          <w:rFonts w:eastAsia="Times New Roman" w:cs="Times New Roman"/>
          <w:kern w:val="0"/>
          <w:szCs w:val="24"/>
          <w:lang w:eastAsia="en-IN"/>
          <w14:ligatures w14:val="none"/>
        </w:rPr>
        <w:t>mentions</w:t>
      </w:r>
      <w:r w:rsidRPr="00FA55E9">
        <w:rPr>
          <w:rFonts w:eastAsia="Times New Roman" w:cs="Times New Roman"/>
          <w:kern w:val="0"/>
          <w:szCs w:val="24"/>
          <w:lang w:eastAsia="en-IN"/>
          <w14:ligatures w14:val="none"/>
        </w:rPr>
        <w:t xml:space="preserve"> that among 57% of </w:t>
      </w:r>
      <w:r w:rsidR="00E96B09" w:rsidRPr="00FA55E9">
        <w:rPr>
          <w:rFonts w:eastAsia="Times New Roman" w:cs="Times New Roman"/>
          <w:kern w:val="0"/>
          <w:szCs w:val="24"/>
          <w:lang w:eastAsia="en-IN"/>
          <w14:ligatures w14:val="none"/>
        </w:rPr>
        <w:t>Gen</w:t>
      </w:r>
      <w:r w:rsidRPr="00FA55E9">
        <w:rPr>
          <w:rFonts w:eastAsia="Times New Roman" w:cs="Times New Roman"/>
          <w:kern w:val="0"/>
          <w:szCs w:val="24"/>
          <w:lang w:eastAsia="en-IN"/>
          <w14:ligatures w14:val="none"/>
        </w:rPr>
        <w:t xml:space="preserve"> Z </w:t>
      </w:r>
      <w:r w:rsidR="007162D0" w:rsidRPr="00FA55E9">
        <w:rPr>
          <w:rFonts w:eastAsia="Times New Roman" w:cs="Times New Roman"/>
          <w:kern w:val="0"/>
          <w:szCs w:val="24"/>
          <w:lang w:eastAsia="en-IN"/>
          <w14:ligatures w14:val="none"/>
        </w:rPr>
        <w:t>prefer</w:t>
      </w:r>
      <w:r w:rsidRPr="00FA55E9">
        <w:rPr>
          <w:rFonts w:eastAsia="Times New Roman" w:cs="Times New Roman"/>
          <w:kern w:val="0"/>
          <w:szCs w:val="24"/>
          <w:lang w:eastAsia="en-IN"/>
          <w14:ligatures w14:val="none"/>
        </w:rPr>
        <w:t xml:space="preserve"> to stick to the primary bank, while 20% of the rest prefer to switch risk </w:t>
      </w:r>
      <w:r w:rsidR="007162D0" w:rsidRPr="00FA55E9">
        <w:rPr>
          <w:rFonts w:eastAsia="Times New Roman" w:cs="Times New Roman"/>
          <w:kern w:val="0"/>
          <w:szCs w:val="24"/>
          <w:lang w:eastAsia="en-IN"/>
          <w14:ligatures w14:val="none"/>
        </w:rPr>
        <w:t>to</w:t>
      </w:r>
      <w:r w:rsidRPr="00FA55E9">
        <w:rPr>
          <w:rFonts w:eastAsia="Times New Roman" w:cs="Times New Roman"/>
          <w:kern w:val="0"/>
          <w:szCs w:val="24"/>
          <w:lang w:eastAsia="en-IN"/>
          <w14:ligatures w14:val="none"/>
        </w:rPr>
        <w:t xml:space="preserve"> </w:t>
      </w:r>
      <w:r w:rsidR="00E96B09"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primary bank. On the other hand, it can also be observed from the chart that 62% </w:t>
      </w:r>
      <w:r w:rsidR="00E96B09" w:rsidRPr="00FA55E9">
        <w:rPr>
          <w:rFonts w:eastAsia="Times New Roman" w:cs="Times New Roman"/>
          <w:kern w:val="0"/>
          <w:szCs w:val="24"/>
          <w:lang w:eastAsia="en-IN"/>
          <w14:ligatures w14:val="none"/>
        </w:rPr>
        <w:t xml:space="preserve">of </w:t>
      </w:r>
      <w:r w:rsidRPr="00FA55E9">
        <w:rPr>
          <w:rFonts w:eastAsia="Times New Roman" w:cs="Times New Roman"/>
          <w:kern w:val="0"/>
          <w:szCs w:val="24"/>
          <w:lang w:eastAsia="en-IN"/>
          <w14:ligatures w14:val="none"/>
        </w:rPr>
        <w:t xml:space="preserve">millennials </w:t>
      </w:r>
      <w:r w:rsidR="00DA38F3" w:rsidRPr="00FA55E9">
        <w:rPr>
          <w:rFonts w:eastAsia="Times New Roman" w:cs="Times New Roman"/>
          <w:kern w:val="0"/>
          <w:szCs w:val="24"/>
          <w:lang w:eastAsia="en-IN"/>
          <w14:ligatures w14:val="none"/>
        </w:rPr>
        <w:t xml:space="preserve">are satisfied with primary banking activities, while 28% of the rest switch risk </w:t>
      </w:r>
      <w:r w:rsidR="00184260" w:rsidRPr="00FA55E9">
        <w:rPr>
          <w:rFonts w:eastAsia="Times New Roman" w:cs="Times New Roman"/>
          <w:kern w:val="0"/>
          <w:szCs w:val="24"/>
          <w:lang w:eastAsia="en-IN"/>
          <w14:ligatures w14:val="none"/>
        </w:rPr>
        <w:t>to</w:t>
      </w:r>
      <w:r w:rsidR="00DA38F3" w:rsidRPr="00FA55E9">
        <w:rPr>
          <w:rFonts w:eastAsia="Times New Roman" w:cs="Times New Roman"/>
          <w:kern w:val="0"/>
          <w:szCs w:val="24"/>
          <w:lang w:eastAsia="en-IN"/>
          <w14:ligatures w14:val="none"/>
        </w:rPr>
        <w:t xml:space="preserve"> primary </w:t>
      </w:r>
      <w:r w:rsidR="00E96B09" w:rsidRPr="00FA55E9">
        <w:rPr>
          <w:rFonts w:eastAsia="Times New Roman" w:cs="Times New Roman"/>
          <w:kern w:val="0"/>
          <w:szCs w:val="24"/>
          <w:lang w:eastAsia="en-IN"/>
          <w14:ligatures w14:val="none"/>
        </w:rPr>
        <w:t>banks</w:t>
      </w:r>
      <w:r w:rsidR="00DA38F3" w:rsidRPr="00FA55E9">
        <w:rPr>
          <w:rFonts w:eastAsia="Times New Roman" w:cs="Times New Roman"/>
          <w:kern w:val="0"/>
          <w:szCs w:val="24"/>
          <w:lang w:eastAsia="en-IN"/>
          <w14:ligatures w14:val="none"/>
        </w:rPr>
        <w:t xml:space="preserve">. However, in the case of </w:t>
      </w:r>
      <w:r w:rsidR="00E96B09" w:rsidRPr="00FA55E9">
        <w:rPr>
          <w:rFonts w:eastAsia="Times New Roman" w:cs="Times New Roman"/>
          <w:kern w:val="0"/>
          <w:szCs w:val="24"/>
          <w:lang w:eastAsia="en-IN"/>
          <w14:ligatures w14:val="none"/>
        </w:rPr>
        <w:t>Gen</w:t>
      </w:r>
      <w:r w:rsidR="00DA38F3" w:rsidRPr="00FA55E9">
        <w:rPr>
          <w:rFonts w:eastAsia="Times New Roman" w:cs="Times New Roman"/>
          <w:kern w:val="0"/>
          <w:szCs w:val="24"/>
          <w:lang w:eastAsia="en-IN"/>
          <w14:ligatures w14:val="none"/>
        </w:rPr>
        <w:t xml:space="preserve"> X, 75% of the participants are satisfied with the primary banking activities provided in the UK market, and 16% of the rest will prefer to switch risk </w:t>
      </w:r>
      <w:r w:rsidR="00E96B09" w:rsidRPr="00FA55E9">
        <w:rPr>
          <w:rFonts w:eastAsia="Times New Roman" w:cs="Times New Roman"/>
          <w:kern w:val="0"/>
          <w:szCs w:val="24"/>
          <w:lang w:eastAsia="en-IN"/>
          <w14:ligatures w14:val="none"/>
        </w:rPr>
        <w:t>to</w:t>
      </w:r>
      <w:r w:rsidR="00DA38F3" w:rsidRPr="00FA55E9">
        <w:rPr>
          <w:rFonts w:eastAsia="Times New Roman" w:cs="Times New Roman"/>
          <w:kern w:val="0"/>
          <w:szCs w:val="24"/>
          <w:lang w:eastAsia="en-IN"/>
          <w14:ligatures w14:val="none"/>
        </w:rPr>
        <w:t xml:space="preserve"> </w:t>
      </w:r>
      <w:r w:rsidR="007162D0" w:rsidRPr="00FA55E9">
        <w:rPr>
          <w:rFonts w:eastAsia="Times New Roman" w:cs="Times New Roman"/>
          <w:kern w:val="0"/>
          <w:szCs w:val="24"/>
          <w:lang w:eastAsia="en-IN"/>
          <w14:ligatures w14:val="none"/>
        </w:rPr>
        <w:t xml:space="preserve">a </w:t>
      </w:r>
      <w:r w:rsidR="00DA38F3" w:rsidRPr="00FA55E9">
        <w:rPr>
          <w:rFonts w:eastAsia="Times New Roman" w:cs="Times New Roman"/>
          <w:kern w:val="0"/>
          <w:szCs w:val="24"/>
          <w:lang w:eastAsia="en-IN"/>
          <w14:ligatures w14:val="none"/>
        </w:rPr>
        <w:t xml:space="preserve">primary bank. In the case of boomers, 82% of participants responded positively with their satisfaction with primary </w:t>
      </w:r>
      <w:r w:rsidR="00E96B09" w:rsidRPr="00FA55E9">
        <w:rPr>
          <w:rFonts w:eastAsia="Times New Roman" w:cs="Times New Roman"/>
          <w:kern w:val="0"/>
          <w:szCs w:val="24"/>
          <w:lang w:eastAsia="en-IN"/>
          <w14:ligatures w14:val="none"/>
        </w:rPr>
        <w:t>banks</w:t>
      </w:r>
      <w:r w:rsidR="00DA38F3" w:rsidRPr="00FA55E9">
        <w:rPr>
          <w:rFonts w:eastAsia="Times New Roman" w:cs="Times New Roman"/>
          <w:kern w:val="0"/>
          <w:szCs w:val="24"/>
          <w:lang w:eastAsia="en-IN"/>
          <w14:ligatures w14:val="none"/>
        </w:rPr>
        <w:t xml:space="preserve"> by age. 6% of boomers considered for the research work switch risk for </w:t>
      </w:r>
      <w:r w:rsidR="00E96B09" w:rsidRPr="00FA55E9">
        <w:rPr>
          <w:rFonts w:eastAsia="Times New Roman" w:cs="Times New Roman"/>
          <w:kern w:val="0"/>
          <w:szCs w:val="24"/>
          <w:lang w:eastAsia="en-IN"/>
          <w14:ligatures w14:val="none"/>
        </w:rPr>
        <w:t xml:space="preserve">the </w:t>
      </w:r>
      <w:r w:rsidR="00DA38F3" w:rsidRPr="00FA55E9">
        <w:rPr>
          <w:rFonts w:eastAsia="Times New Roman" w:cs="Times New Roman"/>
          <w:kern w:val="0"/>
          <w:szCs w:val="24"/>
          <w:lang w:eastAsia="en-IN"/>
          <w14:ligatures w14:val="none"/>
        </w:rPr>
        <w:t xml:space="preserve">primary bank by age. Lastly, 85% of </w:t>
      </w:r>
      <w:r w:rsidR="00E96B09" w:rsidRPr="00FA55E9">
        <w:rPr>
          <w:rFonts w:eastAsia="Times New Roman" w:cs="Times New Roman"/>
          <w:kern w:val="0"/>
          <w:szCs w:val="24"/>
          <w:lang w:eastAsia="en-IN"/>
          <w14:ligatures w14:val="none"/>
        </w:rPr>
        <w:t xml:space="preserve">the </w:t>
      </w:r>
      <w:r w:rsidR="00DA38F3" w:rsidRPr="00FA55E9">
        <w:rPr>
          <w:rFonts w:eastAsia="Times New Roman" w:cs="Times New Roman"/>
          <w:kern w:val="0"/>
          <w:szCs w:val="24"/>
          <w:lang w:eastAsia="en-IN"/>
          <w14:ligatures w14:val="none"/>
        </w:rPr>
        <w:t xml:space="preserve">silent generation </w:t>
      </w:r>
      <w:r w:rsidR="00E96B09" w:rsidRPr="00FA55E9">
        <w:rPr>
          <w:rFonts w:eastAsia="Times New Roman" w:cs="Times New Roman"/>
          <w:kern w:val="0"/>
          <w:szCs w:val="24"/>
          <w:lang w:eastAsia="en-IN"/>
          <w14:ligatures w14:val="none"/>
        </w:rPr>
        <w:t xml:space="preserve">that </w:t>
      </w:r>
      <w:r w:rsidR="00DA38F3" w:rsidRPr="00FA55E9">
        <w:rPr>
          <w:rFonts w:eastAsia="Times New Roman" w:cs="Times New Roman"/>
          <w:kern w:val="0"/>
          <w:szCs w:val="24"/>
          <w:lang w:eastAsia="en-IN"/>
          <w14:ligatures w14:val="none"/>
        </w:rPr>
        <w:t xml:space="preserve">participated in the research work </w:t>
      </w:r>
      <w:r w:rsidR="00E96B09" w:rsidRPr="00FA55E9">
        <w:rPr>
          <w:rFonts w:eastAsia="Times New Roman" w:cs="Times New Roman"/>
          <w:kern w:val="0"/>
          <w:szCs w:val="24"/>
          <w:lang w:eastAsia="en-IN"/>
          <w14:ligatures w14:val="none"/>
        </w:rPr>
        <w:t>prefer</w:t>
      </w:r>
      <w:r w:rsidR="00DA38F3" w:rsidRPr="00FA55E9">
        <w:rPr>
          <w:rFonts w:eastAsia="Times New Roman" w:cs="Times New Roman"/>
          <w:kern w:val="0"/>
          <w:szCs w:val="24"/>
          <w:lang w:eastAsia="en-IN"/>
          <w14:ligatures w14:val="none"/>
        </w:rPr>
        <w:t xml:space="preserve"> to stick to primary banking activities, while 1% of the others prefer to switch risk </w:t>
      </w:r>
      <w:r w:rsidR="007162D0" w:rsidRPr="00FA55E9">
        <w:rPr>
          <w:rFonts w:eastAsia="Times New Roman" w:cs="Times New Roman"/>
          <w:kern w:val="0"/>
          <w:szCs w:val="24"/>
          <w:lang w:eastAsia="en-IN"/>
          <w14:ligatures w14:val="none"/>
        </w:rPr>
        <w:t>to</w:t>
      </w:r>
      <w:r w:rsidR="00DA38F3" w:rsidRPr="00FA55E9">
        <w:rPr>
          <w:rFonts w:eastAsia="Times New Roman" w:cs="Times New Roman"/>
          <w:kern w:val="0"/>
          <w:szCs w:val="24"/>
          <w:lang w:eastAsia="en-IN"/>
          <w14:ligatures w14:val="none"/>
        </w:rPr>
        <w:t xml:space="preserve"> primary banking programmes.</w:t>
      </w:r>
    </w:p>
    <w:p w14:paraId="50810044" w14:textId="06E64BC9" w:rsidR="00D81529" w:rsidRPr="00FA55E9" w:rsidRDefault="00D81529"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noProof/>
          <w:kern w:val="0"/>
          <w:szCs w:val="24"/>
          <w:bdr w:val="single" w:sz="4" w:space="0" w:color="auto"/>
          <w:lang w:eastAsia="en-IN"/>
          <w14:ligatures w14:val="none"/>
        </w:rPr>
        <w:drawing>
          <wp:inline distT="0" distB="0" distL="0" distR="0" wp14:anchorId="4BF61CBC" wp14:editId="12CD7688">
            <wp:extent cx="5052060" cy="2217623"/>
            <wp:effectExtent l="0" t="0" r="0" b="0"/>
            <wp:docPr id="783545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545616" name=""/>
                    <pic:cNvPicPr/>
                  </pic:nvPicPr>
                  <pic:blipFill>
                    <a:blip r:embed="rId14"/>
                    <a:stretch>
                      <a:fillRect/>
                    </a:stretch>
                  </pic:blipFill>
                  <pic:spPr>
                    <a:xfrm>
                      <a:off x="0" y="0"/>
                      <a:ext cx="5063386" cy="2222594"/>
                    </a:xfrm>
                    <a:prstGeom prst="rect">
                      <a:avLst/>
                    </a:prstGeom>
                  </pic:spPr>
                </pic:pic>
              </a:graphicData>
            </a:graphic>
          </wp:inline>
        </w:drawing>
      </w:r>
    </w:p>
    <w:p w14:paraId="16CCE897" w14:textId="78897B3F"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Figure 7: Satisfaction with </w:t>
      </w:r>
      <w:r w:rsidR="00E96B09" w:rsidRPr="00FA55E9">
        <w:rPr>
          <w:rFonts w:eastAsia="Times New Roman" w:cs="Times New Roman"/>
          <w:b/>
          <w:bCs/>
          <w:kern w:val="0"/>
          <w:szCs w:val="24"/>
          <w:lang w:eastAsia="en-IN"/>
          <w14:ligatures w14:val="none"/>
        </w:rPr>
        <w:t xml:space="preserve">the </w:t>
      </w:r>
      <w:r w:rsidRPr="00FA55E9">
        <w:rPr>
          <w:rFonts w:eastAsia="Times New Roman" w:cs="Times New Roman"/>
          <w:b/>
          <w:bCs/>
          <w:kern w:val="0"/>
          <w:szCs w:val="24"/>
          <w:lang w:eastAsia="en-IN"/>
          <w14:ligatures w14:val="none"/>
        </w:rPr>
        <w:t xml:space="preserve">primary bank by age versus switching risk for </w:t>
      </w:r>
      <w:r w:rsidR="00E96B09" w:rsidRPr="00FA55E9">
        <w:rPr>
          <w:rFonts w:eastAsia="Times New Roman" w:cs="Times New Roman"/>
          <w:b/>
          <w:bCs/>
          <w:kern w:val="0"/>
          <w:szCs w:val="24"/>
          <w:lang w:eastAsia="en-IN"/>
          <w14:ligatures w14:val="none"/>
        </w:rPr>
        <w:t xml:space="preserve">the </w:t>
      </w:r>
      <w:r w:rsidRPr="00FA55E9">
        <w:rPr>
          <w:rFonts w:eastAsia="Times New Roman" w:cs="Times New Roman"/>
          <w:b/>
          <w:bCs/>
          <w:kern w:val="0"/>
          <w:szCs w:val="24"/>
          <w:lang w:eastAsia="en-IN"/>
          <w14:ligatures w14:val="none"/>
        </w:rPr>
        <w:t>primary bank by age (UK)</w:t>
      </w:r>
    </w:p>
    <w:p w14:paraId="509B60DC" w14:textId="0A2B7FAC"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Source:</w:t>
      </w:r>
      <w:r w:rsidR="00DA38F3" w:rsidRPr="00FA55E9">
        <w:rPr>
          <w:rFonts w:eastAsia="Times New Roman" w:cs="Times New Roman"/>
          <w:b/>
          <w:bCs/>
          <w:kern w:val="0"/>
          <w:szCs w:val="24"/>
          <w:lang w:eastAsia="en-IN"/>
          <w14:ligatures w14:val="none"/>
        </w:rPr>
        <w:t xml:space="preserve"> </w:t>
      </w:r>
      <w:r w:rsidR="00E96B09" w:rsidRPr="00FA55E9">
        <w:rPr>
          <w:rFonts w:cs="Times New Roman"/>
          <w:b/>
          <w:bCs/>
          <w:szCs w:val="24"/>
          <w:shd w:val="clear" w:color="auto" w:fill="FFFFFF"/>
        </w:rPr>
        <w:t>Kaur</w:t>
      </w:r>
      <w:r w:rsidR="00E96B09" w:rsidRPr="00FA55E9">
        <w:rPr>
          <w:rFonts w:eastAsia="Times New Roman" w:cs="Times New Roman"/>
          <w:b/>
          <w:bCs/>
          <w:kern w:val="0"/>
          <w:szCs w:val="24"/>
          <w:lang w:eastAsia="en-IN"/>
          <w14:ligatures w14:val="none"/>
        </w:rPr>
        <w:t xml:space="preserve"> et al. </w:t>
      </w:r>
      <w:r w:rsidR="00DA38F3" w:rsidRPr="00FA55E9">
        <w:rPr>
          <w:rFonts w:eastAsia="Times New Roman" w:cs="Times New Roman"/>
          <w:b/>
          <w:bCs/>
          <w:kern w:val="0"/>
          <w:szCs w:val="24"/>
          <w:lang w:eastAsia="en-IN"/>
          <w14:ligatures w14:val="none"/>
        </w:rPr>
        <w:t>(</w:t>
      </w:r>
      <w:r w:rsidR="00E96B09" w:rsidRPr="00FA55E9">
        <w:rPr>
          <w:rFonts w:eastAsia="Times New Roman" w:cs="Times New Roman"/>
          <w:b/>
          <w:bCs/>
          <w:kern w:val="0"/>
          <w:szCs w:val="24"/>
          <w:lang w:eastAsia="en-IN"/>
          <w14:ligatures w14:val="none"/>
        </w:rPr>
        <w:t>2020</w:t>
      </w:r>
      <w:r w:rsidR="00DA38F3" w:rsidRPr="00FA55E9">
        <w:rPr>
          <w:rFonts w:eastAsia="Times New Roman" w:cs="Times New Roman"/>
          <w:b/>
          <w:bCs/>
          <w:kern w:val="0"/>
          <w:szCs w:val="24"/>
          <w:lang w:eastAsia="en-IN"/>
          <w14:ligatures w14:val="none"/>
        </w:rPr>
        <w:t>)</w:t>
      </w:r>
    </w:p>
    <w:p w14:paraId="449524D7" w14:textId="59A2968B" w:rsidR="009F3C5C" w:rsidRPr="00FA55E9" w:rsidRDefault="00DA38F3" w:rsidP="00DA38F3">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The chart observed below refers to online banking usage in the UK from 2007 to 2022. According to the chart, in 2007, 32% of the UK citizens were active </w:t>
      </w:r>
      <w:r w:rsidR="00E96B09" w:rsidRPr="00FA55E9">
        <w:rPr>
          <w:rFonts w:eastAsia="Times New Roman" w:cs="Times New Roman"/>
          <w:kern w:val="0"/>
          <w:szCs w:val="24"/>
          <w:lang w:eastAsia="en-IN"/>
          <w14:ligatures w14:val="none"/>
        </w:rPr>
        <w:t>in</w:t>
      </w:r>
      <w:r w:rsidRPr="00FA55E9">
        <w:rPr>
          <w:rFonts w:eastAsia="Times New Roman" w:cs="Times New Roman"/>
          <w:kern w:val="0"/>
          <w:szCs w:val="24"/>
          <w:lang w:eastAsia="en-IN"/>
          <w14:ligatures w14:val="none"/>
        </w:rPr>
        <w:t xml:space="preserve"> online banking activities, and </w:t>
      </w:r>
      <w:r w:rsidR="00E96B09" w:rsidRPr="00FA55E9">
        <w:rPr>
          <w:rFonts w:eastAsia="Times New Roman" w:cs="Times New Roman"/>
          <w:kern w:val="0"/>
          <w:szCs w:val="24"/>
          <w:lang w:eastAsia="en-IN"/>
          <w14:ligatures w14:val="none"/>
        </w:rPr>
        <w:t>this</w:t>
      </w:r>
      <w:r w:rsidRPr="00FA55E9">
        <w:rPr>
          <w:rFonts w:eastAsia="Times New Roman" w:cs="Times New Roman"/>
          <w:kern w:val="0"/>
          <w:szCs w:val="24"/>
          <w:lang w:eastAsia="en-IN"/>
          <w14:ligatures w14:val="none"/>
        </w:rPr>
        <w:t xml:space="preserve"> increased to 38% in 2008. It can also be observed from the chart that in 2009 and 200, the number of UK customers with online banking activities </w:t>
      </w:r>
      <w:r w:rsidR="00E96B09" w:rsidRPr="00FA55E9">
        <w:rPr>
          <w:rFonts w:eastAsia="Times New Roman" w:cs="Times New Roman"/>
          <w:kern w:val="0"/>
          <w:szCs w:val="24"/>
          <w:lang w:eastAsia="en-IN"/>
          <w14:ligatures w14:val="none"/>
        </w:rPr>
        <w:t>was</w:t>
      </w:r>
      <w:r w:rsidRPr="00FA55E9">
        <w:rPr>
          <w:rFonts w:eastAsia="Times New Roman" w:cs="Times New Roman"/>
          <w:kern w:val="0"/>
          <w:szCs w:val="24"/>
          <w:lang w:eastAsia="en-IN"/>
          <w14:ligatures w14:val="none"/>
        </w:rPr>
        <w:t xml:space="preserve"> 45% each, and in 2011, it increased to 50%. </w:t>
      </w:r>
      <w:r w:rsidR="007B2164" w:rsidRPr="00FA55E9">
        <w:rPr>
          <w:rFonts w:eastAsia="Times New Roman" w:cs="Times New Roman"/>
          <w:kern w:val="0"/>
          <w:szCs w:val="24"/>
          <w:lang w:eastAsia="en-IN"/>
          <w14:ligatures w14:val="none"/>
        </w:rPr>
        <w:t xml:space="preserve">On the other hand, the chart also reflects that in 2012, the number increased to 52%. In 2013, the number increased to 54%, and in 2014 and 2015, the number increased to 57% and 58%. The chart depicted below </w:t>
      </w:r>
      <w:r w:rsidR="00E96B09" w:rsidRPr="00FA55E9">
        <w:rPr>
          <w:rFonts w:eastAsia="Times New Roman" w:cs="Times New Roman"/>
          <w:kern w:val="0"/>
          <w:szCs w:val="24"/>
          <w:lang w:eastAsia="en-IN"/>
          <w14:ligatures w14:val="none"/>
        </w:rPr>
        <w:t>further</w:t>
      </w:r>
      <w:r w:rsidR="007B2164" w:rsidRPr="00FA55E9">
        <w:rPr>
          <w:rFonts w:eastAsia="Times New Roman" w:cs="Times New Roman"/>
          <w:kern w:val="0"/>
          <w:szCs w:val="24"/>
          <w:lang w:eastAsia="en-IN"/>
          <w14:ligatures w14:val="none"/>
        </w:rPr>
        <w:t xml:space="preserve"> refer that </w:t>
      </w:r>
      <w:r w:rsidR="00E96B09" w:rsidRPr="00FA55E9">
        <w:rPr>
          <w:rFonts w:eastAsia="Times New Roman" w:cs="Times New Roman"/>
          <w:kern w:val="0"/>
          <w:szCs w:val="24"/>
          <w:lang w:eastAsia="en-IN"/>
          <w14:ligatures w14:val="none"/>
        </w:rPr>
        <w:t xml:space="preserve">in </w:t>
      </w:r>
      <w:r w:rsidR="007B2164" w:rsidRPr="00FA55E9">
        <w:rPr>
          <w:rFonts w:eastAsia="Times New Roman" w:cs="Times New Roman"/>
          <w:kern w:val="0"/>
          <w:szCs w:val="24"/>
          <w:lang w:eastAsia="en-IN"/>
          <w14:ligatures w14:val="none"/>
        </w:rPr>
        <w:t xml:space="preserve">2016, the number of customers increased to 64%, which further extended to 68% in 2017. The chart reflects that in 2018, online customers in the UK increased to 74% and in 2019, it is observed that it was extended to 78%. </w:t>
      </w:r>
      <w:r w:rsidR="009F3C5C" w:rsidRPr="00FA55E9">
        <w:rPr>
          <w:rFonts w:eastAsia="Times New Roman" w:cs="Times New Roman"/>
          <w:kern w:val="0"/>
          <w:szCs w:val="24"/>
          <w:lang w:eastAsia="en-IN"/>
          <w14:ligatures w14:val="none"/>
        </w:rPr>
        <w:t>In 2020 and 2021, the number of customers is observed at 80% and 86%. Moreover, in 2022, the number of customers with active online banking was observed at 93%.</w:t>
      </w:r>
    </w:p>
    <w:p w14:paraId="7B1848CF" w14:textId="77777777" w:rsidR="009F3C5C" w:rsidRPr="00FA55E9" w:rsidRDefault="009F3C5C" w:rsidP="00DA38F3">
      <w:pPr>
        <w:spacing w:after="0" w:line="360" w:lineRule="auto"/>
        <w:rPr>
          <w:rFonts w:eastAsia="Times New Roman" w:cs="Times New Roman"/>
          <w:kern w:val="0"/>
          <w:szCs w:val="24"/>
          <w:lang w:eastAsia="en-IN"/>
          <w14:ligatures w14:val="none"/>
        </w:rPr>
      </w:pPr>
    </w:p>
    <w:p w14:paraId="4CAC2A33" w14:textId="3B6FF7EC" w:rsidR="009F3C5C" w:rsidRPr="00FA55E9" w:rsidRDefault="009F3C5C" w:rsidP="00DA38F3">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Online banking in the UK has been a key factor for customers, and in this regard, customer satisfaction has increased. According to </w:t>
      </w:r>
      <w:r w:rsidR="00E96B09" w:rsidRPr="00FA55E9">
        <w:rPr>
          <w:rFonts w:cs="Times New Roman"/>
          <w:szCs w:val="20"/>
          <w:shd w:val="clear" w:color="auto" w:fill="FFFFFF"/>
        </w:rPr>
        <w:t xml:space="preserve">Park and Kim, </w:t>
      </w:r>
      <w:r w:rsidRPr="00FA55E9">
        <w:rPr>
          <w:rFonts w:eastAsia="Times New Roman" w:cs="Times New Roman"/>
          <w:kern w:val="0"/>
          <w:szCs w:val="24"/>
          <w:lang w:eastAsia="en-IN"/>
          <w14:ligatures w14:val="none"/>
        </w:rPr>
        <w:t>(</w:t>
      </w:r>
      <w:r w:rsidR="00E96B09" w:rsidRPr="00FA55E9">
        <w:rPr>
          <w:rFonts w:eastAsia="Times New Roman" w:cs="Times New Roman"/>
          <w:kern w:val="0"/>
          <w:szCs w:val="24"/>
          <w:lang w:eastAsia="en-IN"/>
          <w14:ligatures w14:val="none"/>
        </w:rPr>
        <w:t>2020</w:t>
      </w:r>
      <w:r w:rsidRPr="00FA55E9">
        <w:rPr>
          <w:rFonts w:eastAsia="Times New Roman" w:cs="Times New Roman"/>
          <w:kern w:val="0"/>
          <w:szCs w:val="24"/>
          <w:lang w:eastAsia="en-IN"/>
          <w14:ligatures w14:val="none"/>
        </w:rPr>
        <w:t xml:space="preserve">), the essential acts and activities empowered by the banking sector of the UK have been beneficial for customers, and easy access to their accounts and transactions </w:t>
      </w:r>
      <w:r w:rsidR="007162D0" w:rsidRPr="00FA55E9">
        <w:rPr>
          <w:rFonts w:eastAsia="Times New Roman" w:cs="Times New Roman"/>
          <w:kern w:val="0"/>
          <w:szCs w:val="24"/>
          <w:lang w:eastAsia="en-IN"/>
          <w14:ligatures w14:val="none"/>
        </w:rPr>
        <w:t>has</w:t>
      </w:r>
      <w:r w:rsidRPr="00FA55E9">
        <w:rPr>
          <w:rFonts w:eastAsia="Times New Roman" w:cs="Times New Roman"/>
          <w:kern w:val="0"/>
          <w:szCs w:val="24"/>
          <w:lang w:eastAsia="en-IN"/>
          <w14:ligatures w14:val="none"/>
        </w:rPr>
        <w:t xml:space="preserve"> been effective for them. The report suggests that online payments and internet banking have been significant for customers, and online activities have been diverse in nature. The changes brought into the action by the banking industry in the UK, have been significantly effective for long-term programmes.</w:t>
      </w:r>
    </w:p>
    <w:p w14:paraId="3ECF250E" w14:textId="77777777" w:rsidR="000507B2" w:rsidRPr="00FA55E9" w:rsidRDefault="000507B2" w:rsidP="00DA38F3">
      <w:pPr>
        <w:spacing w:after="0" w:line="360" w:lineRule="auto"/>
        <w:rPr>
          <w:rFonts w:eastAsia="Times New Roman" w:cs="Times New Roman"/>
          <w:kern w:val="0"/>
          <w:szCs w:val="24"/>
          <w:lang w:eastAsia="en-IN"/>
          <w14:ligatures w14:val="none"/>
        </w:rPr>
      </w:pPr>
    </w:p>
    <w:p w14:paraId="1FD7ABFC" w14:textId="77777777" w:rsidR="00D81529" w:rsidRPr="00FA55E9" w:rsidRDefault="00D81529" w:rsidP="00A25C51">
      <w:pPr>
        <w:spacing w:after="0" w:line="360" w:lineRule="auto"/>
        <w:jc w:val="center"/>
        <w:rPr>
          <w:rFonts w:eastAsia="Times New Roman" w:cs="Times New Roman"/>
          <w:b/>
          <w:bCs/>
          <w:kern w:val="0"/>
          <w:szCs w:val="24"/>
          <w:lang w:eastAsia="en-IN"/>
          <w14:ligatures w14:val="none"/>
        </w:rPr>
      </w:pPr>
    </w:p>
    <w:p w14:paraId="49DD67A0" w14:textId="4AD4BD58" w:rsidR="00D81529" w:rsidRPr="00FA55E9" w:rsidRDefault="00D81529" w:rsidP="00A25C51">
      <w:pPr>
        <w:spacing w:after="0" w:line="360" w:lineRule="auto"/>
        <w:jc w:val="center"/>
        <w:rPr>
          <w:rFonts w:eastAsia="Times New Roman" w:cs="Times New Roman"/>
          <w:b/>
          <w:bCs/>
          <w:kern w:val="0"/>
          <w:szCs w:val="24"/>
          <w:lang w:eastAsia="en-IN"/>
          <w14:ligatures w14:val="none"/>
        </w:rPr>
      </w:pPr>
      <w:r w:rsidRPr="00FA55E9">
        <w:rPr>
          <w:b/>
          <w:bCs/>
          <w:noProof/>
          <w:bdr w:val="single" w:sz="4" w:space="0" w:color="auto"/>
        </w:rPr>
        <w:drawing>
          <wp:inline distT="0" distB="0" distL="0" distR="0" wp14:anchorId="14EC1BF4" wp14:editId="0F99753E">
            <wp:extent cx="4685689" cy="3482340"/>
            <wp:effectExtent l="0" t="0" r="635" b="3810"/>
            <wp:docPr id="1802754149" name="Picture 3" descr="Online banking users Great Britain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nline banking users Great Britain 2022 | Statist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89913" cy="3485479"/>
                    </a:xfrm>
                    <a:prstGeom prst="rect">
                      <a:avLst/>
                    </a:prstGeom>
                    <a:noFill/>
                    <a:ln>
                      <a:noFill/>
                    </a:ln>
                  </pic:spPr>
                </pic:pic>
              </a:graphicData>
            </a:graphic>
          </wp:inline>
        </w:drawing>
      </w:r>
    </w:p>
    <w:p w14:paraId="23DC4EAE" w14:textId="41F9ED2A"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8: Online Banking usage in the UK from 2007 to 2022</w:t>
      </w:r>
    </w:p>
    <w:p w14:paraId="6B63E603" w14:textId="29EABC77"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Source: Statista, (2023)</w:t>
      </w:r>
    </w:p>
    <w:p w14:paraId="3105A85F" w14:textId="77777777" w:rsidR="00161BA2" w:rsidRPr="00FA55E9" w:rsidRDefault="00161BA2" w:rsidP="00A25C51">
      <w:pPr>
        <w:spacing w:after="0" w:line="360" w:lineRule="auto"/>
        <w:jc w:val="center"/>
        <w:rPr>
          <w:rFonts w:eastAsia="Times New Roman" w:cs="Times New Roman"/>
          <w:b/>
          <w:bCs/>
          <w:kern w:val="0"/>
          <w:szCs w:val="24"/>
          <w:lang w:eastAsia="en-IN"/>
          <w14:ligatures w14:val="none"/>
        </w:rPr>
      </w:pPr>
    </w:p>
    <w:p w14:paraId="132FE402" w14:textId="4ED3B72A" w:rsidR="005F7DA3" w:rsidRPr="00FA55E9" w:rsidRDefault="009F3C5C" w:rsidP="005F7DA3">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Figure 9 identifies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largest mortgage lenders in the UK by 2021, by market share</w:t>
      </w:r>
      <w:r w:rsidR="00161BA2" w:rsidRPr="00FA55E9">
        <w:rPr>
          <w:rFonts w:eastAsia="Times New Roman" w:cs="Times New Roman"/>
          <w:kern w:val="0"/>
          <w:szCs w:val="24"/>
          <w:lang w:eastAsia="en-IN"/>
          <w14:ligatures w14:val="none"/>
        </w:rPr>
        <w:t xml:space="preserve">, and the customer benefits and satisfaction can also be understood. According to the chart, the highest lending bank in the case of </w:t>
      </w:r>
      <w:r w:rsidR="007162D0" w:rsidRPr="00FA55E9">
        <w:rPr>
          <w:rFonts w:eastAsia="Times New Roman" w:cs="Times New Roman"/>
          <w:kern w:val="0"/>
          <w:szCs w:val="24"/>
          <w:lang w:eastAsia="en-IN"/>
          <w14:ligatures w14:val="none"/>
        </w:rPr>
        <w:t>mortgages</w:t>
      </w:r>
      <w:r w:rsidR="00161BA2" w:rsidRPr="00FA55E9">
        <w:rPr>
          <w:rFonts w:eastAsia="Times New Roman" w:cs="Times New Roman"/>
          <w:kern w:val="0"/>
          <w:szCs w:val="24"/>
          <w:lang w:eastAsia="en-IN"/>
          <w14:ligatures w14:val="none"/>
        </w:rPr>
        <w:t xml:space="preserve"> is Llyod’s Banking Group by 18.14%.</w:t>
      </w:r>
      <w:r w:rsidR="005F7DA3" w:rsidRPr="00FA55E9">
        <w:rPr>
          <w:rFonts w:eastAsia="Times New Roman" w:cs="Times New Roman"/>
          <w:kern w:val="0"/>
          <w:szCs w:val="24"/>
          <w:lang w:eastAsia="en-IN"/>
          <w14:ligatures w14:val="none"/>
        </w:rPr>
        <w:t xml:space="preserve"> On the other hand, it can also be identified from the chart that NatWest Group of the UK </w:t>
      </w:r>
      <w:r w:rsidR="007162D0" w:rsidRPr="00FA55E9">
        <w:rPr>
          <w:rFonts w:eastAsia="Times New Roman" w:cs="Times New Roman"/>
          <w:kern w:val="0"/>
          <w:szCs w:val="24"/>
          <w:lang w:eastAsia="en-IN"/>
          <w14:ligatures w14:val="none"/>
        </w:rPr>
        <w:t>lent</w:t>
      </w:r>
      <w:r w:rsidR="005F7DA3" w:rsidRPr="00FA55E9">
        <w:rPr>
          <w:rFonts w:eastAsia="Times New Roman" w:cs="Times New Roman"/>
          <w:kern w:val="0"/>
          <w:szCs w:val="24"/>
          <w:lang w:eastAsia="en-IN"/>
          <w14:ligatures w14:val="none"/>
        </w:rPr>
        <w:t xml:space="preserve"> </w:t>
      </w:r>
      <w:r w:rsidR="007162D0" w:rsidRPr="00FA55E9">
        <w:rPr>
          <w:rFonts w:eastAsia="Times New Roman" w:cs="Times New Roman"/>
          <w:kern w:val="0"/>
          <w:szCs w:val="24"/>
          <w:lang w:eastAsia="en-IN"/>
          <w14:ligatures w14:val="none"/>
        </w:rPr>
        <w:t>mortgages</w:t>
      </w:r>
      <w:r w:rsidR="005F7DA3" w:rsidRPr="00FA55E9">
        <w:rPr>
          <w:rFonts w:eastAsia="Times New Roman" w:cs="Times New Roman"/>
          <w:kern w:val="0"/>
          <w:szCs w:val="24"/>
          <w:lang w:eastAsia="en-IN"/>
          <w14:ligatures w14:val="none"/>
        </w:rPr>
        <w:t xml:space="preserve"> at 11.71%. It can be observed from the chart that Nationwide BS, one of the biggest banks in the banking sector of the UK, provides mortgage lending at 11.49%, while in the case of Santander UK, it can be calculated at 10.77%. Apart from these banks, the chart also identifies Barclays and </w:t>
      </w:r>
      <w:r w:rsidR="005F7DA3" w:rsidRPr="00FA55E9">
        <w:rPr>
          <w:rFonts w:eastAsia="Times New Roman" w:cs="Times New Roman"/>
          <w:kern w:val="0"/>
          <w:szCs w:val="24"/>
          <w:lang w:eastAsia="en-IN"/>
          <w14:ligatures w14:val="none"/>
        </w:rPr>
        <w:lastRenderedPageBreak/>
        <w:t xml:space="preserve">HSBC </w:t>
      </w:r>
      <w:r w:rsidR="007162D0" w:rsidRPr="00FA55E9">
        <w:rPr>
          <w:rFonts w:eastAsia="Times New Roman" w:cs="Times New Roman"/>
          <w:kern w:val="0"/>
          <w:szCs w:val="24"/>
          <w:lang w:eastAsia="en-IN"/>
          <w14:ligatures w14:val="none"/>
        </w:rPr>
        <w:t>Bank</w:t>
      </w:r>
      <w:r w:rsidR="005F7DA3" w:rsidRPr="00FA55E9">
        <w:rPr>
          <w:rFonts w:eastAsia="Times New Roman" w:cs="Times New Roman"/>
          <w:kern w:val="0"/>
          <w:szCs w:val="24"/>
          <w:lang w:eastAsia="en-IN"/>
          <w14:ligatures w14:val="none"/>
        </w:rPr>
        <w:t xml:space="preserve"> of the UK. According to the chart, the lending rate of Barclays </w:t>
      </w:r>
      <w:r w:rsidR="007162D0" w:rsidRPr="00FA55E9">
        <w:rPr>
          <w:rFonts w:eastAsia="Times New Roman" w:cs="Times New Roman"/>
          <w:kern w:val="0"/>
          <w:szCs w:val="24"/>
          <w:lang w:eastAsia="en-IN"/>
          <w14:ligatures w14:val="none"/>
        </w:rPr>
        <w:t>is</w:t>
      </w:r>
      <w:r w:rsidR="005F7DA3" w:rsidRPr="00FA55E9">
        <w:rPr>
          <w:rFonts w:eastAsia="Times New Roman" w:cs="Times New Roman"/>
          <w:kern w:val="0"/>
          <w:szCs w:val="24"/>
          <w:lang w:eastAsia="en-IN"/>
          <w14:ligatures w14:val="none"/>
        </w:rPr>
        <w:t xml:space="preserve"> 10.71%, and on the other hand, HSBC lends at 8.86%. The chart also identifies the lending </w:t>
      </w:r>
      <w:r w:rsidR="007162D0" w:rsidRPr="00FA55E9">
        <w:rPr>
          <w:rFonts w:eastAsia="Times New Roman" w:cs="Times New Roman"/>
          <w:kern w:val="0"/>
          <w:szCs w:val="24"/>
          <w:lang w:eastAsia="en-IN"/>
          <w14:ligatures w14:val="none"/>
        </w:rPr>
        <w:t>rates</w:t>
      </w:r>
      <w:r w:rsidR="005F7DA3" w:rsidRPr="00FA55E9">
        <w:rPr>
          <w:rFonts w:eastAsia="Times New Roman" w:cs="Times New Roman"/>
          <w:kern w:val="0"/>
          <w:szCs w:val="24"/>
          <w:lang w:eastAsia="en-IN"/>
          <w14:ligatures w14:val="none"/>
        </w:rPr>
        <w:t xml:space="preserve"> of Coventry BS and Yorkshire BS, and their lending rate with respect to </w:t>
      </w:r>
      <w:r w:rsidR="007162D0" w:rsidRPr="00FA55E9">
        <w:rPr>
          <w:rFonts w:eastAsia="Times New Roman" w:cs="Times New Roman"/>
          <w:kern w:val="0"/>
          <w:szCs w:val="24"/>
          <w:lang w:eastAsia="en-IN"/>
          <w14:ligatures w14:val="none"/>
        </w:rPr>
        <w:t>mortgages</w:t>
      </w:r>
      <w:r w:rsidR="005F7DA3" w:rsidRPr="00FA55E9">
        <w:rPr>
          <w:rFonts w:eastAsia="Times New Roman" w:cs="Times New Roman"/>
          <w:kern w:val="0"/>
          <w:szCs w:val="24"/>
          <w:lang w:eastAsia="en-IN"/>
          <w14:ligatures w14:val="none"/>
        </w:rPr>
        <w:t xml:space="preserve"> can be identified at 3.28% and 3.24%, respectively. Virgin Money, moreover, enables the mortgage lending process by 3.18% and TSB bank, on </w:t>
      </w:r>
      <w:r w:rsidR="007162D0" w:rsidRPr="00FA55E9">
        <w:rPr>
          <w:rFonts w:eastAsia="Times New Roman" w:cs="Times New Roman"/>
          <w:kern w:val="0"/>
          <w:szCs w:val="24"/>
          <w:lang w:eastAsia="en-IN"/>
          <w14:ligatures w14:val="none"/>
        </w:rPr>
        <w:t xml:space="preserve">the </w:t>
      </w:r>
      <w:r w:rsidR="005F7DA3" w:rsidRPr="00FA55E9">
        <w:rPr>
          <w:rFonts w:eastAsia="Times New Roman" w:cs="Times New Roman"/>
          <w:kern w:val="0"/>
          <w:szCs w:val="24"/>
          <w:lang w:eastAsia="en-IN"/>
          <w14:ligatures w14:val="none"/>
        </w:rPr>
        <w:t xml:space="preserve">contrary, allows the rate at 2.99%. Other financial institutions involved in the case of providing </w:t>
      </w:r>
      <w:r w:rsidR="007162D0" w:rsidRPr="00FA55E9">
        <w:rPr>
          <w:rFonts w:eastAsia="Times New Roman" w:cs="Times New Roman"/>
          <w:kern w:val="0"/>
          <w:szCs w:val="24"/>
          <w:lang w:eastAsia="en-IN"/>
          <w14:ligatures w14:val="none"/>
        </w:rPr>
        <w:t>mortgages</w:t>
      </w:r>
      <w:r w:rsidR="005F7DA3" w:rsidRPr="00FA55E9">
        <w:rPr>
          <w:rFonts w:eastAsia="Times New Roman" w:cs="Times New Roman"/>
          <w:kern w:val="0"/>
          <w:szCs w:val="24"/>
          <w:lang w:eastAsia="en-IN"/>
          <w14:ligatures w14:val="none"/>
        </w:rPr>
        <w:t xml:space="preserve"> at the rate of 18.62%.</w:t>
      </w:r>
    </w:p>
    <w:p w14:paraId="49C8EBC6" w14:textId="2F4AD9F9" w:rsidR="00A25C51" w:rsidRPr="00FA55E9" w:rsidRDefault="00A25C51" w:rsidP="00A25C51">
      <w:pPr>
        <w:spacing w:after="0" w:line="360" w:lineRule="auto"/>
        <w:rPr>
          <w:rFonts w:eastAsia="Times New Roman" w:cs="Times New Roman"/>
          <w:kern w:val="0"/>
          <w:szCs w:val="24"/>
          <w:lang w:eastAsia="en-IN"/>
          <w14:ligatures w14:val="none"/>
        </w:rPr>
      </w:pPr>
    </w:p>
    <w:p w14:paraId="535D4A65" w14:textId="77777777" w:rsidR="00D81529" w:rsidRPr="00FA55E9" w:rsidRDefault="00D81529" w:rsidP="00A25C51">
      <w:pPr>
        <w:spacing w:after="0" w:line="360" w:lineRule="auto"/>
        <w:jc w:val="center"/>
        <w:rPr>
          <w:rFonts w:eastAsia="Times New Roman" w:cs="Times New Roman"/>
          <w:b/>
          <w:bCs/>
          <w:kern w:val="0"/>
          <w:szCs w:val="24"/>
          <w:lang w:eastAsia="en-IN"/>
          <w14:ligatures w14:val="none"/>
        </w:rPr>
      </w:pPr>
    </w:p>
    <w:p w14:paraId="2929CFD3" w14:textId="40BEE2F5" w:rsidR="00D81529" w:rsidRPr="00FA55E9" w:rsidRDefault="00D81529" w:rsidP="00A25C51">
      <w:pPr>
        <w:spacing w:after="0" w:line="360" w:lineRule="auto"/>
        <w:jc w:val="center"/>
        <w:rPr>
          <w:rFonts w:eastAsia="Times New Roman" w:cs="Times New Roman"/>
          <w:b/>
          <w:bCs/>
          <w:kern w:val="0"/>
          <w:szCs w:val="24"/>
          <w:lang w:eastAsia="en-IN"/>
          <w14:ligatures w14:val="none"/>
        </w:rPr>
      </w:pPr>
      <w:r w:rsidRPr="00FA55E9">
        <w:rPr>
          <w:b/>
          <w:bCs/>
          <w:noProof/>
          <w:bdr w:val="single" w:sz="4" w:space="0" w:color="auto"/>
        </w:rPr>
        <w:drawing>
          <wp:inline distT="0" distB="0" distL="0" distR="0" wp14:anchorId="6DF688BC" wp14:editId="02040D1F">
            <wp:extent cx="5092520" cy="3784692"/>
            <wp:effectExtent l="0" t="0" r="0" b="6350"/>
            <wp:docPr id="148167717" name="Picture 4" descr="Gross mortgage lending market share of UK banks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ross mortgage lending market share of UK banks 2021 | Statist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04064" cy="3793271"/>
                    </a:xfrm>
                    <a:prstGeom prst="rect">
                      <a:avLst/>
                    </a:prstGeom>
                    <a:noFill/>
                    <a:ln>
                      <a:noFill/>
                    </a:ln>
                  </pic:spPr>
                </pic:pic>
              </a:graphicData>
            </a:graphic>
          </wp:inline>
        </w:drawing>
      </w:r>
    </w:p>
    <w:p w14:paraId="4D09662B" w14:textId="4578D4F4"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9: Largest Mortgage Lenders in the UK in 2021</w:t>
      </w:r>
    </w:p>
    <w:p w14:paraId="3BEC907B" w14:textId="34D29807"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Source: Statista, (2023)</w:t>
      </w:r>
    </w:p>
    <w:p w14:paraId="5C63B4B3" w14:textId="77777777" w:rsidR="005F7DA3" w:rsidRPr="00FA55E9" w:rsidRDefault="005F7DA3" w:rsidP="00A25C51">
      <w:pPr>
        <w:spacing w:after="0" w:line="360" w:lineRule="auto"/>
        <w:jc w:val="center"/>
        <w:rPr>
          <w:rFonts w:eastAsia="Times New Roman" w:cs="Times New Roman"/>
          <w:b/>
          <w:bCs/>
          <w:kern w:val="0"/>
          <w:szCs w:val="24"/>
          <w:lang w:eastAsia="en-IN"/>
          <w14:ligatures w14:val="none"/>
        </w:rPr>
      </w:pPr>
    </w:p>
    <w:p w14:paraId="38396749" w14:textId="1AF0C93F" w:rsidR="005F7DA3" w:rsidRPr="00FA55E9" w:rsidRDefault="005F7DA3" w:rsidP="0087319B">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Figure 10, observed in the below chart refers to customer </w:t>
      </w:r>
      <w:r w:rsidR="007162D0" w:rsidRPr="00FA55E9">
        <w:rPr>
          <w:rFonts w:eastAsia="Times New Roman" w:cs="Times New Roman"/>
          <w:kern w:val="0"/>
          <w:szCs w:val="24"/>
          <w:lang w:eastAsia="en-IN"/>
          <w14:ligatures w14:val="none"/>
        </w:rPr>
        <w:t>service</w:t>
      </w:r>
      <w:r w:rsidRPr="00FA55E9">
        <w:rPr>
          <w:rFonts w:eastAsia="Times New Roman" w:cs="Times New Roman"/>
          <w:kern w:val="0"/>
          <w:szCs w:val="24"/>
          <w:lang w:eastAsia="en-IN"/>
          <w14:ligatures w14:val="none"/>
        </w:rPr>
        <w:t xml:space="preserve"> rankings among banks in the UK, and the proportion of customers who would recommend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bank to family and friends </w:t>
      </w:r>
      <w:r w:rsidR="007162D0" w:rsidRPr="00FA55E9">
        <w:rPr>
          <w:rFonts w:eastAsia="Times New Roman" w:cs="Times New Roman"/>
          <w:kern w:val="0"/>
          <w:szCs w:val="24"/>
          <w:lang w:eastAsia="en-IN"/>
          <w14:ligatures w14:val="none"/>
        </w:rPr>
        <w:t>has</w:t>
      </w:r>
      <w:r w:rsidRPr="00FA55E9">
        <w:rPr>
          <w:rFonts w:eastAsia="Times New Roman" w:cs="Times New Roman"/>
          <w:kern w:val="0"/>
          <w:szCs w:val="24"/>
          <w:lang w:eastAsia="en-IN"/>
          <w14:ligatures w14:val="none"/>
        </w:rPr>
        <w:t xml:space="preserve"> been identified as well. According to the chart, it can be observed that the people of the UK would mostly recommend Metro Bank by 83%, and First Direct Bank would follow it by 82%.</w:t>
      </w:r>
    </w:p>
    <w:p w14:paraId="0D076652" w14:textId="12642D87" w:rsidR="0087319B" w:rsidRPr="00FA55E9" w:rsidRDefault="0087319B" w:rsidP="0087319B">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On the other hand, it can also be identified from the chart that Nationwide would be recommended by 72% of users, and its economic acts and activities would be discussed and praised while </w:t>
      </w:r>
      <w:r w:rsidR="007162D0" w:rsidRPr="00FA55E9">
        <w:rPr>
          <w:rFonts w:eastAsia="Times New Roman" w:cs="Times New Roman"/>
          <w:kern w:val="0"/>
          <w:szCs w:val="24"/>
          <w:lang w:eastAsia="en-IN"/>
          <w14:ligatures w14:val="none"/>
        </w:rPr>
        <w:t>recommended</w:t>
      </w:r>
      <w:r w:rsidRPr="00FA55E9">
        <w:rPr>
          <w:rFonts w:eastAsia="Times New Roman" w:cs="Times New Roman"/>
          <w:kern w:val="0"/>
          <w:szCs w:val="24"/>
          <w:lang w:eastAsia="en-IN"/>
          <w14:ligatures w14:val="none"/>
        </w:rPr>
        <w:t xml:space="preserve">. The chart also mentions that in the case of the Coventry Building </w:t>
      </w:r>
      <w:r w:rsidRPr="00FA55E9">
        <w:rPr>
          <w:rFonts w:eastAsia="Times New Roman" w:cs="Times New Roman"/>
          <w:kern w:val="0"/>
          <w:szCs w:val="24"/>
          <w:lang w:eastAsia="en-IN"/>
          <w14:ligatures w14:val="none"/>
        </w:rPr>
        <w:lastRenderedPageBreak/>
        <w:t xml:space="preserve">Society, 70% of customers will recommend the bank to friends and family. The chart depicts that in the case of Yorkshire Bank, the recommendation would be carried forward by 64% of customers, and in the case of Barclays, the portion would be the same. However, it can further be observed from the chart that Santander would enjoy the recommendations of people by 61%, and in the case of Llyod’s Bank, the recommendation would </w:t>
      </w:r>
      <w:r w:rsidR="007162D0" w:rsidRPr="00FA55E9">
        <w:rPr>
          <w:rFonts w:eastAsia="Times New Roman" w:cs="Times New Roman"/>
          <w:kern w:val="0"/>
          <w:szCs w:val="24"/>
          <w:lang w:eastAsia="en-IN"/>
          <w14:ligatures w14:val="none"/>
        </w:rPr>
        <w:t xml:space="preserve">be </w:t>
      </w:r>
      <w:r w:rsidRPr="00FA55E9">
        <w:rPr>
          <w:rFonts w:eastAsia="Times New Roman" w:cs="Times New Roman"/>
          <w:kern w:val="0"/>
          <w:szCs w:val="24"/>
          <w:lang w:eastAsia="en-IN"/>
          <w14:ligatures w14:val="none"/>
        </w:rPr>
        <w:t>from 60% of its customers.</w:t>
      </w:r>
    </w:p>
    <w:p w14:paraId="6FED1740" w14:textId="183EBC47" w:rsidR="0087319B" w:rsidRPr="00FA55E9" w:rsidRDefault="0087319B" w:rsidP="0087319B">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Halifax, another significant banking corporation </w:t>
      </w:r>
      <w:r w:rsidR="007162D0" w:rsidRPr="00FA55E9">
        <w:rPr>
          <w:rFonts w:eastAsia="Times New Roman" w:cs="Times New Roman"/>
          <w:kern w:val="0"/>
          <w:szCs w:val="24"/>
          <w:lang w:eastAsia="en-IN"/>
          <w14:ligatures w14:val="none"/>
        </w:rPr>
        <w:t>in</w:t>
      </w:r>
      <w:r w:rsidRPr="00FA55E9">
        <w:rPr>
          <w:rFonts w:eastAsia="Times New Roman" w:cs="Times New Roman"/>
          <w:kern w:val="0"/>
          <w:szCs w:val="24"/>
          <w:lang w:eastAsia="en-IN"/>
          <w14:ligatures w14:val="none"/>
        </w:rPr>
        <w:t xml:space="preserve"> the UK, would experience its branding and recognition through customer recommendations by 60% as well, and in the case of NatWest, it would be advocated by 59%. On the other hand, it can also be observed from the chart that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Bank of Scotland and HSBC would be recommended for further usage by 58% and 57%. Moreover, TSB would be advocated by 52% of customers, and for Co-op Bank, the proportion would be the same. Lastly,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proportion of 51% and 47% of customers of the banks Clydesdale Bank and RBS would recommend the banking activities, as per the database found from the report of the BBC.</w:t>
      </w:r>
    </w:p>
    <w:p w14:paraId="6001C7EB" w14:textId="77777777" w:rsidR="0087319B" w:rsidRPr="00FA55E9" w:rsidRDefault="0087319B" w:rsidP="0087319B">
      <w:pPr>
        <w:spacing w:after="0" w:line="360" w:lineRule="auto"/>
        <w:rPr>
          <w:rFonts w:eastAsia="Times New Roman" w:cs="Times New Roman"/>
          <w:kern w:val="0"/>
          <w:szCs w:val="24"/>
          <w:lang w:eastAsia="en-IN"/>
          <w14:ligatures w14:val="none"/>
        </w:rPr>
      </w:pPr>
    </w:p>
    <w:p w14:paraId="5859EDDF" w14:textId="77777777" w:rsidR="0087319B" w:rsidRPr="00FA55E9" w:rsidRDefault="0087319B" w:rsidP="005F7DA3">
      <w:pPr>
        <w:spacing w:after="0" w:line="360" w:lineRule="auto"/>
        <w:rPr>
          <w:rFonts w:eastAsia="Times New Roman" w:cs="Times New Roman"/>
          <w:kern w:val="0"/>
          <w:szCs w:val="24"/>
          <w:lang w:eastAsia="en-IN"/>
          <w14:ligatures w14:val="none"/>
        </w:rPr>
      </w:pPr>
    </w:p>
    <w:p w14:paraId="3C0EB4B1" w14:textId="2C21E0EE" w:rsidR="00D81529" w:rsidRPr="00FA55E9" w:rsidRDefault="00A25C51" w:rsidP="005E0371">
      <w:pPr>
        <w:spacing w:after="0" w:line="360" w:lineRule="auto"/>
        <w:jc w:val="center"/>
        <w:rPr>
          <w:rFonts w:eastAsia="Times New Roman" w:cs="Times New Roman"/>
          <w:b/>
          <w:bCs/>
          <w:kern w:val="0"/>
          <w:szCs w:val="24"/>
          <w:lang w:eastAsia="en-IN"/>
          <w14:ligatures w14:val="none"/>
        </w:rPr>
      </w:pPr>
      <w:r w:rsidRPr="00FA55E9">
        <w:rPr>
          <w:b/>
          <w:bCs/>
          <w:noProof/>
          <w:bdr w:val="single" w:sz="4" w:space="0" w:color="auto"/>
        </w:rPr>
        <w:drawing>
          <wp:inline distT="0" distB="0" distL="0" distR="0" wp14:anchorId="51818904" wp14:editId="6858FE36">
            <wp:extent cx="3155205" cy="2858770"/>
            <wp:effectExtent l="0" t="0" r="7620" b="0"/>
            <wp:docPr id="691523559" name="Picture 5" descr="Which banks do customers love or hate?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ich banks do customers love or hate? - BBC New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71944" cy="2873936"/>
                    </a:xfrm>
                    <a:prstGeom prst="rect">
                      <a:avLst/>
                    </a:prstGeom>
                    <a:noFill/>
                    <a:ln>
                      <a:noFill/>
                    </a:ln>
                  </pic:spPr>
                </pic:pic>
              </a:graphicData>
            </a:graphic>
          </wp:inline>
        </w:drawing>
      </w:r>
    </w:p>
    <w:p w14:paraId="454D805B" w14:textId="0C178B62" w:rsidR="00A25C51" w:rsidRPr="00FA55E9" w:rsidRDefault="00A25C51" w:rsidP="005E037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10: Customer Service Ranking among the UK banks</w:t>
      </w:r>
    </w:p>
    <w:p w14:paraId="17BF02BC" w14:textId="40744563" w:rsidR="00A25C51" w:rsidRPr="00FA55E9" w:rsidRDefault="00A25C51" w:rsidP="005E037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Source: BBC, (2022)</w:t>
      </w:r>
    </w:p>
    <w:p w14:paraId="1222955A" w14:textId="77777777" w:rsidR="0087319B" w:rsidRPr="00FA55E9" w:rsidRDefault="0087319B" w:rsidP="0087319B">
      <w:pPr>
        <w:spacing w:after="0" w:line="360" w:lineRule="auto"/>
        <w:rPr>
          <w:rFonts w:eastAsia="Times New Roman" w:cs="Times New Roman"/>
          <w:b/>
          <w:bCs/>
          <w:kern w:val="0"/>
          <w:szCs w:val="24"/>
          <w:lang w:eastAsia="en-IN"/>
          <w14:ligatures w14:val="none"/>
        </w:rPr>
      </w:pPr>
    </w:p>
    <w:p w14:paraId="49249697" w14:textId="703859B2" w:rsidR="00A25C51" w:rsidRPr="00FA55E9" w:rsidRDefault="005E0371" w:rsidP="005E0371">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Figure 11, as observed below, refers to the client assessment of different services provided by UK banks as per their experience. On a scale of 10, clients have marked different services as they experienced, and as per the chart,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value for money and clear and transparent nature of the UK banking activities have been marked as highest by 8.2 and 8.1, respectively. On the </w:t>
      </w:r>
      <w:r w:rsidRPr="00FA55E9">
        <w:rPr>
          <w:rFonts w:eastAsia="Times New Roman" w:cs="Times New Roman"/>
          <w:kern w:val="0"/>
          <w:szCs w:val="24"/>
          <w:lang w:eastAsia="en-IN"/>
          <w14:ligatures w14:val="none"/>
        </w:rPr>
        <w:lastRenderedPageBreak/>
        <w:t xml:space="preserve">other hand, it can also be observed from the chart that clients rated the account </w:t>
      </w:r>
      <w:r w:rsidR="007162D0" w:rsidRPr="00FA55E9">
        <w:rPr>
          <w:rFonts w:eastAsia="Times New Roman" w:cs="Times New Roman"/>
          <w:kern w:val="0"/>
          <w:szCs w:val="24"/>
          <w:lang w:eastAsia="en-IN"/>
          <w14:ligatures w14:val="none"/>
        </w:rPr>
        <w:t>management</w:t>
      </w:r>
      <w:r w:rsidRPr="00FA55E9">
        <w:rPr>
          <w:rFonts w:eastAsia="Times New Roman" w:cs="Times New Roman"/>
          <w:kern w:val="0"/>
          <w:szCs w:val="24"/>
          <w:lang w:eastAsia="en-IN"/>
          <w14:ligatures w14:val="none"/>
        </w:rPr>
        <w:t xml:space="preserve"> that </w:t>
      </w:r>
      <w:r w:rsidR="00184260" w:rsidRPr="00FA55E9">
        <w:rPr>
          <w:rFonts w:eastAsia="Times New Roman" w:cs="Times New Roman"/>
          <w:kern w:val="0"/>
          <w:szCs w:val="24"/>
          <w:lang w:eastAsia="en-IN"/>
          <w14:ligatures w14:val="none"/>
        </w:rPr>
        <w:t>suits</w:t>
      </w:r>
      <w:r w:rsidRPr="00FA55E9">
        <w:rPr>
          <w:rFonts w:eastAsia="Times New Roman" w:cs="Times New Roman"/>
          <w:kern w:val="0"/>
          <w:szCs w:val="24"/>
          <w:lang w:eastAsia="en-IN"/>
          <w14:ligatures w14:val="none"/>
        </w:rPr>
        <w:t xml:space="preserve"> people and polite and knowledgeable </w:t>
      </w:r>
      <w:r w:rsidR="007162D0" w:rsidRPr="00FA55E9">
        <w:rPr>
          <w:rFonts w:eastAsia="Times New Roman" w:cs="Times New Roman"/>
          <w:kern w:val="0"/>
          <w:szCs w:val="24"/>
          <w:lang w:eastAsia="en-IN"/>
          <w14:ligatures w14:val="none"/>
        </w:rPr>
        <w:t>staff</w:t>
      </w:r>
      <w:r w:rsidRPr="00FA55E9">
        <w:rPr>
          <w:rFonts w:eastAsia="Times New Roman" w:cs="Times New Roman"/>
          <w:kern w:val="0"/>
          <w:szCs w:val="24"/>
          <w:lang w:eastAsia="en-IN"/>
          <w14:ligatures w14:val="none"/>
        </w:rPr>
        <w:t xml:space="preserve"> by 8.1. It can also be observed from the chart that clients rated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speedy and efficient service of UK banking by 8, while in the case of competitive picking, the rating is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 xml:space="preserve">same. Moreover, it can also be observed from the chart that the case of contacting </w:t>
      </w:r>
      <w:r w:rsidR="007162D0" w:rsidRPr="00FA55E9">
        <w:rPr>
          <w:rFonts w:eastAsia="Times New Roman" w:cs="Times New Roman"/>
          <w:kern w:val="0"/>
          <w:szCs w:val="24"/>
          <w:lang w:eastAsia="en-IN"/>
          <w14:ligatures w14:val="none"/>
        </w:rPr>
        <w:t xml:space="preserve">a </w:t>
      </w:r>
      <w:r w:rsidRPr="00FA55E9">
        <w:rPr>
          <w:rFonts w:eastAsia="Times New Roman" w:cs="Times New Roman"/>
          <w:kern w:val="0"/>
          <w:szCs w:val="24"/>
          <w:lang w:eastAsia="en-IN"/>
          <w14:ligatures w14:val="none"/>
        </w:rPr>
        <w:t xml:space="preserve">bank at a time that </w:t>
      </w:r>
      <w:r w:rsidR="007162D0" w:rsidRPr="00FA55E9">
        <w:rPr>
          <w:rFonts w:eastAsia="Times New Roman" w:cs="Times New Roman"/>
          <w:kern w:val="0"/>
          <w:szCs w:val="24"/>
          <w:lang w:eastAsia="en-IN"/>
          <w14:ligatures w14:val="none"/>
        </w:rPr>
        <w:t>suits</w:t>
      </w:r>
      <w:r w:rsidRPr="00FA55E9">
        <w:rPr>
          <w:rFonts w:eastAsia="Times New Roman" w:cs="Times New Roman"/>
          <w:kern w:val="0"/>
          <w:szCs w:val="24"/>
          <w:lang w:eastAsia="en-IN"/>
          <w14:ligatures w14:val="none"/>
        </w:rPr>
        <w:t xml:space="preserve"> people and </w:t>
      </w:r>
      <w:r w:rsidR="007162D0" w:rsidRPr="00FA55E9">
        <w:rPr>
          <w:rFonts w:eastAsia="Times New Roman" w:cs="Times New Roman"/>
          <w:kern w:val="0"/>
          <w:szCs w:val="24"/>
          <w:lang w:eastAsia="en-IN"/>
          <w14:ligatures w14:val="none"/>
        </w:rPr>
        <w:t xml:space="preserve">a </w:t>
      </w:r>
      <w:r w:rsidRPr="00FA55E9">
        <w:rPr>
          <w:rFonts w:eastAsia="Times New Roman" w:cs="Times New Roman"/>
          <w:kern w:val="0"/>
          <w:szCs w:val="24"/>
          <w:lang w:eastAsia="en-IN"/>
          <w14:ligatures w14:val="none"/>
        </w:rPr>
        <w:t xml:space="preserve">broad product range </w:t>
      </w:r>
      <w:r w:rsidR="007162D0" w:rsidRPr="00FA55E9">
        <w:rPr>
          <w:rFonts w:eastAsia="Times New Roman" w:cs="Times New Roman"/>
          <w:kern w:val="0"/>
          <w:szCs w:val="24"/>
          <w:lang w:eastAsia="en-IN"/>
          <w14:ligatures w14:val="none"/>
        </w:rPr>
        <w:t>has</w:t>
      </w:r>
      <w:r w:rsidRPr="00FA55E9">
        <w:rPr>
          <w:rFonts w:eastAsia="Times New Roman" w:cs="Times New Roman"/>
          <w:kern w:val="0"/>
          <w:szCs w:val="24"/>
          <w:lang w:eastAsia="en-IN"/>
          <w14:ligatures w14:val="none"/>
        </w:rPr>
        <w:t xml:space="preserve"> been rated at 7.8 and 7.3. Ethical and sustainable practices have been rated at 7, and </w:t>
      </w:r>
      <w:r w:rsidR="007162D0" w:rsidRPr="00FA55E9">
        <w:rPr>
          <w:rFonts w:eastAsia="Times New Roman" w:cs="Times New Roman"/>
          <w:kern w:val="0"/>
          <w:szCs w:val="24"/>
          <w:lang w:eastAsia="en-IN"/>
          <w14:ligatures w14:val="none"/>
        </w:rPr>
        <w:t>have</w:t>
      </w:r>
      <w:r w:rsidRPr="00FA55E9">
        <w:rPr>
          <w:rFonts w:eastAsia="Times New Roman" w:cs="Times New Roman"/>
          <w:kern w:val="0"/>
          <w:szCs w:val="24"/>
          <w:lang w:eastAsia="en-IN"/>
          <w14:ligatures w14:val="none"/>
        </w:rPr>
        <w:t xml:space="preserve"> been followed by personalised services and appealing </w:t>
      </w:r>
      <w:r w:rsidR="007162D0" w:rsidRPr="00FA55E9">
        <w:rPr>
          <w:rFonts w:eastAsia="Times New Roman" w:cs="Times New Roman"/>
          <w:kern w:val="0"/>
          <w:szCs w:val="24"/>
          <w:lang w:eastAsia="en-IN"/>
          <w14:ligatures w14:val="none"/>
        </w:rPr>
        <w:t>brands</w:t>
      </w:r>
      <w:r w:rsidRPr="00FA55E9">
        <w:rPr>
          <w:rFonts w:eastAsia="Times New Roman" w:cs="Times New Roman"/>
          <w:kern w:val="0"/>
          <w:szCs w:val="24"/>
          <w:lang w:eastAsia="en-IN"/>
          <w14:ligatures w14:val="none"/>
        </w:rPr>
        <w:t xml:space="preserve">, with the score of 6.9 and 6.3. Lastly, in the case of appropriate recommendations, </w:t>
      </w:r>
      <w:r w:rsidR="007162D0" w:rsidRPr="00FA55E9">
        <w:rPr>
          <w:rFonts w:eastAsia="Times New Roman" w:cs="Times New Roman"/>
          <w:kern w:val="0"/>
          <w:szCs w:val="24"/>
          <w:lang w:eastAsia="en-IN"/>
          <w14:ligatures w14:val="none"/>
        </w:rPr>
        <w:t xml:space="preserve">the </w:t>
      </w:r>
      <w:r w:rsidRPr="00FA55E9">
        <w:rPr>
          <w:rFonts w:eastAsia="Times New Roman" w:cs="Times New Roman"/>
          <w:kern w:val="0"/>
          <w:szCs w:val="24"/>
          <w:lang w:eastAsia="en-IN"/>
          <w14:ligatures w14:val="none"/>
        </w:rPr>
        <w:t>client assessed the banking activities at 6.2.</w:t>
      </w:r>
    </w:p>
    <w:p w14:paraId="01964BBD" w14:textId="77777777" w:rsidR="000507B2" w:rsidRPr="00FA55E9" w:rsidRDefault="000507B2" w:rsidP="005E0371">
      <w:pPr>
        <w:spacing w:after="0" w:line="360" w:lineRule="auto"/>
        <w:rPr>
          <w:rFonts w:eastAsia="Times New Roman" w:cs="Times New Roman"/>
          <w:kern w:val="0"/>
          <w:szCs w:val="24"/>
          <w:lang w:eastAsia="en-IN"/>
          <w14:ligatures w14:val="none"/>
        </w:rPr>
      </w:pPr>
    </w:p>
    <w:p w14:paraId="15C9B466" w14:textId="1EE07C13"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noProof/>
          <w:kern w:val="0"/>
          <w:szCs w:val="24"/>
          <w:bdr w:val="single" w:sz="4" w:space="0" w:color="auto"/>
          <w:lang w:eastAsia="en-IN"/>
          <w14:ligatures w14:val="none"/>
        </w:rPr>
        <w:drawing>
          <wp:inline distT="0" distB="0" distL="0" distR="0" wp14:anchorId="2504ABC9" wp14:editId="614A5865">
            <wp:extent cx="4152535" cy="3263231"/>
            <wp:effectExtent l="0" t="0" r="635" b="0"/>
            <wp:docPr id="457562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562839" name=""/>
                    <pic:cNvPicPr/>
                  </pic:nvPicPr>
                  <pic:blipFill>
                    <a:blip r:embed="rId18"/>
                    <a:stretch>
                      <a:fillRect/>
                    </a:stretch>
                  </pic:blipFill>
                  <pic:spPr>
                    <a:xfrm>
                      <a:off x="0" y="0"/>
                      <a:ext cx="4161220" cy="3270056"/>
                    </a:xfrm>
                    <a:prstGeom prst="rect">
                      <a:avLst/>
                    </a:prstGeom>
                  </pic:spPr>
                </pic:pic>
              </a:graphicData>
            </a:graphic>
          </wp:inline>
        </w:drawing>
      </w:r>
    </w:p>
    <w:p w14:paraId="381F9267" w14:textId="09510DE8" w:rsidR="00D81529"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11: Client Assessment of Different Services provided by the UK Banks</w:t>
      </w:r>
    </w:p>
    <w:p w14:paraId="618211D2" w14:textId="0424982B" w:rsidR="00A25C51" w:rsidRPr="00FA55E9" w:rsidRDefault="00A25C51" w:rsidP="00A25C51">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Source: Statista, (2022)</w:t>
      </w:r>
    </w:p>
    <w:p w14:paraId="369E513C" w14:textId="2E40913C" w:rsidR="002E5350" w:rsidRPr="00FA55E9" w:rsidRDefault="002E5350" w:rsidP="002E5350">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Figure 12, observed below, refers to the market share of total profits made by UK banks in 2021. According to the </w:t>
      </w:r>
      <w:r w:rsidR="007162D0" w:rsidRPr="00FA55E9">
        <w:rPr>
          <w:rFonts w:eastAsia="Times New Roman" w:cs="Times New Roman"/>
          <w:kern w:val="0"/>
          <w:szCs w:val="24"/>
          <w:lang w:eastAsia="en-IN"/>
          <w14:ligatures w14:val="none"/>
        </w:rPr>
        <w:t>pie chart</w:t>
      </w:r>
      <w:r w:rsidRPr="00FA55E9">
        <w:rPr>
          <w:rFonts w:eastAsia="Times New Roman" w:cs="Times New Roman"/>
          <w:kern w:val="0"/>
          <w:szCs w:val="24"/>
          <w:lang w:eastAsia="en-IN"/>
          <w14:ligatures w14:val="none"/>
        </w:rPr>
        <w:t xml:space="preserve">, it can be observed that HSBC has been able to generate the highest number of profits by 48%, while it was followed by Lloyd’s Group of Bank by 18%. On the other hand, the chart also mentions that Barclays, a prominent bank </w:t>
      </w:r>
      <w:r w:rsidR="007162D0" w:rsidRPr="00FA55E9">
        <w:rPr>
          <w:rFonts w:eastAsia="Times New Roman" w:cs="Times New Roman"/>
          <w:kern w:val="0"/>
          <w:szCs w:val="24"/>
          <w:lang w:eastAsia="en-IN"/>
          <w14:ligatures w14:val="none"/>
        </w:rPr>
        <w:t>in</w:t>
      </w:r>
      <w:r w:rsidRPr="00FA55E9">
        <w:rPr>
          <w:rFonts w:eastAsia="Times New Roman" w:cs="Times New Roman"/>
          <w:kern w:val="0"/>
          <w:szCs w:val="24"/>
          <w:lang w:eastAsia="en-IN"/>
          <w14:ligatures w14:val="none"/>
        </w:rPr>
        <w:t xml:space="preserve"> the UK, shared </w:t>
      </w:r>
      <w:r w:rsidR="007162D0" w:rsidRPr="00FA55E9">
        <w:rPr>
          <w:rFonts w:eastAsia="Times New Roman" w:cs="Times New Roman"/>
          <w:kern w:val="0"/>
          <w:szCs w:val="24"/>
          <w:lang w:eastAsia="en-IN"/>
          <w14:ligatures w14:val="none"/>
        </w:rPr>
        <w:t>a</w:t>
      </w:r>
      <w:r w:rsidRPr="00FA55E9">
        <w:rPr>
          <w:rFonts w:eastAsia="Times New Roman" w:cs="Times New Roman"/>
          <w:kern w:val="0"/>
          <w:szCs w:val="24"/>
          <w:lang w:eastAsia="en-IN"/>
          <w14:ligatures w14:val="none"/>
        </w:rPr>
        <w:t xml:space="preserve"> profit </w:t>
      </w:r>
      <w:r w:rsidR="00184260" w:rsidRPr="00FA55E9">
        <w:rPr>
          <w:rFonts w:eastAsia="Times New Roman" w:cs="Times New Roman"/>
          <w:kern w:val="0"/>
          <w:szCs w:val="24"/>
          <w:lang w:eastAsia="en-IN"/>
          <w14:ligatures w14:val="none"/>
        </w:rPr>
        <w:t>of</w:t>
      </w:r>
      <w:r w:rsidRPr="00FA55E9">
        <w:rPr>
          <w:rFonts w:eastAsia="Times New Roman" w:cs="Times New Roman"/>
          <w:kern w:val="0"/>
          <w:szCs w:val="24"/>
          <w:lang w:eastAsia="en-IN"/>
          <w14:ligatures w14:val="none"/>
        </w:rPr>
        <w:t xml:space="preserve"> 10% in 2021, while RBS shared a profit of 8% in the same year. It can be observed from the chart, </w:t>
      </w:r>
      <w:r w:rsidR="007162D0" w:rsidRPr="00FA55E9">
        <w:rPr>
          <w:rFonts w:eastAsia="Times New Roman" w:cs="Times New Roman"/>
          <w:kern w:val="0"/>
          <w:szCs w:val="24"/>
          <w:lang w:eastAsia="en-IN"/>
          <w14:ligatures w14:val="none"/>
        </w:rPr>
        <w:t xml:space="preserve">that </w:t>
      </w:r>
      <w:r w:rsidRPr="00FA55E9">
        <w:rPr>
          <w:rFonts w:eastAsia="Times New Roman" w:cs="Times New Roman"/>
          <w:kern w:val="0"/>
          <w:szCs w:val="24"/>
          <w:lang w:eastAsia="en-IN"/>
          <w14:ligatures w14:val="none"/>
        </w:rPr>
        <w:t xml:space="preserve">Standard Chartered and the </w:t>
      </w:r>
      <w:proofErr w:type="spellStart"/>
      <w:r w:rsidRPr="00FA55E9">
        <w:rPr>
          <w:rFonts w:eastAsia="Times New Roman" w:cs="Times New Roman"/>
          <w:kern w:val="0"/>
          <w:szCs w:val="24"/>
          <w:lang w:eastAsia="en-IN"/>
          <w14:ligatures w14:val="none"/>
        </w:rPr>
        <w:t>NationWide</w:t>
      </w:r>
      <w:proofErr w:type="spellEnd"/>
      <w:r w:rsidRPr="00FA55E9">
        <w:rPr>
          <w:rFonts w:eastAsia="Times New Roman" w:cs="Times New Roman"/>
          <w:kern w:val="0"/>
          <w:szCs w:val="24"/>
          <w:lang w:eastAsia="en-IN"/>
          <w14:ligatures w14:val="none"/>
        </w:rPr>
        <w:t xml:space="preserve"> Bank were able </w:t>
      </w:r>
      <w:r w:rsidR="007162D0" w:rsidRPr="00FA55E9">
        <w:rPr>
          <w:rFonts w:eastAsia="Times New Roman" w:cs="Times New Roman"/>
          <w:kern w:val="0"/>
          <w:szCs w:val="24"/>
          <w:lang w:eastAsia="en-IN"/>
          <w14:ligatures w14:val="none"/>
        </w:rPr>
        <w:t xml:space="preserve">to </w:t>
      </w:r>
      <w:r w:rsidRPr="00FA55E9">
        <w:rPr>
          <w:rFonts w:eastAsia="Times New Roman" w:cs="Times New Roman"/>
          <w:kern w:val="0"/>
          <w:szCs w:val="24"/>
          <w:lang w:eastAsia="en-IN"/>
          <w14:ligatures w14:val="none"/>
        </w:rPr>
        <w:t>generate a share of profit by 4% and 3%, respectively, while others shared 9%.</w:t>
      </w:r>
    </w:p>
    <w:p w14:paraId="3AD6E939" w14:textId="2F22A688" w:rsidR="004837B3" w:rsidRPr="00FA55E9" w:rsidRDefault="0063502C" w:rsidP="002E5350">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It can be found from the chart that in 2021, Llyod’s Bank profited the highest, and in this regard, customer satisfaction of the bank, based on services, can be concluded.</w:t>
      </w:r>
    </w:p>
    <w:p w14:paraId="68D3AFAB" w14:textId="77777777" w:rsidR="00EA6C80" w:rsidRPr="00FA55E9" w:rsidRDefault="00EA6C80" w:rsidP="00EA6C80">
      <w:pPr>
        <w:spacing w:after="0" w:line="360" w:lineRule="auto"/>
        <w:rPr>
          <w:rFonts w:eastAsia="Times New Roman" w:cs="Times New Roman"/>
          <w:b/>
          <w:bCs/>
          <w:kern w:val="0"/>
          <w:szCs w:val="24"/>
          <w:lang w:eastAsia="en-IN"/>
          <w14:ligatures w14:val="none"/>
        </w:rPr>
      </w:pPr>
    </w:p>
    <w:p w14:paraId="4F7C2D70" w14:textId="0D4A1F47" w:rsidR="00EA6C80" w:rsidRPr="00FA55E9" w:rsidRDefault="00EA6C8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noProof/>
          <w:kern w:val="0"/>
          <w:szCs w:val="24"/>
          <w:bdr w:val="single" w:sz="4" w:space="0" w:color="auto"/>
          <w:lang w:eastAsia="en-IN"/>
          <w14:ligatures w14:val="none"/>
        </w:rPr>
        <w:lastRenderedPageBreak/>
        <w:drawing>
          <wp:inline distT="0" distB="0" distL="0" distR="0" wp14:anchorId="6F9E8EBA" wp14:editId="069A4276">
            <wp:extent cx="4175760" cy="2392537"/>
            <wp:effectExtent l="0" t="0" r="0" b="8255"/>
            <wp:docPr id="1295356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356172" name=""/>
                    <pic:cNvPicPr/>
                  </pic:nvPicPr>
                  <pic:blipFill>
                    <a:blip r:embed="rId19"/>
                    <a:stretch>
                      <a:fillRect/>
                    </a:stretch>
                  </pic:blipFill>
                  <pic:spPr>
                    <a:xfrm>
                      <a:off x="0" y="0"/>
                      <a:ext cx="4195214" cy="2403683"/>
                    </a:xfrm>
                    <a:prstGeom prst="rect">
                      <a:avLst/>
                    </a:prstGeom>
                  </pic:spPr>
                </pic:pic>
              </a:graphicData>
            </a:graphic>
          </wp:inline>
        </w:drawing>
      </w:r>
    </w:p>
    <w:p w14:paraId="53C2E7B9" w14:textId="79B48DE4" w:rsidR="00EA6C80" w:rsidRPr="00FA55E9" w:rsidRDefault="00EA6C8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Figure 12: Market Share of Total Profits </w:t>
      </w:r>
      <w:r w:rsidR="007162D0" w:rsidRPr="00FA55E9">
        <w:rPr>
          <w:rFonts w:eastAsia="Times New Roman" w:cs="Times New Roman"/>
          <w:b/>
          <w:bCs/>
          <w:kern w:val="0"/>
          <w:szCs w:val="24"/>
          <w:lang w:eastAsia="en-IN"/>
          <w14:ligatures w14:val="none"/>
        </w:rPr>
        <w:t>Made</w:t>
      </w:r>
      <w:r w:rsidRPr="00FA55E9">
        <w:rPr>
          <w:rFonts w:eastAsia="Times New Roman" w:cs="Times New Roman"/>
          <w:b/>
          <w:bCs/>
          <w:kern w:val="0"/>
          <w:szCs w:val="24"/>
          <w:lang w:eastAsia="en-IN"/>
          <w14:ligatures w14:val="none"/>
        </w:rPr>
        <w:t xml:space="preserve"> by UK Banks, 2021</w:t>
      </w:r>
    </w:p>
    <w:p w14:paraId="2872238F" w14:textId="75F1C5F4" w:rsidR="00EA6C80" w:rsidRPr="00FA55E9" w:rsidRDefault="00EA6C8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Source: Statista, (2023)</w:t>
      </w:r>
    </w:p>
    <w:p w14:paraId="17C2F542" w14:textId="08C7A1EF" w:rsidR="004837B3" w:rsidRPr="00FA55E9" w:rsidRDefault="004837B3" w:rsidP="004837B3">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Figure 13, represents the survey conducted by the “Business Insider Intelligence”, based on UK Mobile Banking, and in this regard, factors considered for bank selection among users have been identified. According to the bar graph, mobile banking is considered the most important factor </w:t>
      </w:r>
      <w:r w:rsidR="007162D0" w:rsidRPr="00FA55E9">
        <w:rPr>
          <w:rFonts w:eastAsia="Times New Roman" w:cs="Times New Roman"/>
          <w:kern w:val="0"/>
          <w:szCs w:val="24"/>
          <w:lang w:eastAsia="en-IN"/>
          <w14:ligatures w14:val="none"/>
        </w:rPr>
        <w:t>when</w:t>
      </w:r>
      <w:r w:rsidRPr="00FA55E9">
        <w:rPr>
          <w:rFonts w:eastAsia="Times New Roman" w:cs="Times New Roman"/>
          <w:kern w:val="0"/>
          <w:szCs w:val="24"/>
          <w:lang w:eastAsia="en-IN"/>
          <w14:ligatures w14:val="none"/>
        </w:rPr>
        <w:t xml:space="preserve"> choosing </w:t>
      </w:r>
      <w:r w:rsidR="007162D0" w:rsidRPr="00FA55E9">
        <w:rPr>
          <w:rFonts w:eastAsia="Times New Roman" w:cs="Times New Roman"/>
          <w:kern w:val="0"/>
          <w:szCs w:val="24"/>
          <w:lang w:eastAsia="en-IN"/>
          <w14:ligatures w14:val="none"/>
        </w:rPr>
        <w:t xml:space="preserve">a </w:t>
      </w:r>
      <w:r w:rsidRPr="00FA55E9">
        <w:rPr>
          <w:rFonts w:eastAsia="Times New Roman" w:cs="Times New Roman"/>
          <w:kern w:val="0"/>
          <w:szCs w:val="24"/>
          <w:lang w:eastAsia="en-IN"/>
          <w14:ligatures w14:val="none"/>
        </w:rPr>
        <w:t xml:space="preserve">bank for financial effectiveness, and 54.3% of respondents have advocated for it. On the other hand, it can also be observed from the graph that 53.6% of respondents stated that they prioritise online banking facilities, </w:t>
      </w:r>
      <w:r w:rsidR="007162D0" w:rsidRPr="00FA55E9">
        <w:rPr>
          <w:rFonts w:eastAsia="Times New Roman" w:cs="Times New Roman"/>
          <w:kern w:val="0"/>
          <w:szCs w:val="24"/>
          <w:lang w:eastAsia="en-IN"/>
          <w14:ligatures w14:val="none"/>
        </w:rPr>
        <w:t xml:space="preserve">and </w:t>
      </w:r>
      <w:r w:rsidRPr="00FA55E9">
        <w:rPr>
          <w:rFonts w:eastAsia="Times New Roman" w:cs="Times New Roman"/>
          <w:kern w:val="0"/>
          <w:szCs w:val="24"/>
          <w:lang w:eastAsia="en-IN"/>
          <w14:ligatures w14:val="none"/>
        </w:rPr>
        <w:t xml:space="preserve">42.9% advocated rates for accounts. It can also be observed from the graph that 41.5% of respondents prioritise fees for choosing banks, as the extra financial charges matter to customers on a significant scale. The graph shows that 32.4% of respondents stated their focus on the notion of customer services, while 30.8% advocated for branches near them. 27.6% of the rest, identified the factor of fraud prevention while choosing a bank, and the cybersecurity of the banks is technically examined and understood. The factors regarding ATMs near them are considered by 12.4%, and other factors are valued by 0.4%. The choices have </w:t>
      </w:r>
      <w:r w:rsidR="007162D0" w:rsidRPr="00FA55E9">
        <w:rPr>
          <w:rFonts w:eastAsia="Times New Roman" w:cs="Times New Roman"/>
          <w:kern w:val="0"/>
          <w:szCs w:val="24"/>
          <w:lang w:eastAsia="en-IN"/>
          <w14:ligatures w14:val="none"/>
        </w:rPr>
        <w:t xml:space="preserve">been </w:t>
      </w:r>
      <w:r w:rsidRPr="00FA55E9">
        <w:rPr>
          <w:rFonts w:eastAsia="Times New Roman" w:cs="Times New Roman"/>
          <w:kern w:val="0"/>
          <w:szCs w:val="24"/>
          <w:lang w:eastAsia="en-IN"/>
          <w14:ligatures w14:val="none"/>
        </w:rPr>
        <w:t xml:space="preserve">identified in the graph, and it can be found that mobile and online banking are the most significant priorities for customers </w:t>
      </w:r>
      <w:r w:rsidR="007162D0" w:rsidRPr="00FA55E9">
        <w:rPr>
          <w:rFonts w:eastAsia="Times New Roman" w:cs="Times New Roman"/>
          <w:kern w:val="0"/>
          <w:szCs w:val="24"/>
          <w:lang w:eastAsia="en-IN"/>
          <w14:ligatures w14:val="none"/>
        </w:rPr>
        <w:t>when</w:t>
      </w:r>
      <w:r w:rsidRPr="00FA55E9">
        <w:rPr>
          <w:rFonts w:eastAsia="Times New Roman" w:cs="Times New Roman"/>
          <w:kern w:val="0"/>
          <w:szCs w:val="24"/>
          <w:lang w:eastAsia="en-IN"/>
          <w14:ligatures w14:val="none"/>
        </w:rPr>
        <w:t xml:space="preserve"> choosing financial activities through the UK banking sector.</w:t>
      </w:r>
    </w:p>
    <w:p w14:paraId="4C812365" w14:textId="14FCC1A3" w:rsidR="005E0371" w:rsidRPr="00FA55E9" w:rsidRDefault="00EA6C80" w:rsidP="00EA6C80">
      <w:pPr>
        <w:spacing w:after="0" w:line="360" w:lineRule="auto"/>
        <w:jc w:val="center"/>
        <w:rPr>
          <w:rFonts w:eastAsia="Times New Roman" w:cs="Times New Roman"/>
          <w:b/>
          <w:bCs/>
          <w:kern w:val="0"/>
          <w:szCs w:val="24"/>
          <w:lang w:eastAsia="en-IN"/>
          <w14:ligatures w14:val="none"/>
        </w:rPr>
      </w:pPr>
      <w:r w:rsidRPr="00FA55E9">
        <w:rPr>
          <w:noProof/>
          <w:bdr w:val="single" w:sz="4" w:space="0" w:color="auto"/>
        </w:rPr>
        <w:lastRenderedPageBreak/>
        <w:drawing>
          <wp:inline distT="0" distB="0" distL="0" distR="0" wp14:anchorId="37BA9A74" wp14:editId="3B4F3D44">
            <wp:extent cx="3964548" cy="4244340"/>
            <wp:effectExtent l="0" t="0" r="0" b="3810"/>
            <wp:docPr id="1683425915" name="Picture 7" descr="The UK Mobile Banking Competitive Edge Report 2020: How the largest UK  financial institutions rank on offering the mobile banking features  customers value most - Insider Intelligence Trends, Forecasts &amp;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UK Mobile Banking Competitive Edge Report 2020: How the largest UK  financial institutions rank on offering the mobile banking features  customers value most - Insider Intelligence Trends, Forecasts &amp; Statistic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80501" cy="4261419"/>
                    </a:xfrm>
                    <a:prstGeom prst="rect">
                      <a:avLst/>
                    </a:prstGeom>
                    <a:noFill/>
                    <a:ln>
                      <a:noFill/>
                    </a:ln>
                  </pic:spPr>
                </pic:pic>
              </a:graphicData>
            </a:graphic>
          </wp:inline>
        </w:drawing>
      </w:r>
    </w:p>
    <w:p w14:paraId="05E1EE04" w14:textId="195F9895" w:rsidR="00EA6C80" w:rsidRPr="00FA55E9" w:rsidRDefault="00EA6C8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13: Factor Considered for Bank Selection</w:t>
      </w:r>
    </w:p>
    <w:p w14:paraId="11B7E8C7" w14:textId="698AC19D" w:rsidR="00EA6C80" w:rsidRPr="00FA55E9" w:rsidRDefault="00EA6C8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Source: </w:t>
      </w:r>
      <w:proofErr w:type="spellStart"/>
      <w:r w:rsidRPr="00FA55E9">
        <w:rPr>
          <w:rFonts w:eastAsia="Times New Roman" w:cs="Times New Roman"/>
          <w:b/>
          <w:bCs/>
          <w:kern w:val="0"/>
          <w:szCs w:val="24"/>
          <w:lang w:eastAsia="en-IN"/>
          <w14:ligatures w14:val="none"/>
        </w:rPr>
        <w:t>businessinsider</w:t>
      </w:r>
      <w:proofErr w:type="spellEnd"/>
      <w:r w:rsidRPr="00FA55E9">
        <w:rPr>
          <w:rFonts w:eastAsia="Times New Roman" w:cs="Times New Roman"/>
          <w:b/>
          <w:bCs/>
          <w:kern w:val="0"/>
          <w:szCs w:val="24"/>
          <w:lang w:eastAsia="en-IN"/>
          <w14:ligatures w14:val="none"/>
        </w:rPr>
        <w:t>, (2020)</w:t>
      </w:r>
    </w:p>
    <w:p w14:paraId="46177E32" w14:textId="641CFBF6" w:rsidR="0063502C" w:rsidRPr="00FA55E9" w:rsidRDefault="0063502C" w:rsidP="0063502C">
      <w:pPr>
        <w:spacing w:after="0" w:line="360" w:lineRule="auto"/>
        <w:rPr>
          <w:rFonts w:eastAsia="Times New Roman" w:cs="Times New Roman"/>
          <w:kern w:val="0"/>
          <w:szCs w:val="24"/>
          <w:lang w:eastAsia="en-IN"/>
          <w14:ligatures w14:val="none"/>
        </w:rPr>
      </w:pPr>
      <w:r w:rsidRPr="00FA55E9">
        <w:rPr>
          <w:rFonts w:eastAsia="Times New Roman" w:cs="Times New Roman"/>
          <w:kern w:val="0"/>
          <w:szCs w:val="24"/>
          <w:lang w:eastAsia="en-IN"/>
          <w14:ligatures w14:val="none"/>
        </w:rPr>
        <w:t xml:space="preserve">Another survey, as observed in Figure 14, was conducted to understand the performance of mobile banking </w:t>
      </w:r>
      <w:r w:rsidR="007162D0" w:rsidRPr="00FA55E9">
        <w:rPr>
          <w:rFonts w:eastAsia="Times New Roman" w:cs="Times New Roman"/>
          <w:kern w:val="0"/>
          <w:szCs w:val="24"/>
          <w:lang w:eastAsia="en-IN"/>
          <w14:ligatures w14:val="none"/>
        </w:rPr>
        <w:t>applications</w:t>
      </w:r>
      <w:r w:rsidRPr="00FA55E9">
        <w:rPr>
          <w:rFonts w:eastAsia="Times New Roman" w:cs="Times New Roman"/>
          <w:kern w:val="0"/>
          <w:szCs w:val="24"/>
          <w:lang w:eastAsia="en-IN"/>
          <w14:ligatures w14:val="none"/>
        </w:rPr>
        <w:t xml:space="preserve"> in July 2021, and based on </w:t>
      </w:r>
      <w:r w:rsidR="007162D0" w:rsidRPr="00FA55E9">
        <w:rPr>
          <w:rFonts w:eastAsia="Times New Roman" w:cs="Times New Roman"/>
          <w:kern w:val="0"/>
          <w:szCs w:val="24"/>
          <w:lang w:eastAsia="en-IN"/>
          <w14:ligatures w14:val="none"/>
        </w:rPr>
        <w:t>this</w:t>
      </w:r>
      <w:r w:rsidRPr="00FA55E9">
        <w:rPr>
          <w:rFonts w:eastAsia="Times New Roman" w:cs="Times New Roman"/>
          <w:kern w:val="0"/>
          <w:szCs w:val="24"/>
          <w:lang w:eastAsia="en-IN"/>
          <w14:ligatures w14:val="none"/>
        </w:rPr>
        <w:t xml:space="preserve"> the efficiency of different banks in the UK can be understood.  According to the bar graph, it is found that Lloyd’s Banking Group has been successful </w:t>
      </w:r>
      <w:r w:rsidR="007162D0" w:rsidRPr="00FA55E9">
        <w:rPr>
          <w:rFonts w:eastAsia="Times New Roman" w:cs="Times New Roman"/>
          <w:kern w:val="0"/>
          <w:szCs w:val="24"/>
          <w:lang w:eastAsia="en-IN"/>
          <w14:ligatures w14:val="none"/>
        </w:rPr>
        <w:t>in performing</w:t>
      </w:r>
      <w:r w:rsidRPr="00FA55E9">
        <w:rPr>
          <w:rFonts w:eastAsia="Times New Roman" w:cs="Times New Roman"/>
          <w:kern w:val="0"/>
          <w:szCs w:val="24"/>
          <w:lang w:eastAsia="en-IN"/>
          <w14:ligatures w14:val="none"/>
        </w:rPr>
        <w:t xml:space="preserve"> with a benchmark score of 45.0%, while Barclays managed to score 43.9%. On the other hand, it can also be stated from the findings that the benchmark scores of NatWest Group </w:t>
      </w:r>
      <w:r w:rsidR="007162D0" w:rsidRPr="00FA55E9">
        <w:rPr>
          <w:rFonts w:eastAsia="Times New Roman" w:cs="Times New Roman"/>
          <w:kern w:val="0"/>
          <w:szCs w:val="24"/>
          <w:lang w:eastAsia="en-IN"/>
          <w14:ligatures w14:val="none"/>
        </w:rPr>
        <w:t>were</w:t>
      </w:r>
      <w:r w:rsidRPr="00FA55E9">
        <w:rPr>
          <w:rFonts w:eastAsia="Times New Roman" w:cs="Times New Roman"/>
          <w:kern w:val="0"/>
          <w:szCs w:val="24"/>
          <w:lang w:eastAsia="en-IN"/>
          <w14:ligatures w14:val="none"/>
        </w:rPr>
        <w:t xml:space="preserve"> calculated at 39.7%, and for HSBC it was observed at 38.2%. Moreover, Virgin Money </w:t>
      </w:r>
      <w:r w:rsidR="007162D0" w:rsidRPr="00FA55E9">
        <w:rPr>
          <w:rFonts w:eastAsia="Times New Roman" w:cs="Times New Roman"/>
          <w:kern w:val="0"/>
          <w:szCs w:val="24"/>
          <w:lang w:eastAsia="en-IN"/>
          <w14:ligatures w14:val="none"/>
        </w:rPr>
        <w:t>was</w:t>
      </w:r>
      <w:r w:rsidRPr="00FA55E9">
        <w:rPr>
          <w:rFonts w:eastAsia="Times New Roman" w:cs="Times New Roman"/>
          <w:kern w:val="0"/>
          <w:szCs w:val="24"/>
          <w:lang w:eastAsia="en-IN"/>
          <w14:ligatures w14:val="none"/>
        </w:rPr>
        <w:t xml:space="preserve"> able to score with 23.0%, based on the performance of mobile banking, and in the case of </w:t>
      </w:r>
      <w:proofErr w:type="spellStart"/>
      <w:r w:rsidRPr="00FA55E9">
        <w:rPr>
          <w:rFonts w:eastAsia="Times New Roman" w:cs="Times New Roman"/>
          <w:kern w:val="0"/>
          <w:szCs w:val="24"/>
          <w:lang w:eastAsia="en-IN"/>
          <w14:ligatures w14:val="none"/>
        </w:rPr>
        <w:t>NationWide</w:t>
      </w:r>
      <w:proofErr w:type="spellEnd"/>
      <w:r w:rsidRPr="00FA55E9">
        <w:rPr>
          <w:rFonts w:eastAsia="Times New Roman" w:cs="Times New Roman"/>
          <w:kern w:val="0"/>
          <w:szCs w:val="24"/>
          <w:lang w:eastAsia="en-IN"/>
          <w14:ligatures w14:val="none"/>
        </w:rPr>
        <w:t>, it was observed at 19.2%. However, TSB and Santander became able to score 16.4% and 15.2% with respect to mobile banking performance in July 2021, while the Co-operative Bank scored 3.9%. The graph highlights that the Llyod’s Banking Group and Barclays are the two most significant banks to ensure mobile banking, while the effective acts and activities empowered by the banks have been customer-friendly.</w:t>
      </w:r>
    </w:p>
    <w:p w14:paraId="66AB4797" w14:textId="22373D75" w:rsidR="002E5350" w:rsidRPr="00FA55E9" w:rsidRDefault="002E5350" w:rsidP="00EA6C80">
      <w:pPr>
        <w:spacing w:after="0" w:line="360" w:lineRule="auto"/>
        <w:jc w:val="center"/>
        <w:rPr>
          <w:rFonts w:eastAsia="Times New Roman" w:cs="Times New Roman"/>
          <w:b/>
          <w:bCs/>
          <w:kern w:val="0"/>
          <w:szCs w:val="24"/>
          <w:lang w:eastAsia="en-IN"/>
          <w14:ligatures w14:val="none"/>
        </w:rPr>
      </w:pPr>
      <w:r w:rsidRPr="00FA55E9">
        <w:rPr>
          <w:noProof/>
          <w:bdr w:val="single" w:sz="4" w:space="0" w:color="auto"/>
        </w:rPr>
        <w:lastRenderedPageBreak/>
        <w:drawing>
          <wp:inline distT="0" distB="0" distL="0" distR="0" wp14:anchorId="0C40F4DC" wp14:editId="29DD5600">
            <wp:extent cx="3596640" cy="3706742"/>
            <wp:effectExtent l="0" t="0" r="3810" b="8255"/>
            <wp:docPr id="587905788" name="Picture 8" descr="UK Mobile Banking Emerging Features Benchmark 2021 - Insider Intelligence  Trends, Forecasts &amp;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K Mobile Banking Emerging Features Benchmark 2021 - Insider Intelligence  Trends, Forecasts &amp; Statistic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06155" cy="3716549"/>
                    </a:xfrm>
                    <a:prstGeom prst="rect">
                      <a:avLst/>
                    </a:prstGeom>
                    <a:noFill/>
                    <a:ln>
                      <a:noFill/>
                    </a:ln>
                  </pic:spPr>
                </pic:pic>
              </a:graphicData>
            </a:graphic>
          </wp:inline>
        </w:drawing>
      </w:r>
    </w:p>
    <w:p w14:paraId="1A82E0EB" w14:textId="4595DA16" w:rsidR="002E5350" w:rsidRPr="00FA55E9" w:rsidRDefault="002E535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Figure 14: Mobil Banking Application Performance and Benchmark Scores</w:t>
      </w:r>
    </w:p>
    <w:p w14:paraId="41E8839E" w14:textId="1C198E26" w:rsidR="002E5350" w:rsidRPr="00FA55E9" w:rsidRDefault="002E5350" w:rsidP="00EA6C80">
      <w:pPr>
        <w:spacing w:after="0" w:line="360" w:lineRule="auto"/>
        <w:jc w:val="center"/>
        <w:rPr>
          <w:rFonts w:eastAsia="Times New Roman" w:cs="Times New Roman"/>
          <w:b/>
          <w:bCs/>
          <w:kern w:val="0"/>
          <w:szCs w:val="24"/>
          <w:lang w:eastAsia="en-IN"/>
          <w14:ligatures w14:val="none"/>
        </w:rPr>
      </w:pPr>
      <w:r w:rsidRPr="00FA55E9">
        <w:rPr>
          <w:rFonts w:eastAsia="Times New Roman" w:cs="Times New Roman"/>
          <w:b/>
          <w:bCs/>
          <w:kern w:val="0"/>
          <w:szCs w:val="24"/>
          <w:lang w:eastAsia="en-IN"/>
          <w14:ligatures w14:val="none"/>
        </w:rPr>
        <w:t xml:space="preserve">Source: </w:t>
      </w:r>
      <w:proofErr w:type="spellStart"/>
      <w:r w:rsidRPr="00FA55E9">
        <w:rPr>
          <w:rFonts w:eastAsia="Times New Roman" w:cs="Times New Roman"/>
          <w:b/>
          <w:bCs/>
          <w:kern w:val="0"/>
          <w:szCs w:val="24"/>
          <w:lang w:eastAsia="en-IN"/>
          <w14:ligatures w14:val="none"/>
        </w:rPr>
        <w:t>insiderintelligence</w:t>
      </w:r>
      <w:proofErr w:type="spellEnd"/>
      <w:r w:rsidRPr="00FA55E9">
        <w:rPr>
          <w:rFonts w:eastAsia="Times New Roman" w:cs="Times New Roman"/>
          <w:b/>
          <w:bCs/>
          <w:kern w:val="0"/>
          <w:szCs w:val="24"/>
          <w:lang w:eastAsia="en-IN"/>
          <w14:ligatures w14:val="none"/>
        </w:rPr>
        <w:t>, (2021)</w:t>
      </w:r>
    </w:p>
    <w:p w14:paraId="2E404060" w14:textId="77777777" w:rsidR="00D81529" w:rsidRPr="00FA55E9" w:rsidRDefault="00D81529" w:rsidP="0031466A">
      <w:pPr>
        <w:pStyle w:val="Heading2"/>
        <w:rPr>
          <w:rFonts w:eastAsia="Times New Roman"/>
          <w:lang w:eastAsia="en-IN"/>
        </w:rPr>
      </w:pPr>
      <w:bookmarkStart w:id="85" w:name="_Toc145004303"/>
      <w:bookmarkStart w:id="86" w:name="_Toc145078419"/>
      <w:r w:rsidRPr="00FA55E9">
        <w:rPr>
          <w:rFonts w:eastAsia="Times New Roman"/>
          <w:lang w:eastAsia="en-IN"/>
        </w:rPr>
        <w:t>4.3 Discussion</w:t>
      </w:r>
      <w:bookmarkEnd w:id="85"/>
      <w:bookmarkEnd w:id="86"/>
    </w:p>
    <w:p w14:paraId="2F92E137" w14:textId="77777777" w:rsidR="005E0371" w:rsidRPr="00FA55E9" w:rsidRDefault="005E0371" w:rsidP="005E0371">
      <w:pPr>
        <w:spacing w:after="0" w:line="360" w:lineRule="auto"/>
        <w:rPr>
          <w:rFonts w:eastAsia="Times New Roman" w:cs="Times New Roman"/>
          <w:kern w:val="0"/>
          <w:szCs w:val="24"/>
          <w:lang w:eastAsia="en-IN"/>
          <w14:ligatures w14:val="none"/>
        </w:rPr>
      </w:pPr>
      <w:bookmarkStart w:id="87" w:name="_Hlk145002483"/>
      <w:r w:rsidRPr="00FA55E9">
        <w:rPr>
          <w:rFonts w:eastAsia="Times New Roman" w:cs="Times New Roman"/>
          <w:color w:val="000000"/>
          <w:kern w:val="0"/>
          <w:szCs w:val="24"/>
          <w:lang w:eastAsia="en-IN"/>
          <w14:ligatures w14:val="none"/>
        </w:rPr>
        <w:t>The financial industry plays an essential role in British culture, politics, and the economy. Most people agree that the financial services industry in the United Kingdom is crucial to the country's economy and to the development of new jobs. The financial services sector has benefited greatly from the efforts of commercial banks, investment banks, and fintech startups throughout the years. The British economy, government, and culture are all profoundly impacted by this industry.</w:t>
      </w:r>
    </w:p>
    <w:p w14:paraId="30D6C04A" w14:textId="5DD5D271"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 xml:space="preserve">There can be no doubt about the importance of the financial sector to Britain's economic and social growth. Increasing people's and enterprises' access to credit is good for economic development and job creation. Growth in a wide variety of sectors would be boosted if more people and enterprises had access to credit (Ahmed et al., 2020). Consumers are more inclined to spend money in the long run when they have more ways to pay for expensive products like houses and cars. If companies could get their hands on money more easily, they could hire more people, update their machinery, and boost production. In turn, this boosts the economy and opens up additional job prospects. Financial stability is greatly aided by the availability of a wide variety of banking services and products. Mortgages, remortgages, and home equity </w:t>
      </w:r>
      <w:r w:rsidRPr="00FA55E9">
        <w:rPr>
          <w:rFonts w:eastAsia="Times New Roman" w:cs="Times New Roman"/>
          <w:color w:val="000000"/>
          <w:kern w:val="0"/>
          <w:szCs w:val="24"/>
          <w:lang w:eastAsia="en-IN"/>
          <w14:ligatures w14:val="none"/>
        </w:rPr>
        <w:lastRenderedPageBreak/>
        <w:t xml:space="preserve">loans are all types of financial services. This industry not only helps the economy expand and new items to be created, but it also helps startups get access to capital. The financial sector, in order to have a beneficial effect on society and the economy, must first overcome the challenges it now confronts. Increased regulation and deeper scrutiny of the business have been pushed for since the 2008 financial crisis exposed systemic flaws (Hodson, 2021). One example of the stricter regulatory measures employed to protect the financial system is the introduction of the Basel III regulatory framework. These rules were created as a safeguard against excessive debt and risky lending practices. Financial institutions' bottom lines might take a hit if the cost of complying with regulations exceeds the </w:t>
      </w:r>
      <w:r w:rsidR="00E96B09" w:rsidRPr="00FA55E9">
        <w:rPr>
          <w:rFonts w:eastAsia="Times New Roman" w:cs="Times New Roman"/>
          <w:color w:val="000000"/>
          <w:kern w:val="0"/>
          <w:szCs w:val="24"/>
          <w:lang w:eastAsia="en-IN"/>
          <w14:ligatures w14:val="none"/>
        </w:rPr>
        <w:t>revenue,</w:t>
      </w:r>
      <w:r w:rsidRPr="00FA55E9">
        <w:rPr>
          <w:rFonts w:eastAsia="Times New Roman" w:cs="Times New Roman"/>
          <w:color w:val="000000"/>
          <w:kern w:val="0"/>
          <w:szCs w:val="24"/>
          <w:lang w:eastAsia="en-IN"/>
          <w14:ligatures w14:val="none"/>
        </w:rPr>
        <w:t xml:space="preserve"> they bring in.</w:t>
      </w:r>
    </w:p>
    <w:p w14:paraId="399BB166" w14:textId="7D6DBAB5"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 xml:space="preserve">There is a strong relationship between the financial industry and British politics. When corporations donate to political campaigns, it changes the political landscape. Think about how banks and financial services firms could use lobbying to affect policy. Indicators of this effect include ongoing debates and discussions on tax policy, consumer rights, and the soundness of the financial system. The political and social impact of governments' reactions to financial crises cannot be overstated. Governments may resort to interventionist policies in times of economic uncertainty in order to maintain the health of the financial sector. The government of the United Kingdom passed a number of new </w:t>
      </w:r>
      <w:r w:rsidR="00E96B09" w:rsidRPr="00FA55E9">
        <w:rPr>
          <w:rFonts w:eastAsia="Times New Roman" w:cs="Times New Roman"/>
          <w:color w:val="000000"/>
          <w:kern w:val="0"/>
          <w:szCs w:val="24"/>
          <w:lang w:eastAsia="en-IN"/>
          <w14:ligatures w14:val="none"/>
        </w:rPr>
        <w:t>legislations</w:t>
      </w:r>
      <w:r w:rsidRPr="00FA55E9">
        <w:rPr>
          <w:rFonts w:eastAsia="Times New Roman" w:cs="Times New Roman"/>
          <w:color w:val="000000"/>
          <w:kern w:val="0"/>
          <w:szCs w:val="24"/>
          <w:lang w:eastAsia="en-IN"/>
          <w14:ligatures w14:val="none"/>
        </w:rPr>
        <w:t xml:space="preserve"> in reaction to the global financial crisis that started in 2008. The Financial Services Authority was an initiative aimed at fostering growth while maintaining regulatory control over the financial services industry (Seyfang and Gilbert-Squires, 2019). The Financial Conduct Authority (FCA) and Prudential Regulation Authority (PRA) were set up to improve regulation of the financial services industry in place of the Financial Services Authority (FSA). The execution of these reforms may have far-reaching social and political ramifications, such as changes in the distribution of public funding and the possible influence on public opinion and trust in the governing body. Beyond these two examples, there are thousands more.</w:t>
      </w:r>
    </w:p>
    <w:p w14:paraId="24F159B8" w14:textId="77777777"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There is a wide variety of "socio-political engagement" projects in which financial institutions take part. There are just two that come to mind: business as usual and financial inclusion. The onus of finding answers to climate change and economic injustice is increasingly falling on institutions. Banks and other financial organizations are giving ESG elements of their operations more thought as these issues have grown in importance in the realms of public opinion and politics (</w:t>
      </w:r>
      <w:proofErr w:type="spellStart"/>
      <w:r w:rsidRPr="00FA55E9">
        <w:rPr>
          <w:rFonts w:eastAsia="Times New Roman" w:cs="Times New Roman"/>
          <w:color w:val="000000"/>
          <w:kern w:val="0"/>
          <w:szCs w:val="24"/>
          <w:lang w:eastAsia="en-IN"/>
          <w14:ligatures w14:val="none"/>
        </w:rPr>
        <w:t>Wewege</w:t>
      </w:r>
      <w:proofErr w:type="spellEnd"/>
      <w:r w:rsidRPr="00FA55E9">
        <w:rPr>
          <w:rFonts w:eastAsia="Times New Roman" w:cs="Times New Roman"/>
          <w:color w:val="000000"/>
          <w:kern w:val="0"/>
          <w:szCs w:val="24"/>
          <w:lang w:eastAsia="en-IN"/>
          <w14:ligatures w14:val="none"/>
        </w:rPr>
        <w:t xml:space="preserve"> and </w:t>
      </w:r>
      <w:proofErr w:type="spellStart"/>
      <w:r w:rsidRPr="00FA55E9">
        <w:rPr>
          <w:rFonts w:eastAsia="Times New Roman" w:cs="Times New Roman"/>
          <w:color w:val="000000"/>
          <w:kern w:val="0"/>
          <w:szCs w:val="24"/>
          <w:lang w:eastAsia="en-IN"/>
          <w14:ligatures w14:val="none"/>
        </w:rPr>
        <w:t>Thomsett</w:t>
      </w:r>
      <w:proofErr w:type="spellEnd"/>
      <w:r w:rsidRPr="00FA55E9">
        <w:rPr>
          <w:rFonts w:eastAsia="Times New Roman" w:cs="Times New Roman"/>
          <w:color w:val="000000"/>
          <w:kern w:val="0"/>
          <w:szCs w:val="24"/>
          <w:lang w:eastAsia="en-IN"/>
          <w14:ligatures w14:val="none"/>
        </w:rPr>
        <w:t xml:space="preserve">, 2019). Britain's economy and government are profoundly affected by the banking sector's intricate architecture. The difficult institution is crucial to the continued expansion of the economy and the stability of the currency. It also has a major effect on public debate and government policymaking on a national scale. The United </w:t>
      </w:r>
      <w:r w:rsidRPr="00FA55E9">
        <w:rPr>
          <w:rFonts w:eastAsia="Times New Roman" w:cs="Times New Roman"/>
          <w:color w:val="000000"/>
          <w:kern w:val="0"/>
          <w:szCs w:val="24"/>
          <w:lang w:eastAsia="en-IN"/>
          <w14:ligatures w14:val="none"/>
        </w:rPr>
        <w:lastRenderedPageBreak/>
        <w:t>Kingdom's banking sector experienced significant hurdles after the 2008 financial crisis when regulators clamped down on the business. The government and businesses continue to place a premium on it. The extent to which this industry can adjust to shifting economic and political situations will determine its future national effect (Ramdani et al., 2020).</w:t>
      </w:r>
    </w:p>
    <w:p w14:paraId="5A0B9C24" w14:textId="2AC5C8E4"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 xml:space="preserve">Customer satisfaction with a wide range of British businesses has risen in recent years, according to polls. According to the UK Customer Satisfaction Index (UKCSI), customer satisfaction with financial institutions in the United Kingdom has increased over the previous several years. The United Kingdom Consumer Satisfaction Index (UKCSI) is an all-encompassing index that measures customer happiness with a wide variety of companies situated in the United Kingdom. This index was created so that people in the United States can easily compare the quality of service provided by various businesses. This is because the data for the UK Customer Satisfaction Index comes from a wide variety of companies' customer satisfaction surveys. In 2021, customer satisfaction was up to 76.3 </w:t>
      </w:r>
      <w:r w:rsidR="00184260" w:rsidRPr="00FA55E9">
        <w:rPr>
          <w:rFonts w:eastAsia="Times New Roman" w:cs="Times New Roman"/>
          <w:color w:val="000000"/>
          <w:kern w:val="0"/>
          <w:szCs w:val="24"/>
          <w:lang w:eastAsia="en-IN"/>
          <w14:ligatures w14:val="none"/>
        </w:rPr>
        <w:t>in</w:t>
      </w:r>
      <w:r w:rsidRPr="00FA55E9">
        <w:rPr>
          <w:rFonts w:eastAsia="Times New Roman" w:cs="Times New Roman"/>
          <w:color w:val="000000"/>
          <w:kern w:val="0"/>
          <w:szCs w:val="24"/>
          <w:lang w:eastAsia="en-IN"/>
          <w14:ligatures w14:val="none"/>
        </w:rPr>
        <w:t xml:space="preserve"> </w:t>
      </w:r>
      <w:r w:rsidR="00184260" w:rsidRPr="00FA55E9">
        <w:rPr>
          <w:rFonts w:eastAsia="Times New Roman" w:cs="Times New Roman"/>
          <w:color w:val="000000"/>
          <w:kern w:val="0"/>
          <w:szCs w:val="24"/>
          <w:lang w:eastAsia="en-IN"/>
          <w14:ligatures w14:val="none"/>
        </w:rPr>
        <w:t>2020</w:t>
      </w:r>
      <w:r w:rsidRPr="00FA55E9">
        <w:rPr>
          <w:rFonts w:eastAsia="Times New Roman" w:cs="Times New Roman"/>
          <w:color w:val="000000"/>
          <w:kern w:val="0"/>
          <w:szCs w:val="24"/>
          <w:lang w:eastAsia="en-IN"/>
          <w14:ligatures w14:val="none"/>
        </w:rPr>
        <w:t xml:space="preserve"> 73.5 (</w:t>
      </w:r>
      <w:proofErr w:type="spellStart"/>
      <w:r w:rsidRPr="00FA55E9">
        <w:rPr>
          <w:rFonts w:eastAsia="Times New Roman" w:cs="Times New Roman"/>
          <w:color w:val="000000"/>
          <w:kern w:val="0"/>
          <w:szCs w:val="24"/>
          <w:lang w:eastAsia="en-IN"/>
          <w14:ligatures w14:val="none"/>
        </w:rPr>
        <w:t>Chayjan</w:t>
      </w:r>
      <w:proofErr w:type="spellEnd"/>
      <w:r w:rsidRPr="00FA55E9">
        <w:rPr>
          <w:rFonts w:eastAsia="Times New Roman" w:cs="Times New Roman"/>
          <w:color w:val="000000"/>
          <w:kern w:val="0"/>
          <w:szCs w:val="24"/>
          <w:lang w:eastAsia="en-IN"/>
          <w14:ligatures w14:val="none"/>
        </w:rPr>
        <w:t xml:space="preserve"> et al., 2020).</w:t>
      </w:r>
    </w:p>
    <w:p w14:paraId="0A72090B" w14:textId="77777777"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Several variables may affect how satisfied customers are with Britain's financial service companies. More investigation into the causes of Internet banking's dramatic ascent is required. Financial institution customer satisfaction is significantly influenced by the growing use of digital services like mobile and online banking. The ease and accessibility of digital services are major factors in this trend. A bank's client base may grow or shrink depending on how friendly its mobile app and other digital services are.</w:t>
      </w:r>
    </w:p>
    <w:p w14:paraId="53D1970E" w14:textId="77777777"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 Keeping in touch with your clients and responding to their changing needs is crucial. Companies may improve their customer satisfaction ratings by being honest about pricing and services, and by responding quickly and politely to customer inquiries. Recent studies show that financial organizations that put customer needs first fare better (</w:t>
      </w:r>
      <w:proofErr w:type="spellStart"/>
      <w:r w:rsidRPr="00FA55E9">
        <w:rPr>
          <w:rFonts w:eastAsia="Times New Roman" w:cs="Times New Roman"/>
          <w:color w:val="000000"/>
          <w:kern w:val="0"/>
          <w:szCs w:val="24"/>
          <w:lang w:eastAsia="en-IN"/>
          <w14:ligatures w14:val="none"/>
        </w:rPr>
        <w:t>Massoc</w:t>
      </w:r>
      <w:proofErr w:type="spellEnd"/>
      <w:r w:rsidRPr="00FA55E9">
        <w:rPr>
          <w:rFonts w:eastAsia="Times New Roman" w:cs="Times New Roman"/>
          <w:color w:val="000000"/>
          <w:kern w:val="0"/>
          <w:szCs w:val="24"/>
          <w:lang w:eastAsia="en-IN"/>
          <w14:ligatures w14:val="none"/>
        </w:rPr>
        <w:t>, 2020).</w:t>
      </w:r>
    </w:p>
    <w:p w14:paraId="2A9CC66F" w14:textId="46FAFC89" w:rsidR="005E0371" w:rsidRPr="00FA55E9" w:rsidRDefault="005E0371" w:rsidP="00073599">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A number of problems, some of which have since been fixed, recently threatened consumer satisfaction ratings in the UK banking sector. Every modern, successful company must now deal with the challenge of digital transformation. Having access to a wide variety of useful web resources has improved many people's standard of living. Keep in mind that increased regulation and attention over the safety of users' private data has coincided with the rise of these services. People who use contemporary financial services often take it as a given that their suppliers would take enough measures to safeguard their information. One strong piece of evidence in support of this perspective is the necessity of data privacy and confidentiality. People will lose trust in you and their pleasure will be destroyed if you let them down (</w:t>
      </w:r>
      <w:proofErr w:type="spellStart"/>
      <w:r w:rsidRPr="00FA55E9">
        <w:rPr>
          <w:rFonts w:eastAsia="Times New Roman" w:cs="Times New Roman"/>
          <w:color w:val="000000"/>
          <w:kern w:val="0"/>
          <w:szCs w:val="24"/>
          <w:lang w:eastAsia="en-IN"/>
          <w14:ligatures w14:val="none"/>
        </w:rPr>
        <w:t>Haapio</w:t>
      </w:r>
      <w:proofErr w:type="spellEnd"/>
      <w:r w:rsidRPr="00FA55E9">
        <w:rPr>
          <w:rFonts w:eastAsia="Times New Roman" w:cs="Times New Roman"/>
          <w:color w:val="000000"/>
          <w:kern w:val="0"/>
          <w:szCs w:val="24"/>
          <w:lang w:eastAsia="en-IN"/>
          <w14:ligatures w14:val="none"/>
        </w:rPr>
        <w:t xml:space="preserve"> et al., 2021).</w:t>
      </w:r>
    </w:p>
    <w:p w14:paraId="5B755BB3" w14:textId="77777777" w:rsidR="005E0371" w:rsidRPr="00FA55E9" w:rsidRDefault="005E0371" w:rsidP="00073599">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lastRenderedPageBreak/>
        <w:t>It is important to stress the significance of in-person contacts wherever possible, notwithstanding the growing popularity of Internet banking. Personal relationships with clients are still important to the bank, especially for individuals with more complicated financial problems. This is particularly the case if there is solid evidence of the vendor's past financial issues. If this sector can effectively merge innovative technology with customized service, it will have a leg up on the competition. Standard banking procedures have begun to integrate environmental, social, and governance (ESG) considerations in recent years. More and more people are thinking about how their purchases may affect others, the economy, and the environment. When day-to-day operations are in line with the company's sustainability goals and ESG principles, financial institutions may gain a competitive edge in customer satisfaction (</w:t>
      </w:r>
      <w:proofErr w:type="spellStart"/>
      <w:r w:rsidRPr="00FA55E9">
        <w:rPr>
          <w:rFonts w:eastAsia="Times New Roman" w:cs="Times New Roman"/>
          <w:color w:val="000000"/>
          <w:kern w:val="0"/>
          <w:szCs w:val="24"/>
          <w:lang w:eastAsia="en-IN"/>
          <w14:ligatures w14:val="none"/>
        </w:rPr>
        <w:t>Borgogno</w:t>
      </w:r>
      <w:proofErr w:type="spellEnd"/>
      <w:r w:rsidRPr="00FA55E9">
        <w:rPr>
          <w:rFonts w:eastAsia="Times New Roman" w:cs="Times New Roman"/>
          <w:color w:val="000000"/>
          <w:kern w:val="0"/>
          <w:szCs w:val="24"/>
          <w:lang w:eastAsia="en-IN"/>
          <w14:ligatures w14:val="none"/>
        </w:rPr>
        <w:t xml:space="preserve"> and Colangelo, 2022). The British financial services sector has seen client satisfaction levels rise to all-time highs in recent years. It would not have been possible to make these advancements without the help of technology and novel approaches to interacting with the customer base. There has to be a happy medium between virtual and in-person gatherings if customer happiness is to be maintained, much less boosted. The fate of the industry may depend on whether or not environmental, social, and governance (ESG) considerations are included in day-to-day practices (</w:t>
      </w:r>
      <w:proofErr w:type="spellStart"/>
      <w:r w:rsidRPr="00FA55E9">
        <w:rPr>
          <w:rFonts w:eastAsia="Times New Roman" w:cs="Times New Roman"/>
          <w:color w:val="000000"/>
          <w:kern w:val="0"/>
          <w:szCs w:val="24"/>
          <w:lang w:eastAsia="en-IN"/>
          <w14:ligatures w14:val="none"/>
        </w:rPr>
        <w:t>Filotto</w:t>
      </w:r>
      <w:proofErr w:type="spellEnd"/>
      <w:r w:rsidRPr="00FA55E9">
        <w:rPr>
          <w:rFonts w:eastAsia="Times New Roman" w:cs="Times New Roman"/>
          <w:color w:val="000000"/>
          <w:kern w:val="0"/>
          <w:szCs w:val="24"/>
          <w:lang w:eastAsia="en-IN"/>
          <w14:ligatures w14:val="none"/>
        </w:rPr>
        <w:t xml:space="preserve"> et al., 2021). This would show how much we care about what our customers want. Banking has changed drastically as a result of customers' growing expectations for ease of use, safety, and morality in their financial institutions.</w:t>
      </w:r>
    </w:p>
    <w:bookmarkEnd w:id="87"/>
    <w:p w14:paraId="185F0506" w14:textId="754AB0E7" w:rsidR="00F9668D" w:rsidRPr="00FA55E9" w:rsidRDefault="00F9668D" w:rsidP="005E0371">
      <w:pPr>
        <w:spacing w:after="0" w:line="360" w:lineRule="auto"/>
        <w:rPr>
          <w:rFonts w:eastAsia="Times New Roman" w:cs="Times New Roman"/>
          <w:kern w:val="0"/>
          <w:szCs w:val="24"/>
          <w:lang w:eastAsia="en-IN"/>
          <w14:ligatures w14:val="none"/>
        </w:rPr>
      </w:pPr>
      <w:r w:rsidRPr="00FA55E9">
        <w:rPr>
          <w:rFonts w:eastAsia="Times New Roman" w:cs="Times New Roman"/>
          <w:color w:val="000000"/>
          <w:kern w:val="0"/>
          <w:szCs w:val="24"/>
          <w:lang w:eastAsia="en-IN"/>
          <w14:ligatures w14:val="none"/>
        </w:rPr>
        <w:t xml:space="preserve">The intensity of working conditions in the UK banking sector has also improved as per the requirements, and the developmental factors have been beneficial for the growth of stakeholder relationships. On the other hand, it can be observed from the previous section of the study that from 2020 to 2021, people’s dependency on alternative banking support has increased by 12%, which can be a threat </w:t>
      </w:r>
      <w:r w:rsidR="007162D0" w:rsidRPr="00FA55E9">
        <w:rPr>
          <w:rFonts w:eastAsia="Times New Roman" w:cs="Times New Roman"/>
          <w:color w:val="000000"/>
          <w:kern w:val="0"/>
          <w:szCs w:val="24"/>
          <w:lang w:eastAsia="en-IN"/>
          <w14:ligatures w14:val="none"/>
        </w:rPr>
        <w:t>to</w:t>
      </w:r>
      <w:r w:rsidRPr="00FA55E9">
        <w:rPr>
          <w:rFonts w:eastAsia="Times New Roman" w:cs="Times New Roman"/>
          <w:color w:val="000000"/>
          <w:kern w:val="0"/>
          <w:szCs w:val="24"/>
          <w:lang w:eastAsia="en-IN"/>
          <w14:ligatures w14:val="none"/>
        </w:rPr>
        <w:t xml:space="preserve"> the traditional banking activities. The effective monetary practices and services provided by alternative banking platforms have been able to recreate different opportunities for people, and the effective changes brought into action have been credible for the customers (</w:t>
      </w:r>
      <w:proofErr w:type="spellStart"/>
      <w:r w:rsidR="0031466A" w:rsidRPr="00FA55E9">
        <w:rPr>
          <w:rFonts w:eastAsia="Times New Roman" w:cs="Times New Roman"/>
          <w:kern w:val="0"/>
          <w:szCs w:val="24"/>
          <w:lang w:eastAsia="en-IN"/>
          <w14:ligatures w14:val="none"/>
        </w:rPr>
        <w:t>Filotto</w:t>
      </w:r>
      <w:proofErr w:type="spellEnd"/>
      <w:r w:rsidR="0031466A" w:rsidRPr="00FA55E9">
        <w:rPr>
          <w:rFonts w:eastAsia="Times New Roman" w:cs="Times New Roman"/>
          <w:kern w:val="0"/>
          <w:szCs w:val="24"/>
          <w:lang w:eastAsia="en-IN"/>
          <w14:ligatures w14:val="none"/>
        </w:rPr>
        <w:t xml:space="preserve"> et al. 2021</w:t>
      </w:r>
      <w:r w:rsidRPr="00FA55E9">
        <w:rPr>
          <w:rFonts w:eastAsia="Times New Roman" w:cs="Times New Roman"/>
          <w:color w:val="000000"/>
          <w:kern w:val="0"/>
          <w:szCs w:val="24"/>
          <w:lang w:eastAsia="en-IN"/>
          <w14:ligatures w14:val="none"/>
        </w:rPr>
        <w:t xml:space="preserve">). Moreover, due to the extended practices of digital banking in the UK, the role of mobile banking has become </w:t>
      </w:r>
      <w:r w:rsidR="00073599" w:rsidRPr="00FA55E9">
        <w:rPr>
          <w:rFonts w:eastAsia="Times New Roman" w:cs="Times New Roman"/>
          <w:color w:val="000000"/>
          <w:kern w:val="0"/>
          <w:szCs w:val="24"/>
          <w:lang w:eastAsia="en-IN"/>
          <w14:ligatures w14:val="none"/>
        </w:rPr>
        <w:t>significant, and from the previous section, it can be observed that the performance of Lloyd’s Bank through mobile banking is the highest. In this regard, it can be stated that the cybersecurity of the banking group is strong and efficient (</w:t>
      </w:r>
      <w:proofErr w:type="spellStart"/>
      <w:r w:rsidR="0031466A" w:rsidRPr="00FA55E9">
        <w:rPr>
          <w:rFonts w:cs="Times New Roman"/>
          <w:szCs w:val="24"/>
          <w:shd w:val="clear" w:color="auto" w:fill="FFFFFF"/>
        </w:rPr>
        <w:t>Kornelakis</w:t>
      </w:r>
      <w:proofErr w:type="spellEnd"/>
      <w:r w:rsidR="0031466A" w:rsidRPr="00FA55E9">
        <w:rPr>
          <w:rFonts w:cs="Times New Roman"/>
          <w:szCs w:val="24"/>
          <w:shd w:val="clear" w:color="auto" w:fill="FFFFFF"/>
        </w:rPr>
        <w:t xml:space="preserve"> et al. 2022</w:t>
      </w:r>
      <w:r w:rsidR="00073599" w:rsidRPr="00FA55E9">
        <w:rPr>
          <w:rFonts w:eastAsia="Times New Roman" w:cs="Times New Roman"/>
          <w:color w:val="000000"/>
          <w:kern w:val="0"/>
          <w:szCs w:val="24"/>
          <w:lang w:eastAsia="en-IN"/>
          <w14:ligatures w14:val="none"/>
        </w:rPr>
        <w:t xml:space="preserve">). Customer satisfaction with the mobile banking activities, as well as, providing non-technical services has encouraged customers </w:t>
      </w:r>
      <w:r w:rsidR="000507B2" w:rsidRPr="00FA55E9">
        <w:rPr>
          <w:rFonts w:eastAsia="Times New Roman" w:cs="Times New Roman"/>
          <w:color w:val="000000"/>
          <w:kern w:val="0"/>
          <w:szCs w:val="24"/>
          <w:lang w:eastAsia="en-IN"/>
          <w14:ligatures w14:val="none"/>
        </w:rPr>
        <w:t>on a significant scale. It can also be deducted from the findings of the report that the market share of different banks has increased with customer-satisfaction approaches.</w:t>
      </w:r>
    </w:p>
    <w:p w14:paraId="71F27D3C" w14:textId="77777777" w:rsidR="00D81529" w:rsidRPr="00FA55E9" w:rsidRDefault="00D81529" w:rsidP="00A25C51">
      <w:pPr>
        <w:spacing w:after="0" w:line="360" w:lineRule="auto"/>
        <w:jc w:val="left"/>
        <w:rPr>
          <w:rFonts w:eastAsia="Times New Roman" w:cs="Times New Roman"/>
          <w:kern w:val="0"/>
          <w:szCs w:val="24"/>
          <w:lang w:eastAsia="en-IN"/>
          <w14:ligatures w14:val="none"/>
        </w:rPr>
      </w:pPr>
    </w:p>
    <w:p w14:paraId="7EBB693E" w14:textId="77777777" w:rsidR="00D81529" w:rsidRPr="00FA55E9" w:rsidRDefault="00D81529" w:rsidP="0031466A">
      <w:pPr>
        <w:pStyle w:val="Heading2"/>
        <w:rPr>
          <w:rFonts w:eastAsia="Times New Roman"/>
          <w:lang w:eastAsia="en-IN"/>
        </w:rPr>
      </w:pPr>
      <w:bookmarkStart w:id="88" w:name="_Toc145004304"/>
      <w:bookmarkStart w:id="89" w:name="_Toc145078420"/>
      <w:r w:rsidRPr="00FA55E9">
        <w:rPr>
          <w:rFonts w:eastAsia="Times New Roman"/>
          <w:lang w:eastAsia="en-IN"/>
        </w:rPr>
        <w:t>4.4 Conclusion</w:t>
      </w:r>
      <w:bookmarkEnd w:id="88"/>
      <w:bookmarkEnd w:id="89"/>
    </w:p>
    <w:p w14:paraId="132057A6" w14:textId="17E7563F" w:rsidR="00B53214" w:rsidRPr="00FA55E9" w:rsidRDefault="000507B2" w:rsidP="00A25C51">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t xml:space="preserve">It can be concluded from the chapter that the diversification of services ensured by different banks </w:t>
      </w:r>
      <w:r w:rsidR="007162D0" w:rsidRPr="00FA55E9">
        <w:rPr>
          <w:rFonts w:eastAsia="Times New Roman" w:cs="Times New Roman"/>
          <w:color w:val="000000"/>
          <w:kern w:val="0"/>
          <w:szCs w:val="24"/>
          <w:lang w:eastAsia="en-IN"/>
          <w14:ligatures w14:val="none"/>
        </w:rPr>
        <w:t>in</w:t>
      </w:r>
      <w:r w:rsidRPr="00FA55E9">
        <w:rPr>
          <w:rFonts w:eastAsia="Times New Roman" w:cs="Times New Roman"/>
          <w:color w:val="000000"/>
          <w:kern w:val="0"/>
          <w:szCs w:val="24"/>
          <w:lang w:eastAsia="en-IN"/>
          <w14:ligatures w14:val="none"/>
        </w:rPr>
        <w:t xml:space="preserve"> the UK has successfully created different opportunities for customers to explore their monetary practices and </w:t>
      </w:r>
      <w:r w:rsidR="007162D0" w:rsidRPr="00FA55E9">
        <w:rPr>
          <w:rFonts w:eastAsia="Times New Roman" w:cs="Times New Roman"/>
          <w:color w:val="000000"/>
          <w:kern w:val="0"/>
          <w:szCs w:val="24"/>
          <w:lang w:eastAsia="en-IN"/>
          <w14:ligatures w14:val="none"/>
        </w:rPr>
        <w:t>investments</w:t>
      </w:r>
      <w:r w:rsidRPr="00FA55E9">
        <w:rPr>
          <w:rFonts w:eastAsia="Times New Roman" w:cs="Times New Roman"/>
          <w:color w:val="000000"/>
          <w:kern w:val="0"/>
          <w:szCs w:val="24"/>
          <w:lang w:eastAsia="en-IN"/>
          <w14:ligatures w14:val="none"/>
        </w:rPr>
        <w:t xml:space="preserve">. Throughout the chapter, it was noticed that customers have benefited from different acts and activities that have been put forward by the banking industry of the UK in an interdisciplinary plain, and the mitigation of fragility has uplifted the qualitative performance of the banking industry. </w:t>
      </w:r>
    </w:p>
    <w:p w14:paraId="7D52FB52" w14:textId="2BAE7509" w:rsidR="000507B2" w:rsidRPr="00FA55E9" w:rsidRDefault="000507B2" w:rsidP="00A25C51">
      <w:pPr>
        <w:spacing w:after="0" w:line="360" w:lineRule="auto"/>
        <w:rPr>
          <w:rFonts w:eastAsia="Times New Roman" w:cs="Times New Roman"/>
          <w:color w:val="000000"/>
          <w:kern w:val="0"/>
          <w:szCs w:val="24"/>
          <w:lang w:eastAsia="en-IN"/>
          <w14:ligatures w14:val="none"/>
        </w:rPr>
      </w:pPr>
      <w:r w:rsidRPr="00FA55E9">
        <w:rPr>
          <w:rFonts w:eastAsia="Times New Roman" w:cs="Times New Roman"/>
          <w:color w:val="000000"/>
          <w:kern w:val="0"/>
          <w:szCs w:val="24"/>
          <w:lang w:eastAsia="en-IN"/>
          <w14:ligatures w14:val="none"/>
        </w:rPr>
        <w:t xml:space="preserve">On the other hand, it can be concluded from the chapter that customers consider multiple factors to choose their banks, and the emergence of digital banking in the UK, has necessitated their requirements regarding mobile and online banking. Banks providing digital services have been able to perform more significantly, and their profit share has eventually increased. On-time services and digital communication can be concluded as two differentiated factors that influence the customer policies of UK banks, and their changing </w:t>
      </w:r>
      <w:r w:rsidR="00E96B09" w:rsidRPr="00FA55E9">
        <w:rPr>
          <w:rFonts w:eastAsia="Times New Roman" w:cs="Times New Roman"/>
          <w:color w:val="000000"/>
          <w:kern w:val="0"/>
          <w:szCs w:val="24"/>
          <w:lang w:eastAsia="en-IN"/>
          <w14:ligatures w14:val="none"/>
        </w:rPr>
        <w:t xml:space="preserve">requirements have been met by banks by any possible means and measures. Moreover, the findings of the study </w:t>
      </w:r>
      <w:r w:rsidR="007162D0" w:rsidRPr="00FA55E9">
        <w:rPr>
          <w:rFonts w:eastAsia="Times New Roman" w:cs="Times New Roman"/>
          <w:color w:val="000000"/>
          <w:kern w:val="0"/>
          <w:szCs w:val="24"/>
          <w:lang w:eastAsia="en-IN"/>
          <w14:ligatures w14:val="none"/>
        </w:rPr>
        <w:t>suggest</w:t>
      </w:r>
      <w:r w:rsidR="00E96B09" w:rsidRPr="00FA55E9">
        <w:rPr>
          <w:rFonts w:eastAsia="Times New Roman" w:cs="Times New Roman"/>
          <w:color w:val="000000"/>
          <w:kern w:val="0"/>
          <w:szCs w:val="24"/>
          <w:lang w:eastAsia="en-IN"/>
          <w14:ligatures w14:val="none"/>
        </w:rPr>
        <w:t xml:space="preserve"> that </w:t>
      </w:r>
      <w:r w:rsidR="00184260" w:rsidRPr="00FA55E9">
        <w:rPr>
          <w:rFonts w:eastAsia="Times New Roman" w:cs="Times New Roman"/>
          <w:color w:val="000000"/>
          <w:kern w:val="0"/>
          <w:szCs w:val="24"/>
          <w:lang w:eastAsia="en-IN"/>
          <w14:ligatures w14:val="none"/>
        </w:rPr>
        <w:t xml:space="preserve">the </w:t>
      </w:r>
      <w:r w:rsidR="00E96B09" w:rsidRPr="00FA55E9">
        <w:rPr>
          <w:rFonts w:eastAsia="Times New Roman" w:cs="Times New Roman"/>
          <w:color w:val="000000"/>
          <w:kern w:val="0"/>
          <w:szCs w:val="24"/>
          <w:lang w:eastAsia="en-IN"/>
          <w14:ligatures w14:val="none"/>
        </w:rPr>
        <w:t>emergence of alternative financial platforms has been a key motivator for UK citizens and their financial decisions.</w:t>
      </w:r>
    </w:p>
    <w:p w14:paraId="5C0E4020" w14:textId="2091C675" w:rsidR="00B53214" w:rsidRPr="00FA55E9" w:rsidRDefault="00B53214" w:rsidP="00B53214">
      <w:pPr>
        <w:pStyle w:val="Heading1"/>
        <w:rPr>
          <w:rFonts w:eastAsia="Times New Roman"/>
          <w:lang w:eastAsia="en-IN"/>
        </w:rPr>
      </w:pPr>
      <w:bookmarkStart w:id="90" w:name="_Toc145078421"/>
      <w:r w:rsidRPr="00FA55E9">
        <w:rPr>
          <w:rFonts w:eastAsia="Times New Roman"/>
          <w:lang w:eastAsia="en-IN"/>
        </w:rPr>
        <w:t>Chapter 5: Conclusion and Recommendations</w:t>
      </w:r>
      <w:bookmarkEnd w:id="90"/>
    </w:p>
    <w:p w14:paraId="6080921A" w14:textId="63285603" w:rsidR="00B53214" w:rsidRPr="00FA55E9" w:rsidRDefault="00B53214" w:rsidP="00B53214">
      <w:pPr>
        <w:pStyle w:val="Heading2"/>
        <w:rPr>
          <w:rFonts w:eastAsia="Times New Roman"/>
          <w:lang w:eastAsia="en-IN"/>
        </w:rPr>
      </w:pPr>
      <w:bookmarkStart w:id="91" w:name="_Toc145078422"/>
      <w:r w:rsidRPr="00FA55E9">
        <w:rPr>
          <w:rFonts w:eastAsia="Times New Roman"/>
          <w:lang w:eastAsia="en-IN"/>
        </w:rPr>
        <w:t>5.1 Conclusion</w:t>
      </w:r>
      <w:bookmarkEnd w:id="91"/>
    </w:p>
    <w:p w14:paraId="73CE54D0" w14:textId="0BED9E36" w:rsidR="00B53214" w:rsidRPr="00FA55E9" w:rsidRDefault="00B53214" w:rsidP="00AF72BF">
      <w:pPr>
        <w:spacing w:line="360" w:lineRule="auto"/>
        <w:rPr>
          <w:lang w:eastAsia="en-IN"/>
        </w:rPr>
      </w:pPr>
      <w:r w:rsidRPr="00FA55E9">
        <w:rPr>
          <w:lang w:eastAsia="en-IN"/>
        </w:rPr>
        <w:t>The customer-centrality and connectedness with t</w:t>
      </w:r>
      <w:r w:rsidR="00AF72BF" w:rsidRPr="00FA55E9">
        <w:rPr>
          <w:lang w:eastAsia="en-IN"/>
        </w:rPr>
        <w:t xml:space="preserve">hem have enacted different policies and managerial strategies in the UK banking sector, and the international approaches have also extended </w:t>
      </w:r>
      <w:r w:rsidR="007162D0" w:rsidRPr="00FA55E9">
        <w:rPr>
          <w:lang w:eastAsia="en-IN"/>
        </w:rPr>
        <w:t>their</w:t>
      </w:r>
      <w:r w:rsidR="00AF72BF" w:rsidRPr="00FA55E9">
        <w:rPr>
          <w:lang w:eastAsia="en-IN"/>
        </w:rPr>
        <w:t xml:space="preserve"> advantages to create a steady economic ground. The emergence of technical acts and activities in the UK has been consigned by the banking sector to communicate with people, while the economic conscience and credibility have also been formed. On the other, it can be concluded from the research that the omnipresent strategies in different banks of the UK have administered a redesigned infrastructure, based on which the relationship between the banking authority and customers has been more professional and impactful</w:t>
      </w:r>
      <w:r w:rsidR="007162D0" w:rsidRPr="00FA55E9">
        <w:rPr>
          <w:lang w:eastAsia="en-IN"/>
        </w:rPr>
        <w:t xml:space="preserve"> (</w:t>
      </w:r>
      <w:r w:rsidR="00FE690D" w:rsidRPr="00B7549E">
        <w:rPr>
          <w:rFonts w:cs="Times New Roman"/>
          <w:szCs w:val="24"/>
          <w:shd w:val="clear" w:color="auto" w:fill="FFFFFF"/>
        </w:rPr>
        <w:t>Singh,</w:t>
      </w:r>
      <w:r w:rsidR="00FE690D">
        <w:rPr>
          <w:rFonts w:cs="Times New Roman"/>
          <w:szCs w:val="24"/>
          <w:shd w:val="clear" w:color="auto" w:fill="FFFFFF"/>
        </w:rPr>
        <w:t xml:space="preserve"> 2020</w:t>
      </w:r>
      <w:r w:rsidR="007162D0" w:rsidRPr="00FA55E9">
        <w:rPr>
          <w:lang w:eastAsia="en-IN"/>
        </w:rPr>
        <w:t>). The authoritative practices that internally guide the banks to resist any kind of monetary or non-monetary raptures are a clear indication of infrastructural stability, and it can also be concluded from the above discussion that the management works in a flexible way to cope with situations.</w:t>
      </w:r>
    </w:p>
    <w:p w14:paraId="34E99681" w14:textId="21A90B35" w:rsidR="007162D0" w:rsidRPr="00FA55E9" w:rsidRDefault="007162D0" w:rsidP="00AF72BF">
      <w:pPr>
        <w:spacing w:line="360" w:lineRule="auto"/>
        <w:rPr>
          <w:lang w:eastAsia="en-IN"/>
        </w:rPr>
      </w:pPr>
      <w:r w:rsidRPr="00FA55E9">
        <w:rPr>
          <w:lang w:eastAsia="en-IN"/>
        </w:rPr>
        <w:lastRenderedPageBreak/>
        <w:t>Services and facilities are active in a wide array of practices, and the economic performance of the UK banks resonates with it. The integrity of banking measures, as well as, the individual nourishment of key performance indexes in the UK banks, have enabled th</w:t>
      </w:r>
      <w:r w:rsidR="00184260" w:rsidRPr="00FA55E9">
        <w:rPr>
          <w:lang w:eastAsia="en-IN"/>
        </w:rPr>
        <w:t>e customer relationship. Customers and financial institutions of the UK, as observed, share mutual benefits through diverse practices, while the homogeneity of actions has paved a broad pathway to success (</w:t>
      </w:r>
      <w:proofErr w:type="spellStart"/>
      <w:r w:rsidR="00A1378A" w:rsidRPr="00B7549E">
        <w:rPr>
          <w:rFonts w:cs="Times New Roman"/>
          <w:szCs w:val="24"/>
          <w:shd w:val="clear" w:color="auto" w:fill="FFFFFF"/>
        </w:rPr>
        <w:t>Yalley</w:t>
      </w:r>
      <w:proofErr w:type="spellEnd"/>
      <w:r w:rsidR="00A1378A" w:rsidRPr="00B7549E">
        <w:rPr>
          <w:rFonts w:cs="Times New Roman"/>
          <w:szCs w:val="24"/>
          <w:shd w:val="clear" w:color="auto" w:fill="FFFFFF"/>
        </w:rPr>
        <w:t>,</w:t>
      </w:r>
      <w:r w:rsidR="00A1378A">
        <w:rPr>
          <w:rFonts w:cs="Times New Roman"/>
          <w:szCs w:val="24"/>
          <w:shd w:val="clear" w:color="auto" w:fill="FFFFFF"/>
        </w:rPr>
        <w:t xml:space="preserve"> 2022</w:t>
      </w:r>
      <w:r w:rsidR="00184260" w:rsidRPr="00FA55E9">
        <w:rPr>
          <w:lang w:eastAsia="en-IN"/>
        </w:rPr>
        <w:t xml:space="preserve">). Customer sensitisation and cultural allocations empowered by the UK banks determine the qualitative value of customer services, and customer retention is observed as its consequence. The digital market of the UK, as observed, has changed the conventional outlook of the economic course, and the emergence of mobile banking has been beneficial for monetary transactions and </w:t>
      </w:r>
      <w:r w:rsidR="00FA55E9" w:rsidRPr="00FA55E9">
        <w:rPr>
          <w:lang w:eastAsia="en-IN"/>
        </w:rPr>
        <w:t>investments.</w:t>
      </w:r>
    </w:p>
    <w:p w14:paraId="0F2079D6" w14:textId="7B78686D" w:rsidR="00FA55E9" w:rsidRDefault="00FA55E9" w:rsidP="00AF72BF">
      <w:pPr>
        <w:spacing w:line="360" w:lineRule="auto"/>
        <w:rPr>
          <w:lang w:eastAsia="en-IN"/>
        </w:rPr>
      </w:pPr>
      <w:r w:rsidRPr="00FA55E9">
        <w:rPr>
          <w:lang w:eastAsia="en-IN"/>
        </w:rPr>
        <w:t>The dependency on mobile banking and digital activities for banking actions has increased due to the measures</w:t>
      </w:r>
      <w:r>
        <w:rPr>
          <w:lang w:eastAsia="en-IN"/>
        </w:rPr>
        <w:t>, undertaken by the UK banking sector, have been effective in nature. The cybersecurity and actionable strategies developed by the UK banking sector aim to protect customers’ data and information, while their choices and decisions are protected from any kind of cyber harm (</w:t>
      </w:r>
      <w:r w:rsidR="00A1378A" w:rsidRPr="00B7549E">
        <w:rPr>
          <w:rFonts w:cs="Times New Roman"/>
          <w:szCs w:val="24"/>
          <w:shd w:val="clear" w:color="auto" w:fill="FFFFFF"/>
        </w:rPr>
        <w:t>Alzoubi</w:t>
      </w:r>
      <w:r w:rsidR="00A1378A">
        <w:rPr>
          <w:rFonts w:cs="Times New Roman"/>
          <w:szCs w:val="24"/>
          <w:shd w:val="clear" w:color="auto" w:fill="FFFFFF"/>
        </w:rPr>
        <w:t xml:space="preserve"> et al. 2020</w:t>
      </w:r>
      <w:r>
        <w:rPr>
          <w:lang w:eastAsia="en-IN"/>
        </w:rPr>
        <w:t xml:space="preserve">). The communication between customers and the UK banks is well-addressed to mitigate any problem that </w:t>
      </w:r>
      <w:r w:rsidR="00055EC8">
        <w:rPr>
          <w:lang w:eastAsia="en-IN"/>
        </w:rPr>
        <w:t>arises</w:t>
      </w:r>
      <w:r>
        <w:rPr>
          <w:lang w:eastAsia="en-IN"/>
        </w:rPr>
        <w:t xml:space="preserve"> due to mismanagement and mistreatment of data, which further justifies the customer-centrality of the UK banking sector. Ethical policies and services provided for monetary investment have influenced </w:t>
      </w:r>
      <w:r w:rsidR="00055EC8">
        <w:rPr>
          <w:lang w:eastAsia="en-IN"/>
        </w:rPr>
        <w:t>customers on a significant scale.</w:t>
      </w:r>
    </w:p>
    <w:p w14:paraId="4B819FFC" w14:textId="2747707D" w:rsidR="00055EC8" w:rsidRDefault="00055EC8" w:rsidP="00AF72BF">
      <w:pPr>
        <w:spacing w:line="360" w:lineRule="auto"/>
        <w:rPr>
          <w:lang w:eastAsia="en-IN"/>
        </w:rPr>
      </w:pPr>
      <w:r>
        <w:rPr>
          <w:lang w:eastAsia="en-IN"/>
        </w:rPr>
        <w:t xml:space="preserve">Despite the ethical rules and regulations, it can be observed that a certain section of UK citizens is keen to switch to alternative financial institutions, as they have emerged with more reliable approaches and measures. On the other hand, the challenges regarding the ill-distribution of technical programmes have affected the relationships and growth factors, due to which, branch banking in the UK faces several difficulties. It can be concluded from the discussion that the adaptive principles followed by UK banking </w:t>
      </w:r>
      <w:r w:rsidR="00E7522F">
        <w:rPr>
          <w:lang w:eastAsia="en-IN"/>
        </w:rPr>
        <w:t>have</w:t>
      </w:r>
      <w:r>
        <w:rPr>
          <w:lang w:eastAsia="en-IN"/>
        </w:rPr>
        <w:t xml:space="preserve"> also created opportunities for customers to receive better services and long-term facilities.</w:t>
      </w:r>
    </w:p>
    <w:p w14:paraId="49814E84" w14:textId="0387CF1F" w:rsidR="0033641E" w:rsidRDefault="0033641E" w:rsidP="00AF72BF">
      <w:pPr>
        <w:spacing w:line="360" w:lineRule="auto"/>
        <w:rPr>
          <w:lang w:eastAsia="en-IN"/>
        </w:rPr>
      </w:pPr>
      <w:r>
        <w:rPr>
          <w:lang w:eastAsia="en-IN"/>
        </w:rPr>
        <w:t>As per the findings of the research work, it can also be observed that the significance of mobile banking is increasing in British society, and the benchmark scores acquired by banks, decide their popularity and reliable nature among customers. The ethical values of mobile banking and the security of transactions have been empowered by the UK banking authority, which breaks the sedentary and time-consuming monetary practices (</w:t>
      </w:r>
      <w:r w:rsidR="00A1378A" w:rsidRPr="00B7549E">
        <w:rPr>
          <w:rFonts w:cs="Times New Roman"/>
          <w:szCs w:val="24"/>
          <w:shd w:val="clear" w:color="auto" w:fill="FFFFFF"/>
        </w:rPr>
        <w:t>Chen</w:t>
      </w:r>
      <w:r w:rsidR="00A1378A">
        <w:rPr>
          <w:rFonts w:cs="Times New Roman"/>
          <w:szCs w:val="24"/>
          <w:shd w:val="clear" w:color="auto" w:fill="FFFFFF"/>
        </w:rPr>
        <w:t xml:space="preserve"> et al. 2021</w:t>
      </w:r>
      <w:r>
        <w:rPr>
          <w:lang w:eastAsia="en-IN"/>
        </w:rPr>
        <w:t xml:space="preserve">). The development entitled to the banks of the UK </w:t>
      </w:r>
      <w:r w:rsidR="00C87E99">
        <w:rPr>
          <w:lang w:eastAsia="en-IN"/>
        </w:rPr>
        <w:t>is</w:t>
      </w:r>
      <w:r>
        <w:rPr>
          <w:lang w:eastAsia="en-IN"/>
        </w:rPr>
        <w:t xml:space="preserve"> secured with effective acts and principles channelled through </w:t>
      </w:r>
      <w:r>
        <w:rPr>
          <w:lang w:eastAsia="en-IN"/>
        </w:rPr>
        <w:lastRenderedPageBreak/>
        <w:t xml:space="preserve">less expensive practices which also ensures </w:t>
      </w:r>
      <w:r w:rsidR="00C87E99">
        <w:rPr>
          <w:lang w:eastAsia="en-IN"/>
        </w:rPr>
        <w:t>customer satisfaction. Eventually, the customer retention rate in the UK banks is observed in a higher concentration, as a consequence.</w:t>
      </w:r>
    </w:p>
    <w:p w14:paraId="07F2117F" w14:textId="3947C56B" w:rsidR="00E7522F" w:rsidRPr="00FA55E9" w:rsidRDefault="009E7113" w:rsidP="00AF72BF">
      <w:pPr>
        <w:spacing w:line="360" w:lineRule="auto"/>
        <w:rPr>
          <w:lang w:eastAsia="en-IN"/>
        </w:rPr>
      </w:pPr>
      <w:r>
        <w:rPr>
          <w:lang w:eastAsia="en-IN"/>
        </w:rPr>
        <w:t xml:space="preserve">Secondary data collection has been empowered by the researcher to conduct the research work, and in this regard, JSTOR and Google Scholar are the two data platforms. It can be concluded that the wide range and variety of data derived from these platforms have been effective </w:t>
      </w:r>
      <w:r w:rsidR="0033641E">
        <w:rPr>
          <w:lang w:eastAsia="en-IN"/>
        </w:rPr>
        <w:t>in generating</w:t>
      </w:r>
      <w:r>
        <w:rPr>
          <w:lang w:eastAsia="en-IN"/>
        </w:rPr>
        <w:t xml:space="preserve"> research activities on a significant scale, and data management </w:t>
      </w:r>
      <w:r w:rsidR="0033641E">
        <w:rPr>
          <w:lang w:eastAsia="en-IN"/>
        </w:rPr>
        <w:t>is</w:t>
      </w:r>
      <w:r>
        <w:rPr>
          <w:lang w:eastAsia="en-IN"/>
        </w:rPr>
        <w:t xml:space="preserve"> easier for the researcher (</w:t>
      </w:r>
      <w:proofErr w:type="spellStart"/>
      <w:r w:rsidR="00A1378A" w:rsidRPr="00B7549E">
        <w:rPr>
          <w:rFonts w:cs="Times New Roman"/>
          <w:szCs w:val="24"/>
          <w:shd w:val="clear" w:color="auto" w:fill="FFFFFF"/>
        </w:rPr>
        <w:t>Mainardes</w:t>
      </w:r>
      <w:proofErr w:type="spellEnd"/>
      <w:r w:rsidR="00A1378A">
        <w:rPr>
          <w:rFonts w:cs="Times New Roman"/>
          <w:szCs w:val="24"/>
          <w:shd w:val="clear" w:color="auto" w:fill="FFFFFF"/>
        </w:rPr>
        <w:t xml:space="preserve"> et al. 2021</w:t>
      </w:r>
      <w:r>
        <w:rPr>
          <w:lang w:eastAsia="en-IN"/>
        </w:rPr>
        <w:t>). On the other hand, as per the inclusion and exclusion criteria, the research has been successful under some ethical acts and activities</w:t>
      </w:r>
      <w:r w:rsidR="0033641E">
        <w:rPr>
          <w:lang w:eastAsia="en-IN"/>
        </w:rPr>
        <w:t>, that have protected the research’s purposes from any legal issue.</w:t>
      </w:r>
      <w:r w:rsidR="006A311B">
        <w:rPr>
          <w:lang w:eastAsia="en-IN"/>
        </w:rPr>
        <w:t xml:space="preserve"> Specific search terms have been identified as per the aims and objectives of the research, and it can be concluded from the research that critical analysis of data has been impactful in generating new insights significantly.</w:t>
      </w:r>
    </w:p>
    <w:p w14:paraId="3908897F" w14:textId="7D51AF00" w:rsidR="00B53214" w:rsidRDefault="00B53214" w:rsidP="00B53214">
      <w:pPr>
        <w:pStyle w:val="Heading2"/>
        <w:rPr>
          <w:rFonts w:eastAsia="Times New Roman"/>
          <w:lang w:eastAsia="en-IN"/>
        </w:rPr>
      </w:pPr>
      <w:bookmarkStart w:id="92" w:name="_Toc145078423"/>
      <w:r w:rsidRPr="00FA55E9">
        <w:rPr>
          <w:rFonts w:eastAsia="Times New Roman"/>
          <w:lang w:eastAsia="en-IN"/>
        </w:rPr>
        <w:t>5.2 Recommendations</w:t>
      </w:r>
      <w:bookmarkEnd w:id="92"/>
    </w:p>
    <w:p w14:paraId="7A1CBA9E" w14:textId="5763DFBE" w:rsidR="00C87E99" w:rsidRDefault="006A445D" w:rsidP="00A00628">
      <w:pPr>
        <w:spacing w:line="360" w:lineRule="auto"/>
        <w:rPr>
          <w:lang w:eastAsia="en-IN"/>
        </w:rPr>
      </w:pPr>
      <w:r>
        <w:rPr>
          <w:lang w:eastAsia="en-IN"/>
        </w:rPr>
        <w:t>T</w:t>
      </w:r>
      <w:r w:rsidR="00C87E99">
        <w:rPr>
          <w:lang w:eastAsia="en-IN"/>
        </w:rPr>
        <w:t>he UK Banking authority</w:t>
      </w:r>
      <w:r>
        <w:rPr>
          <w:lang w:eastAsia="en-IN"/>
        </w:rPr>
        <w:t>, firstly, should</w:t>
      </w:r>
      <w:r w:rsidR="00C87E99">
        <w:rPr>
          <w:lang w:eastAsia="en-IN"/>
        </w:rPr>
        <w:t xml:space="preserve"> make the transaction security as the top priority</w:t>
      </w:r>
      <w:r>
        <w:rPr>
          <w:lang w:eastAsia="en-IN"/>
        </w:rPr>
        <w:t xml:space="preserve"> to increase the customer experience</w:t>
      </w:r>
      <w:r w:rsidR="00C87E99">
        <w:rPr>
          <w:lang w:eastAsia="en-IN"/>
        </w:rPr>
        <w:t>. In this regard, two-factor authentication should be generated by banks, based on PIN and TAN (</w:t>
      </w:r>
      <w:r w:rsidR="00A1378A" w:rsidRPr="00B7549E">
        <w:rPr>
          <w:rFonts w:cs="Times New Roman"/>
          <w:szCs w:val="24"/>
          <w:shd w:val="clear" w:color="auto" w:fill="FFFFFF"/>
        </w:rPr>
        <w:t>De Leon</w:t>
      </w:r>
      <w:r w:rsidR="00A1378A">
        <w:rPr>
          <w:rFonts w:cs="Times New Roman"/>
          <w:szCs w:val="24"/>
          <w:shd w:val="clear" w:color="auto" w:fill="FFFFFF"/>
        </w:rPr>
        <w:t xml:space="preserve"> et al. 2020</w:t>
      </w:r>
      <w:r w:rsidR="00C87E99">
        <w:rPr>
          <w:lang w:eastAsia="en-IN"/>
        </w:rPr>
        <w:t xml:space="preserve">). The credentials provided to customers should be unique in nature, and their personal data and transaction history should be secured under strict practices and guidance. For improving the UX, banks should ensure steady and regular communication with customers, and in this regard, emails and personal messaging are the two options to be prioritised. On the other hand, ill-distribution of technological guidance, as observed from the above discussion, </w:t>
      </w:r>
      <w:r>
        <w:rPr>
          <w:lang w:eastAsia="en-IN"/>
        </w:rPr>
        <w:t xml:space="preserve">should be approached </w:t>
      </w:r>
      <w:r w:rsidR="006A311B">
        <w:rPr>
          <w:lang w:eastAsia="en-IN"/>
        </w:rPr>
        <w:t xml:space="preserve">as </w:t>
      </w:r>
      <w:r>
        <w:rPr>
          <w:lang w:eastAsia="en-IN"/>
        </w:rPr>
        <w:t>confidential practices, and their authenticity should be ensured for long-term practices.</w:t>
      </w:r>
      <w:r w:rsidR="00A00628">
        <w:rPr>
          <w:lang w:eastAsia="en-IN"/>
        </w:rPr>
        <w:t xml:space="preserve"> Moreover, the internal and external growth factors must be consigned for </w:t>
      </w:r>
      <w:r w:rsidR="006A311B">
        <w:rPr>
          <w:lang w:eastAsia="en-IN"/>
        </w:rPr>
        <w:t xml:space="preserve">a </w:t>
      </w:r>
      <w:r w:rsidR="00A00628">
        <w:rPr>
          <w:lang w:eastAsia="en-IN"/>
        </w:rPr>
        <w:t>maximum number of customers, which can also increase the customer base of banks with impactful decision-making and problem-solving.</w:t>
      </w:r>
    </w:p>
    <w:p w14:paraId="4D973B89" w14:textId="170CC088" w:rsidR="00A00628" w:rsidRDefault="006A445D" w:rsidP="00A00628">
      <w:pPr>
        <w:spacing w:line="360" w:lineRule="auto"/>
        <w:rPr>
          <w:lang w:eastAsia="en-IN"/>
        </w:rPr>
      </w:pPr>
      <w:r>
        <w:rPr>
          <w:lang w:eastAsia="en-IN"/>
        </w:rPr>
        <w:t>The recent surge of mobile banking should be considered at a professional and personal stage, and in this regard, the consistency of security should further be encouraged by the banking authority. For a better customer experience, fingerprint, facial or voice recognition technology should be encouraged by the UK banks, and the transaction history should be received by customers at an immediate service. As time-consuming practices and programs are not preferred by customers, automatic services, through the application of artificial intelligence should be promoted (</w:t>
      </w:r>
      <w:bookmarkStart w:id="93" w:name="_Hlk145078120"/>
      <w:r w:rsidR="00A1378A" w:rsidRPr="00B7549E">
        <w:rPr>
          <w:rFonts w:cs="Times New Roman"/>
          <w:szCs w:val="24"/>
          <w:shd w:val="clear" w:color="auto" w:fill="FFFFFF"/>
        </w:rPr>
        <w:t>Chen</w:t>
      </w:r>
      <w:bookmarkEnd w:id="93"/>
      <w:r w:rsidR="00A1378A">
        <w:rPr>
          <w:rFonts w:cs="Times New Roman"/>
          <w:szCs w:val="24"/>
          <w:shd w:val="clear" w:color="auto" w:fill="FFFFFF"/>
        </w:rPr>
        <w:t xml:space="preserve"> et al. 2021</w:t>
      </w:r>
      <w:r>
        <w:rPr>
          <w:lang w:eastAsia="en-IN"/>
        </w:rPr>
        <w:t xml:space="preserve">). The technological factors should be considered under the core banking programmes so that every aspect of banking activities can benefit from them. </w:t>
      </w:r>
      <w:r>
        <w:rPr>
          <w:lang w:eastAsia="en-IN"/>
        </w:rPr>
        <w:lastRenderedPageBreak/>
        <w:t>The durability and sustainability of strategies should be considered by the banking authority of the UK, while the management should be proceeded to advanced actions, that can redesign the relationship between customers and banks.</w:t>
      </w:r>
      <w:r w:rsidR="00A00628">
        <w:rPr>
          <w:lang w:eastAsia="en-IN"/>
        </w:rPr>
        <w:t xml:space="preserve"> Traditional banking activities should understand people’s choices and their preferences regarding alternative financial forums, and the re-established programmes should be perpetually entitled to customer services.</w:t>
      </w:r>
    </w:p>
    <w:p w14:paraId="280FD611" w14:textId="4A4D589A" w:rsidR="006A311B" w:rsidRPr="00C87E99" w:rsidRDefault="006A311B" w:rsidP="00A00628">
      <w:pPr>
        <w:spacing w:line="360" w:lineRule="auto"/>
        <w:rPr>
          <w:lang w:eastAsia="en-IN"/>
        </w:rPr>
      </w:pPr>
      <w:r>
        <w:rPr>
          <w:lang w:eastAsia="en-IN"/>
        </w:rPr>
        <w:t>The cultural changes and programmes should also be considered by the banking authority, and the demographic and psychological demands should be further assigned. The banking authority of the UK should encourage the programme of decision-making and problem-solving through the enactment of new strategies, which can ensure better communication with customers. Technical certainty and customer centricity should follow a hand-by-hand rule so that the integrity of practices can be reformed as per the dynamics of the market. The changing pattern in the UK lifestyle and the global paradigm should also be considered for developing better strategies to accomplish its aims and objectives, in the case of customer services.</w:t>
      </w:r>
    </w:p>
    <w:p w14:paraId="22DDAFB9" w14:textId="6DE4DBA4" w:rsidR="00B53214" w:rsidRDefault="00B53214" w:rsidP="00B53214">
      <w:pPr>
        <w:pStyle w:val="Heading2"/>
        <w:rPr>
          <w:rFonts w:eastAsia="Times New Roman"/>
          <w:lang w:eastAsia="en-IN"/>
        </w:rPr>
      </w:pPr>
      <w:bookmarkStart w:id="94" w:name="_Toc145078424"/>
      <w:r w:rsidRPr="00FA55E9">
        <w:rPr>
          <w:rFonts w:eastAsia="Times New Roman"/>
          <w:lang w:eastAsia="en-IN"/>
        </w:rPr>
        <w:t>5.3 Research Limitations</w:t>
      </w:r>
      <w:bookmarkEnd w:id="94"/>
    </w:p>
    <w:p w14:paraId="048904BB" w14:textId="1C70AF69" w:rsidR="00A00628" w:rsidRDefault="00A00628" w:rsidP="00A00628">
      <w:pPr>
        <w:spacing w:line="360" w:lineRule="auto"/>
        <w:rPr>
          <w:lang w:eastAsia="en-IN"/>
        </w:rPr>
      </w:pPr>
      <w:r>
        <w:rPr>
          <w:lang w:eastAsia="en-IN"/>
        </w:rPr>
        <w:t>Though the research has followed a steady course of academic practices, some major limitations have affected the academic outcomes and its future practices. The limitations restricted the inarguable notion of the research with data management and analysis, as well as, they affected the spontaneity of the research on a significant scale.</w:t>
      </w:r>
    </w:p>
    <w:p w14:paraId="5E31660E" w14:textId="661DC162" w:rsidR="00A00628" w:rsidRDefault="00A00628" w:rsidP="00A00628">
      <w:pPr>
        <w:spacing w:line="360" w:lineRule="auto"/>
        <w:rPr>
          <w:lang w:eastAsia="en-IN"/>
        </w:rPr>
      </w:pPr>
      <w:r>
        <w:rPr>
          <w:lang w:eastAsia="en-IN"/>
        </w:rPr>
        <w:t>Firstly, the limited timeframe considered for the research work, as well as, the issues with time allocations, affected the research’s spontaneity</w:t>
      </w:r>
      <w:r w:rsidR="00727E00">
        <w:rPr>
          <w:lang w:eastAsia="en-IN"/>
        </w:rPr>
        <w:t>. The research could have been more elaborate and critical with the procurement of reliable data, while the establishment of the research was barred by limited actions.</w:t>
      </w:r>
    </w:p>
    <w:p w14:paraId="03055A26" w14:textId="49D2845D" w:rsidR="00727E00" w:rsidRPr="00A00628" w:rsidRDefault="00727E00" w:rsidP="00A00628">
      <w:pPr>
        <w:spacing w:line="360" w:lineRule="auto"/>
        <w:rPr>
          <w:lang w:eastAsia="en-IN"/>
        </w:rPr>
      </w:pPr>
      <w:r>
        <w:rPr>
          <w:lang w:eastAsia="en-IN"/>
        </w:rPr>
        <w:t>Secondly, the research was also affected due to the data procurement and data quality factors (</w:t>
      </w:r>
      <w:bookmarkStart w:id="95" w:name="_Hlk145078101"/>
      <w:r w:rsidR="00A1378A" w:rsidRPr="00B7549E">
        <w:rPr>
          <w:rFonts w:cs="Times New Roman"/>
          <w:szCs w:val="24"/>
          <w:shd w:val="clear" w:color="auto" w:fill="FFFFFF"/>
        </w:rPr>
        <w:t>Alzoubi</w:t>
      </w:r>
      <w:bookmarkEnd w:id="95"/>
      <w:r w:rsidR="00A1378A">
        <w:rPr>
          <w:rFonts w:cs="Times New Roman"/>
          <w:szCs w:val="24"/>
          <w:shd w:val="clear" w:color="auto" w:fill="FFFFFF"/>
        </w:rPr>
        <w:t xml:space="preserve"> et al. 2020</w:t>
      </w:r>
      <w:r>
        <w:rPr>
          <w:lang w:eastAsia="en-IN"/>
        </w:rPr>
        <w:t>). The issues with data are a consequent factor of the limited timeframe allotted for the research work, while the critical analysis has also been affected on a significant scale. Due to the lack of data and time, several aspects of the research topic could not be discussed.</w:t>
      </w:r>
    </w:p>
    <w:p w14:paraId="2CA67F90" w14:textId="0163B70E" w:rsidR="00B53214" w:rsidRDefault="00B53214" w:rsidP="00B53214">
      <w:pPr>
        <w:pStyle w:val="Heading2"/>
        <w:rPr>
          <w:rFonts w:eastAsia="Times New Roman"/>
          <w:lang w:eastAsia="en-IN"/>
        </w:rPr>
      </w:pPr>
      <w:bookmarkStart w:id="96" w:name="_Toc145078425"/>
      <w:r w:rsidRPr="00FA55E9">
        <w:rPr>
          <w:rFonts w:eastAsia="Times New Roman"/>
          <w:lang w:eastAsia="en-IN"/>
        </w:rPr>
        <w:t>5.4 Future Opportunities of Research</w:t>
      </w:r>
      <w:bookmarkEnd w:id="96"/>
    </w:p>
    <w:p w14:paraId="6D201663" w14:textId="34138C40" w:rsidR="00727E00" w:rsidRDefault="00727E00" w:rsidP="00727E00">
      <w:pPr>
        <w:spacing w:line="360" w:lineRule="auto"/>
        <w:rPr>
          <w:lang w:eastAsia="en-IN"/>
        </w:rPr>
      </w:pPr>
      <w:r>
        <w:rPr>
          <w:lang w:eastAsia="en-IN"/>
        </w:rPr>
        <w:t xml:space="preserve">The research not only has presented a detailed analysis of customer satisfaction in the UK, based on banking services they receive, but has also been successful </w:t>
      </w:r>
      <w:r w:rsidR="006A311B">
        <w:rPr>
          <w:lang w:eastAsia="en-IN"/>
        </w:rPr>
        <w:t>in generating</w:t>
      </w:r>
      <w:r>
        <w:rPr>
          <w:lang w:eastAsia="en-IN"/>
        </w:rPr>
        <w:t xml:space="preserve"> different opportunities for future research programmes. Based on critical acts and activities, the research </w:t>
      </w:r>
      <w:r>
        <w:rPr>
          <w:lang w:eastAsia="en-IN"/>
        </w:rPr>
        <w:lastRenderedPageBreak/>
        <w:t>has been able to identify the opportunities, which will certainly generate new insights regarding the relationship between customers and the banking authority of the UK.</w:t>
      </w:r>
    </w:p>
    <w:p w14:paraId="5F6C3C5F" w14:textId="463B2AC6" w:rsidR="00697034" w:rsidRPr="00727E00" w:rsidRDefault="00697034" w:rsidP="00727E00">
      <w:pPr>
        <w:spacing w:line="360" w:lineRule="auto"/>
        <w:rPr>
          <w:lang w:eastAsia="en-IN"/>
        </w:rPr>
      </w:pPr>
      <w:r>
        <w:rPr>
          <w:lang w:eastAsia="en-IN"/>
        </w:rPr>
        <w:t xml:space="preserve">The impact of technological devices and services on UK customers for monetary practices can be discussed in an elaborate nature, and the key findings will be effective </w:t>
      </w:r>
      <w:r w:rsidR="006A311B">
        <w:rPr>
          <w:lang w:eastAsia="en-IN"/>
        </w:rPr>
        <w:t>in understanding</w:t>
      </w:r>
      <w:r>
        <w:rPr>
          <w:lang w:eastAsia="en-IN"/>
        </w:rPr>
        <w:t xml:space="preserve"> the mutual prosperity of customers and banks (</w:t>
      </w:r>
      <w:proofErr w:type="spellStart"/>
      <w:r w:rsidR="00A1378A" w:rsidRPr="00B7549E">
        <w:rPr>
          <w:rFonts w:cs="Times New Roman"/>
          <w:szCs w:val="24"/>
          <w:shd w:val="clear" w:color="auto" w:fill="FFFFFF"/>
        </w:rPr>
        <w:t>Yalley</w:t>
      </w:r>
      <w:proofErr w:type="spellEnd"/>
      <w:r w:rsidR="00A1378A" w:rsidRPr="00B7549E">
        <w:rPr>
          <w:rFonts w:cs="Times New Roman"/>
          <w:szCs w:val="24"/>
          <w:shd w:val="clear" w:color="auto" w:fill="FFFFFF"/>
        </w:rPr>
        <w:t>,</w:t>
      </w:r>
      <w:r w:rsidR="00A1378A">
        <w:rPr>
          <w:rFonts w:cs="Times New Roman"/>
          <w:szCs w:val="24"/>
          <w:shd w:val="clear" w:color="auto" w:fill="FFFFFF"/>
        </w:rPr>
        <w:t xml:space="preserve"> 2022</w:t>
      </w:r>
      <w:r>
        <w:rPr>
          <w:lang w:eastAsia="en-IN"/>
        </w:rPr>
        <w:t xml:space="preserve">). In future, based on the concerned research, the sociopolitical and sociocultural issues that might affect the banking programmes of the UK can also be discussed, </w:t>
      </w:r>
      <w:r w:rsidR="006A311B">
        <w:rPr>
          <w:lang w:eastAsia="en-IN"/>
        </w:rPr>
        <w:t>as</w:t>
      </w:r>
      <w:r>
        <w:rPr>
          <w:lang w:eastAsia="en-IN"/>
        </w:rPr>
        <w:t xml:space="preserve"> </w:t>
      </w:r>
      <w:r w:rsidR="006A311B">
        <w:rPr>
          <w:lang w:eastAsia="en-IN"/>
        </w:rPr>
        <w:t xml:space="preserve">to </w:t>
      </w:r>
      <w:r>
        <w:rPr>
          <w:lang w:eastAsia="en-IN"/>
        </w:rPr>
        <w:t>why the banking sector should be aware of the political changes and socioeconomic reactions rising in the country. The future of mobile banking, and whether it would be the sole process of providing financial services to customers or not can also be analysed.</w:t>
      </w:r>
    </w:p>
    <w:p w14:paraId="6ABA7FFE" w14:textId="77777777" w:rsidR="00D81529" w:rsidRPr="00FA55E9" w:rsidRDefault="00D81529" w:rsidP="003440E2">
      <w:pPr>
        <w:spacing w:line="360" w:lineRule="auto"/>
        <w:rPr>
          <w:rFonts w:cs="Times New Roman"/>
          <w:szCs w:val="24"/>
        </w:rPr>
      </w:pPr>
    </w:p>
    <w:p w14:paraId="66A4F459" w14:textId="77777777" w:rsidR="00CD22F8" w:rsidRPr="00FA55E9" w:rsidRDefault="00CD22F8" w:rsidP="00CD22F8"/>
    <w:p w14:paraId="5EE0ED7C" w14:textId="0CBBA4EB" w:rsidR="004C2F60" w:rsidRPr="00FA55E9" w:rsidRDefault="004C2F60" w:rsidP="00DE0F23">
      <w:pPr>
        <w:spacing w:line="360" w:lineRule="auto"/>
        <w:rPr>
          <w:rFonts w:eastAsiaTheme="majorEastAsia" w:cstheme="majorBidi"/>
          <w:b/>
          <w:szCs w:val="40"/>
        </w:rPr>
      </w:pPr>
      <w:r w:rsidRPr="00FA55E9">
        <w:rPr>
          <w:rFonts w:eastAsiaTheme="majorEastAsia" w:cstheme="majorBidi"/>
          <w:b/>
          <w:szCs w:val="40"/>
        </w:rPr>
        <w:br w:type="page"/>
      </w:r>
    </w:p>
    <w:p w14:paraId="5EB693B3" w14:textId="1F680729" w:rsidR="00676AC4" w:rsidRDefault="004C2F60" w:rsidP="003440E2">
      <w:pPr>
        <w:pStyle w:val="Heading1"/>
      </w:pPr>
      <w:bookmarkStart w:id="97" w:name="_Toc140859118"/>
      <w:bookmarkStart w:id="98" w:name="_Toc145004305"/>
      <w:bookmarkStart w:id="99" w:name="_Toc145078426"/>
      <w:r w:rsidRPr="00FA55E9">
        <w:lastRenderedPageBreak/>
        <w:t>References</w:t>
      </w:r>
      <w:bookmarkEnd w:id="97"/>
      <w:bookmarkEnd w:id="98"/>
      <w:bookmarkEnd w:id="99"/>
      <w:r w:rsidRPr="00FA55E9">
        <w:t xml:space="preserve"> </w:t>
      </w:r>
    </w:p>
    <w:p w14:paraId="5E00CE31" w14:textId="77777777" w:rsidR="00A1378A" w:rsidRPr="001E71C1" w:rsidRDefault="00A1378A" w:rsidP="00A1378A">
      <w:pPr>
        <w:spacing w:line="360" w:lineRule="auto"/>
        <w:rPr>
          <w:rFonts w:eastAsia="Times New Roman" w:cs="Times New Roman"/>
          <w:szCs w:val="24"/>
          <w:lang w:val="en-IN"/>
        </w:rPr>
      </w:pPr>
      <w:r w:rsidRPr="001E71C1">
        <w:rPr>
          <w:rFonts w:eastAsia="Times New Roman" w:cs="Times New Roman"/>
          <w:szCs w:val="24"/>
          <w:lang w:val="en-IN"/>
        </w:rPr>
        <w:t xml:space="preserve">Ahmed, S., </w:t>
      </w:r>
      <w:proofErr w:type="spellStart"/>
      <w:r w:rsidRPr="001E71C1">
        <w:rPr>
          <w:rFonts w:eastAsia="Times New Roman" w:cs="Times New Roman"/>
          <w:szCs w:val="24"/>
          <w:lang w:val="en-IN"/>
        </w:rPr>
        <w:t>Bangassa</w:t>
      </w:r>
      <w:proofErr w:type="spellEnd"/>
      <w:r w:rsidRPr="001E71C1">
        <w:rPr>
          <w:rFonts w:eastAsia="Times New Roman" w:cs="Times New Roman"/>
          <w:szCs w:val="24"/>
          <w:lang w:val="en-IN"/>
        </w:rPr>
        <w:t>, K. and Akbar, S., 2020. A study on trust restoration efforts in the UK retail banking industry. The British Accounting Review, 52(1), p.100871.</w:t>
      </w:r>
    </w:p>
    <w:p w14:paraId="5FF307B7" w14:textId="77777777" w:rsidR="00A1378A" w:rsidRPr="001E71C1" w:rsidRDefault="00A1378A" w:rsidP="00A1378A">
      <w:pPr>
        <w:spacing w:line="360" w:lineRule="auto"/>
        <w:rPr>
          <w:rFonts w:cs="Times New Roman"/>
          <w:szCs w:val="24"/>
        </w:rPr>
      </w:pPr>
      <w:r w:rsidRPr="001E71C1">
        <w:rPr>
          <w:rFonts w:cs="Times New Roman"/>
          <w:szCs w:val="24"/>
          <w:shd w:val="clear" w:color="auto" w:fill="FFFFFF"/>
        </w:rPr>
        <w:t>Allen, F., Gu, X. and Jagtiani, J., 2021. A survey of fintech research and policy discussion. </w:t>
      </w:r>
      <w:r w:rsidRPr="001E71C1">
        <w:rPr>
          <w:rFonts w:cs="Times New Roman"/>
          <w:i/>
          <w:iCs/>
          <w:szCs w:val="24"/>
          <w:shd w:val="clear" w:color="auto" w:fill="FFFFFF"/>
        </w:rPr>
        <w:t>Review of Corporate Finance</w:t>
      </w:r>
      <w:r w:rsidRPr="001E71C1">
        <w:rPr>
          <w:rFonts w:cs="Times New Roman"/>
          <w:szCs w:val="24"/>
          <w:shd w:val="clear" w:color="auto" w:fill="FFFFFF"/>
        </w:rPr>
        <w:t>, </w:t>
      </w:r>
      <w:r w:rsidRPr="001E71C1">
        <w:rPr>
          <w:rFonts w:cs="Times New Roman"/>
          <w:i/>
          <w:iCs/>
          <w:szCs w:val="24"/>
          <w:shd w:val="clear" w:color="auto" w:fill="FFFFFF"/>
        </w:rPr>
        <w:t>1</w:t>
      </w:r>
      <w:r w:rsidRPr="001E71C1">
        <w:rPr>
          <w:rFonts w:cs="Times New Roman"/>
          <w:szCs w:val="24"/>
          <w:shd w:val="clear" w:color="auto" w:fill="FFFFFF"/>
        </w:rPr>
        <w:t>, pp.259-339.</w:t>
      </w:r>
    </w:p>
    <w:p w14:paraId="097BD020" w14:textId="77777777" w:rsidR="00A1378A" w:rsidRPr="001E71C1" w:rsidRDefault="00A1378A" w:rsidP="00A1378A">
      <w:pPr>
        <w:spacing w:line="360" w:lineRule="auto"/>
        <w:rPr>
          <w:rFonts w:cs="Times New Roman"/>
          <w:szCs w:val="24"/>
          <w:shd w:val="clear" w:color="auto" w:fill="FFFFFF"/>
        </w:rPr>
      </w:pPr>
      <w:bookmarkStart w:id="100" w:name="_Hlk140854618"/>
      <w:proofErr w:type="spellStart"/>
      <w:r w:rsidRPr="001E71C1">
        <w:rPr>
          <w:rFonts w:cs="Times New Roman"/>
          <w:szCs w:val="24"/>
          <w:shd w:val="clear" w:color="auto" w:fill="FFFFFF"/>
        </w:rPr>
        <w:t>Almoneef</w:t>
      </w:r>
      <w:proofErr w:type="spellEnd"/>
      <w:r w:rsidRPr="001E71C1">
        <w:rPr>
          <w:rFonts w:cs="Times New Roman"/>
          <w:szCs w:val="24"/>
          <w:shd w:val="clear" w:color="auto" w:fill="FFFFFF"/>
        </w:rPr>
        <w:t xml:space="preserve">, A. and </w:t>
      </w:r>
      <w:proofErr w:type="spellStart"/>
      <w:r w:rsidRPr="001E71C1">
        <w:rPr>
          <w:rFonts w:cs="Times New Roman"/>
          <w:szCs w:val="24"/>
          <w:shd w:val="clear" w:color="auto" w:fill="FFFFFF"/>
        </w:rPr>
        <w:t>Samontaray</w:t>
      </w:r>
      <w:proofErr w:type="spellEnd"/>
      <w:r w:rsidRPr="001E71C1">
        <w:rPr>
          <w:rFonts w:cs="Times New Roman"/>
          <w:szCs w:val="24"/>
          <w:shd w:val="clear" w:color="auto" w:fill="FFFFFF"/>
        </w:rPr>
        <w:t>, D</w:t>
      </w:r>
      <w:bookmarkEnd w:id="100"/>
      <w:r w:rsidRPr="001E71C1">
        <w:rPr>
          <w:rFonts w:cs="Times New Roman"/>
          <w:szCs w:val="24"/>
          <w:shd w:val="clear" w:color="auto" w:fill="FFFFFF"/>
        </w:rPr>
        <w:t>.P., 2019. Corporate governance and firm performance in the Saudi banking industry. </w:t>
      </w:r>
      <w:r w:rsidRPr="001E71C1">
        <w:rPr>
          <w:rFonts w:cs="Times New Roman"/>
          <w:i/>
          <w:iCs/>
          <w:szCs w:val="24"/>
          <w:shd w:val="clear" w:color="auto" w:fill="FFFFFF"/>
        </w:rPr>
        <w:t>Banks &amp; bank systems</w:t>
      </w:r>
      <w:r w:rsidRPr="001E71C1">
        <w:rPr>
          <w:rFonts w:cs="Times New Roman"/>
          <w:szCs w:val="24"/>
          <w:shd w:val="clear" w:color="auto" w:fill="FFFFFF"/>
        </w:rPr>
        <w:t xml:space="preserve">, (14, </w:t>
      </w:r>
      <w:proofErr w:type="spellStart"/>
      <w:r w:rsidRPr="001E71C1">
        <w:rPr>
          <w:rFonts w:cs="Times New Roman"/>
          <w:szCs w:val="24"/>
          <w:shd w:val="clear" w:color="auto" w:fill="FFFFFF"/>
        </w:rPr>
        <w:t>Iss</w:t>
      </w:r>
      <w:proofErr w:type="spellEnd"/>
      <w:r w:rsidRPr="001E71C1">
        <w:rPr>
          <w:rFonts w:cs="Times New Roman"/>
          <w:szCs w:val="24"/>
          <w:shd w:val="clear" w:color="auto" w:fill="FFFFFF"/>
        </w:rPr>
        <w:t>. 1), pp.147-158.</w:t>
      </w:r>
    </w:p>
    <w:p w14:paraId="6DEC0A87"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 xml:space="preserve">Alzoubi, H., </w:t>
      </w:r>
      <w:proofErr w:type="spellStart"/>
      <w:r w:rsidRPr="001E71C1">
        <w:rPr>
          <w:rFonts w:cs="Times New Roman"/>
          <w:szCs w:val="24"/>
          <w:shd w:val="clear" w:color="auto" w:fill="FFFFFF"/>
        </w:rPr>
        <w:t>Alshurideh</w:t>
      </w:r>
      <w:proofErr w:type="spellEnd"/>
      <w:r w:rsidRPr="001E71C1">
        <w:rPr>
          <w:rFonts w:cs="Times New Roman"/>
          <w:szCs w:val="24"/>
          <w:shd w:val="clear" w:color="auto" w:fill="FFFFFF"/>
        </w:rPr>
        <w:t xml:space="preserve">, M., Kurdi, B. and </w:t>
      </w:r>
      <w:proofErr w:type="spellStart"/>
      <w:r w:rsidRPr="001E71C1">
        <w:rPr>
          <w:rFonts w:cs="Times New Roman"/>
          <w:szCs w:val="24"/>
          <w:shd w:val="clear" w:color="auto" w:fill="FFFFFF"/>
        </w:rPr>
        <w:t>Inairat</w:t>
      </w:r>
      <w:proofErr w:type="spellEnd"/>
      <w:r w:rsidRPr="001E71C1">
        <w:rPr>
          <w:rFonts w:cs="Times New Roman"/>
          <w:szCs w:val="24"/>
          <w:shd w:val="clear" w:color="auto" w:fill="FFFFFF"/>
        </w:rPr>
        <w:t>, M.J.U.S.C.M., 2020. Do perceived service value, quality, price fairness and service recovery shape customer satisfaction and delight? A practical study in the service telecommunication context. </w:t>
      </w:r>
      <w:r w:rsidRPr="001E71C1">
        <w:rPr>
          <w:rFonts w:cs="Times New Roman"/>
          <w:i/>
          <w:iCs/>
          <w:szCs w:val="24"/>
          <w:shd w:val="clear" w:color="auto" w:fill="FFFFFF"/>
        </w:rPr>
        <w:t>Uncertain Supply Chain Management</w:t>
      </w:r>
      <w:r w:rsidRPr="001E71C1">
        <w:rPr>
          <w:rFonts w:cs="Times New Roman"/>
          <w:szCs w:val="24"/>
          <w:shd w:val="clear" w:color="auto" w:fill="FFFFFF"/>
        </w:rPr>
        <w:t>, </w:t>
      </w:r>
      <w:r w:rsidRPr="001E71C1">
        <w:rPr>
          <w:rFonts w:cs="Times New Roman"/>
          <w:i/>
          <w:iCs/>
          <w:szCs w:val="24"/>
          <w:shd w:val="clear" w:color="auto" w:fill="FFFFFF"/>
        </w:rPr>
        <w:t>8</w:t>
      </w:r>
      <w:r w:rsidRPr="001E71C1">
        <w:rPr>
          <w:rFonts w:cs="Times New Roman"/>
          <w:szCs w:val="24"/>
          <w:shd w:val="clear" w:color="auto" w:fill="FFFFFF"/>
        </w:rPr>
        <w:t>(3), pp.579-588.</w:t>
      </w:r>
    </w:p>
    <w:p w14:paraId="135CD202" w14:textId="77777777" w:rsidR="00A1378A" w:rsidRPr="001E71C1" w:rsidRDefault="00A1378A" w:rsidP="00A1378A">
      <w:pPr>
        <w:spacing w:line="360" w:lineRule="auto"/>
        <w:rPr>
          <w:rFonts w:cs="Times New Roman"/>
          <w:szCs w:val="24"/>
          <w:shd w:val="clear" w:color="auto" w:fill="FFFFFF"/>
        </w:rPr>
      </w:pPr>
      <w:bookmarkStart w:id="101" w:name="_Hlk143274141"/>
      <w:r w:rsidRPr="001E71C1">
        <w:rPr>
          <w:rFonts w:cs="Times New Roman"/>
          <w:szCs w:val="24"/>
          <w:shd w:val="clear" w:color="auto" w:fill="FFFFFF"/>
        </w:rPr>
        <w:t xml:space="preserve">Bairagi, V. and </w:t>
      </w:r>
      <w:proofErr w:type="spellStart"/>
      <w:r w:rsidRPr="001E71C1">
        <w:rPr>
          <w:rFonts w:cs="Times New Roman"/>
          <w:szCs w:val="24"/>
          <w:shd w:val="clear" w:color="auto" w:fill="FFFFFF"/>
        </w:rPr>
        <w:t>Munot</w:t>
      </w:r>
      <w:proofErr w:type="spellEnd"/>
      <w:r w:rsidRPr="001E71C1">
        <w:rPr>
          <w:rFonts w:cs="Times New Roman"/>
          <w:szCs w:val="24"/>
          <w:shd w:val="clear" w:color="auto" w:fill="FFFFFF"/>
        </w:rPr>
        <w:t xml:space="preserve">, </w:t>
      </w:r>
      <w:bookmarkEnd w:id="101"/>
      <w:r w:rsidRPr="001E71C1">
        <w:rPr>
          <w:rFonts w:cs="Times New Roman"/>
          <w:szCs w:val="24"/>
          <w:shd w:val="clear" w:color="auto" w:fill="FFFFFF"/>
        </w:rPr>
        <w:t>M.V. eds., 2019. </w:t>
      </w:r>
      <w:r w:rsidRPr="001E71C1">
        <w:rPr>
          <w:rFonts w:cs="Times New Roman"/>
          <w:i/>
          <w:iCs/>
          <w:szCs w:val="24"/>
          <w:shd w:val="clear" w:color="auto" w:fill="FFFFFF"/>
        </w:rPr>
        <w:t>Research methodology: A practical and scientific approach</w:t>
      </w:r>
      <w:r w:rsidRPr="001E71C1">
        <w:rPr>
          <w:rFonts w:cs="Times New Roman"/>
          <w:szCs w:val="24"/>
          <w:shd w:val="clear" w:color="auto" w:fill="FFFFFF"/>
        </w:rPr>
        <w:t>. CRC Press.</w:t>
      </w:r>
    </w:p>
    <w:p w14:paraId="6AF15F08" w14:textId="77777777" w:rsidR="00A1378A" w:rsidRPr="001E71C1" w:rsidRDefault="00A1378A" w:rsidP="00A1378A">
      <w:pPr>
        <w:spacing w:line="360" w:lineRule="auto"/>
        <w:rPr>
          <w:rFonts w:cs="Times New Roman"/>
          <w:szCs w:val="24"/>
        </w:rPr>
      </w:pPr>
      <w:r w:rsidRPr="001E71C1">
        <w:rPr>
          <w:rFonts w:cs="Times New Roman"/>
          <w:szCs w:val="24"/>
          <w:shd w:val="clear" w:color="auto" w:fill="FFFFFF"/>
        </w:rPr>
        <w:t xml:space="preserve">Bilan, Y., </w:t>
      </w:r>
      <w:proofErr w:type="spellStart"/>
      <w:r w:rsidRPr="001E71C1">
        <w:rPr>
          <w:rFonts w:cs="Times New Roman"/>
          <w:szCs w:val="24"/>
          <w:shd w:val="clear" w:color="auto" w:fill="FFFFFF"/>
        </w:rPr>
        <w:t>Rubanov</w:t>
      </w:r>
      <w:proofErr w:type="spellEnd"/>
      <w:r w:rsidRPr="001E71C1">
        <w:rPr>
          <w:rFonts w:cs="Times New Roman"/>
          <w:szCs w:val="24"/>
          <w:shd w:val="clear" w:color="auto" w:fill="FFFFFF"/>
        </w:rPr>
        <w:t xml:space="preserve">, P., </w:t>
      </w:r>
      <w:proofErr w:type="spellStart"/>
      <w:r w:rsidRPr="001E71C1">
        <w:rPr>
          <w:rFonts w:cs="Times New Roman"/>
          <w:szCs w:val="24"/>
          <w:shd w:val="clear" w:color="auto" w:fill="FFFFFF"/>
        </w:rPr>
        <w:t>Vasylieva</w:t>
      </w:r>
      <w:proofErr w:type="spellEnd"/>
      <w:r w:rsidRPr="001E71C1">
        <w:rPr>
          <w:rFonts w:cs="Times New Roman"/>
          <w:szCs w:val="24"/>
          <w:shd w:val="clear" w:color="auto" w:fill="FFFFFF"/>
        </w:rPr>
        <w:t xml:space="preserve">, T.A. and </w:t>
      </w:r>
      <w:proofErr w:type="spellStart"/>
      <w:r w:rsidRPr="001E71C1">
        <w:rPr>
          <w:rFonts w:cs="Times New Roman"/>
          <w:szCs w:val="24"/>
          <w:shd w:val="clear" w:color="auto" w:fill="FFFFFF"/>
        </w:rPr>
        <w:t>Lyeonov</w:t>
      </w:r>
      <w:proofErr w:type="spellEnd"/>
      <w:r w:rsidRPr="001E71C1">
        <w:rPr>
          <w:rFonts w:cs="Times New Roman"/>
          <w:szCs w:val="24"/>
          <w:shd w:val="clear" w:color="auto" w:fill="FFFFFF"/>
        </w:rPr>
        <w:t>, S., 2019. The influence of industry 4.0 on financial services: Determinants of alternative finance development. </w:t>
      </w:r>
      <w:r w:rsidRPr="001E71C1">
        <w:rPr>
          <w:rFonts w:cs="Times New Roman"/>
          <w:i/>
          <w:iCs/>
          <w:szCs w:val="24"/>
          <w:shd w:val="clear" w:color="auto" w:fill="FFFFFF"/>
        </w:rPr>
        <w:t>Polish Journal of Management Studies</w:t>
      </w:r>
      <w:r w:rsidRPr="001E71C1">
        <w:rPr>
          <w:rFonts w:cs="Times New Roman"/>
          <w:szCs w:val="24"/>
          <w:shd w:val="clear" w:color="auto" w:fill="FFFFFF"/>
        </w:rPr>
        <w:t>.</w:t>
      </w:r>
    </w:p>
    <w:p w14:paraId="48D79A9C" w14:textId="77777777" w:rsidR="00A1378A" w:rsidRPr="001E71C1" w:rsidRDefault="00A1378A" w:rsidP="00A1378A">
      <w:pPr>
        <w:spacing w:line="360" w:lineRule="auto"/>
        <w:rPr>
          <w:rFonts w:eastAsia="Times New Roman" w:cs="Times New Roman"/>
          <w:szCs w:val="24"/>
          <w:lang w:val="en-IN"/>
        </w:rPr>
      </w:pPr>
      <w:proofErr w:type="spellStart"/>
      <w:r w:rsidRPr="001E71C1">
        <w:rPr>
          <w:rFonts w:eastAsia="Times New Roman" w:cs="Times New Roman"/>
          <w:szCs w:val="24"/>
          <w:lang w:val="en-IN"/>
        </w:rPr>
        <w:t>Borgogno</w:t>
      </w:r>
      <w:proofErr w:type="spellEnd"/>
      <w:r w:rsidRPr="001E71C1">
        <w:rPr>
          <w:rFonts w:eastAsia="Times New Roman" w:cs="Times New Roman"/>
          <w:szCs w:val="24"/>
          <w:lang w:val="en-IN"/>
        </w:rPr>
        <w:t>, O. and Colangelo, G., 2020. Consumer inertia and competition-sensitive data governance: the case of Open Banking. a revised version is forthcoming in the Journal of European Consumer and Market Law.</w:t>
      </w:r>
    </w:p>
    <w:p w14:paraId="1253314F" w14:textId="77777777" w:rsidR="00A1378A" w:rsidRPr="001E71C1" w:rsidRDefault="00A1378A" w:rsidP="00A1378A">
      <w:pPr>
        <w:spacing w:line="360" w:lineRule="auto"/>
        <w:rPr>
          <w:rFonts w:cs="Times New Roman"/>
          <w:szCs w:val="24"/>
        </w:rPr>
      </w:pPr>
      <w:r w:rsidRPr="001E71C1">
        <w:rPr>
          <w:rFonts w:cs="Times New Roman"/>
          <w:szCs w:val="24"/>
          <w:shd w:val="clear" w:color="auto" w:fill="FFFFFF"/>
        </w:rPr>
        <w:t>Chang, V., Baudier, P., Zhang, H., Xu, Q., Zhang, J. and Arami, M., 2020. How Blockchain can impact financial services–The overview, challenges and recommendations from expert interviewees. </w:t>
      </w:r>
      <w:r w:rsidRPr="001E71C1">
        <w:rPr>
          <w:rFonts w:cs="Times New Roman"/>
          <w:i/>
          <w:iCs/>
          <w:szCs w:val="24"/>
          <w:shd w:val="clear" w:color="auto" w:fill="FFFFFF"/>
        </w:rPr>
        <w:t>Technological forecasting and social change</w:t>
      </w:r>
      <w:r w:rsidRPr="001E71C1">
        <w:rPr>
          <w:rFonts w:cs="Times New Roman"/>
          <w:szCs w:val="24"/>
          <w:shd w:val="clear" w:color="auto" w:fill="FFFFFF"/>
        </w:rPr>
        <w:t>, </w:t>
      </w:r>
      <w:r w:rsidRPr="001E71C1">
        <w:rPr>
          <w:rFonts w:cs="Times New Roman"/>
          <w:i/>
          <w:iCs/>
          <w:szCs w:val="24"/>
          <w:shd w:val="clear" w:color="auto" w:fill="FFFFFF"/>
        </w:rPr>
        <w:t>158</w:t>
      </w:r>
      <w:r w:rsidRPr="001E71C1">
        <w:rPr>
          <w:rFonts w:cs="Times New Roman"/>
          <w:szCs w:val="24"/>
          <w:shd w:val="clear" w:color="auto" w:fill="FFFFFF"/>
        </w:rPr>
        <w:t>, p.120166.</w:t>
      </w:r>
    </w:p>
    <w:p w14:paraId="1C9766FD" w14:textId="77777777" w:rsidR="00A1378A" w:rsidRPr="001E71C1" w:rsidRDefault="00A1378A" w:rsidP="00A1378A">
      <w:pPr>
        <w:spacing w:line="360" w:lineRule="auto"/>
        <w:rPr>
          <w:rFonts w:eastAsia="Times New Roman" w:cs="Times New Roman"/>
          <w:szCs w:val="24"/>
          <w:lang w:val="en-IN"/>
        </w:rPr>
      </w:pPr>
      <w:proofErr w:type="spellStart"/>
      <w:r w:rsidRPr="001E71C1">
        <w:rPr>
          <w:rFonts w:eastAsia="Times New Roman" w:cs="Times New Roman"/>
          <w:szCs w:val="24"/>
          <w:lang w:val="en-IN"/>
        </w:rPr>
        <w:t>Chayjan</w:t>
      </w:r>
      <w:proofErr w:type="spellEnd"/>
      <w:r w:rsidRPr="001E71C1">
        <w:rPr>
          <w:rFonts w:eastAsia="Times New Roman" w:cs="Times New Roman"/>
          <w:szCs w:val="24"/>
          <w:lang w:val="en-IN"/>
        </w:rPr>
        <w:t xml:space="preserve">, M.R., Bagheri, T., </w:t>
      </w:r>
      <w:proofErr w:type="spellStart"/>
      <w:r w:rsidRPr="001E71C1">
        <w:rPr>
          <w:rFonts w:eastAsia="Times New Roman" w:cs="Times New Roman"/>
          <w:szCs w:val="24"/>
          <w:lang w:val="en-IN"/>
        </w:rPr>
        <w:t>Kianian</w:t>
      </w:r>
      <w:proofErr w:type="spellEnd"/>
      <w:r w:rsidRPr="001E71C1">
        <w:rPr>
          <w:rFonts w:eastAsia="Times New Roman" w:cs="Times New Roman"/>
          <w:szCs w:val="24"/>
          <w:lang w:val="en-IN"/>
        </w:rPr>
        <w:t xml:space="preserve">, A. and </w:t>
      </w:r>
      <w:proofErr w:type="spellStart"/>
      <w:r w:rsidRPr="001E71C1">
        <w:rPr>
          <w:rFonts w:eastAsia="Times New Roman" w:cs="Times New Roman"/>
          <w:szCs w:val="24"/>
          <w:lang w:val="en-IN"/>
        </w:rPr>
        <w:t>Someh</w:t>
      </w:r>
      <w:proofErr w:type="spellEnd"/>
      <w:r w:rsidRPr="001E71C1">
        <w:rPr>
          <w:rFonts w:eastAsia="Times New Roman" w:cs="Times New Roman"/>
          <w:szCs w:val="24"/>
          <w:lang w:val="en-IN"/>
        </w:rPr>
        <w:t>, N.G., 2020. Using data mining for prediction of retail banking customer's churn behaviour. International Journal of Electronic Banking, 2(4), pp.303-320.</w:t>
      </w:r>
    </w:p>
    <w:p w14:paraId="7756AFBB"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Chen, X., You, X. and Chang, V., 2021. FinTech and commercial banks' performance in China: A leap forward or survival of the fittest?. </w:t>
      </w:r>
      <w:r w:rsidRPr="001E71C1">
        <w:rPr>
          <w:rFonts w:cs="Times New Roman"/>
          <w:i/>
          <w:iCs/>
          <w:szCs w:val="24"/>
          <w:shd w:val="clear" w:color="auto" w:fill="FFFFFF"/>
        </w:rPr>
        <w:t>Technological Forecasting and Social Change</w:t>
      </w:r>
      <w:r w:rsidRPr="001E71C1">
        <w:rPr>
          <w:rFonts w:cs="Times New Roman"/>
          <w:szCs w:val="24"/>
          <w:shd w:val="clear" w:color="auto" w:fill="FFFFFF"/>
        </w:rPr>
        <w:t>, </w:t>
      </w:r>
      <w:r w:rsidRPr="001E71C1">
        <w:rPr>
          <w:rFonts w:cs="Times New Roman"/>
          <w:i/>
          <w:iCs/>
          <w:szCs w:val="24"/>
          <w:shd w:val="clear" w:color="auto" w:fill="FFFFFF"/>
        </w:rPr>
        <w:t>166</w:t>
      </w:r>
      <w:r w:rsidRPr="001E71C1">
        <w:rPr>
          <w:rFonts w:cs="Times New Roman"/>
          <w:szCs w:val="24"/>
          <w:shd w:val="clear" w:color="auto" w:fill="FFFFFF"/>
        </w:rPr>
        <w:t>, p.120645.</w:t>
      </w:r>
    </w:p>
    <w:p w14:paraId="53A07F23" w14:textId="77777777" w:rsidR="00A1378A" w:rsidRPr="001E71C1" w:rsidRDefault="00A1378A" w:rsidP="00A1378A">
      <w:pPr>
        <w:spacing w:line="360" w:lineRule="auto"/>
        <w:rPr>
          <w:rFonts w:cs="Times New Roman"/>
          <w:szCs w:val="24"/>
          <w:shd w:val="clear" w:color="auto" w:fill="FFFFFF"/>
        </w:rPr>
      </w:pPr>
      <w:bookmarkStart w:id="102" w:name="_Hlk145078157"/>
      <w:r w:rsidRPr="001E71C1">
        <w:rPr>
          <w:rFonts w:cs="Times New Roman"/>
          <w:szCs w:val="24"/>
          <w:shd w:val="clear" w:color="auto" w:fill="FFFFFF"/>
        </w:rPr>
        <w:t>De Leon</w:t>
      </w:r>
      <w:bookmarkEnd w:id="102"/>
      <w:r w:rsidRPr="001E71C1">
        <w:rPr>
          <w:rFonts w:cs="Times New Roman"/>
          <w:szCs w:val="24"/>
          <w:shd w:val="clear" w:color="auto" w:fill="FFFFFF"/>
        </w:rPr>
        <w:t xml:space="preserve">, M.V., Atienza, R.P. and Susilo, D., 2020. Influence of self-service technology (SST) service quality dimensions as a second-order factor on perceived value and customer </w:t>
      </w:r>
      <w:r w:rsidRPr="001E71C1">
        <w:rPr>
          <w:rFonts w:cs="Times New Roman"/>
          <w:szCs w:val="24"/>
          <w:shd w:val="clear" w:color="auto" w:fill="FFFFFF"/>
        </w:rPr>
        <w:lastRenderedPageBreak/>
        <w:t>satisfaction in a mobile banking application. </w:t>
      </w:r>
      <w:r w:rsidRPr="001E71C1">
        <w:rPr>
          <w:rFonts w:cs="Times New Roman"/>
          <w:i/>
          <w:iCs/>
          <w:szCs w:val="24"/>
          <w:shd w:val="clear" w:color="auto" w:fill="FFFFFF"/>
        </w:rPr>
        <w:t>Cogent Business &amp; Management</w:t>
      </w:r>
      <w:r w:rsidRPr="001E71C1">
        <w:rPr>
          <w:rFonts w:cs="Times New Roman"/>
          <w:szCs w:val="24"/>
          <w:shd w:val="clear" w:color="auto" w:fill="FFFFFF"/>
        </w:rPr>
        <w:t>, </w:t>
      </w:r>
      <w:r w:rsidRPr="001E71C1">
        <w:rPr>
          <w:rFonts w:cs="Times New Roman"/>
          <w:i/>
          <w:iCs/>
          <w:szCs w:val="24"/>
          <w:shd w:val="clear" w:color="auto" w:fill="FFFFFF"/>
        </w:rPr>
        <w:t>7</w:t>
      </w:r>
      <w:r w:rsidRPr="001E71C1">
        <w:rPr>
          <w:rFonts w:cs="Times New Roman"/>
          <w:szCs w:val="24"/>
          <w:shd w:val="clear" w:color="auto" w:fill="FFFFFF"/>
        </w:rPr>
        <w:t>(1), p.1794241.</w:t>
      </w:r>
    </w:p>
    <w:p w14:paraId="4F3A3243" w14:textId="77777777" w:rsidR="00A1378A" w:rsidRPr="001E71C1" w:rsidRDefault="00A1378A" w:rsidP="00A1378A">
      <w:pPr>
        <w:spacing w:line="360" w:lineRule="auto"/>
        <w:rPr>
          <w:rFonts w:cs="Times New Roman"/>
          <w:szCs w:val="24"/>
          <w:shd w:val="clear" w:color="auto" w:fill="FFFFFF"/>
        </w:rPr>
      </w:pPr>
      <w:bookmarkStart w:id="103" w:name="_Hlk140854458"/>
      <w:r w:rsidRPr="001E71C1">
        <w:rPr>
          <w:rFonts w:cs="Times New Roman"/>
          <w:szCs w:val="24"/>
          <w:shd w:val="clear" w:color="auto" w:fill="FFFFFF"/>
        </w:rPr>
        <w:t>Delgado,</w:t>
      </w:r>
      <w:bookmarkEnd w:id="103"/>
      <w:r w:rsidRPr="001E71C1">
        <w:rPr>
          <w:rFonts w:cs="Times New Roman"/>
          <w:szCs w:val="24"/>
          <w:shd w:val="clear" w:color="auto" w:fill="FFFFFF"/>
        </w:rPr>
        <w:t xml:space="preserve"> J., 2021. Regulating Digital Gatekeepers: Lessons from the Banking Industry. </w:t>
      </w:r>
      <w:r w:rsidRPr="001E71C1">
        <w:rPr>
          <w:rFonts w:cs="Times New Roman"/>
          <w:i/>
          <w:iCs/>
          <w:szCs w:val="24"/>
          <w:shd w:val="clear" w:color="auto" w:fill="FFFFFF"/>
        </w:rPr>
        <w:t>CPI Antitrust Chronicle</w:t>
      </w:r>
      <w:r w:rsidRPr="001E71C1">
        <w:rPr>
          <w:rFonts w:cs="Times New Roman"/>
          <w:szCs w:val="24"/>
          <w:shd w:val="clear" w:color="auto" w:fill="FFFFFF"/>
        </w:rPr>
        <w:t>, </w:t>
      </w:r>
      <w:r w:rsidRPr="001E71C1">
        <w:rPr>
          <w:rFonts w:cs="Times New Roman"/>
          <w:i/>
          <w:iCs/>
          <w:szCs w:val="24"/>
          <w:shd w:val="clear" w:color="auto" w:fill="FFFFFF"/>
        </w:rPr>
        <w:t>2</w:t>
      </w:r>
      <w:r w:rsidRPr="001E71C1">
        <w:rPr>
          <w:rFonts w:cs="Times New Roman"/>
          <w:szCs w:val="24"/>
          <w:shd w:val="clear" w:color="auto" w:fill="FFFFFF"/>
        </w:rPr>
        <w:t>(1).</w:t>
      </w:r>
    </w:p>
    <w:p w14:paraId="06A7184C" w14:textId="77777777" w:rsidR="00A1378A" w:rsidRPr="001E71C1" w:rsidRDefault="00A1378A" w:rsidP="00A1378A">
      <w:pPr>
        <w:spacing w:line="360" w:lineRule="auto"/>
        <w:rPr>
          <w:rFonts w:cs="Times New Roman"/>
          <w:szCs w:val="24"/>
          <w:shd w:val="clear" w:color="auto" w:fill="FFFFFF"/>
        </w:rPr>
      </w:pPr>
      <w:bookmarkStart w:id="104" w:name="_Hlk143274184"/>
      <w:proofErr w:type="spellStart"/>
      <w:r w:rsidRPr="001E71C1">
        <w:rPr>
          <w:rFonts w:cs="Times New Roman"/>
          <w:szCs w:val="24"/>
          <w:shd w:val="clear" w:color="auto" w:fill="FFFFFF"/>
        </w:rPr>
        <w:t>Dzwigol</w:t>
      </w:r>
      <w:proofErr w:type="spellEnd"/>
      <w:r w:rsidRPr="001E71C1">
        <w:rPr>
          <w:rFonts w:cs="Times New Roman"/>
          <w:szCs w:val="24"/>
          <w:shd w:val="clear" w:color="auto" w:fill="FFFFFF"/>
        </w:rPr>
        <w:t xml:space="preserve">, </w:t>
      </w:r>
      <w:bookmarkEnd w:id="104"/>
      <w:r w:rsidRPr="001E71C1">
        <w:rPr>
          <w:rFonts w:cs="Times New Roman"/>
          <w:szCs w:val="24"/>
          <w:shd w:val="clear" w:color="auto" w:fill="FFFFFF"/>
        </w:rPr>
        <w:t>H., 2022. Research methodology in management science: Triangulation. </w:t>
      </w:r>
      <w:r w:rsidRPr="001E71C1">
        <w:rPr>
          <w:rFonts w:cs="Times New Roman"/>
          <w:i/>
          <w:iCs/>
          <w:szCs w:val="24"/>
          <w:shd w:val="clear" w:color="auto" w:fill="FFFFFF"/>
        </w:rPr>
        <w:t>Virtual Economics</w:t>
      </w:r>
      <w:r w:rsidRPr="001E71C1">
        <w:rPr>
          <w:rFonts w:cs="Times New Roman"/>
          <w:szCs w:val="24"/>
          <w:shd w:val="clear" w:color="auto" w:fill="FFFFFF"/>
        </w:rPr>
        <w:t>, </w:t>
      </w:r>
      <w:r w:rsidRPr="001E71C1">
        <w:rPr>
          <w:rFonts w:cs="Times New Roman"/>
          <w:i/>
          <w:iCs/>
          <w:szCs w:val="24"/>
          <w:shd w:val="clear" w:color="auto" w:fill="FFFFFF"/>
        </w:rPr>
        <w:t>5</w:t>
      </w:r>
      <w:r w:rsidRPr="001E71C1">
        <w:rPr>
          <w:rFonts w:cs="Times New Roman"/>
          <w:szCs w:val="24"/>
          <w:shd w:val="clear" w:color="auto" w:fill="FFFFFF"/>
        </w:rPr>
        <w:t>(1), pp.78-93.</w:t>
      </w:r>
    </w:p>
    <w:p w14:paraId="535BDAEC" w14:textId="77777777" w:rsidR="00A1378A" w:rsidRPr="001E71C1" w:rsidRDefault="00A1378A" w:rsidP="00A1378A">
      <w:pPr>
        <w:spacing w:line="360" w:lineRule="auto"/>
        <w:rPr>
          <w:rFonts w:cs="Times New Roman"/>
          <w:szCs w:val="24"/>
          <w:shd w:val="clear" w:color="auto" w:fill="FFFFFF"/>
        </w:rPr>
      </w:pPr>
      <w:bookmarkStart w:id="105" w:name="_Hlk142321819"/>
      <w:bookmarkStart w:id="106" w:name="_Hlk142321500"/>
      <w:r w:rsidRPr="001E71C1">
        <w:rPr>
          <w:rFonts w:cs="Times New Roman"/>
          <w:szCs w:val="24"/>
          <w:shd w:val="clear" w:color="auto" w:fill="FFFFFF"/>
        </w:rPr>
        <w:t>Feridun, M. and Güngör,</w:t>
      </w:r>
      <w:bookmarkEnd w:id="105"/>
      <w:r w:rsidRPr="001E71C1">
        <w:rPr>
          <w:rFonts w:cs="Times New Roman"/>
          <w:szCs w:val="24"/>
          <w:shd w:val="clear" w:color="auto" w:fill="FFFFFF"/>
        </w:rPr>
        <w:t xml:space="preserve"> </w:t>
      </w:r>
      <w:bookmarkEnd w:id="106"/>
      <w:r w:rsidRPr="001E71C1">
        <w:rPr>
          <w:rFonts w:cs="Times New Roman"/>
          <w:szCs w:val="24"/>
          <w:shd w:val="clear" w:color="auto" w:fill="FFFFFF"/>
        </w:rPr>
        <w:t>H., 2020. Climate-related prudential risks in the banking sector: A review of the emerging regulatory and supervisory practices. </w:t>
      </w:r>
      <w:r w:rsidRPr="001E71C1">
        <w:rPr>
          <w:rFonts w:cs="Times New Roman"/>
          <w:i/>
          <w:iCs/>
          <w:szCs w:val="24"/>
          <w:shd w:val="clear" w:color="auto" w:fill="FFFFFF"/>
        </w:rPr>
        <w:t>Sustainability</w:t>
      </w:r>
      <w:r w:rsidRPr="001E71C1">
        <w:rPr>
          <w:rFonts w:cs="Times New Roman"/>
          <w:szCs w:val="24"/>
          <w:shd w:val="clear" w:color="auto" w:fill="FFFFFF"/>
        </w:rPr>
        <w:t>, </w:t>
      </w:r>
      <w:r w:rsidRPr="001E71C1">
        <w:rPr>
          <w:rFonts w:cs="Times New Roman"/>
          <w:i/>
          <w:iCs/>
          <w:szCs w:val="24"/>
          <w:shd w:val="clear" w:color="auto" w:fill="FFFFFF"/>
        </w:rPr>
        <w:t>12</w:t>
      </w:r>
      <w:r w:rsidRPr="001E71C1">
        <w:rPr>
          <w:rFonts w:cs="Times New Roman"/>
          <w:szCs w:val="24"/>
          <w:shd w:val="clear" w:color="auto" w:fill="FFFFFF"/>
        </w:rPr>
        <w:t>(13), p.5325.</w:t>
      </w:r>
    </w:p>
    <w:p w14:paraId="05EA7C3C" w14:textId="77777777" w:rsidR="00A1378A" w:rsidRPr="001E71C1" w:rsidRDefault="00A1378A" w:rsidP="00A1378A">
      <w:pPr>
        <w:spacing w:line="360" w:lineRule="auto"/>
        <w:rPr>
          <w:rFonts w:eastAsia="Times New Roman" w:cs="Times New Roman"/>
          <w:szCs w:val="24"/>
          <w:lang w:val="en-IN"/>
        </w:rPr>
      </w:pPr>
      <w:proofErr w:type="spellStart"/>
      <w:r w:rsidRPr="001E71C1">
        <w:rPr>
          <w:rFonts w:eastAsia="Times New Roman" w:cs="Times New Roman"/>
          <w:szCs w:val="24"/>
          <w:lang w:val="en-IN"/>
        </w:rPr>
        <w:t>Filotto</w:t>
      </w:r>
      <w:proofErr w:type="spellEnd"/>
      <w:r w:rsidRPr="001E71C1">
        <w:rPr>
          <w:rFonts w:eastAsia="Times New Roman" w:cs="Times New Roman"/>
          <w:szCs w:val="24"/>
          <w:lang w:val="en-IN"/>
        </w:rPr>
        <w:t xml:space="preserve">, U., Caratelli, M. and </w:t>
      </w:r>
      <w:proofErr w:type="spellStart"/>
      <w:r w:rsidRPr="001E71C1">
        <w:rPr>
          <w:rFonts w:eastAsia="Times New Roman" w:cs="Times New Roman"/>
          <w:szCs w:val="24"/>
          <w:lang w:val="en-IN"/>
        </w:rPr>
        <w:t>Fornezza</w:t>
      </w:r>
      <w:proofErr w:type="spellEnd"/>
      <w:r w:rsidRPr="001E71C1">
        <w:rPr>
          <w:rFonts w:eastAsia="Times New Roman" w:cs="Times New Roman"/>
          <w:szCs w:val="24"/>
          <w:lang w:val="en-IN"/>
        </w:rPr>
        <w:t>, F., 2021. Shaping the digital transformation of the retail banking industry. Empirical evidence from Italy. European Management Journal, 39(3), pp.366-375.</w:t>
      </w:r>
    </w:p>
    <w:p w14:paraId="0FACBDE0" w14:textId="77777777" w:rsidR="00A1378A" w:rsidRPr="001E71C1" w:rsidRDefault="00A1378A" w:rsidP="00A1378A">
      <w:pPr>
        <w:spacing w:line="360" w:lineRule="auto"/>
        <w:rPr>
          <w:rFonts w:cs="Times New Roman"/>
          <w:szCs w:val="24"/>
          <w:lang w:val="en-IN"/>
        </w:rPr>
      </w:pPr>
      <w:bookmarkStart w:id="107" w:name="_Hlk140854701"/>
      <w:proofErr w:type="spellStart"/>
      <w:r w:rsidRPr="001E71C1">
        <w:rPr>
          <w:rFonts w:cs="Times New Roman"/>
          <w:szCs w:val="24"/>
          <w:shd w:val="clear" w:color="auto" w:fill="FFFFFF"/>
        </w:rPr>
        <w:t>Golovkova</w:t>
      </w:r>
      <w:bookmarkEnd w:id="107"/>
      <w:proofErr w:type="spellEnd"/>
      <w:r w:rsidRPr="001E71C1">
        <w:rPr>
          <w:rFonts w:cs="Times New Roman"/>
          <w:szCs w:val="24"/>
          <w:shd w:val="clear" w:color="auto" w:fill="FFFFFF"/>
        </w:rPr>
        <w:t xml:space="preserve">, A., Eklof, J., Malova, A. and </w:t>
      </w:r>
      <w:proofErr w:type="spellStart"/>
      <w:r w:rsidRPr="001E71C1">
        <w:rPr>
          <w:rFonts w:cs="Times New Roman"/>
          <w:szCs w:val="24"/>
          <w:shd w:val="clear" w:color="auto" w:fill="FFFFFF"/>
        </w:rPr>
        <w:t>Podkorytova</w:t>
      </w:r>
      <w:proofErr w:type="spellEnd"/>
      <w:r w:rsidRPr="001E71C1">
        <w:rPr>
          <w:rFonts w:cs="Times New Roman"/>
          <w:szCs w:val="24"/>
          <w:shd w:val="clear" w:color="auto" w:fill="FFFFFF"/>
        </w:rPr>
        <w:t xml:space="preserve">, O., 2019. Customer satisfaction index and financial performance: a European </w:t>
      </w:r>
      <w:proofErr w:type="gramStart"/>
      <w:r w:rsidRPr="001E71C1">
        <w:rPr>
          <w:rFonts w:cs="Times New Roman"/>
          <w:szCs w:val="24"/>
          <w:shd w:val="clear" w:color="auto" w:fill="FFFFFF"/>
        </w:rPr>
        <w:t>cross country</w:t>
      </w:r>
      <w:proofErr w:type="gramEnd"/>
      <w:r w:rsidRPr="001E71C1">
        <w:rPr>
          <w:rFonts w:cs="Times New Roman"/>
          <w:szCs w:val="24"/>
          <w:shd w:val="clear" w:color="auto" w:fill="FFFFFF"/>
        </w:rPr>
        <w:t xml:space="preserve"> study. </w:t>
      </w:r>
      <w:r w:rsidRPr="001E71C1">
        <w:rPr>
          <w:rFonts w:cs="Times New Roman"/>
          <w:i/>
          <w:iCs/>
          <w:szCs w:val="24"/>
          <w:shd w:val="clear" w:color="auto" w:fill="FFFFFF"/>
        </w:rPr>
        <w:t>International Journal of bank marketing</w:t>
      </w:r>
      <w:r w:rsidRPr="001E71C1">
        <w:rPr>
          <w:rFonts w:cs="Times New Roman"/>
          <w:szCs w:val="24"/>
          <w:shd w:val="clear" w:color="auto" w:fill="FFFFFF"/>
        </w:rPr>
        <w:t>, </w:t>
      </w:r>
      <w:r w:rsidRPr="001E71C1">
        <w:rPr>
          <w:rFonts w:cs="Times New Roman"/>
          <w:i/>
          <w:iCs/>
          <w:szCs w:val="24"/>
          <w:shd w:val="clear" w:color="auto" w:fill="FFFFFF"/>
        </w:rPr>
        <w:t>37</w:t>
      </w:r>
      <w:r w:rsidRPr="001E71C1">
        <w:rPr>
          <w:rFonts w:cs="Times New Roman"/>
          <w:szCs w:val="24"/>
          <w:shd w:val="clear" w:color="auto" w:fill="FFFFFF"/>
        </w:rPr>
        <w:t>(2), pp.479-491.</w:t>
      </w:r>
    </w:p>
    <w:p w14:paraId="70FCF710" w14:textId="77777777" w:rsidR="00A1378A" w:rsidRPr="001E71C1" w:rsidRDefault="00A1378A" w:rsidP="00A1378A">
      <w:pPr>
        <w:spacing w:line="360" w:lineRule="auto"/>
        <w:rPr>
          <w:rFonts w:eastAsia="Times New Roman" w:cs="Times New Roman"/>
          <w:szCs w:val="24"/>
          <w:lang w:val="en-IN"/>
        </w:rPr>
      </w:pPr>
      <w:proofErr w:type="spellStart"/>
      <w:r w:rsidRPr="001E71C1">
        <w:rPr>
          <w:rFonts w:eastAsia="Times New Roman" w:cs="Times New Roman"/>
          <w:szCs w:val="24"/>
          <w:lang w:val="en-IN"/>
        </w:rPr>
        <w:t>Haapio</w:t>
      </w:r>
      <w:proofErr w:type="spellEnd"/>
      <w:r w:rsidRPr="001E71C1">
        <w:rPr>
          <w:rFonts w:eastAsia="Times New Roman" w:cs="Times New Roman"/>
          <w:szCs w:val="24"/>
          <w:lang w:val="en-IN"/>
        </w:rPr>
        <w:t xml:space="preserve">, H., Mero, J., </w:t>
      </w:r>
      <w:proofErr w:type="spellStart"/>
      <w:r w:rsidRPr="001E71C1">
        <w:rPr>
          <w:rFonts w:eastAsia="Times New Roman" w:cs="Times New Roman"/>
          <w:szCs w:val="24"/>
          <w:lang w:val="en-IN"/>
        </w:rPr>
        <w:t>Karjaluoto</w:t>
      </w:r>
      <w:proofErr w:type="spellEnd"/>
      <w:r w:rsidRPr="001E71C1">
        <w:rPr>
          <w:rFonts w:eastAsia="Times New Roman" w:cs="Times New Roman"/>
          <w:szCs w:val="24"/>
          <w:lang w:val="en-IN"/>
        </w:rPr>
        <w:t>, H. and Shaikh, A.A., 2021. Implications of the COVID-19 pandemic on market orientation in retail banking. Journal of Financial Services Marketing, 26(4), pp.205-214.</w:t>
      </w:r>
    </w:p>
    <w:p w14:paraId="339F25F6" w14:textId="77777777" w:rsidR="00A1378A" w:rsidRPr="001E71C1" w:rsidRDefault="00A1378A" w:rsidP="00A1378A">
      <w:pPr>
        <w:spacing w:line="360" w:lineRule="auto"/>
        <w:rPr>
          <w:rFonts w:eastAsia="Times New Roman" w:cs="Times New Roman"/>
          <w:szCs w:val="24"/>
          <w:lang w:val="en-IN"/>
        </w:rPr>
      </w:pPr>
      <w:r w:rsidRPr="001E71C1">
        <w:rPr>
          <w:rFonts w:eastAsia="Times New Roman" w:cs="Times New Roman"/>
          <w:szCs w:val="24"/>
          <w:lang w:val="en-IN"/>
        </w:rPr>
        <w:t>Hodson, D., 2021. The politics of FinTech: Technology, regulation, and disruption in UK and German retail banking. Public Administration, 99(4), pp.859-872.</w:t>
      </w:r>
    </w:p>
    <w:p w14:paraId="7B801FA9"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 xml:space="preserve">Joshi, P., </w:t>
      </w:r>
      <w:proofErr w:type="spellStart"/>
      <w:r w:rsidRPr="001E71C1">
        <w:rPr>
          <w:rFonts w:cs="Times New Roman"/>
          <w:szCs w:val="24"/>
          <w:shd w:val="clear" w:color="auto" w:fill="FFFFFF"/>
        </w:rPr>
        <w:t>Outslay</w:t>
      </w:r>
      <w:proofErr w:type="spellEnd"/>
      <w:r w:rsidRPr="001E71C1">
        <w:rPr>
          <w:rFonts w:cs="Times New Roman"/>
          <w:szCs w:val="24"/>
          <w:shd w:val="clear" w:color="auto" w:fill="FFFFFF"/>
        </w:rPr>
        <w:t>, E., Persson, A., Shevlin, T. and Venkat, A., 2020. Does public country‐by‐country reporting deter tax avoidance and income shifting? Evidence from the European banking industry. </w:t>
      </w:r>
      <w:r w:rsidRPr="001E71C1">
        <w:rPr>
          <w:rFonts w:cs="Times New Roman"/>
          <w:i/>
          <w:iCs/>
          <w:szCs w:val="24"/>
          <w:shd w:val="clear" w:color="auto" w:fill="FFFFFF"/>
        </w:rPr>
        <w:t>Contemporary accounting research</w:t>
      </w:r>
      <w:r w:rsidRPr="001E71C1">
        <w:rPr>
          <w:rFonts w:cs="Times New Roman"/>
          <w:szCs w:val="24"/>
          <w:shd w:val="clear" w:color="auto" w:fill="FFFFFF"/>
        </w:rPr>
        <w:t>, </w:t>
      </w:r>
      <w:r w:rsidRPr="001E71C1">
        <w:rPr>
          <w:rFonts w:cs="Times New Roman"/>
          <w:i/>
          <w:iCs/>
          <w:szCs w:val="24"/>
          <w:shd w:val="clear" w:color="auto" w:fill="FFFFFF"/>
        </w:rPr>
        <w:t>37</w:t>
      </w:r>
      <w:r w:rsidRPr="001E71C1">
        <w:rPr>
          <w:rFonts w:cs="Times New Roman"/>
          <w:szCs w:val="24"/>
          <w:shd w:val="clear" w:color="auto" w:fill="FFFFFF"/>
        </w:rPr>
        <w:t>(4), pp.2357-2397.</w:t>
      </w:r>
    </w:p>
    <w:p w14:paraId="7D4B99AA"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 xml:space="preserve">Kaur, D.N., Sahdev, S.L., Sharma, D.M. and Siddiqui, L., 2020. Banking 4.0:‘the influence of artificial intelligence on the banking industry &amp; how ai is changing the face of </w:t>
      </w:r>
      <w:proofErr w:type="gramStart"/>
      <w:r w:rsidRPr="001E71C1">
        <w:rPr>
          <w:rFonts w:cs="Times New Roman"/>
          <w:szCs w:val="24"/>
          <w:shd w:val="clear" w:color="auto" w:fill="FFFFFF"/>
        </w:rPr>
        <w:t>modern day</w:t>
      </w:r>
      <w:proofErr w:type="gramEnd"/>
      <w:r w:rsidRPr="001E71C1">
        <w:rPr>
          <w:rFonts w:cs="Times New Roman"/>
          <w:szCs w:val="24"/>
          <w:shd w:val="clear" w:color="auto" w:fill="FFFFFF"/>
        </w:rPr>
        <w:t xml:space="preserve"> banks’. </w:t>
      </w:r>
      <w:r w:rsidRPr="001E71C1">
        <w:rPr>
          <w:rFonts w:cs="Times New Roman"/>
          <w:i/>
          <w:iCs/>
          <w:szCs w:val="24"/>
          <w:shd w:val="clear" w:color="auto" w:fill="FFFFFF"/>
        </w:rPr>
        <w:t>International Journal of Management</w:t>
      </w:r>
      <w:r w:rsidRPr="001E71C1">
        <w:rPr>
          <w:rFonts w:cs="Times New Roman"/>
          <w:szCs w:val="24"/>
          <w:shd w:val="clear" w:color="auto" w:fill="FFFFFF"/>
        </w:rPr>
        <w:t>, </w:t>
      </w:r>
      <w:r w:rsidRPr="001E71C1">
        <w:rPr>
          <w:rFonts w:cs="Times New Roman"/>
          <w:i/>
          <w:iCs/>
          <w:szCs w:val="24"/>
          <w:shd w:val="clear" w:color="auto" w:fill="FFFFFF"/>
        </w:rPr>
        <w:t>11</w:t>
      </w:r>
      <w:r w:rsidRPr="001E71C1">
        <w:rPr>
          <w:rFonts w:cs="Times New Roman"/>
          <w:szCs w:val="24"/>
          <w:shd w:val="clear" w:color="auto" w:fill="FFFFFF"/>
        </w:rPr>
        <w:t>(6).</w:t>
      </w:r>
    </w:p>
    <w:p w14:paraId="585317F3" w14:textId="77777777" w:rsidR="00A1378A" w:rsidRPr="001E71C1" w:rsidRDefault="00A1378A" w:rsidP="00A1378A">
      <w:pPr>
        <w:spacing w:line="360" w:lineRule="auto"/>
        <w:rPr>
          <w:rFonts w:cs="Times New Roman"/>
          <w:szCs w:val="24"/>
          <w:shd w:val="clear" w:color="auto" w:fill="FFFFFF"/>
        </w:rPr>
      </w:pPr>
      <w:bookmarkStart w:id="108" w:name="_Hlk142321645"/>
      <w:r w:rsidRPr="001E71C1">
        <w:rPr>
          <w:rFonts w:cs="Times New Roman"/>
          <w:szCs w:val="24"/>
          <w:shd w:val="clear" w:color="auto" w:fill="FFFFFF"/>
        </w:rPr>
        <w:t>Kaur</w:t>
      </w:r>
      <w:bookmarkEnd w:id="108"/>
      <w:r w:rsidRPr="001E71C1">
        <w:rPr>
          <w:rFonts w:cs="Times New Roman"/>
          <w:szCs w:val="24"/>
          <w:shd w:val="clear" w:color="auto" w:fill="FFFFFF"/>
        </w:rPr>
        <w:t xml:space="preserve">, D.N., Sahdev, S.L., Sharma, D.M. and Siddiqui, L., 2020. Banking 4.0:‘the influence of artificial intelligence on the banking industry &amp; how ai is changing the face of </w:t>
      </w:r>
      <w:proofErr w:type="gramStart"/>
      <w:r w:rsidRPr="001E71C1">
        <w:rPr>
          <w:rFonts w:cs="Times New Roman"/>
          <w:szCs w:val="24"/>
          <w:shd w:val="clear" w:color="auto" w:fill="FFFFFF"/>
        </w:rPr>
        <w:t>modern day</w:t>
      </w:r>
      <w:proofErr w:type="gramEnd"/>
      <w:r w:rsidRPr="001E71C1">
        <w:rPr>
          <w:rFonts w:cs="Times New Roman"/>
          <w:szCs w:val="24"/>
          <w:shd w:val="clear" w:color="auto" w:fill="FFFFFF"/>
        </w:rPr>
        <w:t xml:space="preserve"> banks’. </w:t>
      </w:r>
      <w:r w:rsidRPr="001E71C1">
        <w:rPr>
          <w:rFonts w:cs="Times New Roman"/>
          <w:i/>
          <w:iCs/>
          <w:szCs w:val="24"/>
          <w:shd w:val="clear" w:color="auto" w:fill="FFFFFF"/>
        </w:rPr>
        <w:t>International Journal of Management</w:t>
      </w:r>
      <w:r w:rsidRPr="001E71C1">
        <w:rPr>
          <w:rFonts w:cs="Times New Roman"/>
          <w:szCs w:val="24"/>
          <w:shd w:val="clear" w:color="auto" w:fill="FFFFFF"/>
        </w:rPr>
        <w:t>, </w:t>
      </w:r>
      <w:r w:rsidRPr="001E71C1">
        <w:rPr>
          <w:rFonts w:cs="Times New Roman"/>
          <w:i/>
          <w:iCs/>
          <w:szCs w:val="24"/>
          <w:shd w:val="clear" w:color="auto" w:fill="FFFFFF"/>
        </w:rPr>
        <w:t>11</w:t>
      </w:r>
      <w:r w:rsidRPr="001E71C1">
        <w:rPr>
          <w:rFonts w:cs="Times New Roman"/>
          <w:szCs w:val="24"/>
          <w:shd w:val="clear" w:color="auto" w:fill="FFFFFF"/>
        </w:rPr>
        <w:t>(6).</w:t>
      </w:r>
    </w:p>
    <w:p w14:paraId="06CAB599"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lastRenderedPageBreak/>
        <w:t xml:space="preserve">Khalid, M. and </w:t>
      </w:r>
      <w:proofErr w:type="spellStart"/>
      <w:r w:rsidRPr="001E71C1">
        <w:rPr>
          <w:rFonts w:cs="Times New Roman"/>
          <w:szCs w:val="24"/>
          <w:shd w:val="clear" w:color="auto" w:fill="FFFFFF"/>
        </w:rPr>
        <w:t>Kunhibava</w:t>
      </w:r>
      <w:proofErr w:type="spellEnd"/>
      <w:r w:rsidRPr="001E71C1">
        <w:rPr>
          <w:rFonts w:cs="Times New Roman"/>
          <w:szCs w:val="24"/>
          <w:shd w:val="clear" w:color="auto" w:fill="FFFFFF"/>
        </w:rPr>
        <w:t>, S., 2021. Regulating FinTech Through Sandboxes: Entering the UK and Malaysian Regulatory Sandbox. In </w:t>
      </w:r>
      <w:r w:rsidRPr="001E71C1">
        <w:rPr>
          <w:rFonts w:cs="Times New Roman"/>
          <w:i/>
          <w:iCs/>
          <w:szCs w:val="24"/>
          <w:shd w:val="clear" w:color="auto" w:fill="FFFFFF"/>
        </w:rPr>
        <w:t>Innovative Strategies for Implementing FinTech in Banking</w:t>
      </w:r>
      <w:r w:rsidRPr="001E71C1">
        <w:rPr>
          <w:rFonts w:cs="Times New Roman"/>
          <w:szCs w:val="24"/>
          <w:shd w:val="clear" w:color="auto" w:fill="FFFFFF"/>
        </w:rPr>
        <w:t> (pp. 83-99). IGI Global.</w:t>
      </w:r>
    </w:p>
    <w:p w14:paraId="29A56CC6" w14:textId="77777777" w:rsidR="00A1378A" w:rsidRPr="001E71C1" w:rsidRDefault="00A1378A" w:rsidP="00A1378A">
      <w:pPr>
        <w:spacing w:line="360" w:lineRule="auto"/>
        <w:rPr>
          <w:rFonts w:cs="Times New Roman"/>
          <w:szCs w:val="24"/>
          <w:shd w:val="clear" w:color="auto" w:fill="FFFFFF"/>
        </w:rPr>
      </w:pPr>
      <w:bookmarkStart w:id="109" w:name="_Hlk142321780"/>
      <w:proofErr w:type="spellStart"/>
      <w:r w:rsidRPr="001E71C1">
        <w:rPr>
          <w:rFonts w:cs="Times New Roman"/>
          <w:szCs w:val="24"/>
          <w:shd w:val="clear" w:color="auto" w:fill="FFFFFF"/>
        </w:rPr>
        <w:t>Kornelakis</w:t>
      </w:r>
      <w:proofErr w:type="spellEnd"/>
      <w:r w:rsidRPr="001E71C1">
        <w:rPr>
          <w:rFonts w:cs="Times New Roman"/>
          <w:szCs w:val="24"/>
          <w:shd w:val="clear" w:color="auto" w:fill="FFFFFF"/>
        </w:rPr>
        <w:t>,</w:t>
      </w:r>
      <w:bookmarkEnd w:id="109"/>
      <w:r w:rsidRPr="001E71C1">
        <w:rPr>
          <w:rFonts w:cs="Times New Roman"/>
          <w:szCs w:val="24"/>
          <w:shd w:val="clear" w:color="auto" w:fill="FFFFFF"/>
        </w:rPr>
        <w:t xml:space="preserve"> A., Kirov, V. and Thill, P., 2022. The digitalisation of service work: A comparative study of restructuring of the banking sector in the United Kingdom and Luxembourg. </w:t>
      </w:r>
      <w:r w:rsidRPr="001E71C1">
        <w:rPr>
          <w:rFonts w:cs="Times New Roman"/>
          <w:i/>
          <w:iCs/>
          <w:szCs w:val="24"/>
          <w:shd w:val="clear" w:color="auto" w:fill="FFFFFF"/>
        </w:rPr>
        <w:t>European Journal of Industrial Relations</w:t>
      </w:r>
      <w:r w:rsidRPr="001E71C1">
        <w:rPr>
          <w:rFonts w:cs="Times New Roman"/>
          <w:szCs w:val="24"/>
          <w:shd w:val="clear" w:color="auto" w:fill="FFFFFF"/>
        </w:rPr>
        <w:t>, </w:t>
      </w:r>
      <w:r w:rsidRPr="001E71C1">
        <w:rPr>
          <w:rFonts w:cs="Times New Roman"/>
          <w:i/>
          <w:iCs/>
          <w:szCs w:val="24"/>
          <w:shd w:val="clear" w:color="auto" w:fill="FFFFFF"/>
        </w:rPr>
        <w:t>28</w:t>
      </w:r>
      <w:r w:rsidRPr="001E71C1">
        <w:rPr>
          <w:rFonts w:cs="Times New Roman"/>
          <w:szCs w:val="24"/>
          <w:shd w:val="clear" w:color="auto" w:fill="FFFFFF"/>
        </w:rPr>
        <w:t>(3), pp.253-272.</w:t>
      </w:r>
    </w:p>
    <w:p w14:paraId="4A4AB8A1" w14:textId="77777777" w:rsidR="00A1378A" w:rsidRPr="001E71C1" w:rsidRDefault="00A1378A" w:rsidP="00A1378A">
      <w:pPr>
        <w:spacing w:line="360" w:lineRule="auto"/>
        <w:rPr>
          <w:rFonts w:cs="Times New Roman"/>
          <w:szCs w:val="24"/>
          <w:shd w:val="clear" w:color="auto" w:fill="FFFFFF"/>
        </w:rPr>
      </w:pPr>
      <w:bookmarkStart w:id="110" w:name="_Hlk145078141"/>
      <w:proofErr w:type="spellStart"/>
      <w:r w:rsidRPr="001E71C1">
        <w:rPr>
          <w:rFonts w:cs="Times New Roman"/>
          <w:szCs w:val="24"/>
          <w:shd w:val="clear" w:color="auto" w:fill="FFFFFF"/>
        </w:rPr>
        <w:t>Mainardes</w:t>
      </w:r>
      <w:bookmarkEnd w:id="110"/>
      <w:proofErr w:type="spellEnd"/>
      <w:r w:rsidRPr="001E71C1">
        <w:rPr>
          <w:rFonts w:cs="Times New Roman"/>
          <w:szCs w:val="24"/>
          <w:shd w:val="clear" w:color="auto" w:fill="FFFFFF"/>
        </w:rPr>
        <w:t>, E.W., Rodrigues, L.S. and Teixeira, A., 2019. Effects of internal marketing on job satisfaction in the banking sector. </w:t>
      </w:r>
      <w:r w:rsidRPr="001E71C1">
        <w:rPr>
          <w:rFonts w:cs="Times New Roman"/>
          <w:i/>
          <w:iCs/>
          <w:szCs w:val="24"/>
          <w:shd w:val="clear" w:color="auto" w:fill="FFFFFF"/>
        </w:rPr>
        <w:t>International Journal of Bank Marketing</w:t>
      </w:r>
      <w:r w:rsidRPr="001E71C1">
        <w:rPr>
          <w:rFonts w:cs="Times New Roman"/>
          <w:szCs w:val="24"/>
          <w:shd w:val="clear" w:color="auto" w:fill="FFFFFF"/>
        </w:rPr>
        <w:t>, </w:t>
      </w:r>
      <w:r w:rsidRPr="001E71C1">
        <w:rPr>
          <w:rFonts w:cs="Times New Roman"/>
          <w:i/>
          <w:iCs/>
          <w:szCs w:val="24"/>
          <w:shd w:val="clear" w:color="auto" w:fill="FFFFFF"/>
        </w:rPr>
        <w:t>37</w:t>
      </w:r>
      <w:r w:rsidRPr="001E71C1">
        <w:rPr>
          <w:rFonts w:cs="Times New Roman"/>
          <w:szCs w:val="24"/>
          <w:shd w:val="clear" w:color="auto" w:fill="FFFFFF"/>
        </w:rPr>
        <w:t>(5), pp.1313-1333.</w:t>
      </w:r>
    </w:p>
    <w:p w14:paraId="2F99C404" w14:textId="77777777" w:rsidR="00A1378A" w:rsidRPr="001E71C1" w:rsidRDefault="00A1378A" w:rsidP="00A1378A">
      <w:pPr>
        <w:spacing w:line="360" w:lineRule="auto"/>
        <w:rPr>
          <w:rFonts w:cs="Times New Roman"/>
          <w:szCs w:val="24"/>
          <w:shd w:val="clear" w:color="auto" w:fill="FFFFFF"/>
        </w:rPr>
      </w:pPr>
      <w:bookmarkStart w:id="111" w:name="_Hlk140854473"/>
      <w:r w:rsidRPr="001E71C1">
        <w:rPr>
          <w:rFonts w:cs="Times New Roman"/>
          <w:szCs w:val="24"/>
          <w:shd w:val="clear" w:color="auto" w:fill="FFFFFF"/>
        </w:rPr>
        <w:t xml:space="preserve">Maity, S. and Sahu, </w:t>
      </w:r>
      <w:bookmarkEnd w:id="111"/>
      <w:r w:rsidRPr="001E71C1">
        <w:rPr>
          <w:rFonts w:cs="Times New Roman"/>
          <w:szCs w:val="24"/>
          <w:shd w:val="clear" w:color="auto" w:fill="FFFFFF"/>
        </w:rPr>
        <w:t>T.N., 2023. Mergers in banking industry: some emerging issues. </w:t>
      </w:r>
      <w:r w:rsidRPr="001E71C1">
        <w:rPr>
          <w:rFonts w:cs="Times New Roman"/>
          <w:i/>
          <w:iCs/>
          <w:szCs w:val="24"/>
          <w:shd w:val="clear" w:color="auto" w:fill="FFFFFF"/>
        </w:rPr>
        <w:t>International Journal of Services and Operations Management</w:t>
      </w:r>
      <w:r w:rsidRPr="001E71C1">
        <w:rPr>
          <w:rFonts w:cs="Times New Roman"/>
          <w:szCs w:val="24"/>
          <w:shd w:val="clear" w:color="auto" w:fill="FFFFFF"/>
        </w:rPr>
        <w:t>, </w:t>
      </w:r>
      <w:r w:rsidRPr="001E71C1">
        <w:rPr>
          <w:rFonts w:cs="Times New Roman"/>
          <w:i/>
          <w:iCs/>
          <w:szCs w:val="24"/>
          <w:shd w:val="clear" w:color="auto" w:fill="FFFFFF"/>
        </w:rPr>
        <w:t>45</w:t>
      </w:r>
      <w:r w:rsidRPr="001E71C1">
        <w:rPr>
          <w:rFonts w:cs="Times New Roman"/>
          <w:szCs w:val="24"/>
          <w:shd w:val="clear" w:color="auto" w:fill="FFFFFF"/>
        </w:rPr>
        <w:t>(1), pp.130-150.</w:t>
      </w:r>
    </w:p>
    <w:p w14:paraId="3901AAE4" w14:textId="77777777" w:rsidR="00A1378A" w:rsidRPr="001E71C1" w:rsidRDefault="00A1378A" w:rsidP="00A1378A">
      <w:pPr>
        <w:spacing w:line="360" w:lineRule="auto"/>
        <w:rPr>
          <w:rFonts w:eastAsia="Times New Roman" w:cs="Times New Roman"/>
          <w:szCs w:val="24"/>
          <w:lang w:val="en-IN"/>
        </w:rPr>
      </w:pPr>
      <w:proofErr w:type="spellStart"/>
      <w:r w:rsidRPr="001E71C1">
        <w:rPr>
          <w:rFonts w:eastAsia="Times New Roman" w:cs="Times New Roman"/>
          <w:szCs w:val="24"/>
          <w:lang w:val="en-IN"/>
        </w:rPr>
        <w:t>Massoc</w:t>
      </w:r>
      <w:proofErr w:type="spellEnd"/>
      <w:r w:rsidRPr="001E71C1">
        <w:rPr>
          <w:rFonts w:eastAsia="Times New Roman" w:cs="Times New Roman"/>
          <w:szCs w:val="24"/>
          <w:lang w:val="en-IN"/>
        </w:rPr>
        <w:t>, E., 2020. Banks, power, and political institutions: the divergent priorities of European states towards “too-big-to-fail” banks: the cases of competition in retail banking and the banking structural reform. Business and politics, 22(1), pp.135-160.</w:t>
      </w:r>
    </w:p>
    <w:p w14:paraId="1005B3B7" w14:textId="77777777" w:rsidR="00A1378A" w:rsidRPr="001E71C1" w:rsidRDefault="00A1378A" w:rsidP="00A1378A">
      <w:pPr>
        <w:spacing w:line="360" w:lineRule="auto"/>
        <w:rPr>
          <w:rFonts w:cs="Times New Roman"/>
          <w:szCs w:val="24"/>
        </w:rPr>
      </w:pPr>
      <w:r w:rsidRPr="001E71C1">
        <w:rPr>
          <w:rFonts w:cs="Times New Roman"/>
          <w:szCs w:val="24"/>
          <w:shd w:val="clear" w:color="auto" w:fill="FFFFFF"/>
        </w:rPr>
        <w:t xml:space="preserve">Milian, E.Z., Spinola, M.D.M. and de Carvalho, M.M., 2019. </w:t>
      </w:r>
      <w:proofErr w:type="spellStart"/>
      <w:r w:rsidRPr="001E71C1">
        <w:rPr>
          <w:rFonts w:cs="Times New Roman"/>
          <w:szCs w:val="24"/>
          <w:shd w:val="clear" w:color="auto" w:fill="FFFFFF"/>
        </w:rPr>
        <w:t>Fintechs</w:t>
      </w:r>
      <w:proofErr w:type="spellEnd"/>
      <w:r w:rsidRPr="001E71C1">
        <w:rPr>
          <w:rFonts w:cs="Times New Roman"/>
          <w:szCs w:val="24"/>
          <w:shd w:val="clear" w:color="auto" w:fill="FFFFFF"/>
        </w:rPr>
        <w:t>: A literature review and research agenda. </w:t>
      </w:r>
      <w:r w:rsidRPr="001E71C1">
        <w:rPr>
          <w:rFonts w:cs="Times New Roman"/>
          <w:i/>
          <w:iCs/>
          <w:szCs w:val="24"/>
          <w:shd w:val="clear" w:color="auto" w:fill="FFFFFF"/>
        </w:rPr>
        <w:t>Electronic Commerce Research and Applications</w:t>
      </w:r>
      <w:r w:rsidRPr="001E71C1">
        <w:rPr>
          <w:rFonts w:cs="Times New Roman"/>
          <w:szCs w:val="24"/>
          <w:shd w:val="clear" w:color="auto" w:fill="FFFFFF"/>
        </w:rPr>
        <w:t>, </w:t>
      </w:r>
      <w:r w:rsidRPr="001E71C1">
        <w:rPr>
          <w:rFonts w:cs="Times New Roman"/>
          <w:i/>
          <w:iCs/>
          <w:szCs w:val="24"/>
          <w:shd w:val="clear" w:color="auto" w:fill="FFFFFF"/>
        </w:rPr>
        <w:t>34</w:t>
      </w:r>
      <w:r w:rsidRPr="001E71C1">
        <w:rPr>
          <w:rFonts w:cs="Times New Roman"/>
          <w:szCs w:val="24"/>
          <w:shd w:val="clear" w:color="auto" w:fill="FFFFFF"/>
        </w:rPr>
        <w:t>, p.100833.</w:t>
      </w:r>
    </w:p>
    <w:p w14:paraId="45CC2083" w14:textId="77777777" w:rsidR="00A1378A" w:rsidRPr="001E71C1" w:rsidRDefault="00A1378A" w:rsidP="00A1378A">
      <w:pPr>
        <w:spacing w:line="360" w:lineRule="auto"/>
        <w:rPr>
          <w:rFonts w:cs="Times New Roman"/>
          <w:szCs w:val="24"/>
          <w:shd w:val="clear" w:color="auto" w:fill="FFFFFF"/>
        </w:rPr>
      </w:pPr>
      <w:bookmarkStart w:id="112" w:name="_Hlk140854513"/>
      <w:r w:rsidRPr="001E71C1">
        <w:rPr>
          <w:rFonts w:cs="Times New Roman"/>
          <w:szCs w:val="24"/>
          <w:shd w:val="clear" w:color="auto" w:fill="FFFFFF"/>
        </w:rPr>
        <w:t>Miralles-Quirós</w:t>
      </w:r>
      <w:bookmarkEnd w:id="112"/>
      <w:r w:rsidRPr="001E71C1">
        <w:rPr>
          <w:rFonts w:cs="Times New Roman"/>
          <w:szCs w:val="24"/>
          <w:shd w:val="clear" w:color="auto" w:fill="FFFFFF"/>
        </w:rPr>
        <w:t>, M.M., Miralles-Quirós, J.L. and Redondo Hernández, J., 2019. ESG performance and shareholder value creation in the banking industry: International differences. </w:t>
      </w:r>
      <w:r w:rsidRPr="001E71C1">
        <w:rPr>
          <w:rFonts w:cs="Times New Roman"/>
          <w:i/>
          <w:iCs/>
          <w:szCs w:val="24"/>
          <w:shd w:val="clear" w:color="auto" w:fill="FFFFFF"/>
        </w:rPr>
        <w:t>Sustainability</w:t>
      </w:r>
      <w:r w:rsidRPr="001E71C1">
        <w:rPr>
          <w:rFonts w:cs="Times New Roman"/>
          <w:szCs w:val="24"/>
          <w:shd w:val="clear" w:color="auto" w:fill="FFFFFF"/>
        </w:rPr>
        <w:t>, </w:t>
      </w:r>
      <w:r w:rsidRPr="001E71C1">
        <w:rPr>
          <w:rFonts w:cs="Times New Roman"/>
          <w:i/>
          <w:iCs/>
          <w:szCs w:val="24"/>
          <w:shd w:val="clear" w:color="auto" w:fill="FFFFFF"/>
        </w:rPr>
        <w:t>11</w:t>
      </w:r>
      <w:r w:rsidRPr="001E71C1">
        <w:rPr>
          <w:rFonts w:cs="Times New Roman"/>
          <w:szCs w:val="24"/>
          <w:shd w:val="clear" w:color="auto" w:fill="FFFFFF"/>
        </w:rPr>
        <w:t>(5), p.1404.</w:t>
      </w:r>
    </w:p>
    <w:p w14:paraId="430821CC" w14:textId="77777777" w:rsidR="00A1378A" w:rsidRPr="001E71C1" w:rsidRDefault="00A1378A" w:rsidP="00A1378A">
      <w:pPr>
        <w:spacing w:line="360" w:lineRule="auto"/>
        <w:rPr>
          <w:rFonts w:cs="Times New Roman"/>
          <w:szCs w:val="24"/>
          <w:shd w:val="clear" w:color="auto" w:fill="FFFFFF"/>
        </w:rPr>
      </w:pPr>
      <w:bookmarkStart w:id="113" w:name="_Hlk143274100"/>
      <w:r w:rsidRPr="001E71C1">
        <w:rPr>
          <w:rFonts w:cs="Times New Roman"/>
          <w:szCs w:val="24"/>
          <w:shd w:val="clear" w:color="auto" w:fill="FFFFFF"/>
        </w:rPr>
        <w:t xml:space="preserve">Mishra, S.B. and Alok, </w:t>
      </w:r>
      <w:bookmarkEnd w:id="113"/>
      <w:r w:rsidRPr="001E71C1">
        <w:rPr>
          <w:rFonts w:cs="Times New Roman"/>
          <w:szCs w:val="24"/>
          <w:shd w:val="clear" w:color="auto" w:fill="FFFFFF"/>
        </w:rPr>
        <w:t>S., 2022. Handbook of research methodology.</w:t>
      </w:r>
    </w:p>
    <w:p w14:paraId="2A0571A4"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Montalbano, G. and Montalbano, G., 2021. The Banking Industry in the Aftermath of the Financial Crisis. </w:t>
      </w:r>
      <w:r w:rsidRPr="001E71C1">
        <w:rPr>
          <w:rFonts w:cs="Times New Roman"/>
          <w:i/>
          <w:iCs/>
          <w:szCs w:val="24"/>
          <w:shd w:val="clear" w:color="auto" w:fill="FFFFFF"/>
        </w:rPr>
        <w:t>Competing Interest Groups and Lobbying in the Construction of the European Banking Union</w:t>
      </w:r>
      <w:r w:rsidRPr="001E71C1">
        <w:rPr>
          <w:rFonts w:cs="Times New Roman"/>
          <w:szCs w:val="24"/>
          <w:shd w:val="clear" w:color="auto" w:fill="FFFFFF"/>
        </w:rPr>
        <w:t>, pp.53-96.</w:t>
      </w:r>
    </w:p>
    <w:p w14:paraId="2DE574F3" w14:textId="77777777" w:rsidR="00A1378A" w:rsidRPr="001E71C1" w:rsidRDefault="00A1378A" w:rsidP="00A1378A">
      <w:pPr>
        <w:spacing w:line="360" w:lineRule="auto"/>
        <w:rPr>
          <w:rFonts w:cs="Times New Roman"/>
          <w:szCs w:val="24"/>
          <w:shd w:val="clear" w:color="auto" w:fill="FFFFFF"/>
        </w:rPr>
      </w:pPr>
      <w:bookmarkStart w:id="114" w:name="_Hlk142321666"/>
      <w:r w:rsidRPr="001E71C1">
        <w:rPr>
          <w:rFonts w:cs="Times New Roman"/>
          <w:szCs w:val="24"/>
          <w:shd w:val="clear" w:color="auto" w:fill="FFFFFF"/>
        </w:rPr>
        <w:t xml:space="preserve">Montalbano, G. and Montalbano, </w:t>
      </w:r>
      <w:bookmarkEnd w:id="114"/>
      <w:r w:rsidRPr="001E71C1">
        <w:rPr>
          <w:rFonts w:cs="Times New Roman"/>
          <w:szCs w:val="24"/>
          <w:shd w:val="clear" w:color="auto" w:fill="FFFFFF"/>
        </w:rPr>
        <w:t>G., 2021. The Banking Industry in the Aftermath of the Financial Crisis. </w:t>
      </w:r>
      <w:r w:rsidRPr="001E71C1">
        <w:rPr>
          <w:rFonts w:cs="Times New Roman"/>
          <w:i/>
          <w:iCs/>
          <w:szCs w:val="24"/>
          <w:shd w:val="clear" w:color="auto" w:fill="FFFFFF"/>
        </w:rPr>
        <w:t>Competing Interest Groups and Lobbying in the Construction of the European Banking Union</w:t>
      </w:r>
      <w:r w:rsidRPr="001E71C1">
        <w:rPr>
          <w:rFonts w:cs="Times New Roman"/>
          <w:szCs w:val="24"/>
          <w:shd w:val="clear" w:color="auto" w:fill="FFFFFF"/>
        </w:rPr>
        <w:t>, pp.53-96.</w:t>
      </w:r>
    </w:p>
    <w:p w14:paraId="56C455FC" w14:textId="77777777" w:rsidR="00A1378A" w:rsidRPr="001E71C1" w:rsidRDefault="00A1378A" w:rsidP="00A1378A">
      <w:pPr>
        <w:spacing w:line="360" w:lineRule="auto"/>
        <w:rPr>
          <w:rFonts w:cs="Times New Roman"/>
          <w:szCs w:val="24"/>
          <w:shd w:val="clear" w:color="auto" w:fill="FFFFFF"/>
        </w:rPr>
      </w:pPr>
      <w:bookmarkStart w:id="115" w:name="_Hlk140854643"/>
      <w:proofErr w:type="spellStart"/>
      <w:r w:rsidRPr="001E71C1">
        <w:rPr>
          <w:rFonts w:cs="Times New Roman"/>
          <w:szCs w:val="24"/>
          <w:shd w:val="clear" w:color="auto" w:fill="FFFFFF"/>
        </w:rPr>
        <w:t>Moşteanu</w:t>
      </w:r>
      <w:bookmarkEnd w:id="115"/>
      <w:proofErr w:type="spellEnd"/>
      <w:r w:rsidRPr="001E71C1">
        <w:rPr>
          <w:rFonts w:cs="Times New Roman"/>
          <w:szCs w:val="24"/>
          <w:shd w:val="clear" w:color="auto" w:fill="FFFFFF"/>
        </w:rPr>
        <w:t xml:space="preserve">, D.N.R., </w:t>
      </w:r>
      <w:proofErr w:type="spellStart"/>
      <w:r w:rsidRPr="001E71C1">
        <w:rPr>
          <w:rFonts w:cs="Times New Roman"/>
          <w:szCs w:val="24"/>
          <w:shd w:val="clear" w:color="auto" w:fill="FFFFFF"/>
        </w:rPr>
        <w:t>Faccia</w:t>
      </w:r>
      <w:proofErr w:type="spellEnd"/>
      <w:r w:rsidRPr="001E71C1">
        <w:rPr>
          <w:rFonts w:cs="Times New Roman"/>
          <w:szCs w:val="24"/>
          <w:shd w:val="clear" w:color="auto" w:fill="FFFFFF"/>
        </w:rPr>
        <w:t>, D.A., Cavaliere, L.P.L. and Bhatia, S., 2020. Digital technologies’ implementation within financial and banking system during socio distancing restrictions–back to the future. </w:t>
      </w:r>
      <w:r w:rsidRPr="001E71C1">
        <w:rPr>
          <w:rFonts w:cs="Times New Roman"/>
          <w:i/>
          <w:iCs/>
          <w:szCs w:val="24"/>
          <w:shd w:val="clear" w:color="auto" w:fill="FFFFFF"/>
        </w:rPr>
        <w:t>International Journal of Advanced Research in Engineering and Technology</w:t>
      </w:r>
      <w:r w:rsidRPr="001E71C1">
        <w:rPr>
          <w:rFonts w:cs="Times New Roman"/>
          <w:szCs w:val="24"/>
          <w:shd w:val="clear" w:color="auto" w:fill="FFFFFF"/>
        </w:rPr>
        <w:t>, </w:t>
      </w:r>
      <w:r w:rsidRPr="001E71C1">
        <w:rPr>
          <w:rFonts w:cs="Times New Roman"/>
          <w:i/>
          <w:iCs/>
          <w:szCs w:val="24"/>
          <w:shd w:val="clear" w:color="auto" w:fill="FFFFFF"/>
        </w:rPr>
        <w:t>11</w:t>
      </w:r>
      <w:r w:rsidRPr="001E71C1">
        <w:rPr>
          <w:rFonts w:cs="Times New Roman"/>
          <w:szCs w:val="24"/>
          <w:shd w:val="clear" w:color="auto" w:fill="FFFFFF"/>
        </w:rPr>
        <w:t>(6).</w:t>
      </w:r>
    </w:p>
    <w:p w14:paraId="452377DE" w14:textId="77777777" w:rsidR="00A1378A" w:rsidRPr="001E71C1" w:rsidRDefault="00A1378A" w:rsidP="00A1378A">
      <w:pPr>
        <w:spacing w:line="360" w:lineRule="auto"/>
        <w:rPr>
          <w:rFonts w:cs="Times New Roman"/>
          <w:szCs w:val="24"/>
          <w:shd w:val="clear" w:color="auto" w:fill="FFFFFF"/>
        </w:rPr>
      </w:pPr>
      <w:bookmarkStart w:id="116" w:name="_Hlk143274121"/>
      <w:r w:rsidRPr="001E71C1">
        <w:rPr>
          <w:rFonts w:cs="Times New Roman"/>
          <w:szCs w:val="24"/>
          <w:shd w:val="clear" w:color="auto" w:fill="FFFFFF"/>
        </w:rPr>
        <w:lastRenderedPageBreak/>
        <w:t xml:space="preserve">Mukherjee, </w:t>
      </w:r>
      <w:bookmarkEnd w:id="116"/>
      <w:r w:rsidRPr="001E71C1">
        <w:rPr>
          <w:rFonts w:cs="Times New Roman"/>
          <w:szCs w:val="24"/>
          <w:shd w:val="clear" w:color="auto" w:fill="FFFFFF"/>
        </w:rPr>
        <w:t>S.P., 2019. A guide to research methodology: An overview of research problems, tasks and methods.</w:t>
      </w:r>
    </w:p>
    <w:p w14:paraId="7CBA58E2"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Newman, M. and Gough, D., 2020. Systematic reviews in educational research: Methodology, perspectives and application. </w:t>
      </w:r>
      <w:r w:rsidRPr="001E71C1">
        <w:rPr>
          <w:rFonts w:cs="Times New Roman"/>
          <w:i/>
          <w:iCs/>
          <w:szCs w:val="24"/>
          <w:shd w:val="clear" w:color="auto" w:fill="FFFFFF"/>
        </w:rPr>
        <w:t>Systematic reviews in educational research: Methodology, perspectives and application</w:t>
      </w:r>
      <w:r w:rsidRPr="001E71C1">
        <w:rPr>
          <w:rFonts w:cs="Times New Roman"/>
          <w:szCs w:val="24"/>
          <w:shd w:val="clear" w:color="auto" w:fill="FFFFFF"/>
        </w:rPr>
        <w:t>, pp.3-22.</w:t>
      </w:r>
    </w:p>
    <w:p w14:paraId="13F0E31F" w14:textId="77777777" w:rsidR="00A1378A" w:rsidRPr="001E71C1" w:rsidRDefault="00A1378A" w:rsidP="00A1378A">
      <w:pPr>
        <w:spacing w:line="360" w:lineRule="auto"/>
        <w:rPr>
          <w:rFonts w:cs="Times New Roman"/>
          <w:szCs w:val="24"/>
        </w:rPr>
      </w:pPr>
      <w:r w:rsidRPr="001E71C1">
        <w:rPr>
          <w:rFonts w:cs="Times New Roman"/>
          <w:szCs w:val="24"/>
          <w:shd w:val="clear" w:color="auto" w:fill="FFFFFF"/>
        </w:rPr>
        <w:t xml:space="preserve">Niemand, T., </w:t>
      </w:r>
      <w:proofErr w:type="spellStart"/>
      <w:r w:rsidRPr="001E71C1">
        <w:rPr>
          <w:rFonts w:cs="Times New Roman"/>
          <w:szCs w:val="24"/>
          <w:shd w:val="clear" w:color="auto" w:fill="FFFFFF"/>
        </w:rPr>
        <w:t>Rigtering</w:t>
      </w:r>
      <w:proofErr w:type="spellEnd"/>
      <w:r w:rsidRPr="001E71C1">
        <w:rPr>
          <w:rFonts w:cs="Times New Roman"/>
          <w:szCs w:val="24"/>
          <w:shd w:val="clear" w:color="auto" w:fill="FFFFFF"/>
        </w:rPr>
        <w:t xml:space="preserve">, J.C., </w:t>
      </w:r>
      <w:proofErr w:type="spellStart"/>
      <w:r w:rsidRPr="001E71C1">
        <w:rPr>
          <w:rFonts w:cs="Times New Roman"/>
          <w:szCs w:val="24"/>
          <w:shd w:val="clear" w:color="auto" w:fill="FFFFFF"/>
        </w:rPr>
        <w:t>Kallmünzer</w:t>
      </w:r>
      <w:proofErr w:type="spellEnd"/>
      <w:r w:rsidRPr="001E71C1">
        <w:rPr>
          <w:rFonts w:cs="Times New Roman"/>
          <w:szCs w:val="24"/>
          <w:shd w:val="clear" w:color="auto" w:fill="FFFFFF"/>
        </w:rPr>
        <w:t>, A., Kraus, S. and Maalaoui, A., 2021. Digitalization in the financial industry: A contingency approach of entrepreneurial orientation and strategic vision on digitalization. </w:t>
      </w:r>
      <w:r w:rsidRPr="001E71C1">
        <w:rPr>
          <w:rFonts w:cs="Times New Roman"/>
          <w:i/>
          <w:iCs/>
          <w:szCs w:val="24"/>
          <w:shd w:val="clear" w:color="auto" w:fill="FFFFFF"/>
        </w:rPr>
        <w:t>European Management Journal</w:t>
      </w:r>
      <w:r w:rsidRPr="001E71C1">
        <w:rPr>
          <w:rFonts w:cs="Times New Roman"/>
          <w:szCs w:val="24"/>
          <w:shd w:val="clear" w:color="auto" w:fill="FFFFFF"/>
        </w:rPr>
        <w:t>, </w:t>
      </w:r>
      <w:r w:rsidRPr="001E71C1">
        <w:rPr>
          <w:rFonts w:cs="Times New Roman"/>
          <w:i/>
          <w:iCs/>
          <w:szCs w:val="24"/>
          <w:shd w:val="clear" w:color="auto" w:fill="FFFFFF"/>
        </w:rPr>
        <w:t>39</w:t>
      </w:r>
      <w:r w:rsidRPr="001E71C1">
        <w:rPr>
          <w:rFonts w:cs="Times New Roman"/>
          <w:szCs w:val="24"/>
          <w:shd w:val="clear" w:color="auto" w:fill="FFFFFF"/>
        </w:rPr>
        <w:t>(3), pp.317-326.</w:t>
      </w:r>
    </w:p>
    <w:p w14:paraId="1B45CA0C" w14:textId="77777777" w:rsidR="00A1378A" w:rsidRPr="001E71C1" w:rsidRDefault="00A1378A" w:rsidP="00A1378A">
      <w:pPr>
        <w:spacing w:line="360" w:lineRule="auto"/>
        <w:rPr>
          <w:rFonts w:cs="Times New Roman"/>
          <w:szCs w:val="24"/>
        </w:rPr>
      </w:pPr>
      <w:bookmarkStart w:id="117" w:name="_Hlk142321840"/>
      <w:r w:rsidRPr="001E71C1">
        <w:rPr>
          <w:rFonts w:cs="Times New Roman"/>
          <w:szCs w:val="24"/>
          <w:shd w:val="clear" w:color="auto" w:fill="FFFFFF"/>
        </w:rPr>
        <w:t xml:space="preserve">O'Dwyer, B. and </w:t>
      </w:r>
      <w:proofErr w:type="spellStart"/>
      <w:r w:rsidRPr="001E71C1">
        <w:rPr>
          <w:rFonts w:cs="Times New Roman"/>
          <w:szCs w:val="24"/>
          <w:shd w:val="clear" w:color="auto" w:fill="FFFFFF"/>
        </w:rPr>
        <w:t>Unerman</w:t>
      </w:r>
      <w:proofErr w:type="spellEnd"/>
      <w:r w:rsidRPr="001E71C1">
        <w:rPr>
          <w:rFonts w:cs="Times New Roman"/>
          <w:szCs w:val="24"/>
          <w:shd w:val="clear" w:color="auto" w:fill="FFFFFF"/>
        </w:rPr>
        <w:t xml:space="preserve">, </w:t>
      </w:r>
      <w:bookmarkEnd w:id="117"/>
      <w:r w:rsidRPr="001E71C1">
        <w:rPr>
          <w:rFonts w:cs="Times New Roman"/>
          <w:szCs w:val="24"/>
          <w:shd w:val="clear" w:color="auto" w:fill="FFFFFF"/>
        </w:rPr>
        <w:t>J., 2020. Shifting the focus of sustainability accounting from impacts to risks and dependencies: Researching the transformative potential of TCFD reporting. </w:t>
      </w:r>
      <w:r w:rsidRPr="001E71C1">
        <w:rPr>
          <w:rFonts w:cs="Times New Roman"/>
          <w:i/>
          <w:iCs/>
          <w:szCs w:val="24"/>
          <w:shd w:val="clear" w:color="auto" w:fill="FFFFFF"/>
        </w:rPr>
        <w:t>Accounting, Auditing &amp; Accountability Journal</w:t>
      </w:r>
      <w:r w:rsidRPr="001E71C1">
        <w:rPr>
          <w:rFonts w:cs="Times New Roman"/>
          <w:szCs w:val="24"/>
          <w:shd w:val="clear" w:color="auto" w:fill="FFFFFF"/>
        </w:rPr>
        <w:t>, </w:t>
      </w:r>
      <w:r w:rsidRPr="001E71C1">
        <w:rPr>
          <w:rFonts w:cs="Times New Roman"/>
          <w:i/>
          <w:iCs/>
          <w:szCs w:val="24"/>
          <w:shd w:val="clear" w:color="auto" w:fill="FFFFFF"/>
        </w:rPr>
        <w:t>33</w:t>
      </w:r>
      <w:r w:rsidRPr="001E71C1">
        <w:rPr>
          <w:rFonts w:cs="Times New Roman"/>
          <w:szCs w:val="24"/>
          <w:shd w:val="clear" w:color="auto" w:fill="FFFFFF"/>
        </w:rPr>
        <w:t>(5), pp.1113-1141.</w:t>
      </w:r>
    </w:p>
    <w:p w14:paraId="5F64E129" w14:textId="77777777" w:rsidR="00A1378A" w:rsidRPr="001E71C1" w:rsidRDefault="00A1378A" w:rsidP="00A1378A">
      <w:pPr>
        <w:spacing w:line="360" w:lineRule="auto"/>
        <w:rPr>
          <w:rFonts w:cs="Times New Roman"/>
          <w:szCs w:val="24"/>
        </w:rPr>
      </w:pPr>
      <w:bookmarkStart w:id="118" w:name="_Hlk142321575"/>
      <w:r w:rsidRPr="001E71C1">
        <w:rPr>
          <w:rFonts w:cs="Times New Roman"/>
          <w:szCs w:val="24"/>
          <w:shd w:val="clear" w:color="auto" w:fill="FFFFFF"/>
        </w:rPr>
        <w:t>Pakurár</w:t>
      </w:r>
      <w:bookmarkEnd w:id="118"/>
      <w:r w:rsidRPr="001E71C1">
        <w:rPr>
          <w:rFonts w:cs="Times New Roman"/>
          <w:szCs w:val="24"/>
          <w:shd w:val="clear" w:color="auto" w:fill="FFFFFF"/>
        </w:rPr>
        <w:t>, M., Haddad, H., Nagy, J., Popp, J. and Oláh, J., 2019. The service quality dimensions that affect customer satisfaction in the Jordanian banking sector. </w:t>
      </w:r>
      <w:r w:rsidRPr="001E71C1">
        <w:rPr>
          <w:rFonts w:cs="Times New Roman"/>
          <w:i/>
          <w:iCs/>
          <w:szCs w:val="24"/>
          <w:shd w:val="clear" w:color="auto" w:fill="FFFFFF"/>
        </w:rPr>
        <w:t>Sustainability</w:t>
      </w:r>
      <w:r w:rsidRPr="001E71C1">
        <w:rPr>
          <w:rFonts w:cs="Times New Roman"/>
          <w:szCs w:val="24"/>
          <w:shd w:val="clear" w:color="auto" w:fill="FFFFFF"/>
        </w:rPr>
        <w:t>, </w:t>
      </w:r>
      <w:r w:rsidRPr="001E71C1">
        <w:rPr>
          <w:rFonts w:cs="Times New Roman"/>
          <w:i/>
          <w:iCs/>
          <w:szCs w:val="24"/>
          <w:shd w:val="clear" w:color="auto" w:fill="FFFFFF"/>
        </w:rPr>
        <w:t>11</w:t>
      </w:r>
      <w:r w:rsidRPr="001E71C1">
        <w:rPr>
          <w:rFonts w:cs="Times New Roman"/>
          <w:szCs w:val="24"/>
          <w:shd w:val="clear" w:color="auto" w:fill="FFFFFF"/>
        </w:rPr>
        <w:t>(4), p.1113.</w:t>
      </w:r>
    </w:p>
    <w:p w14:paraId="3C1EC194"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Pandey, P. and Pandey, M.M., 2021. </w:t>
      </w:r>
      <w:r w:rsidRPr="001E71C1">
        <w:rPr>
          <w:rFonts w:cs="Times New Roman"/>
          <w:i/>
          <w:iCs/>
          <w:szCs w:val="24"/>
          <w:shd w:val="clear" w:color="auto" w:fill="FFFFFF"/>
        </w:rPr>
        <w:t>Research methodology tools and techniques</w:t>
      </w:r>
      <w:r w:rsidRPr="001E71C1">
        <w:rPr>
          <w:rFonts w:cs="Times New Roman"/>
          <w:szCs w:val="24"/>
          <w:shd w:val="clear" w:color="auto" w:fill="FFFFFF"/>
        </w:rPr>
        <w:t xml:space="preserve">. Bridge </w:t>
      </w:r>
      <w:proofErr w:type="spellStart"/>
      <w:r w:rsidRPr="001E71C1">
        <w:rPr>
          <w:rFonts w:cs="Times New Roman"/>
          <w:szCs w:val="24"/>
          <w:shd w:val="clear" w:color="auto" w:fill="FFFFFF"/>
        </w:rPr>
        <w:t>Center</w:t>
      </w:r>
      <w:proofErr w:type="spellEnd"/>
      <w:r w:rsidRPr="001E71C1">
        <w:rPr>
          <w:rFonts w:cs="Times New Roman"/>
          <w:szCs w:val="24"/>
          <w:shd w:val="clear" w:color="auto" w:fill="FFFFFF"/>
        </w:rPr>
        <w:t>.</w:t>
      </w:r>
    </w:p>
    <w:p w14:paraId="02F522E3" w14:textId="77777777" w:rsidR="00A1378A" w:rsidRPr="001E71C1" w:rsidRDefault="00A1378A" w:rsidP="00A1378A">
      <w:pPr>
        <w:spacing w:line="360" w:lineRule="auto"/>
        <w:rPr>
          <w:rFonts w:cs="Times New Roman"/>
          <w:szCs w:val="24"/>
        </w:rPr>
      </w:pPr>
      <w:bookmarkStart w:id="119" w:name="_Hlk142321552"/>
      <w:r w:rsidRPr="001E71C1">
        <w:rPr>
          <w:rFonts w:cs="Times New Roman"/>
          <w:szCs w:val="24"/>
          <w:shd w:val="clear" w:color="auto" w:fill="FFFFFF"/>
        </w:rPr>
        <w:t xml:space="preserve">Park, H. and Kim, </w:t>
      </w:r>
      <w:bookmarkEnd w:id="119"/>
      <w:r w:rsidRPr="001E71C1">
        <w:rPr>
          <w:rFonts w:cs="Times New Roman"/>
          <w:szCs w:val="24"/>
          <w:shd w:val="clear" w:color="auto" w:fill="FFFFFF"/>
        </w:rPr>
        <w:t>J.D., 2020. Transition towards green banking: role of financial regulators and financial institutions. </w:t>
      </w:r>
      <w:r w:rsidRPr="001E71C1">
        <w:rPr>
          <w:rFonts w:cs="Times New Roman"/>
          <w:i/>
          <w:iCs/>
          <w:szCs w:val="24"/>
          <w:shd w:val="clear" w:color="auto" w:fill="FFFFFF"/>
        </w:rPr>
        <w:t>Asian Journal of Sustainability and Social Responsibility</w:t>
      </w:r>
      <w:r w:rsidRPr="001E71C1">
        <w:rPr>
          <w:rFonts w:cs="Times New Roman"/>
          <w:szCs w:val="24"/>
          <w:shd w:val="clear" w:color="auto" w:fill="FFFFFF"/>
        </w:rPr>
        <w:t>, </w:t>
      </w:r>
      <w:r w:rsidRPr="001E71C1">
        <w:rPr>
          <w:rFonts w:cs="Times New Roman"/>
          <w:i/>
          <w:iCs/>
          <w:szCs w:val="24"/>
          <w:shd w:val="clear" w:color="auto" w:fill="FFFFFF"/>
        </w:rPr>
        <w:t>5</w:t>
      </w:r>
      <w:r w:rsidRPr="001E71C1">
        <w:rPr>
          <w:rFonts w:cs="Times New Roman"/>
          <w:szCs w:val="24"/>
          <w:shd w:val="clear" w:color="auto" w:fill="FFFFFF"/>
        </w:rPr>
        <w:t>(1), pp.1-25.</w:t>
      </w:r>
    </w:p>
    <w:p w14:paraId="114802F5" w14:textId="77777777" w:rsidR="00A1378A" w:rsidRPr="001E71C1" w:rsidRDefault="00A1378A" w:rsidP="00A1378A">
      <w:pPr>
        <w:spacing w:line="360" w:lineRule="auto"/>
        <w:rPr>
          <w:rFonts w:cs="Times New Roman"/>
          <w:szCs w:val="24"/>
          <w:shd w:val="clear" w:color="auto" w:fill="FFFFFF"/>
        </w:rPr>
      </w:pPr>
      <w:bookmarkStart w:id="120" w:name="_Hlk143274160"/>
      <w:r w:rsidRPr="001E71C1">
        <w:rPr>
          <w:rFonts w:cs="Times New Roman"/>
          <w:szCs w:val="24"/>
          <w:shd w:val="clear" w:color="auto" w:fill="FFFFFF"/>
        </w:rPr>
        <w:t xml:space="preserve">Patel, M. and Patel, </w:t>
      </w:r>
      <w:bookmarkEnd w:id="120"/>
      <w:r w:rsidRPr="001E71C1">
        <w:rPr>
          <w:rFonts w:cs="Times New Roman"/>
          <w:szCs w:val="24"/>
          <w:shd w:val="clear" w:color="auto" w:fill="FFFFFF"/>
        </w:rPr>
        <w:t>N., 2019. Exploring research methodology. </w:t>
      </w:r>
      <w:r w:rsidRPr="001E71C1">
        <w:rPr>
          <w:rFonts w:cs="Times New Roman"/>
          <w:i/>
          <w:iCs/>
          <w:szCs w:val="24"/>
          <w:shd w:val="clear" w:color="auto" w:fill="FFFFFF"/>
        </w:rPr>
        <w:t>International Journal of Research and Review</w:t>
      </w:r>
      <w:r w:rsidRPr="001E71C1">
        <w:rPr>
          <w:rFonts w:cs="Times New Roman"/>
          <w:szCs w:val="24"/>
          <w:shd w:val="clear" w:color="auto" w:fill="FFFFFF"/>
        </w:rPr>
        <w:t>, </w:t>
      </w:r>
      <w:r w:rsidRPr="001E71C1">
        <w:rPr>
          <w:rFonts w:cs="Times New Roman"/>
          <w:i/>
          <w:iCs/>
          <w:szCs w:val="24"/>
          <w:shd w:val="clear" w:color="auto" w:fill="FFFFFF"/>
        </w:rPr>
        <w:t>6</w:t>
      </w:r>
      <w:r w:rsidRPr="001E71C1">
        <w:rPr>
          <w:rFonts w:cs="Times New Roman"/>
          <w:szCs w:val="24"/>
          <w:shd w:val="clear" w:color="auto" w:fill="FFFFFF"/>
        </w:rPr>
        <w:t>(3), pp.48-55.</w:t>
      </w:r>
    </w:p>
    <w:p w14:paraId="12A63618" w14:textId="77777777" w:rsidR="00A1378A" w:rsidRPr="001E71C1" w:rsidRDefault="00A1378A" w:rsidP="00A1378A">
      <w:pPr>
        <w:spacing w:line="360" w:lineRule="auto"/>
        <w:rPr>
          <w:rFonts w:eastAsia="Times New Roman" w:cs="Times New Roman"/>
          <w:szCs w:val="24"/>
          <w:lang w:val="en-IN"/>
        </w:rPr>
      </w:pPr>
      <w:r w:rsidRPr="001E71C1">
        <w:rPr>
          <w:rFonts w:eastAsia="Times New Roman" w:cs="Times New Roman"/>
          <w:szCs w:val="24"/>
          <w:lang w:val="en-IN"/>
        </w:rPr>
        <w:t xml:space="preserve">Ramdani, B., Rothwell, B. and </w:t>
      </w:r>
      <w:proofErr w:type="spellStart"/>
      <w:r w:rsidRPr="001E71C1">
        <w:rPr>
          <w:rFonts w:eastAsia="Times New Roman" w:cs="Times New Roman"/>
          <w:szCs w:val="24"/>
          <w:lang w:val="en-IN"/>
        </w:rPr>
        <w:t>Boukrami</w:t>
      </w:r>
      <w:proofErr w:type="spellEnd"/>
      <w:r w:rsidRPr="001E71C1">
        <w:rPr>
          <w:rFonts w:eastAsia="Times New Roman" w:cs="Times New Roman"/>
          <w:szCs w:val="24"/>
          <w:lang w:val="en-IN"/>
        </w:rPr>
        <w:t>, E., 2020. Open banking: The emergence of new digital business models. International Journal of Innovation and Technology Management, 17(05), p.2050033.</w:t>
      </w:r>
    </w:p>
    <w:p w14:paraId="0D75ECF8" w14:textId="77777777" w:rsidR="00A1378A" w:rsidRPr="001E71C1" w:rsidRDefault="00A1378A" w:rsidP="00A1378A">
      <w:pPr>
        <w:spacing w:line="360" w:lineRule="auto"/>
        <w:rPr>
          <w:rFonts w:cs="Times New Roman"/>
          <w:szCs w:val="24"/>
          <w:shd w:val="clear" w:color="auto" w:fill="FFFFFF"/>
        </w:rPr>
      </w:pPr>
      <w:r w:rsidRPr="001E71C1">
        <w:rPr>
          <w:rFonts w:cs="Times New Roman"/>
          <w:szCs w:val="24"/>
          <w:shd w:val="clear" w:color="auto" w:fill="FFFFFF"/>
        </w:rPr>
        <w:t xml:space="preserve">Ruiz, B. and Garcia, J.A., 2021. </w:t>
      </w:r>
      <w:proofErr w:type="spellStart"/>
      <w:r w:rsidRPr="001E71C1">
        <w:rPr>
          <w:rFonts w:cs="Times New Roman"/>
          <w:szCs w:val="24"/>
          <w:shd w:val="clear" w:color="auto" w:fill="FFFFFF"/>
        </w:rPr>
        <w:t>Analyzing</w:t>
      </w:r>
      <w:proofErr w:type="spellEnd"/>
      <w:r w:rsidRPr="001E71C1">
        <w:rPr>
          <w:rFonts w:cs="Times New Roman"/>
          <w:szCs w:val="24"/>
          <w:shd w:val="clear" w:color="auto" w:fill="FFFFFF"/>
        </w:rPr>
        <w:t xml:space="preserve"> the relationship between CSR and reputation in the banking sector. </w:t>
      </w:r>
      <w:r w:rsidRPr="001E71C1">
        <w:rPr>
          <w:rFonts w:cs="Times New Roman"/>
          <w:i/>
          <w:iCs/>
          <w:szCs w:val="24"/>
          <w:shd w:val="clear" w:color="auto" w:fill="FFFFFF"/>
        </w:rPr>
        <w:t>Journal of Retailing and Consumer Services</w:t>
      </w:r>
      <w:r w:rsidRPr="001E71C1">
        <w:rPr>
          <w:rFonts w:cs="Times New Roman"/>
          <w:szCs w:val="24"/>
          <w:shd w:val="clear" w:color="auto" w:fill="FFFFFF"/>
        </w:rPr>
        <w:t>, </w:t>
      </w:r>
      <w:r w:rsidRPr="001E71C1">
        <w:rPr>
          <w:rFonts w:cs="Times New Roman"/>
          <w:i/>
          <w:iCs/>
          <w:szCs w:val="24"/>
          <w:shd w:val="clear" w:color="auto" w:fill="FFFFFF"/>
        </w:rPr>
        <w:t>61</w:t>
      </w:r>
      <w:r w:rsidRPr="001E71C1">
        <w:rPr>
          <w:rFonts w:cs="Times New Roman"/>
          <w:szCs w:val="24"/>
          <w:shd w:val="clear" w:color="auto" w:fill="FFFFFF"/>
        </w:rPr>
        <w:t>, p.102552.</w:t>
      </w:r>
    </w:p>
    <w:p w14:paraId="0010AD0E" w14:textId="77777777" w:rsidR="00A1378A" w:rsidRPr="001E71C1" w:rsidRDefault="00A1378A" w:rsidP="00A1378A">
      <w:pPr>
        <w:spacing w:line="360" w:lineRule="auto"/>
        <w:rPr>
          <w:rFonts w:cs="Times New Roman"/>
          <w:szCs w:val="24"/>
        </w:rPr>
      </w:pPr>
      <w:bookmarkStart w:id="121" w:name="_Hlk142321533"/>
      <w:r w:rsidRPr="001E71C1">
        <w:rPr>
          <w:rFonts w:cs="Times New Roman"/>
          <w:szCs w:val="24"/>
          <w:shd w:val="clear" w:color="auto" w:fill="FFFFFF"/>
        </w:rPr>
        <w:t>Sahay</w:t>
      </w:r>
      <w:bookmarkEnd w:id="121"/>
      <w:r w:rsidRPr="001E71C1">
        <w:rPr>
          <w:rFonts w:cs="Times New Roman"/>
          <w:szCs w:val="24"/>
          <w:shd w:val="clear" w:color="auto" w:fill="FFFFFF"/>
        </w:rPr>
        <w:t xml:space="preserve">, M.R., von Allmen, M.U.E., Lahreche, M.A., Khera, P., Ogawa, M.S., </w:t>
      </w:r>
      <w:proofErr w:type="spellStart"/>
      <w:r w:rsidRPr="001E71C1">
        <w:rPr>
          <w:rFonts w:cs="Times New Roman"/>
          <w:szCs w:val="24"/>
          <w:shd w:val="clear" w:color="auto" w:fill="FFFFFF"/>
        </w:rPr>
        <w:t>Bazarbash</w:t>
      </w:r>
      <w:proofErr w:type="spellEnd"/>
      <w:r w:rsidRPr="001E71C1">
        <w:rPr>
          <w:rFonts w:cs="Times New Roman"/>
          <w:szCs w:val="24"/>
          <w:shd w:val="clear" w:color="auto" w:fill="FFFFFF"/>
        </w:rPr>
        <w:t>, M. and Beaton, M.K., 2020. </w:t>
      </w:r>
      <w:r w:rsidRPr="001E71C1">
        <w:rPr>
          <w:rFonts w:cs="Times New Roman"/>
          <w:i/>
          <w:iCs/>
          <w:szCs w:val="24"/>
          <w:shd w:val="clear" w:color="auto" w:fill="FFFFFF"/>
        </w:rPr>
        <w:t>The promise of fintech: Financial inclusion in the post COVID-19 era</w:t>
      </w:r>
      <w:r w:rsidRPr="001E71C1">
        <w:rPr>
          <w:rFonts w:cs="Times New Roman"/>
          <w:szCs w:val="24"/>
          <w:shd w:val="clear" w:color="auto" w:fill="FFFFFF"/>
        </w:rPr>
        <w:t>. International Monetary Fund.</w:t>
      </w:r>
    </w:p>
    <w:p w14:paraId="1ACBA617" w14:textId="77777777" w:rsidR="00A1378A" w:rsidRPr="001E71C1" w:rsidRDefault="00A1378A" w:rsidP="00A1378A">
      <w:pPr>
        <w:spacing w:line="360" w:lineRule="auto"/>
        <w:rPr>
          <w:rFonts w:eastAsia="Times New Roman" w:cs="Times New Roman"/>
          <w:szCs w:val="24"/>
          <w:lang w:val="en-IN"/>
        </w:rPr>
      </w:pPr>
      <w:r w:rsidRPr="001E71C1">
        <w:rPr>
          <w:rFonts w:eastAsia="Times New Roman" w:cs="Times New Roman"/>
          <w:szCs w:val="24"/>
          <w:lang w:val="en-IN"/>
        </w:rPr>
        <w:lastRenderedPageBreak/>
        <w:t>Seyfang, G. and Gilbert-Squires, A., 2019. Move your money? Sustainability transitions in regimes and practices in the UK retail banking sector. Ecological Economics, 156, pp.224-235.</w:t>
      </w:r>
    </w:p>
    <w:p w14:paraId="11AF7615" w14:textId="77777777" w:rsidR="00A1378A" w:rsidRPr="001E71C1" w:rsidRDefault="00A1378A" w:rsidP="00A1378A">
      <w:pPr>
        <w:spacing w:line="360" w:lineRule="auto"/>
        <w:rPr>
          <w:rFonts w:cs="Times New Roman"/>
          <w:szCs w:val="24"/>
          <w:shd w:val="clear" w:color="auto" w:fill="FFFFFF"/>
        </w:rPr>
      </w:pPr>
      <w:bookmarkStart w:id="122" w:name="_Hlk140854414"/>
      <w:r w:rsidRPr="001E71C1">
        <w:rPr>
          <w:rFonts w:cs="Times New Roman"/>
          <w:szCs w:val="24"/>
          <w:shd w:val="clear" w:color="auto" w:fill="FFFFFF"/>
        </w:rPr>
        <w:t>Shams</w:t>
      </w:r>
      <w:bookmarkEnd w:id="122"/>
      <w:r w:rsidRPr="001E71C1">
        <w:rPr>
          <w:rFonts w:cs="Times New Roman"/>
          <w:szCs w:val="24"/>
          <w:shd w:val="clear" w:color="auto" w:fill="FFFFFF"/>
        </w:rPr>
        <w:t>, G., Rehman, M.A., Samad, S. and Rather, R.A., 2020. The impact of the magnitude of service failure and complaint handling on satisfaction and brand credibility in the banking industry. </w:t>
      </w:r>
      <w:r w:rsidRPr="001E71C1">
        <w:rPr>
          <w:rFonts w:cs="Times New Roman"/>
          <w:i/>
          <w:iCs/>
          <w:szCs w:val="24"/>
          <w:shd w:val="clear" w:color="auto" w:fill="FFFFFF"/>
        </w:rPr>
        <w:t>Journal of Financial Services Marketing</w:t>
      </w:r>
      <w:r w:rsidRPr="001E71C1">
        <w:rPr>
          <w:rFonts w:cs="Times New Roman"/>
          <w:szCs w:val="24"/>
          <w:shd w:val="clear" w:color="auto" w:fill="FFFFFF"/>
        </w:rPr>
        <w:t>, </w:t>
      </w:r>
      <w:r w:rsidRPr="001E71C1">
        <w:rPr>
          <w:rFonts w:cs="Times New Roman"/>
          <w:i/>
          <w:iCs/>
          <w:szCs w:val="24"/>
          <w:shd w:val="clear" w:color="auto" w:fill="FFFFFF"/>
        </w:rPr>
        <w:t>25</w:t>
      </w:r>
      <w:r w:rsidRPr="001E71C1">
        <w:rPr>
          <w:rFonts w:cs="Times New Roman"/>
          <w:szCs w:val="24"/>
          <w:shd w:val="clear" w:color="auto" w:fill="FFFFFF"/>
        </w:rPr>
        <w:t>, pp.25-34.</w:t>
      </w:r>
    </w:p>
    <w:p w14:paraId="1351CDD0" w14:textId="77777777" w:rsidR="00A1378A" w:rsidRPr="001E71C1" w:rsidRDefault="00A1378A" w:rsidP="00A1378A">
      <w:pPr>
        <w:spacing w:line="360" w:lineRule="auto"/>
        <w:rPr>
          <w:rFonts w:cs="Times New Roman"/>
          <w:szCs w:val="24"/>
          <w:shd w:val="clear" w:color="auto" w:fill="FFFFFF"/>
        </w:rPr>
      </w:pPr>
      <w:bookmarkStart w:id="123" w:name="_Hlk145078070"/>
      <w:r w:rsidRPr="001E71C1">
        <w:rPr>
          <w:rFonts w:cs="Times New Roman"/>
          <w:szCs w:val="24"/>
          <w:shd w:val="clear" w:color="auto" w:fill="FFFFFF"/>
        </w:rPr>
        <w:t>Singh,</w:t>
      </w:r>
      <w:bookmarkEnd w:id="123"/>
      <w:r w:rsidRPr="001E71C1">
        <w:rPr>
          <w:rFonts w:cs="Times New Roman"/>
          <w:szCs w:val="24"/>
          <w:shd w:val="clear" w:color="auto" w:fill="FFFFFF"/>
        </w:rPr>
        <w:t xml:space="preserve"> K., 2020. Banks banking on ai. </w:t>
      </w:r>
      <w:r w:rsidRPr="001E71C1">
        <w:rPr>
          <w:rFonts w:cs="Times New Roman"/>
          <w:i/>
          <w:iCs/>
          <w:szCs w:val="24"/>
          <w:shd w:val="clear" w:color="auto" w:fill="FFFFFF"/>
        </w:rPr>
        <w:t>International Journal of Advanced Research in Management and Social Sciences</w:t>
      </w:r>
      <w:r w:rsidRPr="001E71C1">
        <w:rPr>
          <w:rFonts w:cs="Times New Roman"/>
          <w:szCs w:val="24"/>
          <w:shd w:val="clear" w:color="auto" w:fill="FFFFFF"/>
        </w:rPr>
        <w:t>, </w:t>
      </w:r>
      <w:r w:rsidRPr="001E71C1">
        <w:rPr>
          <w:rFonts w:cs="Times New Roman"/>
          <w:i/>
          <w:iCs/>
          <w:szCs w:val="24"/>
          <w:shd w:val="clear" w:color="auto" w:fill="FFFFFF"/>
        </w:rPr>
        <w:t>9</w:t>
      </w:r>
      <w:r w:rsidRPr="001E71C1">
        <w:rPr>
          <w:rFonts w:cs="Times New Roman"/>
          <w:szCs w:val="24"/>
          <w:shd w:val="clear" w:color="auto" w:fill="FFFFFF"/>
        </w:rPr>
        <w:t>(9), pp.1-11.</w:t>
      </w:r>
    </w:p>
    <w:p w14:paraId="4451514B" w14:textId="77777777" w:rsidR="00A1378A" w:rsidRPr="001E71C1" w:rsidRDefault="00A1378A" w:rsidP="00A1378A">
      <w:pPr>
        <w:spacing w:line="360" w:lineRule="auto"/>
        <w:rPr>
          <w:rFonts w:cs="Times New Roman"/>
          <w:szCs w:val="24"/>
          <w:shd w:val="clear" w:color="auto" w:fill="FFFFFF"/>
        </w:rPr>
      </w:pPr>
      <w:bookmarkStart w:id="124" w:name="_Hlk140854675"/>
      <w:proofErr w:type="spellStart"/>
      <w:r w:rsidRPr="001E71C1">
        <w:rPr>
          <w:rFonts w:cs="Times New Roman"/>
          <w:szCs w:val="24"/>
          <w:shd w:val="clear" w:color="auto" w:fill="FFFFFF"/>
        </w:rPr>
        <w:t>Suhel</w:t>
      </w:r>
      <w:bookmarkEnd w:id="124"/>
      <w:proofErr w:type="spellEnd"/>
      <w:r w:rsidRPr="001E71C1">
        <w:rPr>
          <w:rFonts w:cs="Times New Roman"/>
          <w:szCs w:val="24"/>
          <w:shd w:val="clear" w:color="auto" w:fill="FFFFFF"/>
        </w:rPr>
        <w:t>, S.F., Shukla, V.K., Vyas, S. and Mishra, V.P., 2020, June. Conversation to automation in banking through chatbot using artificial machine intelligence language. In </w:t>
      </w:r>
      <w:r w:rsidRPr="001E71C1">
        <w:rPr>
          <w:rFonts w:cs="Times New Roman"/>
          <w:i/>
          <w:iCs/>
          <w:szCs w:val="24"/>
          <w:shd w:val="clear" w:color="auto" w:fill="FFFFFF"/>
        </w:rPr>
        <w:t xml:space="preserve">2020 8th international conference on reliability, </w:t>
      </w:r>
      <w:proofErr w:type="spellStart"/>
      <w:r w:rsidRPr="001E71C1">
        <w:rPr>
          <w:rFonts w:cs="Times New Roman"/>
          <w:i/>
          <w:iCs/>
          <w:szCs w:val="24"/>
          <w:shd w:val="clear" w:color="auto" w:fill="FFFFFF"/>
        </w:rPr>
        <w:t>infocom</w:t>
      </w:r>
      <w:proofErr w:type="spellEnd"/>
      <w:r w:rsidRPr="001E71C1">
        <w:rPr>
          <w:rFonts w:cs="Times New Roman"/>
          <w:i/>
          <w:iCs/>
          <w:szCs w:val="24"/>
          <w:shd w:val="clear" w:color="auto" w:fill="FFFFFF"/>
        </w:rPr>
        <w:t xml:space="preserve"> technologies and optimization (trends and future directions)(ICRITO)</w:t>
      </w:r>
      <w:r w:rsidRPr="001E71C1">
        <w:rPr>
          <w:rFonts w:cs="Times New Roman"/>
          <w:szCs w:val="24"/>
          <w:shd w:val="clear" w:color="auto" w:fill="FFFFFF"/>
        </w:rPr>
        <w:t> (pp. 611-618). IEEE.</w:t>
      </w:r>
    </w:p>
    <w:p w14:paraId="7EA894F1" w14:textId="77777777" w:rsidR="00A1378A" w:rsidRPr="001E71C1" w:rsidRDefault="00A1378A" w:rsidP="00A1378A">
      <w:pPr>
        <w:spacing w:line="360" w:lineRule="auto"/>
        <w:rPr>
          <w:rFonts w:cs="Times New Roman"/>
          <w:szCs w:val="24"/>
          <w:shd w:val="clear" w:color="auto" w:fill="FFFFFF"/>
        </w:rPr>
      </w:pPr>
      <w:bookmarkStart w:id="125" w:name="_Hlk140854494"/>
      <w:proofErr w:type="spellStart"/>
      <w:r w:rsidRPr="001E71C1">
        <w:rPr>
          <w:rFonts w:cs="Times New Roman"/>
          <w:szCs w:val="24"/>
          <w:shd w:val="clear" w:color="auto" w:fill="FFFFFF"/>
        </w:rPr>
        <w:t>Vahabi</w:t>
      </w:r>
      <w:bookmarkEnd w:id="125"/>
      <w:proofErr w:type="spellEnd"/>
      <w:r w:rsidRPr="001E71C1">
        <w:rPr>
          <w:rFonts w:cs="Times New Roman"/>
          <w:szCs w:val="24"/>
          <w:shd w:val="clear" w:color="auto" w:fill="FFFFFF"/>
        </w:rPr>
        <w:t xml:space="preserve">, H., </w:t>
      </w:r>
      <w:proofErr w:type="spellStart"/>
      <w:r w:rsidRPr="001E71C1">
        <w:rPr>
          <w:rFonts w:cs="Times New Roman"/>
          <w:szCs w:val="24"/>
          <w:shd w:val="clear" w:color="auto" w:fill="FFFFFF"/>
        </w:rPr>
        <w:t>Namaki</w:t>
      </w:r>
      <w:proofErr w:type="spellEnd"/>
      <w:r w:rsidRPr="001E71C1">
        <w:rPr>
          <w:rFonts w:cs="Times New Roman"/>
          <w:szCs w:val="24"/>
          <w:shd w:val="clear" w:color="auto" w:fill="FFFFFF"/>
        </w:rPr>
        <w:t xml:space="preserve">, A. and Raei, R., 2020. Comparing the collective </w:t>
      </w:r>
      <w:proofErr w:type="spellStart"/>
      <w:r w:rsidRPr="001E71C1">
        <w:rPr>
          <w:rFonts w:cs="Times New Roman"/>
          <w:szCs w:val="24"/>
          <w:shd w:val="clear" w:color="auto" w:fill="FFFFFF"/>
        </w:rPr>
        <w:t>behavior</w:t>
      </w:r>
      <w:proofErr w:type="spellEnd"/>
      <w:r w:rsidRPr="001E71C1">
        <w:rPr>
          <w:rFonts w:cs="Times New Roman"/>
          <w:szCs w:val="24"/>
          <w:shd w:val="clear" w:color="auto" w:fill="FFFFFF"/>
        </w:rPr>
        <w:t xml:space="preserve"> of banking industry. </w:t>
      </w:r>
      <w:proofErr w:type="spellStart"/>
      <w:r w:rsidRPr="001E71C1">
        <w:rPr>
          <w:rFonts w:cs="Times New Roman"/>
          <w:i/>
          <w:iCs/>
          <w:szCs w:val="24"/>
          <w:shd w:val="clear" w:color="auto" w:fill="FFFFFF"/>
        </w:rPr>
        <w:t>arXiv</w:t>
      </w:r>
      <w:proofErr w:type="spellEnd"/>
      <w:r w:rsidRPr="001E71C1">
        <w:rPr>
          <w:rFonts w:cs="Times New Roman"/>
          <w:i/>
          <w:iCs/>
          <w:szCs w:val="24"/>
          <w:shd w:val="clear" w:color="auto" w:fill="FFFFFF"/>
        </w:rPr>
        <w:t xml:space="preserve"> preprint arXiv:2011.02026</w:t>
      </w:r>
      <w:r w:rsidRPr="001E71C1">
        <w:rPr>
          <w:rFonts w:cs="Times New Roman"/>
          <w:szCs w:val="24"/>
          <w:shd w:val="clear" w:color="auto" w:fill="FFFFFF"/>
        </w:rPr>
        <w:t>.</w:t>
      </w:r>
    </w:p>
    <w:p w14:paraId="2466D491" w14:textId="77777777" w:rsidR="00A1378A" w:rsidRPr="001E71C1" w:rsidRDefault="00A1378A" w:rsidP="00A1378A">
      <w:pPr>
        <w:spacing w:line="360" w:lineRule="auto"/>
        <w:rPr>
          <w:rFonts w:eastAsia="Times New Roman" w:cs="Times New Roman"/>
          <w:szCs w:val="24"/>
          <w:lang w:val="en-IN"/>
        </w:rPr>
      </w:pPr>
      <w:proofErr w:type="spellStart"/>
      <w:r w:rsidRPr="001E71C1">
        <w:rPr>
          <w:rFonts w:eastAsia="Times New Roman" w:cs="Times New Roman"/>
          <w:szCs w:val="24"/>
          <w:lang w:val="en-IN"/>
        </w:rPr>
        <w:t>Wewege</w:t>
      </w:r>
      <w:proofErr w:type="spellEnd"/>
      <w:r w:rsidRPr="001E71C1">
        <w:rPr>
          <w:rFonts w:eastAsia="Times New Roman" w:cs="Times New Roman"/>
          <w:szCs w:val="24"/>
          <w:lang w:val="en-IN"/>
        </w:rPr>
        <w:t xml:space="preserve">, L. and </w:t>
      </w:r>
      <w:proofErr w:type="spellStart"/>
      <w:r w:rsidRPr="001E71C1">
        <w:rPr>
          <w:rFonts w:eastAsia="Times New Roman" w:cs="Times New Roman"/>
          <w:szCs w:val="24"/>
          <w:lang w:val="en-IN"/>
        </w:rPr>
        <w:t>Thomsett</w:t>
      </w:r>
      <w:proofErr w:type="spellEnd"/>
      <w:r w:rsidRPr="001E71C1">
        <w:rPr>
          <w:rFonts w:eastAsia="Times New Roman" w:cs="Times New Roman"/>
          <w:szCs w:val="24"/>
          <w:lang w:val="en-IN"/>
        </w:rPr>
        <w:t>, M.C., 2019. The digital banking revolution: how fintech companies are transforming the retail banking industry through disruptive financial innovation. Walter de Gruyter GmbH &amp; Co KG.</w:t>
      </w:r>
    </w:p>
    <w:p w14:paraId="17F591A0" w14:textId="77777777" w:rsidR="00A1378A" w:rsidRPr="001E71C1" w:rsidRDefault="00A1378A" w:rsidP="00A1378A">
      <w:pPr>
        <w:spacing w:line="360" w:lineRule="auto"/>
        <w:rPr>
          <w:rFonts w:cs="Times New Roman"/>
          <w:szCs w:val="24"/>
          <w:shd w:val="clear" w:color="auto" w:fill="FFFFFF"/>
        </w:rPr>
      </w:pPr>
      <w:proofErr w:type="spellStart"/>
      <w:r w:rsidRPr="001E71C1">
        <w:rPr>
          <w:rFonts w:cs="Times New Roman"/>
          <w:szCs w:val="24"/>
          <w:shd w:val="clear" w:color="auto" w:fill="FFFFFF"/>
        </w:rPr>
        <w:t>Wewege</w:t>
      </w:r>
      <w:proofErr w:type="spellEnd"/>
      <w:r w:rsidRPr="001E71C1">
        <w:rPr>
          <w:rFonts w:cs="Times New Roman"/>
          <w:szCs w:val="24"/>
          <w:shd w:val="clear" w:color="auto" w:fill="FFFFFF"/>
        </w:rPr>
        <w:t xml:space="preserve">, L., Lee, J. and </w:t>
      </w:r>
      <w:proofErr w:type="spellStart"/>
      <w:r w:rsidRPr="001E71C1">
        <w:rPr>
          <w:rFonts w:cs="Times New Roman"/>
          <w:szCs w:val="24"/>
          <w:shd w:val="clear" w:color="auto" w:fill="FFFFFF"/>
        </w:rPr>
        <w:t>Thomsett</w:t>
      </w:r>
      <w:proofErr w:type="spellEnd"/>
      <w:r w:rsidRPr="001E71C1">
        <w:rPr>
          <w:rFonts w:cs="Times New Roman"/>
          <w:szCs w:val="24"/>
          <w:shd w:val="clear" w:color="auto" w:fill="FFFFFF"/>
        </w:rPr>
        <w:t>, M.C., 2020. Disruptions and digital banking trends. </w:t>
      </w:r>
      <w:r w:rsidRPr="001E71C1">
        <w:rPr>
          <w:rFonts w:cs="Times New Roman"/>
          <w:i/>
          <w:iCs/>
          <w:szCs w:val="24"/>
          <w:shd w:val="clear" w:color="auto" w:fill="FFFFFF"/>
        </w:rPr>
        <w:t>Journal of Applied Finance and Banking</w:t>
      </w:r>
      <w:r w:rsidRPr="001E71C1">
        <w:rPr>
          <w:rFonts w:cs="Times New Roman"/>
          <w:szCs w:val="24"/>
          <w:shd w:val="clear" w:color="auto" w:fill="FFFFFF"/>
        </w:rPr>
        <w:t>, </w:t>
      </w:r>
      <w:r w:rsidRPr="001E71C1">
        <w:rPr>
          <w:rFonts w:cs="Times New Roman"/>
          <w:i/>
          <w:iCs/>
          <w:szCs w:val="24"/>
          <w:shd w:val="clear" w:color="auto" w:fill="FFFFFF"/>
        </w:rPr>
        <w:t>10</w:t>
      </w:r>
      <w:r w:rsidRPr="001E71C1">
        <w:rPr>
          <w:rFonts w:cs="Times New Roman"/>
          <w:szCs w:val="24"/>
          <w:shd w:val="clear" w:color="auto" w:fill="FFFFFF"/>
        </w:rPr>
        <w:t>(6), pp.15-56.</w:t>
      </w:r>
    </w:p>
    <w:p w14:paraId="42E05D86" w14:textId="77777777" w:rsidR="00A1378A" w:rsidRPr="001E71C1" w:rsidRDefault="00A1378A" w:rsidP="00A1378A">
      <w:pPr>
        <w:spacing w:line="360" w:lineRule="auto"/>
        <w:rPr>
          <w:rFonts w:cs="Times New Roman"/>
          <w:szCs w:val="24"/>
          <w:shd w:val="clear" w:color="auto" w:fill="FFFFFF"/>
        </w:rPr>
      </w:pPr>
      <w:bookmarkStart w:id="126" w:name="_Hlk145078212"/>
      <w:bookmarkStart w:id="127" w:name="_Hlk145078088"/>
      <w:proofErr w:type="spellStart"/>
      <w:r w:rsidRPr="001E71C1">
        <w:rPr>
          <w:rFonts w:cs="Times New Roman"/>
          <w:szCs w:val="24"/>
          <w:shd w:val="clear" w:color="auto" w:fill="FFFFFF"/>
        </w:rPr>
        <w:t>Yalley</w:t>
      </w:r>
      <w:proofErr w:type="spellEnd"/>
      <w:r w:rsidRPr="001E71C1">
        <w:rPr>
          <w:rFonts w:cs="Times New Roman"/>
          <w:szCs w:val="24"/>
          <w:shd w:val="clear" w:color="auto" w:fill="FFFFFF"/>
        </w:rPr>
        <w:t>,</w:t>
      </w:r>
      <w:bookmarkEnd w:id="126"/>
      <w:r w:rsidRPr="001E71C1">
        <w:rPr>
          <w:rFonts w:cs="Times New Roman"/>
          <w:szCs w:val="24"/>
          <w:shd w:val="clear" w:color="auto" w:fill="FFFFFF"/>
        </w:rPr>
        <w:t xml:space="preserve"> </w:t>
      </w:r>
      <w:bookmarkEnd w:id="127"/>
      <w:r w:rsidRPr="001E71C1">
        <w:rPr>
          <w:rFonts w:cs="Times New Roman"/>
          <w:szCs w:val="24"/>
          <w:shd w:val="clear" w:color="auto" w:fill="FFFFFF"/>
        </w:rPr>
        <w:t>A.A., 2022. Customer readiness to co-production of mobile banking services: a customer-only co-production perspective. </w:t>
      </w:r>
      <w:r w:rsidRPr="001E71C1">
        <w:rPr>
          <w:rFonts w:cs="Times New Roman"/>
          <w:i/>
          <w:iCs/>
          <w:szCs w:val="24"/>
          <w:shd w:val="clear" w:color="auto" w:fill="FFFFFF"/>
        </w:rPr>
        <w:t>Journal of Financial Services Marketing</w:t>
      </w:r>
      <w:r w:rsidRPr="001E71C1">
        <w:rPr>
          <w:rFonts w:cs="Times New Roman"/>
          <w:szCs w:val="24"/>
          <w:shd w:val="clear" w:color="auto" w:fill="FFFFFF"/>
        </w:rPr>
        <w:t>, </w:t>
      </w:r>
      <w:r w:rsidRPr="001E71C1">
        <w:rPr>
          <w:rFonts w:cs="Times New Roman"/>
          <w:i/>
          <w:iCs/>
          <w:szCs w:val="24"/>
          <w:shd w:val="clear" w:color="auto" w:fill="FFFFFF"/>
        </w:rPr>
        <w:t>27</w:t>
      </w:r>
      <w:r w:rsidRPr="001E71C1">
        <w:rPr>
          <w:rFonts w:cs="Times New Roman"/>
          <w:szCs w:val="24"/>
          <w:shd w:val="clear" w:color="auto" w:fill="FFFFFF"/>
        </w:rPr>
        <w:t>(2), pp.81-95.</w:t>
      </w:r>
    </w:p>
    <w:p w14:paraId="3470B293" w14:textId="77777777" w:rsidR="00A1378A" w:rsidRPr="001E71C1" w:rsidRDefault="00A1378A" w:rsidP="00A1378A">
      <w:pPr>
        <w:spacing w:line="360" w:lineRule="auto"/>
        <w:rPr>
          <w:rFonts w:cs="Times New Roman"/>
          <w:szCs w:val="24"/>
          <w:shd w:val="clear" w:color="auto" w:fill="FFFFFF"/>
        </w:rPr>
      </w:pPr>
      <w:bookmarkStart w:id="128" w:name="_Hlk140854599"/>
      <w:r w:rsidRPr="001E71C1">
        <w:rPr>
          <w:rFonts w:cs="Times New Roman"/>
          <w:szCs w:val="24"/>
          <w:shd w:val="clear" w:color="auto" w:fill="FFFFFF"/>
        </w:rPr>
        <w:t>Zhao</w:t>
      </w:r>
      <w:bookmarkEnd w:id="128"/>
      <w:r w:rsidRPr="001E71C1">
        <w:rPr>
          <w:rFonts w:cs="Times New Roman"/>
          <w:szCs w:val="24"/>
          <w:shd w:val="clear" w:color="auto" w:fill="FFFFFF"/>
        </w:rPr>
        <w:t xml:space="preserve">, Q., Tsai, P.H. and Wang, J.L., 2019. Improving financial service innovation strategies for enhancing </w:t>
      </w:r>
      <w:proofErr w:type="spellStart"/>
      <w:r w:rsidRPr="001E71C1">
        <w:rPr>
          <w:rFonts w:cs="Times New Roman"/>
          <w:szCs w:val="24"/>
          <w:shd w:val="clear" w:color="auto" w:fill="FFFFFF"/>
        </w:rPr>
        <w:t>china’s</w:t>
      </w:r>
      <w:proofErr w:type="spellEnd"/>
      <w:r w:rsidRPr="001E71C1">
        <w:rPr>
          <w:rFonts w:cs="Times New Roman"/>
          <w:szCs w:val="24"/>
          <w:shd w:val="clear" w:color="auto" w:fill="FFFFFF"/>
        </w:rPr>
        <w:t xml:space="preserve"> banking industry competitive advantage during the fintech revolution: A Hybrid MCDM model. </w:t>
      </w:r>
      <w:r w:rsidRPr="001E71C1">
        <w:rPr>
          <w:rFonts w:cs="Times New Roman"/>
          <w:i/>
          <w:iCs/>
          <w:szCs w:val="24"/>
          <w:shd w:val="clear" w:color="auto" w:fill="FFFFFF"/>
        </w:rPr>
        <w:t>Sustainability</w:t>
      </w:r>
      <w:r w:rsidRPr="001E71C1">
        <w:rPr>
          <w:rFonts w:cs="Times New Roman"/>
          <w:szCs w:val="24"/>
          <w:shd w:val="clear" w:color="auto" w:fill="FFFFFF"/>
        </w:rPr>
        <w:t>, </w:t>
      </w:r>
      <w:r w:rsidRPr="001E71C1">
        <w:rPr>
          <w:rFonts w:cs="Times New Roman"/>
          <w:i/>
          <w:iCs/>
          <w:szCs w:val="24"/>
          <w:shd w:val="clear" w:color="auto" w:fill="FFFFFF"/>
        </w:rPr>
        <w:t>11</w:t>
      </w:r>
      <w:r w:rsidRPr="001E71C1">
        <w:rPr>
          <w:rFonts w:cs="Times New Roman"/>
          <w:szCs w:val="24"/>
          <w:shd w:val="clear" w:color="auto" w:fill="FFFFFF"/>
        </w:rPr>
        <w:t>(5), p.1419.</w:t>
      </w:r>
    </w:p>
    <w:p w14:paraId="3A8A12D2" w14:textId="77777777" w:rsidR="00A1378A" w:rsidRPr="00A1378A" w:rsidRDefault="00A1378A" w:rsidP="00A1378A"/>
    <w:sectPr w:rsidR="00A1378A" w:rsidRPr="00A1378A" w:rsidSect="00B931C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26640"/>
    <w:multiLevelType w:val="multilevel"/>
    <w:tmpl w:val="D3527E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37CE0925"/>
    <w:multiLevelType w:val="hybridMultilevel"/>
    <w:tmpl w:val="1D8CD7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6C76A26"/>
    <w:multiLevelType w:val="hybridMultilevel"/>
    <w:tmpl w:val="FCB202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A751AF6"/>
    <w:multiLevelType w:val="hybridMultilevel"/>
    <w:tmpl w:val="1DB2B6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77317970">
    <w:abstractNumId w:val="0"/>
  </w:num>
  <w:num w:numId="2" w16cid:durableId="749350959">
    <w:abstractNumId w:val="1"/>
  </w:num>
  <w:num w:numId="3" w16cid:durableId="192353440">
    <w:abstractNumId w:val="3"/>
  </w:num>
  <w:num w:numId="4" w16cid:durableId="11199101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A60"/>
    <w:rsid w:val="000507B2"/>
    <w:rsid w:val="00055EC8"/>
    <w:rsid w:val="00073599"/>
    <w:rsid w:val="000D11DD"/>
    <w:rsid w:val="00161BA2"/>
    <w:rsid w:val="00170B29"/>
    <w:rsid w:val="00184260"/>
    <w:rsid w:val="00292F9B"/>
    <w:rsid w:val="002C2D26"/>
    <w:rsid w:val="002E5350"/>
    <w:rsid w:val="0031466A"/>
    <w:rsid w:val="00317F01"/>
    <w:rsid w:val="0033641E"/>
    <w:rsid w:val="003440E2"/>
    <w:rsid w:val="003516BA"/>
    <w:rsid w:val="0040660C"/>
    <w:rsid w:val="00425BAD"/>
    <w:rsid w:val="00461D9B"/>
    <w:rsid w:val="004835F3"/>
    <w:rsid w:val="004837B3"/>
    <w:rsid w:val="004C2F60"/>
    <w:rsid w:val="004C505D"/>
    <w:rsid w:val="0056658D"/>
    <w:rsid w:val="0058551B"/>
    <w:rsid w:val="00597B97"/>
    <w:rsid w:val="005E0371"/>
    <w:rsid w:val="005F0587"/>
    <w:rsid w:val="005F7DA3"/>
    <w:rsid w:val="0063502C"/>
    <w:rsid w:val="00676AC4"/>
    <w:rsid w:val="00697034"/>
    <w:rsid w:val="006A311B"/>
    <w:rsid w:val="006A3159"/>
    <w:rsid w:val="006A445D"/>
    <w:rsid w:val="006B7F90"/>
    <w:rsid w:val="006D5572"/>
    <w:rsid w:val="00713E39"/>
    <w:rsid w:val="007162D0"/>
    <w:rsid w:val="00725D19"/>
    <w:rsid w:val="00727E00"/>
    <w:rsid w:val="0073789C"/>
    <w:rsid w:val="00754165"/>
    <w:rsid w:val="007A1F3B"/>
    <w:rsid w:val="007B2164"/>
    <w:rsid w:val="007E1841"/>
    <w:rsid w:val="00844CDD"/>
    <w:rsid w:val="0087319B"/>
    <w:rsid w:val="008969E2"/>
    <w:rsid w:val="0093346E"/>
    <w:rsid w:val="00987E63"/>
    <w:rsid w:val="009A5D5F"/>
    <w:rsid w:val="009E7113"/>
    <w:rsid w:val="009F1A0D"/>
    <w:rsid w:val="009F3C5C"/>
    <w:rsid w:val="00A00628"/>
    <w:rsid w:val="00A1378A"/>
    <w:rsid w:val="00A25C51"/>
    <w:rsid w:val="00A26D85"/>
    <w:rsid w:val="00A33552"/>
    <w:rsid w:val="00AE69A6"/>
    <w:rsid w:val="00AF72BF"/>
    <w:rsid w:val="00B03931"/>
    <w:rsid w:val="00B10D2B"/>
    <w:rsid w:val="00B53214"/>
    <w:rsid w:val="00B53270"/>
    <w:rsid w:val="00B80F02"/>
    <w:rsid w:val="00B931C4"/>
    <w:rsid w:val="00B933DC"/>
    <w:rsid w:val="00C819C8"/>
    <w:rsid w:val="00C87E99"/>
    <w:rsid w:val="00CD22F8"/>
    <w:rsid w:val="00D81529"/>
    <w:rsid w:val="00DA38F3"/>
    <w:rsid w:val="00DE0F23"/>
    <w:rsid w:val="00DE4A60"/>
    <w:rsid w:val="00E11AC2"/>
    <w:rsid w:val="00E22595"/>
    <w:rsid w:val="00E24461"/>
    <w:rsid w:val="00E40D43"/>
    <w:rsid w:val="00E7522F"/>
    <w:rsid w:val="00E96B09"/>
    <w:rsid w:val="00EA6C80"/>
    <w:rsid w:val="00EC1FEF"/>
    <w:rsid w:val="00ED0BC3"/>
    <w:rsid w:val="00EF4DC8"/>
    <w:rsid w:val="00F9668D"/>
    <w:rsid w:val="00FA55E9"/>
    <w:rsid w:val="00FB25EC"/>
    <w:rsid w:val="00FE690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0A99E"/>
  <w15:chartTrackingRefBased/>
  <w15:docId w15:val="{3AED6DA8-EEE1-4803-B274-58D17B7E5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0E2"/>
    <w:pPr>
      <w:jc w:val="both"/>
    </w:pPr>
    <w:rPr>
      <w:rFonts w:ascii="Times New Roman" w:hAnsi="Times New Roman" w:cs="Vrinda"/>
      <w:sz w:val="24"/>
      <w:lang w:val="en-GB"/>
    </w:rPr>
  </w:style>
  <w:style w:type="paragraph" w:styleId="Heading1">
    <w:name w:val="heading 1"/>
    <w:basedOn w:val="Normal"/>
    <w:next w:val="Normal"/>
    <w:link w:val="Heading1Char"/>
    <w:uiPriority w:val="9"/>
    <w:qFormat/>
    <w:rsid w:val="004C2F60"/>
    <w:pPr>
      <w:keepNext/>
      <w:keepLines/>
      <w:spacing w:before="240" w:after="0" w:line="360" w:lineRule="auto"/>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3440E2"/>
    <w:pPr>
      <w:keepNext/>
      <w:keepLines/>
      <w:spacing w:before="160" w:after="120" w:line="360" w:lineRule="auto"/>
      <w:outlineLvl w:val="1"/>
    </w:pPr>
    <w:rPr>
      <w:rFonts w:eastAsiaTheme="majorEastAsia" w:cstheme="majorBidi"/>
      <w:b/>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31C4"/>
    <w:pPr>
      <w:ind w:left="720"/>
      <w:contextualSpacing/>
    </w:pPr>
  </w:style>
  <w:style w:type="character" w:customStyle="1" w:styleId="Heading1Char">
    <w:name w:val="Heading 1 Char"/>
    <w:basedOn w:val="DefaultParagraphFont"/>
    <w:link w:val="Heading1"/>
    <w:uiPriority w:val="9"/>
    <w:rsid w:val="004C2F60"/>
    <w:rPr>
      <w:rFonts w:ascii="Times New Roman" w:eastAsiaTheme="majorEastAsia" w:hAnsi="Times New Roman" w:cstheme="majorBidi"/>
      <w:b/>
      <w:sz w:val="24"/>
      <w:szCs w:val="40"/>
      <w:lang w:val="en-GB"/>
    </w:rPr>
  </w:style>
  <w:style w:type="character" w:customStyle="1" w:styleId="Heading2Char">
    <w:name w:val="Heading 2 Char"/>
    <w:basedOn w:val="DefaultParagraphFont"/>
    <w:link w:val="Heading2"/>
    <w:uiPriority w:val="9"/>
    <w:rsid w:val="003440E2"/>
    <w:rPr>
      <w:rFonts w:ascii="Times New Roman" w:eastAsiaTheme="majorEastAsia" w:hAnsi="Times New Roman" w:cstheme="majorBidi"/>
      <w:b/>
      <w:sz w:val="24"/>
      <w:szCs w:val="33"/>
      <w:lang w:val="en-GB"/>
    </w:rPr>
  </w:style>
  <w:style w:type="paragraph" w:styleId="TOCHeading">
    <w:name w:val="TOC Heading"/>
    <w:basedOn w:val="Heading1"/>
    <w:next w:val="Normal"/>
    <w:uiPriority w:val="39"/>
    <w:unhideWhenUsed/>
    <w:qFormat/>
    <w:rsid w:val="004C2F60"/>
    <w:pPr>
      <w:spacing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4C2F60"/>
    <w:pPr>
      <w:spacing w:after="100"/>
    </w:pPr>
  </w:style>
  <w:style w:type="paragraph" w:styleId="TOC2">
    <w:name w:val="toc 2"/>
    <w:basedOn w:val="Normal"/>
    <w:next w:val="Normal"/>
    <w:autoRedefine/>
    <w:uiPriority w:val="39"/>
    <w:unhideWhenUsed/>
    <w:rsid w:val="004C2F60"/>
    <w:pPr>
      <w:spacing w:after="100"/>
      <w:ind w:left="220"/>
    </w:pPr>
  </w:style>
  <w:style w:type="character" w:styleId="Hyperlink">
    <w:name w:val="Hyperlink"/>
    <w:basedOn w:val="DefaultParagraphFont"/>
    <w:uiPriority w:val="99"/>
    <w:unhideWhenUsed/>
    <w:rsid w:val="004C2F60"/>
    <w:rPr>
      <w:color w:val="0563C1" w:themeColor="hyperlink"/>
      <w:u w:val="single"/>
    </w:rPr>
  </w:style>
  <w:style w:type="paragraph" w:styleId="NormalWeb">
    <w:name w:val="Normal (Web)"/>
    <w:basedOn w:val="Normal"/>
    <w:uiPriority w:val="99"/>
    <w:unhideWhenUsed/>
    <w:rsid w:val="00E11AC2"/>
    <w:pPr>
      <w:spacing w:before="100" w:beforeAutospacing="1" w:after="100" w:afterAutospacing="1" w:line="240" w:lineRule="auto"/>
    </w:pPr>
    <w:rPr>
      <w:rFonts w:eastAsia="Times New Roman" w:cs="Times New Roman"/>
      <w:kern w:val="0"/>
      <w:szCs w:val="24"/>
      <w:lang w:val="en-IN" w:eastAsia="en-IN"/>
      <w14:ligatures w14:val="none"/>
    </w:rPr>
  </w:style>
  <w:style w:type="table" w:styleId="TableGrid">
    <w:name w:val="Table Grid"/>
    <w:basedOn w:val="TableNormal"/>
    <w:uiPriority w:val="39"/>
    <w:rsid w:val="003516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257411">
      <w:bodyDiv w:val="1"/>
      <w:marLeft w:val="0"/>
      <w:marRight w:val="0"/>
      <w:marTop w:val="0"/>
      <w:marBottom w:val="0"/>
      <w:divBdr>
        <w:top w:val="none" w:sz="0" w:space="0" w:color="auto"/>
        <w:left w:val="none" w:sz="0" w:space="0" w:color="auto"/>
        <w:bottom w:val="none" w:sz="0" w:space="0" w:color="auto"/>
        <w:right w:val="none" w:sz="0" w:space="0" w:color="auto"/>
      </w:divBdr>
    </w:div>
    <w:div w:id="721904762">
      <w:bodyDiv w:val="1"/>
      <w:marLeft w:val="0"/>
      <w:marRight w:val="0"/>
      <w:marTop w:val="0"/>
      <w:marBottom w:val="0"/>
      <w:divBdr>
        <w:top w:val="none" w:sz="0" w:space="0" w:color="auto"/>
        <w:left w:val="none" w:sz="0" w:space="0" w:color="auto"/>
        <w:bottom w:val="none" w:sz="0" w:space="0" w:color="auto"/>
        <w:right w:val="none" w:sz="0" w:space="0" w:color="auto"/>
      </w:divBdr>
    </w:div>
    <w:div w:id="846675484">
      <w:bodyDiv w:val="1"/>
      <w:marLeft w:val="0"/>
      <w:marRight w:val="0"/>
      <w:marTop w:val="0"/>
      <w:marBottom w:val="0"/>
      <w:divBdr>
        <w:top w:val="none" w:sz="0" w:space="0" w:color="auto"/>
        <w:left w:val="none" w:sz="0" w:space="0" w:color="auto"/>
        <w:bottom w:val="none" w:sz="0" w:space="0" w:color="auto"/>
        <w:right w:val="none" w:sz="0" w:space="0" w:color="auto"/>
      </w:divBdr>
    </w:div>
    <w:div w:id="1656494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DF93C6-5A97-4B8D-9FEA-97CB270B3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54</Pages>
  <Words>16957</Words>
  <Characters>96655</Characters>
  <Application>Microsoft Office Word</Application>
  <DocSecurity>0</DocSecurity>
  <Lines>805</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abhisekmaity26@gmail.com</dc:creator>
  <cp:keywords/>
  <dc:description/>
  <cp:lastModifiedBy>Sai Durga Polasi</cp:lastModifiedBy>
  <cp:revision>2</cp:revision>
  <dcterms:created xsi:type="dcterms:W3CDTF">2023-10-09T12:11:00Z</dcterms:created>
  <dcterms:modified xsi:type="dcterms:W3CDTF">2023-10-09T12:11:00Z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41f310dcfd460010aca7b7abfa32b1801c43c993718021f34388ab00b155dcba</vt:lpwstr>
  </property>
</Properties>
</file>