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rsidR="00ED39BA" w:rsidP="004C23DC" w:rsidRDefault="00ED39BA" w14:paraId="5D430A37" w14:textId="61F0FE05">
      <w:pPr>
        <w:spacing w:line="360" w:lineRule="auto"/>
        <w:jc w:val="center"/>
        <w:rPr>
          <w:rFonts w:ascii="Arial" w:hAnsi="Arial" w:cs="Arial"/>
          <w:sz w:val="40"/>
          <w:szCs w:val="40"/>
        </w:rPr>
      </w:pPr>
    </w:p>
    <w:p w:rsidR="005876A4" w:rsidP="004C23DC" w:rsidRDefault="005876A4" w14:paraId="65D9C44D" w14:textId="6E4CB28F">
      <w:pPr>
        <w:spacing w:line="360" w:lineRule="auto"/>
        <w:rPr>
          <w:rFonts w:ascii="Arial" w:hAnsi="Arial" w:cs="Arial"/>
          <w:sz w:val="40"/>
          <w:szCs w:val="40"/>
        </w:rPr>
      </w:pPr>
    </w:p>
    <w:p w:rsidRPr="005876A4" w:rsidR="005876A4" w:rsidP="004C23DC" w:rsidRDefault="005876A4" w14:paraId="0F6B0A11" w14:textId="77777777">
      <w:pPr>
        <w:spacing w:line="360" w:lineRule="auto"/>
        <w:jc w:val="center"/>
        <w:rPr>
          <w:rFonts w:ascii="Arial" w:hAnsi="Arial" w:cs="Arial"/>
          <w:i/>
          <w:iCs/>
          <w:sz w:val="40"/>
          <w:szCs w:val="40"/>
        </w:rPr>
      </w:pPr>
    </w:p>
    <w:p w:rsidRPr="00A41992" w:rsidR="005876A4" w:rsidP="004C23DC" w:rsidRDefault="00A15B9F" w14:paraId="19BDD6A4" w14:textId="3CF1A37F">
      <w:pPr>
        <w:spacing w:line="360" w:lineRule="auto"/>
        <w:jc w:val="center"/>
        <w:rPr>
          <w:rFonts w:ascii="Arial" w:hAnsi="Arial" w:cs="Arial"/>
          <w:b/>
          <w:bCs/>
          <w:i/>
          <w:iCs/>
          <w:sz w:val="52"/>
          <w:szCs w:val="52"/>
        </w:rPr>
      </w:pPr>
      <w:r w:rsidRPr="00A41992">
        <w:rPr>
          <w:rFonts w:ascii="Arial" w:hAnsi="Arial" w:cs="Arial"/>
          <w:b/>
          <w:bCs/>
          <w:i/>
          <w:iCs/>
          <w:sz w:val="52"/>
          <w:szCs w:val="52"/>
        </w:rPr>
        <w:t>P</w:t>
      </w:r>
      <w:r w:rsidRPr="00A41992" w:rsidR="005876A4">
        <w:rPr>
          <w:rFonts w:ascii="Arial" w:hAnsi="Arial" w:cs="Arial"/>
          <w:b/>
          <w:bCs/>
          <w:i/>
          <w:iCs/>
          <w:sz w:val="52"/>
          <w:szCs w:val="52"/>
        </w:rPr>
        <w:t>rinciples</w:t>
      </w:r>
      <w:r w:rsidRPr="00A41992" w:rsidR="00ED39BA">
        <w:rPr>
          <w:rFonts w:ascii="Arial" w:hAnsi="Arial" w:cs="Arial"/>
          <w:b/>
          <w:bCs/>
          <w:i/>
          <w:iCs/>
          <w:sz w:val="52"/>
          <w:szCs w:val="52"/>
        </w:rPr>
        <w:t xml:space="preserve"> of Psychological Theories to Support aged 65 and over Adults with Dementia in Residential Car</w:t>
      </w:r>
      <w:r w:rsidRPr="00A41992" w:rsidR="00B56C95">
        <w:rPr>
          <w:rFonts w:ascii="Arial" w:hAnsi="Arial" w:cs="Arial"/>
          <w:b/>
          <w:bCs/>
          <w:i/>
          <w:iCs/>
          <w:sz w:val="52"/>
          <w:szCs w:val="52"/>
        </w:rPr>
        <w:t>e</w:t>
      </w:r>
    </w:p>
    <w:p w:rsidR="005876A4" w:rsidP="004C23DC" w:rsidRDefault="005876A4" w14:paraId="096AC207" w14:textId="5FA22B1B">
      <w:pPr>
        <w:spacing w:line="360" w:lineRule="auto"/>
        <w:jc w:val="center"/>
        <w:rPr>
          <w:rFonts w:ascii="Arial" w:hAnsi="Arial" w:cs="Arial"/>
          <w:sz w:val="40"/>
          <w:szCs w:val="40"/>
        </w:rPr>
      </w:pPr>
    </w:p>
    <w:p w:rsidRPr="007107C0" w:rsidR="007107C0" w:rsidP="007107C0" w:rsidRDefault="007107C0" w14:paraId="156F92CE" w14:noSpellErr="1" w14:textId="4E7D0AD3">
      <w:pPr>
        <w:spacing w:line="360" w:lineRule="auto"/>
        <w:jc w:val="center"/>
        <w:rPr>
          <w:rFonts w:ascii="Arial" w:hAnsi="Arial" w:cs="Arial"/>
          <w:sz w:val="40"/>
          <w:szCs w:val="40"/>
        </w:rPr>
      </w:pPr>
      <w:r w:rsidRPr="44A6C338" w:rsidR="007107C0">
        <w:rPr>
          <w:rFonts w:ascii="Arial" w:hAnsi="Arial" w:cs="Arial"/>
          <w:sz w:val="40"/>
          <w:szCs w:val="40"/>
        </w:rPr>
        <w:t>Module Code</w:t>
      </w:r>
      <w:r w:rsidRPr="44A6C338" w:rsidR="54331B50">
        <w:rPr>
          <w:rFonts w:ascii="Arial" w:hAnsi="Arial" w:cs="Arial"/>
          <w:sz w:val="40"/>
          <w:szCs w:val="40"/>
        </w:rPr>
        <w:t>: LCHS4010</w:t>
      </w:r>
    </w:p>
    <w:p w:rsidR="005876A4" w:rsidP="004C23DC" w:rsidRDefault="005876A4" w14:paraId="6B5C9D39" w14:textId="5B087B8E">
      <w:pPr>
        <w:spacing w:line="360" w:lineRule="auto"/>
        <w:jc w:val="center"/>
        <w:rPr>
          <w:rFonts w:ascii="Arial" w:hAnsi="Arial" w:cs="Arial"/>
          <w:sz w:val="40"/>
          <w:szCs w:val="40"/>
        </w:rPr>
      </w:pPr>
    </w:p>
    <w:p w:rsidRPr="005876A4" w:rsidR="005876A4" w:rsidP="004C23DC" w:rsidRDefault="005876A4" w14:paraId="224591A4" w14:textId="77777777">
      <w:pPr>
        <w:spacing w:line="360" w:lineRule="auto"/>
        <w:jc w:val="center"/>
        <w:rPr>
          <w:rFonts w:ascii="Arial" w:hAnsi="Arial" w:cs="Arial"/>
          <w:sz w:val="40"/>
          <w:szCs w:val="40"/>
        </w:rPr>
      </w:pPr>
    </w:p>
    <w:p w:rsidRPr="005876A4" w:rsidR="00ED39BA" w:rsidP="004C23DC" w:rsidRDefault="00ED39BA" w14:paraId="6472AB97" w14:noSpellErr="1" w14:textId="4E4A1C49">
      <w:pPr>
        <w:spacing w:line="360" w:lineRule="auto"/>
        <w:jc w:val="center"/>
        <w:rPr>
          <w:rFonts w:ascii="Arial" w:hAnsi="Arial" w:cs="Arial"/>
          <w:sz w:val="40"/>
          <w:szCs w:val="40"/>
        </w:rPr>
      </w:pPr>
      <w:r w:rsidRPr="44A6C338" w:rsidR="54331B50">
        <w:rPr>
          <w:rFonts w:ascii="Arial" w:hAnsi="Arial" w:cs="Arial"/>
          <w:sz w:val="40"/>
          <w:szCs w:val="40"/>
        </w:rPr>
        <w:t xml:space="preserve">Name: </w:t>
      </w:r>
      <w:r w:rsidRPr="44A6C338" w:rsidR="00ED39BA">
        <w:rPr>
          <w:rFonts w:ascii="Arial" w:hAnsi="Arial" w:cs="Arial"/>
          <w:sz w:val="40"/>
          <w:szCs w:val="40"/>
        </w:rPr>
        <w:t>Ruk</w:t>
      </w:r>
      <w:r w:rsidRPr="44A6C338" w:rsidR="5380654C">
        <w:rPr>
          <w:rFonts w:ascii="Arial" w:hAnsi="Arial" w:cs="Arial"/>
          <w:sz w:val="40"/>
          <w:szCs w:val="40"/>
        </w:rPr>
        <w:t xml:space="preserve">eiya </w:t>
      </w:r>
      <w:r w:rsidRPr="44A6C338" w:rsidR="00ED39BA">
        <w:rPr>
          <w:rFonts w:ascii="Arial" w:hAnsi="Arial" w:cs="Arial"/>
          <w:sz w:val="40"/>
          <w:szCs w:val="40"/>
        </w:rPr>
        <w:t>Saleem</w:t>
      </w:r>
    </w:p>
    <w:p w:rsidRPr="005876A4" w:rsidR="00ED39BA" w:rsidP="004C23DC" w:rsidRDefault="00ED39BA" w14:paraId="45372A6F" w14:textId="4972B2E1">
      <w:pPr>
        <w:spacing w:line="360" w:lineRule="auto"/>
        <w:jc w:val="center"/>
        <w:rPr>
          <w:rFonts w:ascii="Arial" w:hAnsi="Arial" w:cs="Arial"/>
          <w:sz w:val="40"/>
          <w:szCs w:val="40"/>
        </w:rPr>
      </w:pPr>
    </w:p>
    <w:p w:rsidRPr="005876A4" w:rsidR="00ED39BA" w:rsidP="004C23DC" w:rsidRDefault="00ED39BA" w14:paraId="1BA42C3C" w14:textId="77777777">
      <w:pPr>
        <w:spacing w:line="360" w:lineRule="auto"/>
        <w:jc w:val="center"/>
        <w:rPr>
          <w:rFonts w:ascii="Arial" w:hAnsi="Arial" w:cs="Arial"/>
          <w:sz w:val="40"/>
          <w:szCs w:val="40"/>
        </w:rPr>
      </w:pPr>
    </w:p>
    <w:p w:rsidRPr="005876A4" w:rsidR="00ED39BA" w:rsidP="004C23DC" w:rsidRDefault="00ED39BA" w14:paraId="0441C960" w14:noSpellErr="1" w14:textId="58D1236C">
      <w:pPr>
        <w:spacing w:line="360" w:lineRule="auto"/>
        <w:jc w:val="center"/>
        <w:rPr>
          <w:rFonts w:ascii="Arial" w:hAnsi="Arial" w:cs="Arial"/>
          <w:sz w:val="40"/>
          <w:szCs w:val="40"/>
        </w:rPr>
      </w:pPr>
      <w:r w:rsidRPr="44A6C338" w:rsidR="00ED39BA">
        <w:rPr>
          <w:rFonts w:ascii="Arial" w:hAnsi="Arial" w:cs="Arial"/>
          <w:sz w:val="40"/>
          <w:szCs w:val="40"/>
        </w:rPr>
        <w:t>Student Number</w:t>
      </w:r>
      <w:r w:rsidRPr="44A6C338" w:rsidR="005876A4">
        <w:rPr>
          <w:rFonts w:ascii="Arial" w:hAnsi="Arial" w:cs="Arial"/>
          <w:sz w:val="40"/>
          <w:szCs w:val="40"/>
        </w:rPr>
        <w:t xml:space="preserve">: </w:t>
      </w:r>
      <w:r w:rsidRPr="44A6C338" w:rsidR="5C56BD87">
        <w:rPr>
          <w:rFonts w:ascii="Arial" w:hAnsi="Arial" w:cs="Arial"/>
          <w:sz w:val="40"/>
          <w:szCs w:val="40"/>
        </w:rPr>
        <w:t>2415167</w:t>
      </w:r>
    </w:p>
    <w:p w:rsidRPr="005876A4" w:rsidR="00ED39BA" w:rsidP="004C23DC" w:rsidRDefault="005876A4" w14:paraId="6AD7179A" w14:noSpellErr="1" w14:textId="0CACB408">
      <w:pPr>
        <w:spacing w:line="360" w:lineRule="auto"/>
        <w:jc w:val="center"/>
        <w:rPr>
          <w:rFonts w:ascii="Arial" w:hAnsi="Arial" w:cs="Arial"/>
          <w:sz w:val="40"/>
          <w:szCs w:val="40"/>
        </w:rPr>
      </w:pPr>
      <w:r w:rsidRPr="44A6C338" w:rsidR="005876A4">
        <w:rPr>
          <w:rFonts w:ascii="Arial" w:hAnsi="Arial" w:cs="Arial"/>
          <w:sz w:val="40"/>
          <w:szCs w:val="40"/>
        </w:rPr>
        <w:t>Lecturer</w:t>
      </w:r>
      <w:r w:rsidRPr="44A6C338" w:rsidR="00ED39BA">
        <w:rPr>
          <w:rFonts w:ascii="Arial" w:hAnsi="Arial" w:cs="Arial"/>
          <w:sz w:val="40"/>
          <w:szCs w:val="40"/>
        </w:rPr>
        <w:t xml:space="preserve"> </w:t>
      </w:r>
      <w:r w:rsidRPr="44A6C338" w:rsidR="005876A4">
        <w:rPr>
          <w:rFonts w:ascii="Arial" w:hAnsi="Arial" w:cs="Arial"/>
          <w:sz w:val="40"/>
          <w:szCs w:val="40"/>
        </w:rPr>
        <w:t>Name:</w:t>
      </w:r>
      <w:r w:rsidRPr="44A6C338" w:rsidR="005876A4">
        <w:rPr>
          <w:rFonts w:ascii="Arial" w:hAnsi="Arial" w:cs="Arial"/>
          <w:sz w:val="40"/>
          <w:szCs w:val="40"/>
        </w:rPr>
        <w:t xml:space="preserve"> </w:t>
      </w:r>
      <w:r w:rsidRPr="44A6C338" w:rsidR="540C42AB">
        <w:rPr>
          <w:rFonts w:ascii="Arial" w:hAnsi="Arial" w:cs="Arial"/>
          <w:sz w:val="40"/>
          <w:szCs w:val="40"/>
        </w:rPr>
        <w:t>Helen</w:t>
      </w:r>
      <w:r w:rsidRPr="44A6C338" w:rsidR="09670F40">
        <w:rPr>
          <w:rFonts w:ascii="Arial" w:hAnsi="Arial" w:cs="Arial"/>
          <w:sz w:val="40"/>
          <w:szCs w:val="40"/>
        </w:rPr>
        <w:t xml:space="preserve"> </w:t>
      </w:r>
      <w:r w:rsidRPr="44A6C338" w:rsidR="3870BAAB">
        <w:rPr>
          <w:rFonts w:ascii="Arial" w:hAnsi="Arial" w:cs="Arial"/>
          <w:sz w:val="40"/>
          <w:szCs w:val="40"/>
        </w:rPr>
        <w:t>Parsons</w:t>
      </w:r>
    </w:p>
    <w:p w:rsidRPr="005876A4" w:rsidR="00ED39BA" w:rsidP="004C23DC" w:rsidRDefault="00ED39BA" w14:paraId="58B163D5" w14:noSpellErr="1" w14:textId="287D69AD">
      <w:pPr>
        <w:spacing w:line="360" w:lineRule="auto"/>
        <w:jc w:val="center"/>
        <w:rPr>
          <w:rFonts w:ascii="Arial" w:hAnsi="Arial" w:cs="Arial"/>
          <w:sz w:val="40"/>
          <w:szCs w:val="40"/>
        </w:rPr>
      </w:pPr>
      <w:r w:rsidRPr="44A6C338" w:rsidR="00ED39BA">
        <w:rPr>
          <w:rFonts w:ascii="Arial" w:hAnsi="Arial" w:cs="Arial"/>
          <w:sz w:val="40"/>
          <w:szCs w:val="40"/>
        </w:rPr>
        <w:t xml:space="preserve">Date of </w:t>
      </w:r>
      <w:r w:rsidRPr="44A6C338" w:rsidR="005876A4">
        <w:rPr>
          <w:rFonts w:ascii="Arial" w:hAnsi="Arial" w:cs="Arial"/>
          <w:sz w:val="40"/>
          <w:szCs w:val="40"/>
        </w:rPr>
        <w:t>Submission:</w:t>
      </w:r>
      <w:r w:rsidRPr="44A6C338" w:rsidR="005876A4">
        <w:rPr>
          <w:rFonts w:ascii="Arial" w:hAnsi="Arial" w:cs="Arial"/>
          <w:sz w:val="40"/>
          <w:szCs w:val="40"/>
        </w:rPr>
        <w:t xml:space="preserve"> </w:t>
      </w:r>
      <w:r w:rsidRPr="44A6C338" w:rsidR="2CF3E564">
        <w:rPr>
          <w:rFonts w:ascii="Arial" w:hAnsi="Arial" w:cs="Arial"/>
          <w:sz w:val="40"/>
          <w:szCs w:val="40"/>
        </w:rPr>
        <w:t>18/11/25</w:t>
      </w:r>
    </w:p>
    <w:p w:rsidR="00ED39BA" w:rsidP="004C23DC" w:rsidRDefault="00ED39BA" w14:paraId="50452CD1" w14:textId="71800631">
      <w:pPr>
        <w:spacing w:line="360" w:lineRule="auto"/>
        <w:rPr>
          <w:rFonts w:ascii="Arial" w:hAnsi="Arial" w:cs="Arial"/>
          <w:sz w:val="22"/>
          <w:szCs w:val="22"/>
        </w:rPr>
      </w:pPr>
    </w:p>
    <w:p w:rsidR="00B56C95" w:rsidP="004C23DC" w:rsidRDefault="00B56C95" w14:paraId="0D56DF55" w14:textId="77777777">
      <w:pPr>
        <w:spacing w:line="360" w:lineRule="auto"/>
        <w:rPr>
          <w:rFonts w:ascii="Arial" w:hAnsi="Arial" w:cs="Arial"/>
          <w:sz w:val="22"/>
          <w:szCs w:val="22"/>
        </w:rPr>
      </w:pPr>
    </w:p>
    <w:p w:rsidR="004C23DC" w:rsidP="004C23DC" w:rsidRDefault="004C23DC" w14:paraId="6F8D3150" w14:textId="77777777">
      <w:pPr>
        <w:spacing w:line="360" w:lineRule="auto"/>
        <w:rPr>
          <w:rFonts w:ascii="Arial" w:hAnsi="Arial" w:cs="Arial"/>
          <w:b/>
          <w:bCs/>
          <w:sz w:val="22"/>
          <w:szCs w:val="22"/>
          <w:u w:val="single"/>
        </w:rPr>
      </w:pPr>
    </w:p>
    <w:p w:rsidR="004C23DC" w:rsidP="004C23DC" w:rsidRDefault="004C23DC" w14:paraId="0B4B5E3F" w14:textId="77777777">
      <w:pPr>
        <w:spacing w:line="360" w:lineRule="auto"/>
        <w:rPr>
          <w:rFonts w:ascii="Arial" w:hAnsi="Arial" w:cs="Arial"/>
          <w:b/>
          <w:bCs/>
          <w:sz w:val="22"/>
          <w:szCs w:val="22"/>
          <w:u w:val="single"/>
        </w:rPr>
      </w:pPr>
    </w:p>
    <w:p w:rsidR="004C23DC" w:rsidP="004C23DC" w:rsidRDefault="004C23DC" w14:paraId="6024C28D" w14:textId="77777777">
      <w:pPr>
        <w:spacing w:line="360" w:lineRule="auto"/>
        <w:rPr>
          <w:rFonts w:ascii="Arial" w:hAnsi="Arial" w:cs="Arial"/>
          <w:b/>
          <w:bCs/>
          <w:sz w:val="22"/>
          <w:szCs w:val="22"/>
          <w:u w:val="single"/>
        </w:rPr>
      </w:pPr>
    </w:p>
    <w:p w:rsidRPr="005876A4" w:rsidR="00ED39BA" w:rsidP="004C23DC" w:rsidRDefault="00ED39BA" w14:paraId="3D35866C" w14:textId="656B4AE3">
      <w:pPr>
        <w:spacing w:line="360" w:lineRule="auto"/>
        <w:rPr>
          <w:rFonts w:ascii="Arial" w:hAnsi="Arial" w:cs="Arial"/>
          <w:b/>
          <w:bCs/>
          <w:sz w:val="22"/>
          <w:szCs w:val="22"/>
          <w:u w:val="single"/>
        </w:rPr>
      </w:pPr>
      <w:r w:rsidRPr="005876A4">
        <w:rPr>
          <w:rFonts w:ascii="Arial" w:hAnsi="Arial" w:cs="Arial"/>
          <w:b/>
          <w:bCs/>
          <w:sz w:val="22"/>
          <w:szCs w:val="22"/>
          <w:u w:val="single"/>
        </w:rPr>
        <w:t>Table of Contents</w:t>
      </w:r>
    </w:p>
    <w:p w:rsidRPr="005876A4" w:rsidR="005876A4" w:rsidP="004C23DC" w:rsidRDefault="005876A4" w14:paraId="3308DE5F" w14:textId="7647AA11">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5"/>
        <w:gridCol w:w="4505"/>
      </w:tblGrid>
      <w:tr w:rsidRPr="005876A4" w:rsidR="005876A4" w:rsidTr="005876A4" w14:paraId="521A2D16" w14:textId="77777777">
        <w:tc>
          <w:tcPr>
            <w:tcW w:w="4505" w:type="dxa"/>
          </w:tcPr>
          <w:p w:rsidRPr="005876A4" w:rsidR="005876A4" w:rsidP="004C23DC" w:rsidRDefault="005876A4" w14:paraId="0A532FF1" w14:textId="77777777">
            <w:pPr>
              <w:spacing w:line="360" w:lineRule="auto"/>
              <w:rPr>
                <w:rFonts w:ascii="Arial" w:hAnsi="Arial" w:cs="Arial"/>
                <w:sz w:val="22"/>
                <w:szCs w:val="22"/>
              </w:rPr>
            </w:pPr>
            <w:r w:rsidRPr="005876A4">
              <w:rPr>
                <w:rFonts w:ascii="Arial" w:hAnsi="Arial" w:cs="Arial"/>
                <w:sz w:val="22"/>
                <w:szCs w:val="22"/>
              </w:rPr>
              <w:t xml:space="preserve">Introduction </w:t>
            </w:r>
          </w:p>
          <w:p w:rsidRPr="005876A4" w:rsidR="005876A4" w:rsidP="004C23DC" w:rsidRDefault="005876A4" w14:paraId="073FD2C5" w14:textId="77777777">
            <w:pPr>
              <w:spacing w:line="360" w:lineRule="auto"/>
              <w:rPr>
                <w:rFonts w:ascii="Arial" w:hAnsi="Arial" w:cs="Arial"/>
                <w:sz w:val="22"/>
                <w:szCs w:val="22"/>
              </w:rPr>
            </w:pPr>
          </w:p>
          <w:p w:rsidRPr="005876A4" w:rsidR="005876A4" w:rsidP="004C23DC" w:rsidRDefault="005876A4" w14:paraId="412CD7EC" w14:textId="7FC6C350">
            <w:pPr>
              <w:spacing w:line="360" w:lineRule="auto"/>
              <w:rPr>
                <w:rFonts w:ascii="Arial" w:hAnsi="Arial" w:cs="Arial"/>
                <w:sz w:val="22"/>
                <w:szCs w:val="22"/>
              </w:rPr>
            </w:pPr>
          </w:p>
        </w:tc>
        <w:tc>
          <w:tcPr>
            <w:tcW w:w="4505" w:type="dxa"/>
          </w:tcPr>
          <w:p w:rsidRPr="005876A4" w:rsidR="005876A4" w:rsidP="004C23DC" w:rsidRDefault="005876A4" w14:paraId="7064478F" w14:textId="3DF9B693">
            <w:pPr>
              <w:spacing w:line="360" w:lineRule="auto"/>
              <w:jc w:val="right"/>
              <w:rPr>
                <w:rFonts w:ascii="Arial" w:hAnsi="Arial" w:cs="Arial"/>
                <w:sz w:val="22"/>
                <w:szCs w:val="22"/>
              </w:rPr>
            </w:pPr>
            <w:r w:rsidRPr="005876A4">
              <w:rPr>
                <w:rFonts w:ascii="Arial" w:hAnsi="Arial" w:cs="Arial"/>
                <w:sz w:val="22"/>
                <w:szCs w:val="22"/>
              </w:rPr>
              <w:t>3</w:t>
            </w:r>
          </w:p>
        </w:tc>
      </w:tr>
      <w:tr w:rsidRPr="005876A4" w:rsidR="005876A4" w:rsidTr="005876A4" w14:paraId="260A3480" w14:textId="77777777">
        <w:tc>
          <w:tcPr>
            <w:tcW w:w="4505" w:type="dxa"/>
          </w:tcPr>
          <w:p w:rsidRPr="005876A4" w:rsidR="005876A4" w:rsidP="004C23DC" w:rsidRDefault="005876A4" w14:paraId="39965E1E" w14:textId="77777777">
            <w:pPr>
              <w:spacing w:line="360" w:lineRule="auto"/>
              <w:rPr>
                <w:rFonts w:ascii="Arial" w:hAnsi="Arial" w:cs="Arial"/>
                <w:i/>
                <w:iCs/>
                <w:sz w:val="22"/>
                <w:szCs w:val="22"/>
              </w:rPr>
            </w:pPr>
            <w:r w:rsidRPr="005876A4">
              <w:rPr>
                <w:rFonts w:ascii="Arial" w:hAnsi="Arial" w:cs="Arial"/>
                <w:sz w:val="22"/>
                <w:szCs w:val="22"/>
              </w:rPr>
              <w:t xml:space="preserve">Theory 1: Erikson’s </w:t>
            </w:r>
            <w:r w:rsidRPr="005876A4">
              <w:rPr>
                <w:rFonts w:ascii="Arial" w:hAnsi="Arial" w:cs="Arial"/>
                <w:i/>
                <w:iCs/>
                <w:sz w:val="22"/>
                <w:szCs w:val="22"/>
              </w:rPr>
              <w:t>Ego Integrity Versus Despair’</w:t>
            </w:r>
          </w:p>
          <w:p w:rsidRPr="005876A4" w:rsidR="005876A4" w:rsidP="004C23DC" w:rsidRDefault="005876A4" w14:paraId="514093CF" w14:textId="667BE1E8">
            <w:pPr>
              <w:spacing w:line="360" w:lineRule="auto"/>
              <w:rPr>
                <w:rFonts w:ascii="Arial" w:hAnsi="Arial" w:cs="Arial"/>
                <w:sz w:val="22"/>
                <w:szCs w:val="22"/>
              </w:rPr>
            </w:pPr>
          </w:p>
        </w:tc>
        <w:tc>
          <w:tcPr>
            <w:tcW w:w="4505" w:type="dxa"/>
          </w:tcPr>
          <w:p w:rsidRPr="005876A4" w:rsidR="005876A4" w:rsidP="004C23DC" w:rsidRDefault="005876A4" w14:paraId="35735ED7" w14:textId="6BEFC470">
            <w:pPr>
              <w:spacing w:line="360" w:lineRule="auto"/>
              <w:jc w:val="right"/>
              <w:rPr>
                <w:rFonts w:ascii="Arial" w:hAnsi="Arial" w:cs="Arial"/>
                <w:sz w:val="22"/>
                <w:szCs w:val="22"/>
              </w:rPr>
            </w:pPr>
            <w:r w:rsidRPr="005876A4">
              <w:rPr>
                <w:rFonts w:ascii="Arial" w:hAnsi="Arial" w:cs="Arial"/>
                <w:sz w:val="22"/>
                <w:szCs w:val="22"/>
              </w:rPr>
              <w:t>3</w:t>
            </w:r>
            <w:r w:rsidR="004C23DC">
              <w:rPr>
                <w:rFonts w:ascii="Arial" w:hAnsi="Arial" w:cs="Arial"/>
                <w:sz w:val="22"/>
                <w:szCs w:val="22"/>
              </w:rPr>
              <w:t>,4</w:t>
            </w:r>
          </w:p>
        </w:tc>
      </w:tr>
      <w:tr w:rsidRPr="005876A4" w:rsidR="005876A4" w:rsidTr="005876A4" w14:paraId="6CD4FA12" w14:textId="77777777">
        <w:tc>
          <w:tcPr>
            <w:tcW w:w="4505" w:type="dxa"/>
          </w:tcPr>
          <w:p w:rsidRPr="005876A4" w:rsidR="005876A4" w:rsidP="004C23DC" w:rsidRDefault="005876A4" w14:paraId="604986D7" w14:textId="5D0601CA">
            <w:pPr>
              <w:spacing w:line="360" w:lineRule="auto"/>
              <w:rPr>
                <w:rFonts w:ascii="Arial" w:hAnsi="Arial" w:cs="Arial"/>
                <w:sz w:val="22"/>
                <w:szCs w:val="22"/>
              </w:rPr>
            </w:pPr>
            <w:r w:rsidRPr="005876A4">
              <w:rPr>
                <w:rFonts w:ascii="Arial" w:hAnsi="Arial" w:cs="Arial"/>
                <w:sz w:val="22"/>
                <w:szCs w:val="22"/>
              </w:rPr>
              <w:t xml:space="preserve">Theory 2: </w:t>
            </w:r>
            <w:r w:rsidRPr="005B739D" w:rsidR="00F11369">
              <w:rPr>
                <w:rFonts w:ascii="Arial" w:hAnsi="Arial" w:cs="Arial"/>
                <w:sz w:val="22"/>
                <w:szCs w:val="22"/>
              </w:rPr>
              <w:t>Piaget and Vygotsky</w:t>
            </w:r>
            <w:r w:rsidR="00F11369">
              <w:rPr>
                <w:rFonts w:ascii="Arial" w:hAnsi="Arial" w:cs="Arial"/>
                <w:sz w:val="22"/>
                <w:szCs w:val="22"/>
              </w:rPr>
              <w:t xml:space="preserve"> </w:t>
            </w:r>
          </w:p>
          <w:p w:rsidRPr="005876A4" w:rsidR="005876A4" w:rsidP="004C23DC" w:rsidRDefault="005876A4" w14:paraId="708CD688" w14:textId="58A580C2">
            <w:pPr>
              <w:spacing w:line="360" w:lineRule="auto"/>
              <w:rPr>
                <w:rFonts w:ascii="Arial" w:hAnsi="Arial" w:cs="Arial"/>
                <w:sz w:val="22"/>
                <w:szCs w:val="22"/>
              </w:rPr>
            </w:pPr>
          </w:p>
        </w:tc>
        <w:tc>
          <w:tcPr>
            <w:tcW w:w="4505" w:type="dxa"/>
          </w:tcPr>
          <w:p w:rsidRPr="005876A4" w:rsidR="005876A4" w:rsidP="004C23DC" w:rsidRDefault="004C23DC" w14:paraId="660F1CE9" w14:textId="2F50CD52">
            <w:pPr>
              <w:spacing w:line="360" w:lineRule="auto"/>
              <w:jc w:val="right"/>
              <w:rPr>
                <w:rFonts w:ascii="Arial" w:hAnsi="Arial" w:cs="Arial"/>
                <w:sz w:val="22"/>
                <w:szCs w:val="22"/>
              </w:rPr>
            </w:pPr>
            <w:r>
              <w:rPr>
                <w:rFonts w:ascii="Arial" w:hAnsi="Arial" w:cs="Arial"/>
                <w:sz w:val="22"/>
                <w:szCs w:val="22"/>
              </w:rPr>
              <w:t>4</w:t>
            </w:r>
          </w:p>
        </w:tc>
      </w:tr>
      <w:tr w:rsidRPr="005876A4" w:rsidR="005876A4" w:rsidTr="005876A4" w14:paraId="7E98A7B7" w14:textId="77777777">
        <w:tc>
          <w:tcPr>
            <w:tcW w:w="4505" w:type="dxa"/>
          </w:tcPr>
          <w:p w:rsidRPr="005876A4" w:rsidR="005876A4" w:rsidP="004C23DC" w:rsidRDefault="005876A4" w14:paraId="27BE43B7" w14:textId="77777777">
            <w:pPr>
              <w:spacing w:line="360" w:lineRule="auto"/>
              <w:rPr>
                <w:rFonts w:ascii="Arial" w:hAnsi="Arial" w:cs="Arial"/>
                <w:sz w:val="22"/>
                <w:szCs w:val="22"/>
              </w:rPr>
            </w:pPr>
            <w:r w:rsidRPr="005876A4">
              <w:rPr>
                <w:rFonts w:ascii="Arial" w:hAnsi="Arial" w:cs="Arial"/>
                <w:sz w:val="22"/>
                <w:szCs w:val="22"/>
              </w:rPr>
              <w:t>Comparison and Critical Evaluation</w:t>
            </w:r>
          </w:p>
          <w:p w:rsidRPr="005876A4" w:rsidR="005876A4" w:rsidP="004C23DC" w:rsidRDefault="005876A4" w14:paraId="3BE70453" w14:textId="77777777">
            <w:pPr>
              <w:spacing w:line="360" w:lineRule="auto"/>
              <w:rPr>
                <w:rFonts w:ascii="Arial" w:hAnsi="Arial" w:cs="Arial"/>
                <w:sz w:val="22"/>
                <w:szCs w:val="22"/>
              </w:rPr>
            </w:pPr>
          </w:p>
          <w:p w:rsidRPr="005876A4" w:rsidR="005876A4" w:rsidP="004C23DC" w:rsidRDefault="005876A4" w14:paraId="418A862A" w14:textId="3685890A">
            <w:pPr>
              <w:spacing w:line="360" w:lineRule="auto"/>
              <w:rPr>
                <w:rFonts w:ascii="Arial" w:hAnsi="Arial" w:cs="Arial"/>
                <w:sz w:val="22"/>
                <w:szCs w:val="22"/>
              </w:rPr>
            </w:pPr>
          </w:p>
        </w:tc>
        <w:tc>
          <w:tcPr>
            <w:tcW w:w="4505" w:type="dxa"/>
          </w:tcPr>
          <w:p w:rsidRPr="005876A4" w:rsidR="005876A4" w:rsidP="004C23DC" w:rsidRDefault="005876A4" w14:paraId="7A49DC62" w14:textId="7A667B45">
            <w:pPr>
              <w:spacing w:line="360" w:lineRule="auto"/>
              <w:jc w:val="right"/>
              <w:rPr>
                <w:rFonts w:ascii="Arial" w:hAnsi="Arial" w:cs="Arial"/>
                <w:sz w:val="22"/>
                <w:szCs w:val="22"/>
              </w:rPr>
            </w:pPr>
            <w:r w:rsidRPr="005876A4">
              <w:rPr>
                <w:rFonts w:ascii="Arial" w:hAnsi="Arial" w:cs="Arial"/>
                <w:sz w:val="22"/>
                <w:szCs w:val="22"/>
              </w:rPr>
              <w:t>4</w:t>
            </w:r>
          </w:p>
        </w:tc>
      </w:tr>
      <w:tr w:rsidRPr="005876A4" w:rsidR="005876A4" w:rsidTr="005876A4" w14:paraId="04A0BA85" w14:textId="77777777">
        <w:tc>
          <w:tcPr>
            <w:tcW w:w="4505" w:type="dxa"/>
          </w:tcPr>
          <w:p w:rsidRPr="005876A4" w:rsidR="005876A4" w:rsidP="004C23DC" w:rsidRDefault="005876A4" w14:paraId="1740DAC8" w14:textId="5C310532">
            <w:pPr>
              <w:spacing w:line="360" w:lineRule="auto"/>
              <w:rPr>
                <w:rFonts w:ascii="Arial" w:hAnsi="Arial" w:cs="Arial"/>
                <w:sz w:val="22"/>
                <w:szCs w:val="22"/>
              </w:rPr>
            </w:pPr>
            <w:r w:rsidRPr="005876A4">
              <w:rPr>
                <w:rFonts w:ascii="Arial" w:hAnsi="Arial" w:cs="Arial"/>
                <w:sz w:val="22"/>
                <w:szCs w:val="22"/>
              </w:rPr>
              <w:t>Application in Dementia Care</w:t>
            </w:r>
          </w:p>
          <w:p w:rsidRPr="005876A4" w:rsidR="005876A4" w:rsidP="004C23DC" w:rsidRDefault="005876A4" w14:paraId="5FA142B4" w14:textId="77777777">
            <w:pPr>
              <w:spacing w:line="360" w:lineRule="auto"/>
              <w:rPr>
                <w:rFonts w:ascii="Arial" w:hAnsi="Arial" w:cs="Arial"/>
                <w:sz w:val="22"/>
                <w:szCs w:val="22"/>
              </w:rPr>
            </w:pPr>
          </w:p>
          <w:p w:rsidRPr="005876A4" w:rsidR="005876A4" w:rsidP="004C23DC" w:rsidRDefault="005876A4" w14:paraId="41670B18" w14:textId="77777777">
            <w:pPr>
              <w:spacing w:line="360" w:lineRule="auto"/>
              <w:rPr>
                <w:rFonts w:ascii="Arial" w:hAnsi="Arial" w:cs="Arial"/>
                <w:sz w:val="22"/>
                <w:szCs w:val="22"/>
              </w:rPr>
            </w:pPr>
          </w:p>
        </w:tc>
        <w:tc>
          <w:tcPr>
            <w:tcW w:w="4505" w:type="dxa"/>
          </w:tcPr>
          <w:p w:rsidRPr="005876A4" w:rsidR="005876A4" w:rsidP="004C23DC" w:rsidRDefault="005876A4" w14:paraId="29217C0D" w14:textId="686D19CE">
            <w:pPr>
              <w:spacing w:line="360" w:lineRule="auto"/>
              <w:jc w:val="right"/>
              <w:rPr>
                <w:rFonts w:ascii="Arial" w:hAnsi="Arial" w:cs="Arial"/>
                <w:sz w:val="22"/>
                <w:szCs w:val="22"/>
              </w:rPr>
            </w:pPr>
            <w:r w:rsidRPr="005876A4">
              <w:rPr>
                <w:rFonts w:ascii="Arial" w:hAnsi="Arial" w:cs="Arial"/>
                <w:sz w:val="22"/>
                <w:szCs w:val="22"/>
              </w:rPr>
              <w:t>4,5</w:t>
            </w:r>
          </w:p>
        </w:tc>
      </w:tr>
      <w:tr w:rsidRPr="005876A4" w:rsidR="005876A4" w:rsidTr="005876A4" w14:paraId="2AA8551B" w14:textId="77777777">
        <w:tc>
          <w:tcPr>
            <w:tcW w:w="4505" w:type="dxa"/>
          </w:tcPr>
          <w:p w:rsidRPr="005876A4" w:rsidR="005876A4" w:rsidP="004C23DC" w:rsidRDefault="005876A4" w14:paraId="1892C90B" w14:textId="77777777">
            <w:pPr>
              <w:spacing w:line="360" w:lineRule="auto"/>
              <w:rPr>
                <w:rFonts w:ascii="Arial" w:hAnsi="Arial" w:cs="Arial"/>
                <w:sz w:val="22"/>
                <w:szCs w:val="22"/>
              </w:rPr>
            </w:pPr>
            <w:r w:rsidRPr="005876A4">
              <w:rPr>
                <w:rFonts w:ascii="Arial" w:hAnsi="Arial" w:cs="Arial"/>
                <w:sz w:val="22"/>
                <w:szCs w:val="22"/>
              </w:rPr>
              <w:t>Challenges and Strategies</w:t>
            </w:r>
          </w:p>
          <w:p w:rsidRPr="005876A4" w:rsidR="005876A4" w:rsidP="004C23DC" w:rsidRDefault="005876A4" w14:paraId="43BA5C28" w14:textId="77777777">
            <w:pPr>
              <w:spacing w:line="360" w:lineRule="auto"/>
              <w:rPr>
                <w:rFonts w:ascii="Arial" w:hAnsi="Arial" w:cs="Arial"/>
                <w:sz w:val="22"/>
                <w:szCs w:val="22"/>
              </w:rPr>
            </w:pPr>
          </w:p>
          <w:p w:rsidRPr="005876A4" w:rsidR="005876A4" w:rsidP="004C23DC" w:rsidRDefault="005876A4" w14:paraId="252031D9" w14:textId="4888D0AD">
            <w:pPr>
              <w:spacing w:line="360" w:lineRule="auto"/>
              <w:rPr>
                <w:rFonts w:ascii="Arial" w:hAnsi="Arial" w:cs="Arial"/>
                <w:sz w:val="22"/>
                <w:szCs w:val="22"/>
              </w:rPr>
            </w:pPr>
          </w:p>
        </w:tc>
        <w:tc>
          <w:tcPr>
            <w:tcW w:w="4505" w:type="dxa"/>
          </w:tcPr>
          <w:p w:rsidRPr="005876A4" w:rsidR="005876A4" w:rsidP="004C23DC" w:rsidRDefault="004C23DC" w14:paraId="5F2507C7" w14:textId="62C9A00E">
            <w:pPr>
              <w:spacing w:line="360" w:lineRule="auto"/>
              <w:jc w:val="right"/>
              <w:rPr>
                <w:rFonts w:ascii="Arial" w:hAnsi="Arial" w:cs="Arial"/>
                <w:sz w:val="22"/>
                <w:szCs w:val="22"/>
              </w:rPr>
            </w:pPr>
            <w:r>
              <w:rPr>
                <w:rFonts w:ascii="Arial" w:hAnsi="Arial" w:cs="Arial"/>
                <w:sz w:val="22"/>
                <w:szCs w:val="22"/>
              </w:rPr>
              <w:t>6,7</w:t>
            </w:r>
          </w:p>
        </w:tc>
      </w:tr>
      <w:tr w:rsidRPr="005876A4" w:rsidR="005876A4" w:rsidTr="005876A4" w14:paraId="46CC305F" w14:textId="77777777">
        <w:tc>
          <w:tcPr>
            <w:tcW w:w="4505" w:type="dxa"/>
          </w:tcPr>
          <w:p w:rsidRPr="005876A4" w:rsidR="005876A4" w:rsidP="004C23DC" w:rsidRDefault="005876A4" w14:paraId="32440D37" w14:textId="5F6E462B">
            <w:pPr>
              <w:spacing w:line="360" w:lineRule="auto"/>
              <w:rPr>
                <w:rFonts w:ascii="Arial" w:hAnsi="Arial" w:cs="Arial"/>
                <w:sz w:val="22"/>
                <w:szCs w:val="22"/>
              </w:rPr>
            </w:pPr>
            <w:r w:rsidRPr="005876A4">
              <w:rPr>
                <w:rFonts w:ascii="Arial" w:hAnsi="Arial" w:cs="Arial"/>
                <w:sz w:val="22"/>
                <w:szCs w:val="22"/>
              </w:rPr>
              <w:t>Conclusion</w:t>
            </w:r>
          </w:p>
          <w:p w:rsidRPr="005876A4" w:rsidR="005876A4" w:rsidP="004C23DC" w:rsidRDefault="005876A4" w14:paraId="2486BF15" w14:textId="77777777">
            <w:pPr>
              <w:spacing w:line="360" w:lineRule="auto"/>
              <w:rPr>
                <w:rFonts w:ascii="Arial" w:hAnsi="Arial" w:cs="Arial"/>
                <w:sz w:val="22"/>
                <w:szCs w:val="22"/>
              </w:rPr>
            </w:pPr>
          </w:p>
          <w:p w:rsidRPr="005876A4" w:rsidR="005876A4" w:rsidP="004C23DC" w:rsidRDefault="005876A4" w14:paraId="16D5B14C" w14:textId="77777777">
            <w:pPr>
              <w:spacing w:line="360" w:lineRule="auto"/>
              <w:rPr>
                <w:rFonts w:ascii="Arial" w:hAnsi="Arial" w:cs="Arial"/>
                <w:sz w:val="22"/>
                <w:szCs w:val="22"/>
              </w:rPr>
            </w:pPr>
          </w:p>
        </w:tc>
        <w:tc>
          <w:tcPr>
            <w:tcW w:w="4505" w:type="dxa"/>
          </w:tcPr>
          <w:p w:rsidRPr="005876A4" w:rsidR="005876A4" w:rsidP="004C23DC" w:rsidRDefault="004C23DC" w14:paraId="1EFF64D6" w14:textId="356F4491">
            <w:pPr>
              <w:spacing w:line="360" w:lineRule="auto"/>
              <w:jc w:val="right"/>
              <w:rPr>
                <w:rFonts w:ascii="Arial" w:hAnsi="Arial" w:cs="Arial"/>
                <w:sz w:val="22"/>
                <w:szCs w:val="22"/>
              </w:rPr>
            </w:pPr>
            <w:r>
              <w:rPr>
                <w:rFonts w:ascii="Arial" w:hAnsi="Arial" w:cs="Arial"/>
                <w:sz w:val="22"/>
                <w:szCs w:val="22"/>
              </w:rPr>
              <w:t>8</w:t>
            </w:r>
          </w:p>
        </w:tc>
      </w:tr>
      <w:tr w:rsidRPr="005876A4" w:rsidR="005876A4" w:rsidTr="005876A4" w14:paraId="1022485A" w14:textId="77777777">
        <w:tc>
          <w:tcPr>
            <w:tcW w:w="4505" w:type="dxa"/>
          </w:tcPr>
          <w:p w:rsidRPr="005876A4" w:rsidR="005876A4" w:rsidP="004C23DC" w:rsidRDefault="005876A4" w14:paraId="7969AF6D" w14:textId="605D4BD7">
            <w:pPr>
              <w:spacing w:line="360" w:lineRule="auto"/>
              <w:rPr>
                <w:rFonts w:ascii="Arial" w:hAnsi="Arial" w:cs="Arial"/>
                <w:sz w:val="22"/>
                <w:szCs w:val="22"/>
              </w:rPr>
            </w:pPr>
            <w:r w:rsidRPr="005876A4">
              <w:rPr>
                <w:rFonts w:ascii="Arial" w:hAnsi="Arial" w:cs="Arial"/>
                <w:sz w:val="22"/>
                <w:szCs w:val="22"/>
              </w:rPr>
              <w:t xml:space="preserve">References </w:t>
            </w:r>
          </w:p>
          <w:p w:rsidRPr="005876A4" w:rsidR="005876A4" w:rsidP="004C23DC" w:rsidRDefault="005876A4" w14:paraId="76334E52" w14:textId="77777777">
            <w:pPr>
              <w:spacing w:line="360" w:lineRule="auto"/>
              <w:rPr>
                <w:rFonts w:ascii="Arial" w:hAnsi="Arial" w:cs="Arial"/>
                <w:sz w:val="22"/>
                <w:szCs w:val="22"/>
              </w:rPr>
            </w:pPr>
          </w:p>
          <w:p w:rsidRPr="005876A4" w:rsidR="005876A4" w:rsidP="004C23DC" w:rsidRDefault="005876A4" w14:paraId="2268830E" w14:textId="77777777">
            <w:pPr>
              <w:spacing w:line="360" w:lineRule="auto"/>
              <w:rPr>
                <w:rFonts w:ascii="Arial" w:hAnsi="Arial" w:cs="Arial"/>
                <w:sz w:val="22"/>
                <w:szCs w:val="22"/>
              </w:rPr>
            </w:pPr>
          </w:p>
        </w:tc>
        <w:tc>
          <w:tcPr>
            <w:tcW w:w="4505" w:type="dxa"/>
          </w:tcPr>
          <w:p w:rsidRPr="005876A4" w:rsidR="005876A4" w:rsidP="004C23DC" w:rsidRDefault="004C23DC" w14:paraId="1E78820F" w14:textId="7B9D0165">
            <w:pPr>
              <w:spacing w:line="360" w:lineRule="auto"/>
              <w:jc w:val="right"/>
              <w:rPr>
                <w:rFonts w:ascii="Arial" w:hAnsi="Arial" w:cs="Arial"/>
                <w:sz w:val="22"/>
                <w:szCs w:val="22"/>
              </w:rPr>
            </w:pPr>
            <w:r>
              <w:rPr>
                <w:rFonts w:ascii="Arial" w:hAnsi="Arial" w:cs="Arial"/>
                <w:sz w:val="22"/>
                <w:szCs w:val="22"/>
              </w:rPr>
              <w:t>8,9,10</w:t>
            </w:r>
          </w:p>
        </w:tc>
      </w:tr>
    </w:tbl>
    <w:p w:rsidRPr="005876A4" w:rsidR="005876A4" w:rsidP="004C23DC" w:rsidRDefault="005876A4" w14:paraId="365439EC" w14:textId="77777777">
      <w:pPr>
        <w:spacing w:line="360" w:lineRule="auto"/>
        <w:rPr>
          <w:rFonts w:ascii="Arial" w:hAnsi="Arial" w:cs="Arial"/>
          <w:sz w:val="22"/>
          <w:szCs w:val="22"/>
        </w:rPr>
      </w:pPr>
    </w:p>
    <w:p w:rsidRPr="004C23DC" w:rsidR="00A15B9F" w:rsidP="004C23DC" w:rsidRDefault="00ED39BA" w14:paraId="07037B15" w14:textId="2A96DB1F">
      <w:pPr>
        <w:spacing w:line="360" w:lineRule="auto"/>
        <w:rPr>
          <w:rFonts w:ascii="Arial" w:hAnsi="Arial" w:cs="Arial"/>
          <w:b/>
          <w:bCs/>
          <w:sz w:val="22"/>
          <w:szCs w:val="22"/>
          <w:u w:val="single"/>
        </w:rPr>
      </w:pPr>
      <w:r w:rsidRPr="005876A4">
        <w:rPr>
          <w:rFonts w:ascii="Arial" w:hAnsi="Arial" w:cs="Arial"/>
          <w:sz w:val="22"/>
          <w:szCs w:val="22"/>
        </w:rPr>
        <w:br w:type="page"/>
      </w:r>
      <w:r w:rsidRPr="004C23DC">
        <w:rPr>
          <w:rFonts w:ascii="Arial" w:hAnsi="Arial" w:cs="Arial"/>
          <w:b/>
          <w:bCs/>
          <w:sz w:val="22"/>
          <w:szCs w:val="22"/>
          <w:u w:val="single"/>
        </w:rPr>
        <w:lastRenderedPageBreak/>
        <w:t>Introduction:</w:t>
      </w:r>
      <w:r w:rsidRPr="004C23DC" w:rsidR="00A15B9F">
        <w:rPr>
          <w:rFonts w:ascii="Arial" w:hAnsi="Arial" w:cs="Arial"/>
          <w:b/>
          <w:bCs/>
          <w:sz w:val="22"/>
          <w:szCs w:val="22"/>
          <w:u w:val="single"/>
        </w:rPr>
        <w:t xml:space="preserve"> </w:t>
      </w:r>
    </w:p>
    <w:p w:rsidRPr="004C23DC" w:rsidR="00B56C95" w:rsidP="004C23DC" w:rsidRDefault="00B56C95" w14:paraId="7861069B" w14:textId="77777777">
      <w:pPr>
        <w:spacing w:line="360" w:lineRule="auto"/>
        <w:rPr>
          <w:rFonts w:ascii="Arial" w:hAnsi="Arial" w:cs="Arial"/>
          <w:b/>
          <w:bCs/>
          <w:sz w:val="22"/>
          <w:szCs w:val="22"/>
          <w:u w:val="single"/>
        </w:rPr>
      </w:pPr>
    </w:p>
    <w:p w:rsidRPr="004C23DC" w:rsidR="00A15B9F" w:rsidP="004C23DC" w:rsidRDefault="00B56C95" w14:paraId="74347324" w14:textId="3D475A0D">
      <w:pPr>
        <w:spacing w:line="360" w:lineRule="auto"/>
        <w:rPr>
          <w:rFonts w:ascii="Arial" w:hAnsi="Arial" w:cs="Arial"/>
          <w:sz w:val="22"/>
          <w:szCs w:val="22"/>
        </w:rPr>
      </w:pPr>
      <w:r w:rsidRPr="004C23DC">
        <w:rPr>
          <w:rFonts w:ascii="Arial" w:hAnsi="Arial" w:cs="Arial"/>
          <w:sz w:val="22"/>
          <w:szCs w:val="22"/>
        </w:rPr>
        <w:t>This report examines Erikson’s Psychosocial Theory, Piaget’s Cognitive Development Theory, and Vygotsky’s Sociocultural Theory, exploring their relevance to adults aged 65 and over in care-home settings. It evaluates how these theories can guide person-centred interventions, support emotional wellbeing, and improve daily functioning. Practical applications such as life story work, scaffolding, and task adaptation are considered, alongside the challenges and ethical considerations associated with cognitive decline, fluctuating abilities, and the need for sensitive, flexible care practices.</w:t>
      </w:r>
    </w:p>
    <w:p w:rsidRPr="004C23DC" w:rsidR="00B56C95" w:rsidP="004C23DC" w:rsidRDefault="00B56C95" w14:paraId="36EFDA4F" w14:textId="77777777">
      <w:pPr>
        <w:spacing w:line="360" w:lineRule="auto"/>
        <w:rPr>
          <w:rFonts w:ascii="Arial" w:hAnsi="Arial" w:cs="Arial"/>
          <w:sz w:val="22"/>
          <w:szCs w:val="22"/>
        </w:rPr>
      </w:pPr>
    </w:p>
    <w:p w:rsidRPr="004C23DC" w:rsidR="00A15B9F" w:rsidP="004C23DC" w:rsidRDefault="00A15B9F" w14:paraId="749BCA6D" w14:textId="0EE6A053">
      <w:pPr>
        <w:spacing w:line="360" w:lineRule="auto"/>
        <w:rPr>
          <w:rFonts w:ascii="Arial" w:hAnsi="Arial" w:cs="Arial"/>
          <w:b/>
          <w:bCs/>
          <w:sz w:val="22"/>
          <w:szCs w:val="22"/>
          <w:u w:val="single"/>
        </w:rPr>
      </w:pPr>
      <w:r w:rsidRPr="004C23DC">
        <w:rPr>
          <w:rFonts w:ascii="Arial" w:hAnsi="Arial" w:cs="Arial"/>
          <w:b/>
          <w:bCs/>
          <w:sz w:val="22"/>
          <w:szCs w:val="22"/>
          <w:u w:val="single"/>
        </w:rPr>
        <w:t>Theory 1</w:t>
      </w:r>
    </w:p>
    <w:p w:rsidRPr="004C23DC" w:rsidR="00A15B9F" w:rsidP="004C23DC" w:rsidRDefault="00A15B9F" w14:paraId="55A3D215" w14:textId="08BF44AD">
      <w:pPr>
        <w:spacing w:line="360" w:lineRule="auto"/>
        <w:rPr>
          <w:rFonts w:ascii="Arial" w:hAnsi="Arial" w:cs="Arial"/>
          <w:sz w:val="22"/>
          <w:szCs w:val="22"/>
        </w:rPr>
      </w:pPr>
    </w:p>
    <w:p w:rsidRPr="004C23DC" w:rsidR="00A15B9F" w:rsidP="004C23DC" w:rsidRDefault="00A15B9F" w14:paraId="6001C1A0" w14:textId="4D55DDBC">
      <w:pPr>
        <w:spacing w:line="360" w:lineRule="auto"/>
        <w:rPr>
          <w:rFonts w:ascii="Arial" w:hAnsi="Arial" w:cs="Arial"/>
          <w:sz w:val="22"/>
          <w:szCs w:val="22"/>
        </w:rPr>
      </w:pPr>
      <w:r w:rsidRPr="004C23DC">
        <w:rPr>
          <w:rFonts w:ascii="Arial" w:hAnsi="Arial" w:cs="Arial"/>
          <w:sz w:val="22"/>
          <w:szCs w:val="22"/>
        </w:rPr>
        <w:t xml:space="preserve">According to Erikson’s (1950) final psychosocial stage </w:t>
      </w:r>
      <w:r w:rsidRPr="004C23DC">
        <w:rPr>
          <w:rFonts w:ascii="Arial" w:hAnsi="Arial" w:cs="Arial"/>
          <w:i/>
          <w:iCs/>
          <w:sz w:val="22"/>
          <w:szCs w:val="22"/>
        </w:rPr>
        <w:t xml:space="preserve">‘Ego Integrity Versus Despair’ </w:t>
      </w:r>
      <w:r w:rsidRPr="004C23DC">
        <w:rPr>
          <w:rFonts w:ascii="Arial" w:hAnsi="Arial" w:cs="Arial"/>
          <w:sz w:val="22"/>
          <w:szCs w:val="22"/>
        </w:rPr>
        <w:t>focuses on reflecting upon one’s life with acceptance and meaning. For aged 65 and, older adults with dementia, however, cognitive decline and memory loss can disrupt this process, making it difficult to achieve traditional forms of life review (Woods et al., 2018). Despite these challenges, the emotional and relational essence of integrity remains attainable when care approaches are adapted to the person’s cognitive and emotional needs.</w:t>
      </w:r>
    </w:p>
    <w:p w:rsidRPr="004C23DC" w:rsidR="00A15B9F" w:rsidP="004C23DC" w:rsidRDefault="00A15B9F" w14:paraId="3E6DF742" w14:textId="77777777">
      <w:pPr>
        <w:spacing w:line="360" w:lineRule="auto"/>
        <w:rPr>
          <w:rFonts w:ascii="Arial" w:hAnsi="Arial" w:cs="Arial"/>
          <w:sz w:val="22"/>
          <w:szCs w:val="22"/>
        </w:rPr>
      </w:pPr>
    </w:p>
    <w:p w:rsidRPr="004C23DC" w:rsidR="00A15B9F" w:rsidP="004C23DC" w:rsidRDefault="00A15B9F" w14:paraId="37333975" w14:noSpellErr="1" w14:textId="5658E376">
      <w:pPr>
        <w:spacing w:line="360" w:lineRule="auto"/>
        <w:rPr>
          <w:rFonts w:ascii="Arial" w:hAnsi="Arial" w:cs="Arial"/>
          <w:sz w:val="22"/>
          <w:szCs w:val="22"/>
        </w:rPr>
      </w:pPr>
      <w:r w:rsidRPr="44A6C338" w:rsidR="00A15B9F">
        <w:rPr>
          <w:rFonts w:ascii="Arial" w:hAnsi="Arial" w:cs="Arial"/>
          <w:sz w:val="22"/>
          <w:szCs w:val="22"/>
        </w:rPr>
        <w:t>In dementia care settings, life story work includes reminiscence therapy, photographs, music, and personalised memory boxes. This has been shown to enhance identity continuity, emotional well</w:t>
      </w:r>
      <w:r w:rsidRPr="44A6C338" w:rsidR="0EDB9CC5">
        <w:rPr>
          <w:rFonts w:ascii="Arial" w:hAnsi="Arial" w:cs="Arial"/>
          <w:sz w:val="22"/>
          <w:szCs w:val="22"/>
        </w:rPr>
        <w:t>-</w:t>
      </w:r>
      <w:r w:rsidRPr="44A6C338" w:rsidR="00A15B9F">
        <w:rPr>
          <w:rFonts w:ascii="Arial" w:hAnsi="Arial" w:cs="Arial"/>
          <w:sz w:val="22"/>
          <w:szCs w:val="22"/>
        </w:rPr>
        <w:t>being, and social connection (Subramaniam &amp; Woods, 2016). For instance, a case study by McKeown et al. (2010) found that residents engaging in reminiscence sessions experienced improved mood and communication, even when sincere memory was limited.</w:t>
      </w:r>
    </w:p>
    <w:p w:rsidRPr="004C23DC" w:rsidR="00A15B9F" w:rsidP="004C23DC" w:rsidRDefault="00A15B9F" w14:paraId="43301459" w14:textId="77777777">
      <w:pPr>
        <w:spacing w:line="360" w:lineRule="auto"/>
        <w:rPr>
          <w:rFonts w:ascii="Arial" w:hAnsi="Arial" w:cs="Arial"/>
          <w:sz w:val="22"/>
          <w:szCs w:val="22"/>
        </w:rPr>
      </w:pPr>
    </w:p>
    <w:p w:rsidRPr="004C23DC" w:rsidR="00A15B9F" w:rsidP="004C23DC" w:rsidRDefault="00A15B9F" w14:paraId="11F5E836" w14:textId="21007E08">
      <w:pPr>
        <w:spacing w:line="360" w:lineRule="auto"/>
        <w:rPr>
          <w:rFonts w:ascii="Arial" w:hAnsi="Arial" w:cs="Arial"/>
          <w:sz w:val="22"/>
          <w:szCs w:val="22"/>
        </w:rPr>
      </w:pPr>
      <w:r w:rsidRPr="44A6C338" w:rsidR="00A15B9F">
        <w:rPr>
          <w:rFonts w:ascii="Arial" w:hAnsi="Arial" w:cs="Arial"/>
          <w:sz w:val="22"/>
          <w:szCs w:val="22"/>
        </w:rPr>
        <w:t xml:space="preserve">Integrity for individuals with dementia may not rely on detailed autobiographical reflection but on emotional integrity. </w:t>
      </w:r>
      <w:r w:rsidRPr="44A6C338" w:rsidR="4E10A64B">
        <w:rPr>
          <w:rFonts w:ascii="Arial" w:hAnsi="Arial" w:cs="Arial"/>
          <w:sz w:val="22"/>
          <w:szCs w:val="22"/>
        </w:rPr>
        <w:t>Those who</w:t>
      </w:r>
      <w:r w:rsidRPr="44A6C338" w:rsidR="00A15B9F">
        <w:rPr>
          <w:rFonts w:ascii="Arial" w:hAnsi="Arial" w:cs="Arial"/>
          <w:sz w:val="22"/>
          <w:szCs w:val="22"/>
        </w:rPr>
        <w:t xml:space="preserve"> feel safe, valued, and respected in the present moment. Consistent relational care, familiar environments, and sensory engagement can ease feelings of despair, confusion, and loss of independence (</w:t>
      </w:r>
      <w:r w:rsidRPr="44A6C338" w:rsidR="00A15B9F">
        <w:rPr>
          <w:rFonts w:ascii="Arial" w:hAnsi="Arial" w:cs="Arial"/>
          <w:sz w:val="22"/>
          <w:szCs w:val="22"/>
        </w:rPr>
        <w:t>Kitwood</w:t>
      </w:r>
      <w:r w:rsidRPr="44A6C338" w:rsidR="00A15B9F">
        <w:rPr>
          <w:rFonts w:ascii="Arial" w:hAnsi="Arial" w:cs="Arial"/>
          <w:sz w:val="22"/>
          <w:szCs w:val="22"/>
        </w:rPr>
        <w:t xml:space="preserve">, 1997; </w:t>
      </w:r>
      <w:r w:rsidRPr="44A6C338" w:rsidR="00A15B9F">
        <w:rPr>
          <w:rFonts w:ascii="Arial" w:hAnsi="Arial" w:cs="Arial"/>
          <w:sz w:val="22"/>
          <w:szCs w:val="22"/>
        </w:rPr>
        <w:t>Sabat</w:t>
      </w:r>
      <w:r w:rsidRPr="44A6C338" w:rsidR="00A15B9F">
        <w:rPr>
          <w:rFonts w:ascii="Arial" w:hAnsi="Arial" w:cs="Arial"/>
          <w:sz w:val="22"/>
          <w:szCs w:val="22"/>
        </w:rPr>
        <w:t>, 2001).</w:t>
      </w:r>
    </w:p>
    <w:p w:rsidRPr="004C23DC" w:rsidR="00A15B9F" w:rsidP="004C23DC" w:rsidRDefault="00A15B9F" w14:paraId="21DA1EC9" w14:textId="77777777">
      <w:pPr>
        <w:spacing w:line="360" w:lineRule="auto"/>
        <w:rPr>
          <w:rFonts w:ascii="Arial" w:hAnsi="Arial" w:cs="Arial"/>
          <w:sz w:val="22"/>
          <w:szCs w:val="22"/>
        </w:rPr>
      </w:pPr>
    </w:p>
    <w:p w:rsidRPr="004C23DC" w:rsidR="00A15B9F" w:rsidP="004C23DC" w:rsidRDefault="00A15B9F" w14:paraId="3DA33AB3" w14:textId="6A1AF6F4">
      <w:pPr>
        <w:spacing w:line="360" w:lineRule="auto"/>
        <w:rPr>
          <w:rFonts w:ascii="Arial" w:hAnsi="Arial" w:cs="Arial"/>
          <w:sz w:val="22"/>
          <w:szCs w:val="22"/>
        </w:rPr>
      </w:pPr>
      <w:r w:rsidRPr="004C23DC">
        <w:rPr>
          <w:rFonts w:ascii="Arial" w:hAnsi="Arial" w:cs="Arial"/>
          <w:sz w:val="22"/>
          <w:szCs w:val="22"/>
        </w:rPr>
        <w:t xml:space="preserve">Modern person-centred frameworks, such as </w:t>
      </w:r>
      <w:proofErr w:type="spellStart"/>
      <w:r w:rsidRPr="004C23DC">
        <w:rPr>
          <w:rFonts w:ascii="Arial" w:hAnsi="Arial" w:cs="Arial"/>
          <w:sz w:val="22"/>
          <w:szCs w:val="22"/>
        </w:rPr>
        <w:t>Kitwood’s</w:t>
      </w:r>
      <w:proofErr w:type="spellEnd"/>
      <w:r w:rsidRPr="004C23DC">
        <w:rPr>
          <w:rFonts w:ascii="Arial" w:hAnsi="Arial" w:cs="Arial"/>
          <w:sz w:val="22"/>
          <w:szCs w:val="22"/>
        </w:rPr>
        <w:t xml:space="preserve"> model of personhood, view identity as relationa</w:t>
      </w:r>
      <w:r w:rsidRPr="004C23DC" w:rsidR="004C23DC">
        <w:rPr>
          <w:rFonts w:ascii="Arial" w:hAnsi="Arial" w:cs="Arial"/>
          <w:sz w:val="22"/>
          <w:szCs w:val="22"/>
        </w:rPr>
        <w:t>l</w:t>
      </w:r>
      <w:r w:rsidRPr="004C23DC">
        <w:rPr>
          <w:rFonts w:ascii="Arial" w:hAnsi="Arial" w:cs="Arial"/>
          <w:sz w:val="22"/>
          <w:szCs w:val="22"/>
        </w:rPr>
        <w:t>. Caregivers act as “memory holders,” affirming dignity through shared relationships and validating the person’s ongoing sense of self. As research increasingly highlights, moments of joy, recognition, and calm are expressions of continued psychological fullness (Phinney et al., 2007).</w:t>
      </w:r>
    </w:p>
    <w:p w:rsidRPr="004C23DC" w:rsidR="005876A4" w:rsidP="004C23DC" w:rsidRDefault="005876A4" w14:paraId="0E0DD744" w14:textId="77777777">
      <w:pPr>
        <w:spacing w:line="360" w:lineRule="auto"/>
        <w:rPr>
          <w:rFonts w:ascii="Arial" w:hAnsi="Arial" w:cs="Arial"/>
          <w:sz w:val="22"/>
          <w:szCs w:val="22"/>
        </w:rPr>
      </w:pPr>
    </w:p>
    <w:p w:rsidRPr="004C23DC" w:rsidR="00A15B9F" w:rsidP="004C23DC" w:rsidRDefault="00A15B9F" w14:paraId="2CBA5A8B" w14:textId="36EF1BE4">
      <w:pPr>
        <w:spacing w:line="360" w:lineRule="auto"/>
        <w:rPr>
          <w:rFonts w:ascii="Arial" w:hAnsi="Arial" w:cs="Arial"/>
          <w:sz w:val="22"/>
          <w:szCs w:val="22"/>
        </w:rPr>
      </w:pPr>
      <w:r w:rsidRPr="004C23DC">
        <w:rPr>
          <w:rFonts w:ascii="Arial" w:hAnsi="Arial" w:cs="Arial"/>
          <w:sz w:val="22"/>
          <w:szCs w:val="22"/>
        </w:rPr>
        <w:lastRenderedPageBreak/>
        <w:t>By applying Erikson’s theory focusing on emotional presence, meaningful connection, and respect for individual’s personal history professionals can help individuals with dementia experience integrity, even in the face of memory loss.</w:t>
      </w:r>
    </w:p>
    <w:p w:rsidRPr="004C23DC" w:rsidR="00ED39BA" w:rsidP="004C23DC" w:rsidRDefault="00ED39BA" w14:paraId="4ACB4AEF" w14:textId="27F42E91">
      <w:pPr>
        <w:spacing w:line="360" w:lineRule="auto"/>
        <w:rPr>
          <w:rFonts w:ascii="Arial" w:hAnsi="Arial" w:cs="Arial"/>
          <w:sz w:val="22"/>
          <w:szCs w:val="22"/>
        </w:rPr>
      </w:pPr>
      <w:r w:rsidRPr="004C23DC">
        <w:rPr>
          <w:rFonts w:ascii="Arial" w:hAnsi="Arial" w:cs="Arial"/>
          <w:sz w:val="22"/>
          <w:szCs w:val="22"/>
        </w:rPr>
        <w:t xml:space="preserve"> </w:t>
      </w:r>
    </w:p>
    <w:p w:rsidRPr="004C23DC" w:rsidR="00A15B9F" w:rsidP="004C23DC" w:rsidRDefault="00A15B9F" w14:paraId="5DAB475E" w14:textId="1360E92D">
      <w:pPr>
        <w:spacing w:line="360" w:lineRule="auto"/>
        <w:rPr>
          <w:rFonts w:ascii="Arial" w:hAnsi="Arial" w:cs="Arial"/>
          <w:b/>
          <w:bCs/>
          <w:sz w:val="22"/>
          <w:szCs w:val="22"/>
          <w:u w:val="single"/>
        </w:rPr>
      </w:pPr>
      <w:r w:rsidRPr="004C23DC">
        <w:rPr>
          <w:rFonts w:ascii="Arial" w:hAnsi="Arial" w:cs="Arial"/>
          <w:b/>
          <w:bCs/>
          <w:sz w:val="22"/>
          <w:szCs w:val="22"/>
          <w:u w:val="single"/>
        </w:rPr>
        <w:t>Theory 2</w:t>
      </w:r>
    </w:p>
    <w:p w:rsidRPr="004C23DC" w:rsidR="00A15B9F" w:rsidP="004C23DC" w:rsidRDefault="00A15B9F" w14:paraId="1676BCC0" w14:textId="6433CD17">
      <w:pPr>
        <w:spacing w:line="360" w:lineRule="auto"/>
        <w:rPr>
          <w:rFonts w:ascii="Arial" w:hAnsi="Arial" w:cs="Arial"/>
          <w:sz w:val="22"/>
          <w:szCs w:val="22"/>
        </w:rPr>
      </w:pPr>
    </w:p>
    <w:p w:rsidRPr="004C23DC" w:rsidR="005B739D" w:rsidP="004C23DC" w:rsidRDefault="005B739D" w14:paraId="088D1A49" w14:textId="0FF48D69">
      <w:pPr>
        <w:spacing w:line="360" w:lineRule="auto"/>
        <w:rPr>
          <w:rFonts w:ascii="Arial" w:hAnsi="Arial" w:cs="Arial"/>
          <w:sz w:val="22"/>
          <w:szCs w:val="22"/>
        </w:rPr>
      </w:pPr>
      <w:r w:rsidRPr="004C23DC">
        <w:rPr>
          <w:rFonts w:ascii="Arial" w:hAnsi="Arial" w:cs="Arial"/>
          <w:sz w:val="22"/>
          <w:szCs w:val="22"/>
        </w:rPr>
        <w:t>Piaget’s work highlights the role of cognitive structures in learning and decision-making throughout the lifespan. Vygotsky emphasised the sociocultural basis of cognition, arguing that learning occurs through interaction, communication and guided support from others, known as scaffolding</w:t>
      </w:r>
      <w:r w:rsidRPr="004C23DC" w:rsidR="007F1E13">
        <w:rPr>
          <w:rFonts w:ascii="Arial" w:hAnsi="Arial" w:cs="Arial"/>
          <w:sz w:val="22"/>
          <w:szCs w:val="22"/>
        </w:rPr>
        <w:t>.</w:t>
      </w:r>
      <w:r w:rsidRPr="004C23DC">
        <w:rPr>
          <w:rFonts w:ascii="Arial" w:hAnsi="Arial" w:cs="Arial"/>
          <w:sz w:val="22"/>
          <w:szCs w:val="22"/>
        </w:rPr>
        <w:t xml:space="preserve"> (Vygotsky, 1978).</w:t>
      </w:r>
    </w:p>
    <w:p w:rsidRPr="004C23DC" w:rsidR="00B56C95" w:rsidP="004C23DC" w:rsidRDefault="00B56C95" w14:paraId="1FC60035" w14:textId="77777777">
      <w:pPr>
        <w:spacing w:line="360" w:lineRule="auto"/>
        <w:rPr>
          <w:rFonts w:ascii="Arial" w:hAnsi="Arial" w:cs="Arial"/>
          <w:sz w:val="22"/>
          <w:szCs w:val="22"/>
        </w:rPr>
      </w:pPr>
    </w:p>
    <w:p w:rsidRPr="004C23DC" w:rsidR="005B739D" w:rsidP="004C23DC" w:rsidRDefault="005B739D" w14:paraId="2C3D8C8D" w14:textId="37284AB0">
      <w:pPr>
        <w:spacing w:line="360" w:lineRule="auto"/>
        <w:rPr>
          <w:rFonts w:ascii="Arial" w:hAnsi="Arial" w:cs="Arial"/>
          <w:sz w:val="22"/>
          <w:szCs w:val="22"/>
        </w:rPr>
      </w:pPr>
      <w:r w:rsidRPr="004C23DC">
        <w:rPr>
          <w:rFonts w:ascii="Arial" w:hAnsi="Arial" w:cs="Arial"/>
          <w:sz w:val="22"/>
          <w:szCs w:val="22"/>
        </w:rPr>
        <w:t>For older adults, particularly those aged 65 and over, these theories help to explain age-related changes such as reduced processing speed, difficulty with abstract thinking, and reliance on external cues (</w:t>
      </w:r>
      <w:proofErr w:type="spellStart"/>
      <w:r w:rsidRPr="004C23DC">
        <w:rPr>
          <w:rFonts w:ascii="Arial" w:hAnsi="Arial" w:cs="Arial"/>
          <w:sz w:val="22"/>
          <w:szCs w:val="22"/>
        </w:rPr>
        <w:t>Kitwood</w:t>
      </w:r>
      <w:proofErr w:type="spellEnd"/>
      <w:r w:rsidRPr="004C23DC">
        <w:rPr>
          <w:rFonts w:ascii="Arial" w:hAnsi="Arial" w:cs="Arial"/>
          <w:sz w:val="22"/>
          <w:szCs w:val="22"/>
        </w:rPr>
        <w:t>, 1997). In dementia, cognitive decline may appear as a regression to earlier patterns of thinking, increasing dependence on social support and structured assistance to complete everyday tasks (NICE, 2018).</w:t>
      </w:r>
    </w:p>
    <w:p w:rsidRPr="004C23DC" w:rsidR="005B739D" w:rsidP="004C23DC" w:rsidRDefault="005B739D" w14:paraId="1E3D32B1" w14:textId="77777777">
      <w:pPr>
        <w:spacing w:line="360" w:lineRule="auto"/>
        <w:rPr>
          <w:rFonts w:ascii="Arial" w:hAnsi="Arial" w:cs="Arial"/>
          <w:sz w:val="22"/>
          <w:szCs w:val="22"/>
        </w:rPr>
      </w:pPr>
    </w:p>
    <w:p w:rsidRPr="004C23DC" w:rsidR="005B739D" w:rsidP="004C23DC" w:rsidRDefault="005B739D" w14:paraId="46FCB56B" w14:noSpellErr="1" w14:textId="53C4B21F">
      <w:pPr>
        <w:spacing w:line="360" w:lineRule="auto"/>
        <w:rPr>
          <w:rFonts w:ascii="Arial" w:hAnsi="Arial" w:cs="Arial"/>
          <w:sz w:val="22"/>
          <w:szCs w:val="22"/>
        </w:rPr>
      </w:pPr>
      <w:r w:rsidRPr="44A6C338" w:rsidR="005B739D">
        <w:rPr>
          <w:rFonts w:ascii="Arial" w:hAnsi="Arial" w:cs="Arial"/>
          <w:sz w:val="22"/>
          <w:szCs w:val="22"/>
        </w:rPr>
        <w:t>In dementia care homes, these ideas are reflected in practices where staff provide step-by-step prompts, visual cues, and modelling of behaviours</w:t>
      </w:r>
      <w:r w:rsidRPr="44A6C338" w:rsidR="00B56C95">
        <w:rPr>
          <w:rFonts w:ascii="Arial" w:hAnsi="Arial" w:cs="Arial"/>
          <w:sz w:val="22"/>
          <w:szCs w:val="22"/>
        </w:rPr>
        <w:t xml:space="preserve">. These </w:t>
      </w:r>
      <w:r w:rsidRPr="44A6C338" w:rsidR="005B739D">
        <w:rPr>
          <w:rFonts w:ascii="Arial" w:hAnsi="Arial" w:cs="Arial"/>
          <w:sz w:val="22"/>
          <w:szCs w:val="22"/>
        </w:rPr>
        <w:t xml:space="preserve">approaches </w:t>
      </w:r>
      <w:r w:rsidRPr="44A6C338" w:rsidR="00F11369">
        <w:rPr>
          <w:rFonts w:ascii="Arial" w:hAnsi="Arial" w:cs="Arial"/>
          <w:sz w:val="22"/>
          <w:szCs w:val="22"/>
        </w:rPr>
        <w:t xml:space="preserve">support </w:t>
      </w:r>
      <w:r w:rsidRPr="44A6C338" w:rsidR="005B739D">
        <w:rPr>
          <w:rFonts w:ascii="Arial" w:hAnsi="Arial" w:cs="Arial"/>
          <w:sz w:val="22"/>
          <w:szCs w:val="22"/>
        </w:rPr>
        <w:t xml:space="preserve">Vygotsky’s theory of supported learning (Brooker and Latham, 2015). Piaget’s concepts also appear </w:t>
      </w:r>
      <w:r w:rsidRPr="44A6C338" w:rsidR="64CF20EA">
        <w:rPr>
          <w:rFonts w:ascii="Arial" w:hAnsi="Arial" w:cs="Arial"/>
          <w:sz w:val="22"/>
          <w:szCs w:val="22"/>
        </w:rPr>
        <w:t>using</w:t>
      </w:r>
      <w:r w:rsidRPr="44A6C338" w:rsidR="005B739D">
        <w:rPr>
          <w:rFonts w:ascii="Arial" w:hAnsi="Arial" w:cs="Arial"/>
          <w:sz w:val="22"/>
          <w:szCs w:val="22"/>
        </w:rPr>
        <w:t xml:space="preserve"> simplified activities tailored to concrete thinking, such as sensory stimulation</w:t>
      </w:r>
      <w:r w:rsidRPr="44A6C338" w:rsidR="00F11369">
        <w:rPr>
          <w:rFonts w:ascii="Arial" w:hAnsi="Arial" w:cs="Arial"/>
          <w:sz w:val="22"/>
          <w:szCs w:val="22"/>
        </w:rPr>
        <w:t xml:space="preserve"> </w:t>
      </w:r>
      <w:r w:rsidRPr="44A6C338" w:rsidR="005B739D">
        <w:rPr>
          <w:rFonts w:ascii="Arial" w:hAnsi="Arial" w:cs="Arial"/>
          <w:sz w:val="22"/>
          <w:szCs w:val="22"/>
        </w:rPr>
        <w:t>or familiar routines. Interventions such as reminiscence therapy and life-story work support identity and engagement by drawing on preserved long-term memory and meaningful social interaction (Subramaniam and Woods, 2016; Wang et al., 2022).</w:t>
      </w:r>
    </w:p>
    <w:p w:rsidRPr="004C23DC" w:rsidR="005B739D" w:rsidP="004C23DC" w:rsidRDefault="005B739D" w14:paraId="67C89B3E" w14:textId="77777777">
      <w:pPr>
        <w:spacing w:line="360" w:lineRule="auto"/>
        <w:rPr>
          <w:rFonts w:ascii="Arial" w:hAnsi="Arial" w:cs="Arial"/>
          <w:sz w:val="22"/>
          <w:szCs w:val="22"/>
        </w:rPr>
      </w:pPr>
    </w:p>
    <w:p w:rsidRPr="004C23DC" w:rsidR="005B739D" w:rsidP="004C23DC" w:rsidRDefault="005B739D" w14:paraId="1F51373F" w14:textId="3DA52329">
      <w:pPr>
        <w:spacing w:line="360" w:lineRule="auto"/>
        <w:rPr>
          <w:rFonts w:ascii="Arial" w:hAnsi="Arial" w:cs="Arial"/>
          <w:sz w:val="22"/>
          <w:szCs w:val="22"/>
        </w:rPr>
      </w:pPr>
      <w:r w:rsidRPr="004C23DC">
        <w:rPr>
          <w:rFonts w:ascii="Arial" w:hAnsi="Arial" w:cs="Arial"/>
          <w:sz w:val="22"/>
          <w:szCs w:val="22"/>
        </w:rPr>
        <w:t>However, limitations exist. Piaget’s stage-based model does not account for the non-linear and fluctuating nature of cognitive decline seen in dementia (McAdams, 2019). Vygotsky’s theory assumes stable communication ability, which may be disrupted by confusion or emotional distress. Ethical considerations also arise, as excessive scaffolding may undermine autonomy, while insufficient support can cause frustration or anxiety (BPS, 2018). Emotional challenges, such as distress during tasks that were once familiar, highlight the need for sensitivity and person-centred approaches (</w:t>
      </w:r>
      <w:proofErr w:type="spellStart"/>
      <w:r w:rsidRPr="004C23DC">
        <w:rPr>
          <w:rFonts w:ascii="Arial" w:hAnsi="Arial" w:cs="Arial"/>
          <w:sz w:val="22"/>
          <w:szCs w:val="22"/>
        </w:rPr>
        <w:t>Kitwood</w:t>
      </w:r>
      <w:proofErr w:type="spellEnd"/>
      <w:r w:rsidRPr="004C23DC">
        <w:rPr>
          <w:rFonts w:ascii="Arial" w:hAnsi="Arial" w:cs="Arial"/>
          <w:sz w:val="22"/>
          <w:szCs w:val="22"/>
        </w:rPr>
        <w:t>, 1997).</w:t>
      </w:r>
    </w:p>
    <w:p w:rsidRPr="004C23DC" w:rsidR="005B739D" w:rsidP="004C23DC" w:rsidRDefault="005B739D" w14:paraId="2A4BC13B" w14:textId="77777777">
      <w:pPr>
        <w:spacing w:line="360" w:lineRule="auto"/>
        <w:rPr>
          <w:rFonts w:ascii="Arial" w:hAnsi="Arial" w:cs="Arial"/>
          <w:sz w:val="22"/>
          <w:szCs w:val="22"/>
        </w:rPr>
      </w:pPr>
    </w:p>
    <w:p w:rsidRPr="004C23DC" w:rsidR="00A15B9F" w:rsidP="004C23DC" w:rsidRDefault="00A15B9F" w14:paraId="6320C2AE" w14:textId="33ACCF91">
      <w:pPr>
        <w:spacing w:line="360" w:lineRule="auto"/>
        <w:rPr>
          <w:rFonts w:ascii="Arial" w:hAnsi="Arial" w:cs="Arial"/>
          <w:b/>
          <w:bCs/>
          <w:sz w:val="22"/>
          <w:szCs w:val="22"/>
          <w:u w:val="single"/>
        </w:rPr>
      </w:pPr>
      <w:r w:rsidRPr="004C23DC">
        <w:rPr>
          <w:rFonts w:ascii="Arial" w:hAnsi="Arial" w:cs="Arial"/>
          <w:b/>
          <w:bCs/>
          <w:sz w:val="22"/>
          <w:szCs w:val="22"/>
          <w:u w:val="single"/>
        </w:rPr>
        <w:t>Comparison and Critical Evaluation</w:t>
      </w:r>
    </w:p>
    <w:p w:rsidRPr="004C23DC" w:rsidR="00A15B9F" w:rsidP="004C23DC" w:rsidRDefault="00A15B9F" w14:paraId="07A3AD12" w14:textId="6D8CF84E">
      <w:pPr>
        <w:spacing w:line="360" w:lineRule="auto"/>
        <w:rPr>
          <w:rFonts w:ascii="Arial" w:hAnsi="Arial" w:cs="Arial"/>
          <w:sz w:val="22"/>
          <w:szCs w:val="22"/>
        </w:rPr>
      </w:pPr>
    </w:p>
    <w:p w:rsidRPr="004C23DC" w:rsidR="005B739D" w:rsidP="004C23DC" w:rsidRDefault="005B739D" w14:paraId="174E3CE1" w14:textId="77777777">
      <w:pPr>
        <w:spacing w:line="360" w:lineRule="auto"/>
        <w:rPr>
          <w:rFonts w:ascii="Arial" w:hAnsi="Arial" w:cs="Arial"/>
          <w:sz w:val="22"/>
          <w:szCs w:val="22"/>
        </w:rPr>
      </w:pPr>
      <w:r w:rsidRPr="004C23DC">
        <w:rPr>
          <w:rFonts w:ascii="Arial" w:hAnsi="Arial" w:cs="Arial"/>
          <w:sz w:val="22"/>
          <w:szCs w:val="22"/>
        </w:rPr>
        <w:t xml:space="preserve">Erikson, Piaget and Vygotsky each provide influential perspectives on human development, but they differ in their relevance to ageing and dementia care. Erikson focuses on </w:t>
      </w:r>
      <w:r w:rsidRPr="004C23DC">
        <w:rPr>
          <w:rFonts w:ascii="Arial" w:hAnsi="Arial" w:cs="Arial"/>
          <w:sz w:val="22"/>
          <w:szCs w:val="22"/>
        </w:rPr>
        <w:lastRenderedPageBreak/>
        <w:t xml:space="preserve">psychosocial development, proposing that older adults navigate the stage of integrity versus despair, where life reflection shapes wellbeing (Javed and </w:t>
      </w:r>
      <w:proofErr w:type="spellStart"/>
      <w:r w:rsidRPr="004C23DC">
        <w:rPr>
          <w:rFonts w:ascii="Arial" w:hAnsi="Arial" w:cs="Arial"/>
          <w:sz w:val="22"/>
          <w:szCs w:val="22"/>
        </w:rPr>
        <w:t>Kakul</w:t>
      </w:r>
      <w:proofErr w:type="spellEnd"/>
      <w:r w:rsidRPr="004C23DC">
        <w:rPr>
          <w:rFonts w:ascii="Arial" w:hAnsi="Arial" w:cs="Arial"/>
          <w:sz w:val="22"/>
          <w:szCs w:val="22"/>
        </w:rPr>
        <w:t>, 2023). In contrast, Piaget emphasises cognitive development through fixed stages, while Vygotsky highlights the sociocultural basis of learning, particularly the role of social interaction and scaffolding (</w:t>
      </w:r>
      <w:proofErr w:type="spellStart"/>
      <w:r w:rsidRPr="004C23DC">
        <w:rPr>
          <w:rFonts w:ascii="Arial" w:hAnsi="Arial" w:cs="Arial"/>
          <w:sz w:val="22"/>
          <w:szCs w:val="22"/>
        </w:rPr>
        <w:t>Finnema</w:t>
      </w:r>
      <w:proofErr w:type="spellEnd"/>
      <w:r w:rsidRPr="004C23DC">
        <w:rPr>
          <w:rFonts w:ascii="Arial" w:hAnsi="Arial" w:cs="Arial"/>
          <w:sz w:val="22"/>
          <w:szCs w:val="22"/>
        </w:rPr>
        <w:t xml:space="preserve"> et al., n.d.).</w:t>
      </w:r>
    </w:p>
    <w:p w:rsidRPr="004C23DC" w:rsidR="005B739D" w:rsidP="004C23DC" w:rsidRDefault="005B739D" w14:paraId="2F824108" w14:textId="77777777">
      <w:pPr>
        <w:spacing w:line="360" w:lineRule="auto"/>
        <w:rPr>
          <w:rFonts w:ascii="Arial" w:hAnsi="Arial" w:cs="Arial"/>
          <w:sz w:val="22"/>
          <w:szCs w:val="22"/>
        </w:rPr>
      </w:pPr>
    </w:p>
    <w:p w:rsidRPr="004C23DC" w:rsidR="005B739D" w:rsidP="004C23DC" w:rsidRDefault="005B739D" w14:paraId="453D523D" w14:textId="5E2D39FB">
      <w:pPr>
        <w:spacing w:line="360" w:lineRule="auto"/>
        <w:rPr>
          <w:rFonts w:ascii="Arial" w:hAnsi="Arial" w:cs="Arial"/>
          <w:sz w:val="22"/>
          <w:szCs w:val="22"/>
        </w:rPr>
      </w:pPr>
      <w:r w:rsidRPr="44A6C338" w:rsidR="005B739D">
        <w:rPr>
          <w:rFonts w:ascii="Arial" w:hAnsi="Arial" w:cs="Arial"/>
          <w:sz w:val="22"/>
          <w:szCs w:val="22"/>
        </w:rPr>
        <w:t xml:space="preserve">Research </w:t>
      </w:r>
      <w:r w:rsidRPr="44A6C338" w:rsidR="005B739D">
        <w:rPr>
          <w:rFonts w:ascii="Arial" w:hAnsi="Arial" w:cs="Arial"/>
          <w:sz w:val="22"/>
          <w:szCs w:val="22"/>
        </w:rPr>
        <w:t>indicates</w:t>
      </w:r>
      <w:r w:rsidRPr="44A6C338" w:rsidR="005B739D">
        <w:rPr>
          <w:rFonts w:ascii="Arial" w:hAnsi="Arial" w:cs="Arial"/>
          <w:sz w:val="22"/>
          <w:szCs w:val="22"/>
        </w:rPr>
        <w:t xml:space="preserve"> that dementia can cause regression to earlier forms of cognitive functioning</w:t>
      </w:r>
      <w:r w:rsidRPr="44A6C338" w:rsidR="004C23DC">
        <w:rPr>
          <w:rFonts w:ascii="Arial" w:hAnsi="Arial" w:cs="Arial"/>
          <w:sz w:val="22"/>
          <w:szCs w:val="22"/>
        </w:rPr>
        <w:t xml:space="preserve">. </w:t>
      </w:r>
      <w:r w:rsidRPr="44A6C338" w:rsidR="005B739D">
        <w:rPr>
          <w:rFonts w:ascii="Arial" w:hAnsi="Arial" w:cs="Arial"/>
          <w:sz w:val="22"/>
          <w:szCs w:val="22"/>
        </w:rPr>
        <w:t xml:space="preserve">For example, a study of Alzheimer’s patients found that many performed on developmental reasoning tasks at levels </w:t>
      </w:r>
      <w:r w:rsidRPr="44A6C338" w:rsidR="33944BD1">
        <w:rPr>
          <w:rFonts w:ascii="Arial" w:hAnsi="Arial" w:cs="Arial"/>
          <w:sz w:val="22"/>
          <w:szCs w:val="22"/>
        </w:rPr>
        <w:t>like</w:t>
      </w:r>
      <w:r w:rsidRPr="44A6C338" w:rsidR="005B739D">
        <w:rPr>
          <w:rFonts w:ascii="Arial" w:hAnsi="Arial" w:cs="Arial"/>
          <w:sz w:val="22"/>
          <w:szCs w:val="22"/>
        </w:rPr>
        <w:t xml:space="preserve"> </w:t>
      </w:r>
      <w:r w:rsidRPr="44A6C338" w:rsidR="4506C835">
        <w:rPr>
          <w:rFonts w:ascii="Arial" w:hAnsi="Arial" w:cs="Arial"/>
          <w:sz w:val="22"/>
          <w:szCs w:val="22"/>
        </w:rPr>
        <w:t>those of Piaget’s pre</w:t>
      </w:r>
      <w:r w:rsidRPr="44A6C338" w:rsidR="005B739D">
        <w:rPr>
          <w:rFonts w:ascii="Arial" w:hAnsi="Arial" w:cs="Arial"/>
          <w:sz w:val="22"/>
          <w:szCs w:val="22"/>
        </w:rPr>
        <w:t xml:space="preserve">operational and concrete stages, supporting the </w:t>
      </w:r>
      <w:r w:rsidRPr="44A6C338" w:rsidR="005B739D">
        <w:rPr>
          <w:rFonts w:ascii="Arial" w:hAnsi="Arial" w:cs="Arial"/>
          <w:sz w:val="22"/>
          <w:szCs w:val="22"/>
        </w:rPr>
        <w:t>retrogenesis</w:t>
      </w:r>
      <w:r w:rsidRPr="44A6C338" w:rsidR="005B739D">
        <w:rPr>
          <w:rFonts w:ascii="Arial" w:hAnsi="Arial" w:cs="Arial"/>
          <w:sz w:val="22"/>
          <w:szCs w:val="22"/>
        </w:rPr>
        <w:t xml:space="preserve"> theory (Reisberg et al., 1992). Vygotsky’s theory is strongly supported in dementia care research: a qualitative study of older adults with dementia and their carers found that “scaffolding”</w:t>
      </w:r>
      <w:r w:rsidRPr="44A6C338" w:rsidR="00F11369">
        <w:rPr>
          <w:rFonts w:ascii="Arial" w:hAnsi="Arial" w:cs="Arial"/>
          <w:sz w:val="22"/>
          <w:szCs w:val="22"/>
        </w:rPr>
        <w:t xml:space="preserve"> </w:t>
      </w:r>
      <w:r w:rsidRPr="44A6C338" w:rsidR="005B739D">
        <w:rPr>
          <w:rFonts w:ascii="Arial" w:hAnsi="Arial" w:cs="Arial"/>
          <w:sz w:val="22"/>
          <w:szCs w:val="22"/>
        </w:rPr>
        <w:t>doing tasks together, breaking down steps and modelling actions</w:t>
      </w:r>
      <w:r w:rsidRPr="44A6C338" w:rsidR="00F11369">
        <w:rPr>
          <w:rFonts w:ascii="Arial" w:hAnsi="Arial" w:cs="Arial"/>
          <w:sz w:val="22"/>
          <w:szCs w:val="22"/>
        </w:rPr>
        <w:t xml:space="preserve"> </w:t>
      </w:r>
      <w:r w:rsidRPr="44A6C338" w:rsidR="005B739D">
        <w:rPr>
          <w:rFonts w:ascii="Arial" w:hAnsi="Arial" w:cs="Arial"/>
          <w:sz w:val="22"/>
          <w:szCs w:val="22"/>
        </w:rPr>
        <w:t xml:space="preserve">helped </w:t>
      </w:r>
      <w:r w:rsidRPr="44A6C338" w:rsidR="005B739D">
        <w:rPr>
          <w:rFonts w:ascii="Arial" w:hAnsi="Arial" w:cs="Arial"/>
          <w:sz w:val="22"/>
          <w:szCs w:val="22"/>
        </w:rPr>
        <w:t>maintain</w:t>
      </w:r>
      <w:r w:rsidRPr="44A6C338" w:rsidR="005B739D">
        <w:rPr>
          <w:rFonts w:ascii="Arial" w:hAnsi="Arial" w:cs="Arial"/>
          <w:sz w:val="22"/>
          <w:szCs w:val="22"/>
        </w:rPr>
        <w:t xml:space="preserve"> daily functioning and emotional stability (Gibson et al., 2017).</w:t>
      </w:r>
    </w:p>
    <w:p w:rsidRPr="004C23DC" w:rsidR="005B739D" w:rsidP="004C23DC" w:rsidRDefault="005B739D" w14:paraId="5C88B903" w14:textId="77777777">
      <w:pPr>
        <w:spacing w:line="360" w:lineRule="auto"/>
        <w:rPr>
          <w:rFonts w:ascii="Arial" w:hAnsi="Arial" w:cs="Arial"/>
          <w:sz w:val="22"/>
          <w:szCs w:val="22"/>
        </w:rPr>
      </w:pPr>
    </w:p>
    <w:p w:rsidRPr="004C23DC" w:rsidR="005B739D" w:rsidP="004C23DC" w:rsidRDefault="005B739D" w14:paraId="02A17CCA" w14:textId="306C657E">
      <w:pPr>
        <w:spacing w:line="360" w:lineRule="auto"/>
        <w:rPr>
          <w:rFonts w:ascii="Arial" w:hAnsi="Arial" w:cs="Arial"/>
          <w:sz w:val="22"/>
          <w:szCs w:val="22"/>
        </w:rPr>
      </w:pPr>
      <w:r w:rsidRPr="004C23DC">
        <w:rPr>
          <w:rFonts w:ascii="Arial" w:hAnsi="Arial" w:cs="Arial"/>
          <w:sz w:val="22"/>
          <w:szCs w:val="22"/>
        </w:rPr>
        <w:t>Each theory also has limitations. Erikson assumes the capacity for coherent life review, which may be compromised by memory loss or disorientation in dementia. Life reflection may trigger distress when individuals cannot recall key events, challenging the attainment of integrity (</w:t>
      </w:r>
      <w:proofErr w:type="spellStart"/>
      <w:r w:rsidRPr="004C23DC">
        <w:rPr>
          <w:rFonts w:ascii="Arial" w:hAnsi="Arial" w:cs="Arial"/>
          <w:sz w:val="22"/>
          <w:szCs w:val="22"/>
        </w:rPr>
        <w:t>Finnema</w:t>
      </w:r>
      <w:proofErr w:type="spellEnd"/>
      <w:r w:rsidRPr="004C23DC">
        <w:rPr>
          <w:rFonts w:ascii="Arial" w:hAnsi="Arial" w:cs="Arial"/>
          <w:sz w:val="22"/>
          <w:szCs w:val="22"/>
        </w:rPr>
        <w:t xml:space="preserve"> et al., n.d.). Piaget’s fixed stages do not account for the fluctuating or uneven cognitive decline seen in dementia; decline does not always follow a predictable reverse sequence. Vygotsky’s emphasis on communicative interaction may be difficult to apply in later dementia stages when language and social understanding deteriorate (Goh and Park, 2009).</w:t>
      </w:r>
      <w:r w:rsidRPr="004C23DC" w:rsidR="007F1E13">
        <w:rPr>
          <w:rFonts w:ascii="Arial" w:hAnsi="Arial" w:cs="Arial"/>
          <w:sz w:val="22"/>
          <w:szCs w:val="22"/>
        </w:rPr>
        <w:t xml:space="preserve"> </w:t>
      </w:r>
      <w:r w:rsidRPr="004C23DC">
        <w:rPr>
          <w:rFonts w:ascii="Arial" w:hAnsi="Arial" w:cs="Arial"/>
          <w:sz w:val="22"/>
          <w:szCs w:val="22"/>
        </w:rPr>
        <w:t>Excessive scaffolding may reduce autonomy</w:t>
      </w:r>
      <w:r w:rsidRPr="004C23DC" w:rsidR="007F1E13">
        <w:rPr>
          <w:rFonts w:ascii="Arial" w:hAnsi="Arial" w:cs="Arial"/>
          <w:sz w:val="22"/>
          <w:szCs w:val="22"/>
        </w:rPr>
        <w:t xml:space="preserve">. </w:t>
      </w:r>
      <w:r w:rsidRPr="004C23DC">
        <w:rPr>
          <w:rFonts w:ascii="Arial" w:hAnsi="Arial" w:cs="Arial"/>
          <w:sz w:val="22"/>
          <w:szCs w:val="22"/>
        </w:rPr>
        <w:t xml:space="preserve">Carers providing continuous support may also experience strain, highlighting the need for balanced, person-centred approaches (Javed and </w:t>
      </w:r>
      <w:proofErr w:type="spellStart"/>
      <w:r w:rsidRPr="004C23DC">
        <w:rPr>
          <w:rFonts w:ascii="Arial" w:hAnsi="Arial" w:cs="Arial"/>
          <w:sz w:val="22"/>
          <w:szCs w:val="22"/>
        </w:rPr>
        <w:t>Kakul</w:t>
      </w:r>
      <w:proofErr w:type="spellEnd"/>
      <w:r w:rsidRPr="004C23DC">
        <w:rPr>
          <w:rFonts w:ascii="Arial" w:hAnsi="Arial" w:cs="Arial"/>
          <w:sz w:val="22"/>
          <w:szCs w:val="22"/>
        </w:rPr>
        <w:t>, 2023).</w:t>
      </w:r>
    </w:p>
    <w:p w:rsidRPr="004C23DC" w:rsidR="00B56C95" w:rsidP="004C23DC" w:rsidRDefault="00B56C95" w14:paraId="383D0CD5" w14:textId="77777777">
      <w:pPr>
        <w:spacing w:line="360" w:lineRule="auto"/>
        <w:rPr>
          <w:rFonts w:ascii="Arial" w:hAnsi="Arial" w:cs="Arial"/>
          <w:sz w:val="22"/>
          <w:szCs w:val="22"/>
        </w:rPr>
      </w:pPr>
    </w:p>
    <w:p w:rsidRPr="004C23DC" w:rsidR="00A15B9F" w:rsidP="004C23DC" w:rsidRDefault="00A15B9F" w14:paraId="6D6E4786" w14:textId="0F056121">
      <w:pPr>
        <w:spacing w:line="360" w:lineRule="auto"/>
        <w:rPr>
          <w:rFonts w:ascii="Arial" w:hAnsi="Arial" w:cs="Arial"/>
          <w:b/>
          <w:bCs/>
          <w:sz w:val="22"/>
          <w:szCs w:val="22"/>
          <w:u w:val="single"/>
        </w:rPr>
      </w:pPr>
      <w:r w:rsidRPr="004C23DC">
        <w:rPr>
          <w:rFonts w:ascii="Arial" w:hAnsi="Arial" w:cs="Arial"/>
          <w:b/>
          <w:bCs/>
          <w:sz w:val="22"/>
          <w:szCs w:val="22"/>
          <w:u w:val="single"/>
        </w:rPr>
        <w:t>Application in Dementia Care</w:t>
      </w:r>
    </w:p>
    <w:p w:rsidRPr="004C23DC" w:rsidR="00A15B9F" w:rsidP="004C23DC" w:rsidRDefault="00A15B9F" w14:paraId="5C6BE396" w14:textId="77777777">
      <w:pPr>
        <w:spacing w:line="360" w:lineRule="auto"/>
        <w:rPr>
          <w:rFonts w:ascii="Arial" w:hAnsi="Arial" w:cs="Arial"/>
          <w:sz w:val="22"/>
          <w:szCs w:val="22"/>
        </w:rPr>
      </w:pPr>
    </w:p>
    <w:p w:rsidRPr="004C23DC" w:rsidR="005B739D" w:rsidP="004C23DC" w:rsidRDefault="005B739D" w14:paraId="166224AD" w14:textId="4621CE57">
      <w:pPr>
        <w:spacing w:line="360" w:lineRule="auto"/>
        <w:rPr>
          <w:rFonts w:ascii="Arial" w:hAnsi="Arial" w:cs="Arial"/>
          <w:sz w:val="22"/>
          <w:szCs w:val="22"/>
        </w:rPr>
      </w:pPr>
      <w:r w:rsidRPr="004C23DC">
        <w:rPr>
          <w:rFonts w:ascii="Arial" w:hAnsi="Arial" w:cs="Arial"/>
          <w:sz w:val="22"/>
          <w:szCs w:val="22"/>
        </w:rPr>
        <w:t>The theories of Erikson, Piaget and Vygotsky offer a valuable foundation for understanding and supporting the complex psychological and behavioural needs of older adults living with dementia. Erikson’s concept of integrity versus despair emphasises the importance of identity, dignity and emotional continuity in later life. In dementia care homes, this is applied through practices such as life story work, reminiscence activities, and personalised communication, which help maintain a sense of self even as memory declines (Brooker and Latham, 2015).</w:t>
      </w:r>
    </w:p>
    <w:p w:rsidRPr="004C23DC" w:rsidR="005B739D" w:rsidP="004C23DC" w:rsidRDefault="005B739D" w14:paraId="4E25BF30" w14:textId="77777777">
      <w:pPr>
        <w:spacing w:line="360" w:lineRule="auto"/>
        <w:rPr>
          <w:rFonts w:ascii="Arial" w:hAnsi="Arial" w:cs="Arial"/>
          <w:sz w:val="22"/>
          <w:szCs w:val="22"/>
        </w:rPr>
      </w:pPr>
    </w:p>
    <w:p w:rsidRPr="004C23DC" w:rsidR="005B739D" w:rsidP="004C23DC" w:rsidRDefault="005B739D" w14:paraId="346D06A0" w14:noSpellErr="1" w14:textId="2E9E2F30">
      <w:pPr>
        <w:spacing w:line="360" w:lineRule="auto"/>
        <w:rPr>
          <w:rFonts w:ascii="Arial" w:hAnsi="Arial" w:cs="Arial"/>
          <w:sz w:val="22"/>
          <w:szCs w:val="22"/>
        </w:rPr>
      </w:pPr>
      <w:r w:rsidRPr="44A6C338" w:rsidR="005B739D">
        <w:rPr>
          <w:rFonts w:ascii="Arial" w:hAnsi="Arial" w:cs="Arial"/>
          <w:sz w:val="22"/>
          <w:szCs w:val="22"/>
        </w:rPr>
        <w:t xml:space="preserve">Piaget’s cognitive development theory informs the need for simplified, concrete, and structured tasks in dementia care. As some </w:t>
      </w:r>
      <w:r w:rsidRPr="44A6C338" w:rsidR="1B5E3AE3">
        <w:rPr>
          <w:rFonts w:ascii="Arial" w:hAnsi="Arial" w:cs="Arial"/>
          <w:sz w:val="22"/>
          <w:szCs w:val="22"/>
        </w:rPr>
        <w:t>individual's</w:t>
      </w:r>
      <w:r w:rsidRPr="44A6C338" w:rsidR="005B739D">
        <w:rPr>
          <w:rFonts w:ascii="Arial" w:hAnsi="Arial" w:cs="Arial"/>
          <w:sz w:val="22"/>
          <w:szCs w:val="22"/>
        </w:rPr>
        <w:t xml:space="preserve"> experience regression to earlier cognitive patterns, staff often break tasks into smaller steps, provide visual cues, or offer hands-on demonstrations appropriate to the person’s current cognitive stage (Reisberg et al., 1992). Activities that rely on concrete thinking</w:t>
      </w:r>
      <w:r w:rsidRPr="44A6C338" w:rsidR="00F11369">
        <w:rPr>
          <w:rFonts w:ascii="Arial" w:hAnsi="Arial" w:cs="Arial"/>
          <w:sz w:val="22"/>
          <w:szCs w:val="22"/>
        </w:rPr>
        <w:t xml:space="preserve"> </w:t>
      </w:r>
      <w:r w:rsidRPr="44A6C338" w:rsidR="005B739D">
        <w:rPr>
          <w:rFonts w:ascii="Arial" w:hAnsi="Arial" w:cs="Arial"/>
          <w:sz w:val="22"/>
          <w:szCs w:val="22"/>
        </w:rPr>
        <w:t>such as sorting objects</w:t>
      </w:r>
      <w:r w:rsidRPr="44A6C338" w:rsidR="00F11369">
        <w:rPr>
          <w:rFonts w:ascii="Arial" w:hAnsi="Arial" w:cs="Arial"/>
          <w:sz w:val="22"/>
          <w:szCs w:val="22"/>
        </w:rPr>
        <w:t xml:space="preserve">, this </w:t>
      </w:r>
      <w:r w:rsidRPr="44A6C338" w:rsidR="005B739D">
        <w:rPr>
          <w:rFonts w:ascii="Arial" w:hAnsi="Arial" w:cs="Arial"/>
          <w:sz w:val="22"/>
          <w:szCs w:val="22"/>
        </w:rPr>
        <w:t>can promote engagement without overwhelming the individual. This approach also guides care staff to offer realistic expectations, reducing frustration for both residents and professionals.</w:t>
      </w:r>
    </w:p>
    <w:p w:rsidRPr="004C23DC" w:rsidR="005B739D" w:rsidP="004C23DC" w:rsidRDefault="005B739D" w14:paraId="55A3E7F7" w14:textId="77777777">
      <w:pPr>
        <w:spacing w:line="360" w:lineRule="auto"/>
        <w:rPr>
          <w:rFonts w:ascii="Arial" w:hAnsi="Arial" w:cs="Arial"/>
          <w:sz w:val="22"/>
          <w:szCs w:val="22"/>
        </w:rPr>
      </w:pPr>
    </w:p>
    <w:p w:rsidRPr="004C23DC" w:rsidR="005B739D" w:rsidP="004C23DC" w:rsidRDefault="005B739D" w14:paraId="5E0E8710" w14:textId="1D441F93">
      <w:pPr>
        <w:spacing w:line="360" w:lineRule="auto"/>
        <w:rPr>
          <w:rFonts w:ascii="Arial" w:hAnsi="Arial" w:cs="Arial"/>
          <w:sz w:val="22"/>
          <w:szCs w:val="22"/>
        </w:rPr>
      </w:pPr>
      <w:r w:rsidRPr="004C23DC">
        <w:rPr>
          <w:rFonts w:ascii="Arial" w:hAnsi="Arial" w:cs="Arial"/>
          <w:sz w:val="22"/>
          <w:szCs w:val="22"/>
        </w:rPr>
        <w:t xml:space="preserve">Vygotsky’s </w:t>
      </w:r>
      <w:r w:rsidRPr="004C23DC" w:rsidR="00F11369">
        <w:rPr>
          <w:rFonts w:ascii="Arial" w:hAnsi="Arial" w:cs="Arial"/>
          <w:sz w:val="22"/>
          <w:szCs w:val="22"/>
        </w:rPr>
        <w:t>highlights</w:t>
      </w:r>
      <w:r w:rsidRPr="004C23DC">
        <w:rPr>
          <w:rFonts w:ascii="Arial" w:hAnsi="Arial" w:cs="Arial"/>
          <w:sz w:val="22"/>
          <w:szCs w:val="22"/>
        </w:rPr>
        <w:t xml:space="preserve"> scaffolding and social interaction aligns with modern care principles. Carers often support residents through graduated assistance, modelling behaviours, and completing tasks alongside them. Research shows that collaborative interactions, such as dressing together help</w:t>
      </w:r>
      <w:r w:rsidRPr="004C23DC" w:rsidR="007F1E13">
        <w:rPr>
          <w:rFonts w:ascii="Arial" w:hAnsi="Arial" w:cs="Arial"/>
          <w:sz w:val="22"/>
          <w:szCs w:val="22"/>
        </w:rPr>
        <w:t>s</w:t>
      </w:r>
      <w:r w:rsidRPr="004C23DC">
        <w:rPr>
          <w:rFonts w:ascii="Arial" w:hAnsi="Arial" w:cs="Arial"/>
          <w:sz w:val="22"/>
          <w:szCs w:val="22"/>
        </w:rPr>
        <w:t xml:space="preserve"> maintain daily functioning and reduce agitation (Gibson et al., 2017). </w:t>
      </w:r>
    </w:p>
    <w:p w:rsidRPr="004C23DC" w:rsidR="005B739D" w:rsidP="004C23DC" w:rsidRDefault="005B739D" w14:paraId="6E605D62" w14:textId="77777777">
      <w:pPr>
        <w:spacing w:line="360" w:lineRule="auto"/>
        <w:rPr>
          <w:rFonts w:ascii="Arial" w:hAnsi="Arial" w:cs="Arial"/>
          <w:sz w:val="22"/>
          <w:szCs w:val="22"/>
        </w:rPr>
      </w:pPr>
    </w:p>
    <w:p w:rsidRPr="004C23DC" w:rsidR="00A15B9F" w:rsidP="004C23DC" w:rsidRDefault="005B739D" w14:paraId="201CA41D" w14:textId="65F7EDC4">
      <w:pPr>
        <w:spacing w:line="360" w:lineRule="auto"/>
        <w:rPr>
          <w:rFonts w:ascii="Arial" w:hAnsi="Arial" w:cs="Arial"/>
          <w:sz w:val="22"/>
          <w:szCs w:val="22"/>
        </w:rPr>
      </w:pPr>
      <w:r w:rsidRPr="004C23DC">
        <w:rPr>
          <w:rFonts w:ascii="Arial" w:hAnsi="Arial" w:cs="Arial"/>
          <w:sz w:val="22"/>
          <w:szCs w:val="22"/>
        </w:rPr>
        <w:t xml:space="preserve">Together, </w:t>
      </w:r>
      <w:r w:rsidRPr="004C23DC" w:rsidR="007F1E13">
        <w:rPr>
          <w:rFonts w:ascii="Arial" w:hAnsi="Arial" w:cs="Arial"/>
          <w:sz w:val="22"/>
          <w:szCs w:val="22"/>
        </w:rPr>
        <w:t xml:space="preserve">they </w:t>
      </w:r>
      <w:r w:rsidRPr="004C23DC" w:rsidR="004C23DC">
        <w:rPr>
          <w:rFonts w:ascii="Arial" w:hAnsi="Arial" w:cs="Arial"/>
          <w:sz w:val="22"/>
          <w:szCs w:val="22"/>
        </w:rPr>
        <w:t xml:space="preserve">highlight </w:t>
      </w:r>
      <w:r w:rsidRPr="004C23DC">
        <w:rPr>
          <w:rFonts w:ascii="Arial" w:hAnsi="Arial" w:cs="Arial"/>
          <w:sz w:val="22"/>
          <w:szCs w:val="22"/>
        </w:rPr>
        <w:t>dementia care practices such as consistent routines, person-centred communication, validation, and strength-based activity planning. They also reinforce the importance of emotional security, cognitive support and social connection. By integrating these theoretical approaches, care professionals can improve wellbeing, reduce challenging behaviours and promote a more meaningful daily experience for individuals.</w:t>
      </w:r>
    </w:p>
    <w:p w:rsidRPr="004C23DC" w:rsidR="005B739D" w:rsidP="004C23DC" w:rsidRDefault="005B739D" w14:paraId="1F258485" w14:textId="77777777">
      <w:pPr>
        <w:spacing w:line="360" w:lineRule="auto"/>
        <w:rPr>
          <w:rFonts w:ascii="Arial" w:hAnsi="Arial" w:cs="Arial"/>
          <w:sz w:val="22"/>
          <w:szCs w:val="22"/>
        </w:rPr>
      </w:pPr>
    </w:p>
    <w:p w:rsidRPr="004C23DC" w:rsidR="00A15B9F" w:rsidP="004C23DC" w:rsidRDefault="00A15B9F" w14:paraId="06E74BF3" w14:textId="4D6F78F7">
      <w:pPr>
        <w:spacing w:line="360" w:lineRule="auto"/>
        <w:rPr>
          <w:rFonts w:ascii="Arial" w:hAnsi="Arial" w:cs="Arial"/>
          <w:b/>
          <w:bCs/>
          <w:sz w:val="22"/>
          <w:szCs w:val="22"/>
          <w:u w:val="single"/>
        </w:rPr>
      </w:pPr>
      <w:r w:rsidRPr="004C23DC">
        <w:rPr>
          <w:rFonts w:ascii="Arial" w:hAnsi="Arial" w:cs="Arial"/>
          <w:b/>
          <w:bCs/>
          <w:sz w:val="22"/>
          <w:szCs w:val="22"/>
          <w:u w:val="single"/>
        </w:rPr>
        <w:t>Challenges and Strategies</w:t>
      </w:r>
    </w:p>
    <w:p w:rsidRPr="004C23DC" w:rsidR="005B739D" w:rsidP="004C23DC" w:rsidRDefault="005B739D" w14:paraId="3A89FC49" w14:textId="77777777">
      <w:pPr>
        <w:spacing w:line="360" w:lineRule="auto"/>
        <w:rPr>
          <w:rFonts w:ascii="Arial" w:hAnsi="Arial" w:cs="Arial"/>
          <w:sz w:val="22"/>
          <w:szCs w:val="22"/>
        </w:rPr>
      </w:pPr>
    </w:p>
    <w:p w:rsidRPr="004C23DC" w:rsidR="005B739D" w:rsidP="004C23DC" w:rsidRDefault="005B739D" w14:paraId="01ADAE34" w14:noSpellErr="1" w14:textId="7DC8F312">
      <w:pPr>
        <w:spacing w:line="360" w:lineRule="auto"/>
        <w:rPr>
          <w:rFonts w:ascii="Arial" w:hAnsi="Arial" w:cs="Arial"/>
          <w:sz w:val="22"/>
          <w:szCs w:val="22"/>
        </w:rPr>
      </w:pPr>
      <w:r w:rsidRPr="44A6C338" w:rsidR="005B739D">
        <w:rPr>
          <w:rFonts w:ascii="Arial" w:hAnsi="Arial" w:cs="Arial"/>
          <w:sz w:val="22"/>
          <w:szCs w:val="22"/>
        </w:rPr>
        <w:t>1. Cognitive Fluctuations and Decline</w:t>
      </w:r>
      <w:r w:rsidRPr="44A6C338" w:rsidR="00B56C95">
        <w:rPr>
          <w:rFonts w:ascii="Arial" w:hAnsi="Arial" w:cs="Arial"/>
          <w:sz w:val="22"/>
          <w:szCs w:val="22"/>
        </w:rPr>
        <w:t xml:space="preserve">: </w:t>
      </w:r>
      <w:r w:rsidRPr="44A6C338" w:rsidR="005B739D">
        <w:rPr>
          <w:rFonts w:ascii="Arial" w:hAnsi="Arial" w:cs="Arial"/>
          <w:sz w:val="22"/>
          <w:szCs w:val="22"/>
        </w:rPr>
        <w:t xml:space="preserve">Residents with dementia often experience variable cognitive abilities and memory loss. Piaget’s </w:t>
      </w:r>
      <w:r w:rsidRPr="44A6C338" w:rsidR="3AAAF9BF">
        <w:rPr>
          <w:rFonts w:ascii="Arial" w:hAnsi="Arial" w:cs="Arial"/>
          <w:sz w:val="22"/>
          <w:szCs w:val="22"/>
        </w:rPr>
        <w:t>stage-based</w:t>
      </w:r>
      <w:r w:rsidRPr="44A6C338" w:rsidR="005B739D">
        <w:rPr>
          <w:rFonts w:ascii="Arial" w:hAnsi="Arial" w:cs="Arial"/>
          <w:sz w:val="22"/>
          <w:szCs w:val="22"/>
        </w:rPr>
        <w:t xml:space="preserve"> model assumes a fixed cognitive level, which may not reflect the non-linear decline in dementia (Reisberg et al., 1992). </w:t>
      </w:r>
    </w:p>
    <w:p w:rsidRPr="004C23DC" w:rsidR="005B739D" w:rsidP="004C23DC" w:rsidRDefault="005B739D" w14:paraId="7F00AEAB" w14:textId="77777777">
      <w:pPr>
        <w:spacing w:line="360" w:lineRule="auto"/>
        <w:rPr>
          <w:rFonts w:ascii="Arial" w:hAnsi="Arial" w:cs="Arial"/>
          <w:sz w:val="22"/>
          <w:szCs w:val="22"/>
        </w:rPr>
      </w:pPr>
    </w:p>
    <w:p w:rsidRPr="004C23DC" w:rsidR="005B739D" w:rsidP="004C23DC" w:rsidRDefault="005B739D" w14:paraId="7861BA31" w14:noSpellErr="1" w14:textId="7383DED1">
      <w:pPr>
        <w:spacing w:line="360" w:lineRule="auto"/>
        <w:rPr>
          <w:rFonts w:ascii="Arial" w:hAnsi="Arial" w:cs="Arial"/>
          <w:sz w:val="22"/>
          <w:szCs w:val="22"/>
        </w:rPr>
      </w:pPr>
      <w:r w:rsidRPr="44A6C338" w:rsidR="005B739D">
        <w:rPr>
          <w:rFonts w:ascii="Arial" w:hAnsi="Arial" w:cs="Arial"/>
          <w:i w:val="1"/>
          <w:iCs w:val="1"/>
          <w:sz w:val="22"/>
          <w:szCs w:val="22"/>
        </w:rPr>
        <w:t>Strategy:</w:t>
      </w:r>
      <w:r w:rsidRPr="44A6C338" w:rsidR="005B739D">
        <w:rPr>
          <w:rFonts w:ascii="Arial" w:hAnsi="Arial" w:cs="Arial"/>
          <w:sz w:val="22"/>
          <w:szCs w:val="22"/>
        </w:rPr>
        <w:t xml:space="preserve"> Care staff should adopt flexible approaches, continuously </w:t>
      </w:r>
      <w:r w:rsidRPr="44A6C338" w:rsidR="540FCB06">
        <w:rPr>
          <w:rFonts w:ascii="Arial" w:hAnsi="Arial" w:cs="Arial"/>
          <w:sz w:val="22"/>
          <w:szCs w:val="22"/>
        </w:rPr>
        <w:t>assess</w:t>
      </w:r>
      <w:r w:rsidRPr="44A6C338" w:rsidR="005B739D">
        <w:rPr>
          <w:rFonts w:ascii="Arial" w:hAnsi="Arial" w:cs="Arial"/>
          <w:sz w:val="22"/>
          <w:szCs w:val="22"/>
        </w:rPr>
        <w:t xml:space="preserve"> residents’ abilities and </w:t>
      </w:r>
      <w:r w:rsidRPr="44A6C338" w:rsidR="005B739D">
        <w:rPr>
          <w:rFonts w:ascii="Arial" w:hAnsi="Arial" w:cs="Arial"/>
          <w:sz w:val="22"/>
          <w:szCs w:val="22"/>
        </w:rPr>
        <w:t>adjust</w:t>
      </w:r>
      <w:r w:rsidRPr="44A6C338" w:rsidR="005B739D">
        <w:rPr>
          <w:rFonts w:ascii="Arial" w:hAnsi="Arial" w:cs="Arial"/>
          <w:sz w:val="22"/>
          <w:szCs w:val="22"/>
        </w:rPr>
        <w:t xml:space="preserve"> tasks accordingly. Use of simplified activities, visual cues, and gradual step-by-step support helps </w:t>
      </w:r>
      <w:r w:rsidRPr="44A6C338" w:rsidR="005B739D">
        <w:rPr>
          <w:rFonts w:ascii="Arial" w:hAnsi="Arial" w:cs="Arial"/>
          <w:sz w:val="22"/>
          <w:szCs w:val="22"/>
        </w:rPr>
        <w:t>maintain</w:t>
      </w:r>
      <w:r w:rsidRPr="44A6C338" w:rsidR="005B739D">
        <w:rPr>
          <w:rFonts w:ascii="Arial" w:hAnsi="Arial" w:cs="Arial"/>
          <w:sz w:val="22"/>
          <w:szCs w:val="22"/>
        </w:rPr>
        <w:t xml:space="preserve"> engagement and reduce frustration (Brooker and Latham, 2015).</w:t>
      </w:r>
    </w:p>
    <w:p w:rsidRPr="004C23DC" w:rsidR="005B739D" w:rsidP="004C23DC" w:rsidRDefault="005B739D" w14:paraId="5830D7B8" w14:textId="77777777">
      <w:pPr>
        <w:spacing w:line="360" w:lineRule="auto"/>
        <w:rPr>
          <w:rFonts w:ascii="Arial" w:hAnsi="Arial" w:cs="Arial"/>
          <w:sz w:val="22"/>
          <w:szCs w:val="22"/>
        </w:rPr>
      </w:pPr>
    </w:p>
    <w:p w:rsidRPr="004C23DC" w:rsidR="005B739D" w:rsidP="004C23DC" w:rsidRDefault="005B739D" w14:paraId="5908CAAE" w14:textId="447E5C03">
      <w:pPr>
        <w:spacing w:line="360" w:lineRule="auto"/>
        <w:rPr>
          <w:rFonts w:ascii="Arial" w:hAnsi="Arial" w:cs="Arial"/>
          <w:sz w:val="22"/>
          <w:szCs w:val="22"/>
        </w:rPr>
      </w:pPr>
      <w:r w:rsidRPr="004C23DC">
        <w:rPr>
          <w:rFonts w:ascii="Arial" w:hAnsi="Arial" w:cs="Arial"/>
          <w:sz w:val="22"/>
          <w:szCs w:val="22"/>
        </w:rPr>
        <w:t>2. Emotional Distress During Reflection</w:t>
      </w:r>
      <w:r w:rsidRPr="004C23DC" w:rsidR="00B56C95">
        <w:rPr>
          <w:rFonts w:ascii="Arial" w:hAnsi="Arial" w:cs="Arial"/>
          <w:sz w:val="22"/>
          <w:szCs w:val="22"/>
        </w:rPr>
        <w:t xml:space="preserve">: </w:t>
      </w:r>
      <w:r w:rsidRPr="004C23DC">
        <w:rPr>
          <w:rFonts w:ascii="Arial" w:hAnsi="Arial" w:cs="Arial"/>
          <w:sz w:val="22"/>
          <w:szCs w:val="22"/>
        </w:rPr>
        <w:t xml:space="preserve">Erikson’s concept of integrity versus despair involves life review and reminiscence, but residents may become distressed when unable to recall key life events (Javed and </w:t>
      </w:r>
      <w:proofErr w:type="spellStart"/>
      <w:r w:rsidRPr="004C23DC">
        <w:rPr>
          <w:rFonts w:ascii="Arial" w:hAnsi="Arial" w:cs="Arial"/>
          <w:sz w:val="22"/>
          <w:szCs w:val="22"/>
        </w:rPr>
        <w:t>Kakul</w:t>
      </w:r>
      <w:proofErr w:type="spellEnd"/>
      <w:r w:rsidRPr="004C23DC">
        <w:rPr>
          <w:rFonts w:ascii="Arial" w:hAnsi="Arial" w:cs="Arial"/>
          <w:sz w:val="22"/>
          <w:szCs w:val="22"/>
        </w:rPr>
        <w:t>, 2023).</w:t>
      </w:r>
    </w:p>
    <w:p w:rsidRPr="004C23DC" w:rsidR="005B739D" w:rsidP="004C23DC" w:rsidRDefault="005B739D" w14:paraId="47CD9D68" w14:textId="77777777">
      <w:pPr>
        <w:spacing w:line="360" w:lineRule="auto"/>
        <w:rPr>
          <w:rFonts w:ascii="Arial" w:hAnsi="Arial" w:cs="Arial"/>
          <w:sz w:val="22"/>
          <w:szCs w:val="22"/>
        </w:rPr>
      </w:pPr>
    </w:p>
    <w:p w:rsidRPr="004C23DC" w:rsidR="005B739D" w:rsidP="004C23DC" w:rsidRDefault="005B739D" w14:paraId="7B9A30F5" w14:textId="22DAFA10">
      <w:pPr>
        <w:spacing w:line="360" w:lineRule="auto"/>
        <w:rPr>
          <w:rFonts w:ascii="Arial" w:hAnsi="Arial" w:cs="Arial"/>
          <w:sz w:val="22"/>
          <w:szCs w:val="22"/>
        </w:rPr>
      </w:pPr>
      <w:r w:rsidRPr="004C23DC">
        <w:rPr>
          <w:rFonts w:ascii="Arial" w:hAnsi="Arial" w:cs="Arial"/>
          <w:i/>
          <w:iCs/>
          <w:sz w:val="22"/>
          <w:szCs w:val="22"/>
        </w:rPr>
        <w:t>Strategy:</w:t>
      </w:r>
      <w:r w:rsidRPr="004C23DC">
        <w:rPr>
          <w:rFonts w:ascii="Arial" w:hAnsi="Arial" w:cs="Arial"/>
          <w:sz w:val="22"/>
          <w:szCs w:val="22"/>
        </w:rPr>
        <w:t xml:space="preserve"> Life story work should be personalised and paced according to the resident’s cognitive and emotional state. Staff can focus on positive memories, use sensory prompts, </w:t>
      </w:r>
      <w:r w:rsidRPr="004C23DC">
        <w:rPr>
          <w:rFonts w:ascii="Arial" w:hAnsi="Arial" w:cs="Arial"/>
          <w:sz w:val="22"/>
          <w:szCs w:val="22"/>
        </w:rPr>
        <w:lastRenderedPageBreak/>
        <w:t>and involve family members to provide reassurance and emotional safety (Subramaniam and Woods, 2016).</w:t>
      </w:r>
    </w:p>
    <w:p w:rsidRPr="004C23DC" w:rsidR="00B56C95" w:rsidP="004C23DC" w:rsidRDefault="00B56C95" w14:paraId="45B808CF" w14:textId="77777777">
      <w:pPr>
        <w:spacing w:line="360" w:lineRule="auto"/>
        <w:rPr>
          <w:rFonts w:ascii="Arial" w:hAnsi="Arial" w:cs="Arial"/>
          <w:sz w:val="22"/>
          <w:szCs w:val="22"/>
        </w:rPr>
      </w:pPr>
    </w:p>
    <w:p w:rsidRPr="004C23DC" w:rsidR="005B739D" w:rsidP="004C23DC" w:rsidRDefault="005B739D" w14:paraId="629248DB" w14:textId="79CD7755">
      <w:pPr>
        <w:spacing w:line="360" w:lineRule="auto"/>
        <w:rPr>
          <w:rFonts w:ascii="Arial" w:hAnsi="Arial" w:cs="Arial"/>
          <w:sz w:val="22"/>
          <w:szCs w:val="22"/>
        </w:rPr>
      </w:pPr>
      <w:r w:rsidRPr="004C23DC">
        <w:rPr>
          <w:rFonts w:ascii="Arial" w:hAnsi="Arial" w:cs="Arial"/>
          <w:sz w:val="22"/>
          <w:szCs w:val="22"/>
        </w:rPr>
        <w:t>3. Communication Barriers</w:t>
      </w:r>
      <w:r w:rsidRPr="004C23DC" w:rsidR="00B56C95">
        <w:rPr>
          <w:rFonts w:ascii="Arial" w:hAnsi="Arial" w:cs="Arial"/>
          <w:sz w:val="22"/>
          <w:szCs w:val="22"/>
        </w:rPr>
        <w:t xml:space="preserve">: </w:t>
      </w:r>
      <w:r w:rsidRPr="004C23DC">
        <w:rPr>
          <w:rFonts w:ascii="Arial" w:hAnsi="Arial" w:cs="Arial"/>
          <w:sz w:val="22"/>
          <w:szCs w:val="22"/>
        </w:rPr>
        <w:t>As dementia progresses</w:t>
      </w:r>
      <w:r w:rsidRPr="004C23DC" w:rsidR="007F1E13">
        <w:rPr>
          <w:rFonts w:ascii="Arial" w:hAnsi="Arial" w:cs="Arial"/>
          <w:sz w:val="22"/>
          <w:szCs w:val="22"/>
        </w:rPr>
        <w:t>,</w:t>
      </w:r>
      <w:r w:rsidRPr="004C23DC">
        <w:rPr>
          <w:rFonts w:ascii="Arial" w:hAnsi="Arial" w:cs="Arial"/>
          <w:sz w:val="22"/>
          <w:szCs w:val="22"/>
        </w:rPr>
        <w:t xml:space="preserve"> </w:t>
      </w:r>
      <w:r w:rsidRPr="004C23DC" w:rsidR="00A41992">
        <w:rPr>
          <w:rFonts w:ascii="Arial" w:hAnsi="Arial" w:cs="Arial"/>
          <w:sz w:val="22"/>
          <w:szCs w:val="22"/>
        </w:rPr>
        <w:t>this</w:t>
      </w:r>
      <w:r w:rsidRPr="004C23DC">
        <w:rPr>
          <w:rFonts w:ascii="Arial" w:hAnsi="Arial" w:cs="Arial"/>
          <w:sz w:val="22"/>
          <w:szCs w:val="22"/>
        </w:rPr>
        <w:t xml:space="preserve"> can limit the </w:t>
      </w:r>
      <w:r w:rsidRPr="004C23DC" w:rsidR="00A41992">
        <w:rPr>
          <w:rFonts w:ascii="Arial" w:hAnsi="Arial" w:cs="Arial"/>
          <w:sz w:val="22"/>
          <w:szCs w:val="22"/>
        </w:rPr>
        <w:t>individual’s</w:t>
      </w:r>
      <w:r w:rsidRPr="004C23DC" w:rsidR="007F1E13">
        <w:rPr>
          <w:rFonts w:ascii="Arial" w:hAnsi="Arial" w:cs="Arial"/>
          <w:sz w:val="22"/>
          <w:szCs w:val="22"/>
        </w:rPr>
        <w:t xml:space="preserve"> </w:t>
      </w:r>
      <w:r w:rsidRPr="004C23DC">
        <w:rPr>
          <w:rFonts w:ascii="Arial" w:hAnsi="Arial" w:cs="Arial"/>
          <w:sz w:val="22"/>
          <w:szCs w:val="22"/>
        </w:rPr>
        <w:t>effectiveness of social scaffolding and collaborative activities emphasised by Vygotsky (Gibson et al., 2017).</w:t>
      </w:r>
    </w:p>
    <w:p w:rsidRPr="004C23DC" w:rsidR="004C23DC" w:rsidP="004C23DC" w:rsidRDefault="004C23DC" w14:paraId="0A33CFCA" w14:textId="77777777">
      <w:pPr>
        <w:spacing w:line="360" w:lineRule="auto"/>
        <w:rPr>
          <w:rFonts w:ascii="Arial" w:hAnsi="Arial" w:cs="Arial"/>
          <w:sz w:val="22"/>
          <w:szCs w:val="22"/>
        </w:rPr>
      </w:pPr>
    </w:p>
    <w:p w:rsidRPr="004C23DC" w:rsidR="005B739D" w:rsidP="004C23DC" w:rsidRDefault="005B739D" w14:paraId="0438088F" w14:textId="61638E62">
      <w:pPr>
        <w:spacing w:line="360" w:lineRule="auto"/>
        <w:rPr>
          <w:rFonts w:ascii="Arial" w:hAnsi="Arial" w:cs="Arial"/>
          <w:sz w:val="22"/>
          <w:szCs w:val="22"/>
        </w:rPr>
      </w:pPr>
      <w:r w:rsidRPr="004C23DC">
        <w:rPr>
          <w:rFonts w:ascii="Arial" w:hAnsi="Arial" w:cs="Arial"/>
          <w:i/>
          <w:iCs/>
          <w:sz w:val="22"/>
          <w:szCs w:val="22"/>
        </w:rPr>
        <w:t>Strategy:</w:t>
      </w:r>
      <w:r w:rsidRPr="004C23DC">
        <w:rPr>
          <w:rFonts w:ascii="Arial" w:hAnsi="Arial" w:cs="Arial"/>
          <w:sz w:val="22"/>
          <w:szCs w:val="22"/>
        </w:rPr>
        <w:t xml:space="preserve"> Use non-verbal communication, modelling, and gestures to support understanding. Maintain consistent routines and repeat instructions as needed. Staff should also receive training in person-centred communication strategies to maximise engagement (Brooker and Latham, 2015).</w:t>
      </w:r>
    </w:p>
    <w:p w:rsidRPr="004C23DC" w:rsidR="005B739D" w:rsidP="004C23DC" w:rsidRDefault="005B739D" w14:paraId="74AD09B9" w14:textId="77777777">
      <w:pPr>
        <w:spacing w:line="360" w:lineRule="auto"/>
        <w:rPr>
          <w:rFonts w:ascii="Arial" w:hAnsi="Arial" w:cs="Arial"/>
          <w:sz w:val="22"/>
          <w:szCs w:val="22"/>
        </w:rPr>
      </w:pPr>
    </w:p>
    <w:p w:rsidRPr="004C23DC" w:rsidR="005B739D" w:rsidP="004C23DC" w:rsidRDefault="00F11369" w14:paraId="13940CF2" w14:textId="1C9C7E3C">
      <w:pPr>
        <w:spacing w:line="360" w:lineRule="auto"/>
        <w:rPr>
          <w:rFonts w:ascii="Arial" w:hAnsi="Arial" w:cs="Arial"/>
          <w:sz w:val="22"/>
          <w:szCs w:val="22"/>
        </w:rPr>
      </w:pPr>
      <w:r w:rsidRPr="004C23DC">
        <w:rPr>
          <w:rFonts w:ascii="Arial" w:hAnsi="Arial" w:cs="Arial"/>
          <w:sz w:val="22"/>
          <w:szCs w:val="22"/>
        </w:rPr>
        <w:t>4</w:t>
      </w:r>
      <w:r w:rsidRPr="004C23DC" w:rsidR="005B739D">
        <w:rPr>
          <w:rFonts w:ascii="Arial" w:hAnsi="Arial" w:cs="Arial"/>
          <w:sz w:val="22"/>
          <w:szCs w:val="22"/>
        </w:rPr>
        <w:t>. Staff Training and Emotional Burden</w:t>
      </w:r>
      <w:r w:rsidRPr="004C23DC" w:rsidR="00B56C95">
        <w:rPr>
          <w:rFonts w:ascii="Arial" w:hAnsi="Arial" w:cs="Arial"/>
          <w:sz w:val="22"/>
          <w:szCs w:val="22"/>
        </w:rPr>
        <w:t xml:space="preserve">: </w:t>
      </w:r>
      <w:r w:rsidRPr="004C23DC" w:rsidR="005B739D">
        <w:rPr>
          <w:rFonts w:ascii="Arial" w:hAnsi="Arial" w:cs="Arial"/>
          <w:sz w:val="22"/>
          <w:szCs w:val="22"/>
        </w:rPr>
        <w:t xml:space="preserve">Without training, staff may struggle to implement strategies effectively (Javed and </w:t>
      </w:r>
      <w:proofErr w:type="spellStart"/>
      <w:r w:rsidRPr="004C23DC" w:rsidR="005B739D">
        <w:rPr>
          <w:rFonts w:ascii="Arial" w:hAnsi="Arial" w:cs="Arial"/>
          <w:sz w:val="22"/>
          <w:szCs w:val="22"/>
        </w:rPr>
        <w:t>Kakul</w:t>
      </w:r>
      <w:proofErr w:type="spellEnd"/>
      <w:r w:rsidRPr="004C23DC" w:rsidR="005B739D">
        <w:rPr>
          <w:rFonts w:ascii="Arial" w:hAnsi="Arial" w:cs="Arial"/>
          <w:sz w:val="22"/>
          <w:szCs w:val="22"/>
        </w:rPr>
        <w:t>, 2023).</w:t>
      </w:r>
    </w:p>
    <w:p w:rsidRPr="004C23DC" w:rsidR="005B739D" w:rsidP="004C23DC" w:rsidRDefault="005B739D" w14:paraId="31C166F3" w14:textId="77777777">
      <w:pPr>
        <w:spacing w:line="360" w:lineRule="auto"/>
        <w:rPr>
          <w:rFonts w:ascii="Arial" w:hAnsi="Arial" w:cs="Arial"/>
          <w:sz w:val="22"/>
          <w:szCs w:val="22"/>
        </w:rPr>
      </w:pPr>
    </w:p>
    <w:p w:rsidRPr="004C23DC" w:rsidR="005B739D" w:rsidP="004C23DC" w:rsidRDefault="005B739D" w14:paraId="2053C17A" w14:textId="77777777">
      <w:pPr>
        <w:spacing w:line="360" w:lineRule="auto"/>
        <w:rPr>
          <w:rFonts w:ascii="Arial" w:hAnsi="Arial" w:cs="Arial"/>
          <w:sz w:val="22"/>
          <w:szCs w:val="22"/>
        </w:rPr>
      </w:pPr>
      <w:r w:rsidRPr="004C23DC">
        <w:rPr>
          <w:rFonts w:ascii="Arial" w:hAnsi="Arial" w:cs="Arial"/>
          <w:i/>
          <w:iCs/>
          <w:sz w:val="22"/>
          <w:szCs w:val="22"/>
        </w:rPr>
        <w:t>Strategy:</w:t>
      </w:r>
      <w:r w:rsidRPr="004C23DC">
        <w:rPr>
          <w:rFonts w:ascii="Arial" w:hAnsi="Arial" w:cs="Arial"/>
          <w:sz w:val="22"/>
          <w:szCs w:val="22"/>
        </w:rPr>
        <w:t xml:space="preserve"> Provide ongoing professional development in dementia care, psychosocial interventions, and the practical application of developmental and social learning theories. Support staff wellbeing through supervision and reflective practice to reduce burnout.</w:t>
      </w:r>
    </w:p>
    <w:p w:rsidRPr="004C23DC" w:rsidR="00A15B9F" w:rsidP="004C23DC" w:rsidRDefault="00A15B9F" w14:paraId="79EE19AB" w14:textId="4FAC57AF">
      <w:pPr>
        <w:spacing w:line="360" w:lineRule="auto"/>
        <w:rPr>
          <w:rFonts w:ascii="Arial" w:hAnsi="Arial" w:cs="Arial"/>
          <w:sz w:val="22"/>
          <w:szCs w:val="22"/>
        </w:rPr>
      </w:pPr>
    </w:p>
    <w:p w:rsidRPr="004C23DC" w:rsidR="00A15B9F" w:rsidP="004C23DC" w:rsidRDefault="00A15B9F" w14:paraId="21ACC5DE" w14:textId="20CFBE93">
      <w:pPr>
        <w:spacing w:line="360" w:lineRule="auto"/>
        <w:rPr>
          <w:rFonts w:ascii="Arial" w:hAnsi="Arial" w:cs="Arial"/>
          <w:b/>
          <w:bCs/>
          <w:sz w:val="22"/>
          <w:szCs w:val="22"/>
          <w:u w:val="single"/>
        </w:rPr>
      </w:pPr>
      <w:r w:rsidRPr="004C23DC">
        <w:rPr>
          <w:rFonts w:ascii="Arial" w:hAnsi="Arial" w:cs="Arial"/>
          <w:b/>
          <w:bCs/>
          <w:sz w:val="22"/>
          <w:szCs w:val="22"/>
          <w:u w:val="single"/>
        </w:rPr>
        <w:t>Conclusion</w:t>
      </w:r>
    </w:p>
    <w:p w:rsidRPr="004C23DC" w:rsidR="00A15B9F" w:rsidP="004C23DC" w:rsidRDefault="00A15B9F" w14:paraId="5CCECE10" w14:textId="77777777">
      <w:pPr>
        <w:spacing w:line="360" w:lineRule="auto"/>
        <w:rPr>
          <w:rFonts w:ascii="Arial" w:hAnsi="Arial" w:cs="Arial"/>
          <w:sz w:val="22"/>
          <w:szCs w:val="22"/>
        </w:rPr>
      </w:pPr>
    </w:p>
    <w:p w:rsidRPr="004C23DC" w:rsidR="00A15B9F" w:rsidP="004C23DC" w:rsidRDefault="00F11369" w14:paraId="1F63D61A" w14:textId="01E66D61">
      <w:pPr>
        <w:spacing w:line="360" w:lineRule="auto"/>
        <w:rPr>
          <w:rFonts w:ascii="Arial" w:hAnsi="Arial" w:cs="Arial"/>
          <w:sz w:val="22"/>
          <w:szCs w:val="22"/>
        </w:rPr>
      </w:pPr>
      <w:r w:rsidRPr="004C23DC">
        <w:rPr>
          <w:rFonts w:ascii="Arial" w:hAnsi="Arial" w:cs="Arial"/>
          <w:sz w:val="22"/>
          <w:szCs w:val="22"/>
        </w:rPr>
        <w:t xml:space="preserve">Applying </w:t>
      </w:r>
      <w:r w:rsidRPr="004C23DC" w:rsidR="005B739D">
        <w:rPr>
          <w:rFonts w:ascii="Arial" w:hAnsi="Arial" w:cs="Arial"/>
          <w:sz w:val="22"/>
          <w:szCs w:val="22"/>
        </w:rPr>
        <w:t>psychological theories such as Erikson’s Psychosocial Theory, Piaget’s Cognitive Development Theory, and Vygotsky’s Sociocultural Theory is essential for delivering person-centred dementi</w:t>
      </w:r>
      <w:r w:rsidRPr="004C23DC" w:rsidR="007F1E13">
        <w:rPr>
          <w:rFonts w:ascii="Arial" w:hAnsi="Arial" w:cs="Arial"/>
          <w:sz w:val="22"/>
          <w:szCs w:val="22"/>
        </w:rPr>
        <w:t xml:space="preserve">a </w:t>
      </w:r>
      <w:r w:rsidRPr="004C23DC" w:rsidR="005B739D">
        <w:rPr>
          <w:rFonts w:ascii="Arial" w:hAnsi="Arial" w:cs="Arial"/>
          <w:sz w:val="22"/>
          <w:szCs w:val="22"/>
        </w:rPr>
        <w:t xml:space="preserve">care. Erikson </w:t>
      </w:r>
      <w:r w:rsidRPr="004C23DC" w:rsidR="007F1E13">
        <w:rPr>
          <w:rFonts w:ascii="Arial" w:hAnsi="Arial" w:cs="Arial"/>
          <w:sz w:val="22"/>
          <w:szCs w:val="22"/>
        </w:rPr>
        <w:t>highlights</w:t>
      </w:r>
      <w:r w:rsidRPr="004C23DC" w:rsidR="005B739D">
        <w:rPr>
          <w:rFonts w:ascii="Arial" w:hAnsi="Arial" w:cs="Arial"/>
          <w:sz w:val="22"/>
          <w:szCs w:val="22"/>
        </w:rPr>
        <w:t xml:space="preserve"> emotional wellbeing and identity, guiding interventions such as life story work and reminiscence therapy to promote integrity and reduce despair. Piaget informs staff about cognitive decline and appropriate</w:t>
      </w:r>
      <w:r w:rsidRPr="004C23DC">
        <w:rPr>
          <w:rFonts w:ascii="Arial" w:hAnsi="Arial" w:cs="Arial"/>
          <w:sz w:val="22"/>
          <w:szCs w:val="22"/>
        </w:rPr>
        <w:t xml:space="preserve"> </w:t>
      </w:r>
      <w:r w:rsidRPr="004C23DC" w:rsidR="005B739D">
        <w:rPr>
          <w:rFonts w:ascii="Arial" w:hAnsi="Arial" w:cs="Arial"/>
          <w:sz w:val="22"/>
          <w:szCs w:val="22"/>
        </w:rPr>
        <w:t>activities to match residents’ abilities. Applying these theories in practice allows professionals to address both emotional and behavioural needs, enhance communication, and foster social connection. Challenges such as fluctuating cognition, memory loss, communication barriers, and ethical considerations require flexible, sensitive, and tailored approaches. Integrating these frameworks enhances quality of life</w:t>
      </w:r>
      <w:r w:rsidRPr="004C23DC" w:rsidR="007F1E13">
        <w:rPr>
          <w:rFonts w:ascii="Arial" w:hAnsi="Arial" w:cs="Arial"/>
          <w:sz w:val="22"/>
          <w:szCs w:val="22"/>
        </w:rPr>
        <w:t xml:space="preserve">, </w:t>
      </w:r>
      <w:r w:rsidRPr="004C23DC" w:rsidR="005B739D">
        <w:rPr>
          <w:rFonts w:ascii="Arial" w:hAnsi="Arial" w:cs="Arial"/>
          <w:sz w:val="22"/>
          <w:szCs w:val="22"/>
        </w:rPr>
        <w:t>while supporting staff.</w:t>
      </w:r>
    </w:p>
    <w:p w:rsidRPr="004C23DC" w:rsidR="005876A4" w:rsidP="004C23DC" w:rsidRDefault="005876A4" w14:paraId="11CF4AC9" w14:textId="77777777">
      <w:pPr>
        <w:spacing w:line="360" w:lineRule="auto"/>
        <w:rPr>
          <w:rFonts w:ascii="Arial" w:hAnsi="Arial" w:cs="Arial"/>
          <w:sz w:val="22"/>
          <w:szCs w:val="22"/>
        </w:rPr>
      </w:pPr>
    </w:p>
    <w:p w:rsidRPr="004C23DC" w:rsidR="005876A4" w:rsidP="004C23DC" w:rsidRDefault="005876A4" w14:paraId="1353BA3F" w14:textId="77777777">
      <w:pPr>
        <w:spacing w:line="360" w:lineRule="auto"/>
        <w:rPr>
          <w:rFonts w:ascii="Arial" w:hAnsi="Arial" w:cs="Arial"/>
          <w:sz w:val="22"/>
          <w:szCs w:val="22"/>
        </w:rPr>
      </w:pPr>
    </w:p>
    <w:p w:rsidRPr="004C23DC" w:rsidR="005876A4" w:rsidP="004C23DC" w:rsidRDefault="005876A4" w14:paraId="011F21D8" w14:textId="77777777">
      <w:pPr>
        <w:spacing w:line="360" w:lineRule="auto"/>
        <w:rPr>
          <w:rFonts w:ascii="Arial" w:hAnsi="Arial" w:cs="Arial"/>
          <w:sz w:val="22"/>
          <w:szCs w:val="22"/>
        </w:rPr>
      </w:pPr>
    </w:p>
    <w:p w:rsidRPr="004C23DC" w:rsidR="005876A4" w:rsidP="004C23DC" w:rsidRDefault="005876A4" w14:paraId="292031DA" w14:textId="77777777">
      <w:pPr>
        <w:spacing w:line="360" w:lineRule="auto"/>
        <w:rPr>
          <w:rFonts w:ascii="Arial" w:hAnsi="Arial" w:cs="Arial"/>
          <w:sz w:val="22"/>
          <w:szCs w:val="22"/>
        </w:rPr>
      </w:pPr>
    </w:p>
    <w:p w:rsidRPr="004C23DC" w:rsidR="005876A4" w:rsidP="004C23DC" w:rsidRDefault="005876A4" w14:paraId="59462AD3" w14:textId="77777777">
      <w:pPr>
        <w:spacing w:line="360" w:lineRule="auto"/>
        <w:rPr>
          <w:rFonts w:ascii="Arial" w:hAnsi="Arial" w:cs="Arial"/>
          <w:sz w:val="22"/>
          <w:szCs w:val="22"/>
        </w:rPr>
      </w:pPr>
    </w:p>
    <w:p w:rsidRPr="004C23DC" w:rsidR="004C23DC" w:rsidP="004C23DC" w:rsidRDefault="004C23DC" w14:paraId="11114674" w14:textId="77777777">
      <w:pPr>
        <w:spacing w:line="360" w:lineRule="auto"/>
        <w:rPr>
          <w:rFonts w:ascii="Arial" w:hAnsi="Arial" w:cs="Arial"/>
          <w:sz w:val="22"/>
          <w:szCs w:val="22"/>
        </w:rPr>
      </w:pPr>
    </w:p>
    <w:p w:rsidRPr="004C23DC" w:rsidR="00A15B9F" w:rsidP="004C23DC" w:rsidRDefault="00A15B9F" w14:paraId="31AD5EF6" w14:textId="00B73FA5">
      <w:pPr>
        <w:spacing w:line="360" w:lineRule="auto"/>
        <w:rPr>
          <w:rFonts w:ascii="Arial" w:hAnsi="Arial" w:cs="Arial"/>
          <w:b/>
          <w:bCs/>
          <w:sz w:val="22"/>
          <w:szCs w:val="22"/>
          <w:u w:val="single"/>
        </w:rPr>
      </w:pPr>
      <w:r w:rsidRPr="004C23DC">
        <w:rPr>
          <w:rFonts w:ascii="Arial" w:hAnsi="Arial" w:cs="Arial"/>
          <w:b/>
          <w:bCs/>
          <w:sz w:val="22"/>
          <w:szCs w:val="22"/>
          <w:u w:val="single"/>
        </w:rPr>
        <w:lastRenderedPageBreak/>
        <w:t>References</w:t>
      </w:r>
    </w:p>
    <w:p w:rsidRPr="004C23DC" w:rsidR="00BB35BA" w:rsidP="004C23DC" w:rsidRDefault="00BB35BA" w14:paraId="3AC40F5E"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Alzheimer’s Society (2023) What is dementia? Available at: </w:t>
      </w:r>
      <w:hyperlink w:tgtFrame="_blank" w:history="1" r:id="rId8">
        <w:r w:rsidRPr="004C23DC">
          <w:rPr>
            <w:rFonts w:ascii="Arial" w:hAnsi="Arial" w:eastAsia="Times New Roman" w:cs="Arial"/>
            <w:color w:val="1155CC"/>
            <w:sz w:val="22"/>
            <w:szCs w:val="22"/>
            <w:u w:val="single"/>
            <w:lang w:eastAsia="en-GB"/>
          </w:rPr>
          <w:t>https://www.alzheimers.org.uk</w:t>
        </w:r>
      </w:hyperlink>
      <w:r w:rsidRPr="004C23DC">
        <w:rPr>
          <w:rFonts w:ascii="Arial" w:hAnsi="Arial" w:eastAsia="Times New Roman" w:cs="Arial"/>
          <w:color w:val="222222"/>
          <w:sz w:val="22"/>
          <w:szCs w:val="22"/>
          <w:lang w:eastAsia="en-GB"/>
        </w:rPr>
        <w:t> (Accessed: [12/11/25]).</w:t>
      </w:r>
    </w:p>
    <w:p w:rsidRPr="004C23DC" w:rsidR="00BB35BA" w:rsidP="44A6C338" w:rsidRDefault="00BB35BA" w14:paraId="0E8E4A57" w14:textId="752E8ED2">
      <w:pPr>
        <w:pStyle w:val="ListParagraph"/>
        <w:numPr>
          <w:ilvl w:val="0"/>
          <w:numId w:val="6"/>
        </w:numPr>
        <w:shd w:val="clear" w:color="auto" w:fill="FFFFFF" w:themeFill="background1"/>
        <w:spacing w:before="100" w:beforeAutospacing="on" w:after="100" w:afterAutospacing="on" w:line="360" w:lineRule="auto"/>
        <w:rPr>
          <w:rFonts w:ascii="Arial" w:hAnsi="Arial" w:eastAsia="Times New Roman" w:cs="Arial"/>
          <w:color w:val="222222"/>
          <w:sz w:val="22"/>
          <w:szCs w:val="22"/>
          <w:lang w:eastAsia="en-GB"/>
        </w:rPr>
      </w:pPr>
      <w:r w:rsidRPr="44A6C338" w:rsidR="00BB35BA">
        <w:rPr>
          <w:rFonts w:ascii="Arial" w:hAnsi="Arial" w:eastAsia="Times New Roman" w:cs="Arial"/>
          <w:color w:val="222222"/>
          <w:sz w:val="22"/>
          <w:szCs w:val="22"/>
          <w:lang w:eastAsia="en-GB"/>
        </w:rPr>
        <w:t>Beauchamp, T.L. and Childress, J.F. (2019)</w:t>
      </w:r>
      <w:r w:rsidRPr="44A6C338" w:rsidR="68773109">
        <w:rPr>
          <w:rFonts w:ascii="Arial" w:hAnsi="Arial" w:eastAsia="Times New Roman" w:cs="Arial"/>
          <w:color w:val="222222"/>
          <w:sz w:val="22"/>
          <w:szCs w:val="22"/>
          <w:lang w:eastAsia="en-GB"/>
        </w:rPr>
        <w:t>.</w:t>
      </w:r>
      <w:r w:rsidRPr="44A6C338" w:rsidR="00BB35BA">
        <w:rPr>
          <w:rFonts w:ascii="Arial" w:hAnsi="Arial" w:eastAsia="Times New Roman" w:cs="Arial"/>
          <w:color w:val="222222"/>
          <w:sz w:val="22"/>
          <w:szCs w:val="22"/>
          <w:lang w:eastAsia="en-GB"/>
        </w:rPr>
        <w:t xml:space="preserve"> Principles of Biomedical Ethics. 8th </w:t>
      </w:r>
      <w:r w:rsidRPr="44A6C338" w:rsidR="00BB35BA">
        <w:rPr>
          <w:rFonts w:ascii="Arial" w:hAnsi="Arial" w:eastAsia="Times New Roman" w:cs="Arial"/>
          <w:color w:val="222222"/>
          <w:sz w:val="22"/>
          <w:szCs w:val="22"/>
          <w:lang w:eastAsia="en-GB"/>
        </w:rPr>
        <w:t>edn</w:t>
      </w:r>
      <w:r w:rsidRPr="44A6C338" w:rsidR="00BB35BA">
        <w:rPr>
          <w:rFonts w:ascii="Arial" w:hAnsi="Arial" w:eastAsia="Times New Roman" w:cs="Arial"/>
          <w:color w:val="222222"/>
          <w:sz w:val="22"/>
          <w:szCs w:val="22"/>
          <w:lang w:eastAsia="en-GB"/>
        </w:rPr>
        <w:t>. Oxford: Oxford University Press.</w:t>
      </w:r>
    </w:p>
    <w:p w:rsidRPr="004C23DC" w:rsidR="00BB35BA" w:rsidP="004C23DC" w:rsidRDefault="00BB35BA" w14:paraId="03C6A022"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British Psychological Society (BPS) (2018) Ethics Guidelines for Practitioners. Leicester: BPS.</w:t>
      </w:r>
    </w:p>
    <w:p w:rsidRPr="004C23DC" w:rsidR="00BB35BA" w:rsidP="004C23DC" w:rsidRDefault="00BB35BA" w14:paraId="75F9F87D"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 xml:space="preserve">Brooker, D. and Latham, I. (2015) Person-Centred Dementia Care: Making Services Better. 2nd </w:t>
      </w:r>
      <w:proofErr w:type="spellStart"/>
      <w:r w:rsidRPr="004C23DC">
        <w:rPr>
          <w:rFonts w:ascii="Arial" w:hAnsi="Arial" w:eastAsia="Times New Roman" w:cs="Arial"/>
          <w:color w:val="222222"/>
          <w:sz w:val="22"/>
          <w:szCs w:val="22"/>
          <w:lang w:eastAsia="en-GB"/>
        </w:rPr>
        <w:t>edn</w:t>
      </w:r>
      <w:proofErr w:type="spellEnd"/>
      <w:r w:rsidRPr="004C23DC">
        <w:rPr>
          <w:rFonts w:ascii="Arial" w:hAnsi="Arial" w:eastAsia="Times New Roman" w:cs="Arial"/>
          <w:color w:val="222222"/>
          <w:sz w:val="22"/>
          <w:szCs w:val="22"/>
          <w:lang w:eastAsia="en-GB"/>
        </w:rPr>
        <w:t>. London: Jessica Kingsley Publishers.</w:t>
      </w:r>
    </w:p>
    <w:p w:rsidRPr="004C23DC" w:rsidR="00BB35BA" w:rsidP="004C23DC" w:rsidRDefault="00BB35BA" w14:paraId="11BEBFD6"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 xml:space="preserve">Burns, A. and </w:t>
      </w:r>
      <w:proofErr w:type="spellStart"/>
      <w:r w:rsidRPr="004C23DC">
        <w:rPr>
          <w:rFonts w:ascii="Arial" w:hAnsi="Arial" w:eastAsia="Times New Roman" w:cs="Arial"/>
          <w:color w:val="222222"/>
          <w:sz w:val="22"/>
          <w:szCs w:val="22"/>
          <w:lang w:eastAsia="en-GB"/>
        </w:rPr>
        <w:t>Winblad</w:t>
      </w:r>
      <w:proofErr w:type="spellEnd"/>
      <w:r w:rsidRPr="004C23DC">
        <w:rPr>
          <w:rFonts w:ascii="Arial" w:hAnsi="Arial" w:eastAsia="Times New Roman" w:cs="Arial"/>
          <w:color w:val="222222"/>
          <w:sz w:val="22"/>
          <w:szCs w:val="22"/>
          <w:lang w:eastAsia="en-GB"/>
        </w:rPr>
        <w:t>, B. (2006) ‘Severe dementia,’ The Lancet, 367(9517), pp. 1030–1040.</w:t>
      </w:r>
    </w:p>
    <w:p w:rsidRPr="004C23DC" w:rsidR="00BB35BA" w:rsidP="004C23DC" w:rsidRDefault="00BB35BA" w14:paraId="5DD221EC"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Cohen-Mansfield, J. (2000) ‘Nonpharmacologic management of behavioural symptoms in dementia,’ Journal of Geriatric Psychiatry and Neurology, 13(1), pp. 40–52.</w:t>
      </w:r>
    </w:p>
    <w:p w:rsidRPr="004C23DC" w:rsidR="00BB35BA" w:rsidP="004C23DC" w:rsidRDefault="00BB35BA" w14:paraId="616C48E1"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Department of Health and Social Care (2005) Mental Capacity Act 2005: Code of Practice. London: DHSC.</w:t>
      </w:r>
    </w:p>
    <w:p w:rsidRPr="004C23DC" w:rsidR="00BB35BA" w:rsidP="004C23DC" w:rsidRDefault="00BB35BA" w14:paraId="1234BA08" w14:textId="77777777">
      <w:pPr>
        <w:pStyle w:val="NormalWeb"/>
        <w:numPr>
          <w:ilvl w:val="0"/>
          <w:numId w:val="6"/>
        </w:numPr>
        <w:shd w:val="clear" w:color="auto" w:fill="FFFFFF"/>
        <w:spacing w:line="360" w:lineRule="auto"/>
        <w:rPr>
          <w:rFonts w:ascii="Arial" w:hAnsi="Arial" w:cs="Arial"/>
          <w:color w:val="222222"/>
          <w:sz w:val="22"/>
          <w:szCs w:val="22"/>
        </w:rPr>
      </w:pPr>
      <w:r w:rsidRPr="004C23DC">
        <w:rPr>
          <w:rFonts w:ascii="Arial" w:hAnsi="Arial" w:cs="Arial"/>
          <w:color w:val="222222"/>
          <w:sz w:val="22"/>
          <w:szCs w:val="22"/>
        </w:rPr>
        <w:t>Erikson, E. H. (1950). Childhood and Society.</w:t>
      </w:r>
    </w:p>
    <w:p w:rsidRPr="004C23DC" w:rsidR="00BB35BA" w:rsidP="004C23DC" w:rsidRDefault="00BB35BA" w14:paraId="0BD173AA"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proofErr w:type="spellStart"/>
      <w:r w:rsidRPr="004C23DC">
        <w:rPr>
          <w:rFonts w:ascii="Arial" w:hAnsi="Arial" w:eastAsia="Times New Roman" w:cs="Arial"/>
          <w:color w:val="222222"/>
          <w:sz w:val="22"/>
          <w:szCs w:val="22"/>
          <w:lang w:eastAsia="en-GB"/>
        </w:rPr>
        <w:t>Finnema</w:t>
      </w:r>
      <w:proofErr w:type="spellEnd"/>
      <w:r w:rsidRPr="004C23DC">
        <w:rPr>
          <w:rFonts w:ascii="Arial" w:hAnsi="Arial" w:eastAsia="Times New Roman" w:cs="Arial"/>
          <w:color w:val="222222"/>
          <w:sz w:val="22"/>
          <w:szCs w:val="22"/>
          <w:lang w:eastAsia="en-GB"/>
        </w:rPr>
        <w:t xml:space="preserve">, E., </w:t>
      </w:r>
      <w:proofErr w:type="spellStart"/>
      <w:r w:rsidRPr="004C23DC">
        <w:rPr>
          <w:rFonts w:ascii="Arial" w:hAnsi="Arial" w:eastAsia="Times New Roman" w:cs="Arial"/>
          <w:color w:val="222222"/>
          <w:sz w:val="22"/>
          <w:szCs w:val="22"/>
          <w:lang w:eastAsia="en-GB"/>
        </w:rPr>
        <w:t>Dröes</w:t>
      </w:r>
      <w:proofErr w:type="spellEnd"/>
      <w:r w:rsidRPr="004C23DC">
        <w:rPr>
          <w:rFonts w:ascii="Arial" w:hAnsi="Arial" w:eastAsia="Times New Roman" w:cs="Arial"/>
          <w:color w:val="222222"/>
          <w:sz w:val="22"/>
          <w:szCs w:val="22"/>
          <w:lang w:eastAsia="en-GB"/>
        </w:rPr>
        <w:t xml:space="preserve">, R.M., </w:t>
      </w:r>
      <w:proofErr w:type="spellStart"/>
      <w:r w:rsidRPr="004C23DC">
        <w:rPr>
          <w:rFonts w:ascii="Arial" w:hAnsi="Arial" w:eastAsia="Times New Roman" w:cs="Arial"/>
          <w:color w:val="222222"/>
          <w:sz w:val="22"/>
          <w:szCs w:val="22"/>
          <w:lang w:eastAsia="en-GB"/>
        </w:rPr>
        <w:t>Ribbe</w:t>
      </w:r>
      <w:proofErr w:type="spellEnd"/>
      <w:r w:rsidRPr="004C23DC">
        <w:rPr>
          <w:rFonts w:ascii="Arial" w:hAnsi="Arial" w:eastAsia="Times New Roman" w:cs="Arial"/>
          <w:color w:val="222222"/>
          <w:sz w:val="22"/>
          <w:szCs w:val="22"/>
          <w:lang w:eastAsia="en-GB"/>
        </w:rPr>
        <w:t xml:space="preserve">, M. and van Tilburg, W. (n.d.) The review of psychosocial models in psychogeriatrics: The Erikson developmental stage model. </w:t>
      </w:r>
      <w:proofErr w:type="spellStart"/>
      <w:r w:rsidRPr="004C23DC">
        <w:rPr>
          <w:rFonts w:ascii="Arial" w:hAnsi="Arial" w:eastAsia="Times New Roman" w:cs="Arial"/>
          <w:color w:val="222222"/>
          <w:sz w:val="22"/>
          <w:szCs w:val="22"/>
          <w:lang w:eastAsia="en-GB"/>
        </w:rPr>
        <w:t>Psychomedia</w:t>
      </w:r>
      <w:proofErr w:type="spellEnd"/>
      <w:r w:rsidRPr="004C23DC">
        <w:rPr>
          <w:rFonts w:ascii="Arial" w:hAnsi="Arial" w:eastAsia="Times New Roman" w:cs="Arial"/>
          <w:color w:val="222222"/>
          <w:sz w:val="22"/>
          <w:szCs w:val="22"/>
          <w:lang w:eastAsia="en-GB"/>
        </w:rPr>
        <w:t>.</w:t>
      </w:r>
    </w:p>
    <w:p w:rsidRPr="004C23DC" w:rsidR="00BB35BA" w:rsidP="004C23DC" w:rsidRDefault="00BB35BA" w14:paraId="7D4F016B"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 xml:space="preserve">Gibson, G., Dickinson, C., </w:t>
      </w:r>
      <w:proofErr w:type="spellStart"/>
      <w:r w:rsidRPr="004C23DC">
        <w:rPr>
          <w:rFonts w:ascii="Arial" w:hAnsi="Arial" w:eastAsia="Times New Roman" w:cs="Arial"/>
          <w:color w:val="222222"/>
          <w:sz w:val="22"/>
          <w:szCs w:val="22"/>
          <w:lang w:eastAsia="en-GB"/>
        </w:rPr>
        <w:t>Brittain</w:t>
      </w:r>
      <w:proofErr w:type="spellEnd"/>
      <w:r w:rsidRPr="004C23DC">
        <w:rPr>
          <w:rFonts w:ascii="Arial" w:hAnsi="Arial" w:eastAsia="Times New Roman" w:cs="Arial"/>
          <w:color w:val="222222"/>
          <w:sz w:val="22"/>
          <w:szCs w:val="22"/>
          <w:lang w:eastAsia="en-GB"/>
        </w:rPr>
        <w:t>, K. and Robinson, L. (2017) ‘Scaffolding and working together: A qualitative exploration of strategies for everyday life with dementia’, Age and Ageing, 46(2), pp. 303–310.</w:t>
      </w:r>
    </w:p>
    <w:p w:rsidRPr="004C23DC" w:rsidR="00BB35BA" w:rsidP="004C23DC" w:rsidRDefault="00BB35BA" w14:paraId="5AF65CB5"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Goh, J.O. and Park, D.C. (2009) ‘Neuroplasticity and cognitive aging: The scaffolding theory of aging and cognition’, Restorative Neurology and Neuroscience, 27(5), pp. 391–403.</w:t>
      </w:r>
    </w:p>
    <w:p w:rsidRPr="004C23DC" w:rsidR="00BB35BA" w:rsidP="004C23DC" w:rsidRDefault="00BB35BA" w14:paraId="384F68E4"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Haight, B.K. and Burnside, I. (1993) ‘Reminiscence and life review: Explaining the differences,’ Archives of Psychiatric Nursing, 7(2), pp. 91–98.</w:t>
      </w:r>
    </w:p>
    <w:p w:rsidRPr="004C23DC" w:rsidR="00BB35BA" w:rsidP="004C23DC" w:rsidRDefault="00BB35BA" w14:paraId="5977C433"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 xml:space="preserve">Javed, S. and </w:t>
      </w:r>
      <w:proofErr w:type="spellStart"/>
      <w:r w:rsidRPr="004C23DC">
        <w:rPr>
          <w:rFonts w:ascii="Arial" w:hAnsi="Arial" w:eastAsia="Times New Roman" w:cs="Arial"/>
          <w:color w:val="222222"/>
          <w:sz w:val="22"/>
          <w:szCs w:val="22"/>
          <w:lang w:eastAsia="en-GB"/>
        </w:rPr>
        <w:t>Kakul</w:t>
      </w:r>
      <w:proofErr w:type="spellEnd"/>
      <w:r w:rsidRPr="004C23DC">
        <w:rPr>
          <w:rFonts w:ascii="Arial" w:hAnsi="Arial" w:eastAsia="Times New Roman" w:cs="Arial"/>
          <w:color w:val="222222"/>
          <w:sz w:val="22"/>
          <w:szCs w:val="22"/>
          <w:lang w:eastAsia="en-GB"/>
        </w:rPr>
        <w:t>, F. (2023) ‘Erikson’s life cycle: Outlook to dementia’, Journal of Gerontology and Geriatrics, 71(1), pp. 45–52.</w:t>
      </w:r>
    </w:p>
    <w:p w:rsidRPr="004C23DC" w:rsidR="00BB35BA" w:rsidP="004C23DC" w:rsidRDefault="00BB35BA" w14:paraId="62AEBC68"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proofErr w:type="spellStart"/>
      <w:r w:rsidRPr="004C23DC">
        <w:rPr>
          <w:rFonts w:ascii="Arial" w:hAnsi="Arial" w:eastAsia="Times New Roman" w:cs="Arial"/>
          <w:color w:val="222222"/>
          <w:sz w:val="22"/>
          <w:szCs w:val="22"/>
          <w:lang w:eastAsia="en-GB"/>
        </w:rPr>
        <w:t>Johl</w:t>
      </w:r>
      <w:proofErr w:type="spellEnd"/>
      <w:r w:rsidRPr="004C23DC">
        <w:rPr>
          <w:rFonts w:ascii="Arial" w:hAnsi="Arial" w:eastAsia="Times New Roman" w:cs="Arial"/>
          <w:color w:val="222222"/>
          <w:sz w:val="22"/>
          <w:szCs w:val="22"/>
          <w:lang w:eastAsia="en-GB"/>
        </w:rPr>
        <w:t>, N., Patterson, T. and Pearson, L. (2016) ‘What do we know about the attitudes of care workers towards dementia? A systematic review,’ Dementia, 15(1), pp. 121–146.</w:t>
      </w:r>
    </w:p>
    <w:p w:rsidRPr="004C23DC" w:rsidR="00BB35BA" w:rsidP="004C23DC" w:rsidRDefault="00BB35BA" w14:paraId="647EC07D"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proofErr w:type="spellStart"/>
      <w:r w:rsidRPr="004C23DC">
        <w:rPr>
          <w:rFonts w:ascii="Arial" w:hAnsi="Arial" w:eastAsia="Times New Roman" w:cs="Arial"/>
          <w:color w:val="222222"/>
          <w:sz w:val="22"/>
          <w:szCs w:val="22"/>
          <w:lang w:eastAsia="en-GB"/>
        </w:rPr>
        <w:t>Kitwood</w:t>
      </w:r>
      <w:proofErr w:type="spellEnd"/>
      <w:r w:rsidRPr="004C23DC">
        <w:rPr>
          <w:rFonts w:ascii="Arial" w:hAnsi="Arial" w:eastAsia="Times New Roman" w:cs="Arial"/>
          <w:color w:val="222222"/>
          <w:sz w:val="22"/>
          <w:szCs w:val="22"/>
          <w:lang w:eastAsia="en-GB"/>
        </w:rPr>
        <w:t>, T. (1997) Dementia Reconsidered: The Person Comes First. Buckingham: Open University Press.</w:t>
      </w:r>
    </w:p>
    <w:p w:rsidRPr="004C23DC" w:rsidR="00BB35BA" w:rsidP="004C23DC" w:rsidRDefault="00BB35BA" w14:paraId="6DAB6C06"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proofErr w:type="spellStart"/>
      <w:r w:rsidRPr="004C23DC">
        <w:rPr>
          <w:rFonts w:ascii="Arial" w:hAnsi="Arial" w:eastAsia="Times New Roman" w:cs="Arial"/>
          <w:color w:val="222222"/>
          <w:sz w:val="22"/>
          <w:szCs w:val="22"/>
          <w:lang w:eastAsia="en-GB"/>
        </w:rPr>
        <w:lastRenderedPageBreak/>
        <w:t>Kitwood</w:t>
      </w:r>
      <w:proofErr w:type="spellEnd"/>
      <w:r w:rsidRPr="004C23DC">
        <w:rPr>
          <w:rFonts w:ascii="Arial" w:hAnsi="Arial" w:eastAsia="Times New Roman" w:cs="Arial"/>
          <w:color w:val="222222"/>
          <w:sz w:val="22"/>
          <w:szCs w:val="22"/>
          <w:lang w:eastAsia="en-GB"/>
        </w:rPr>
        <w:t>, T. (1997) Dementia reconsidered: The person comes first. Buckingham: Open University Press.</w:t>
      </w:r>
    </w:p>
    <w:p w:rsidRPr="004C23DC" w:rsidR="00BB35BA" w:rsidP="004C23DC" w:rsidRDefault="00BB35BA" w14:paraId="645C229B" w14:textId="77777777">
      <w:pPr>
        <w:pStyle w:val="NormalWeb"/>
        <w:numPr>
          <w:ilvl w:val="0"/>
          <w:numId w:val="6"/>
        </w:numPr>
        <w:shd w:val="clear" w:color="auto" w:fill="FFFFFF"/>
        <w:spacing w:line="360" w:lineRule="auto"/>
        <w:rPr>
          <w:rFonts w:ascii="Arial" w:hAnsi="Arial" w:cs="Arial"/>
          <w:color w:val="222222"/>
          <w:sz w:val="22"/>
          <w:szCs w:val="22"/>
        </w:rPr>
      </w:pPr>
      <w:proofErr w:type="spellStart"/>
      <w:r w:rsidRPr="004C23DC">
        <w:rPr>
          <w:rFonts w:ascii="Arial" w:hAnsi="Arial" w:cs="Arial"/>
          <w:color w:val="222222"/>
          <w:sz w:val="22"/>
          <w:szCs w:val="22"/>
        </w:rPr>
        <w:t>Kitwood</w:t>
      </w:r>
      <w:proofErr w:type="spellEnd"/>
      <w:r w:rsidRPr="004C23DC">
        <w:rPr>
          <w:rFonts w:ascii="Arial" w:hAnsi="Arial" w:cs="Arial"/>
          <w:color w:val="222222"/>
          <w:sz w:val="22"/>
          <w:szCs w:val="22"/>
        </w:rPr>
        <w:t>, T. (1997). Dementia Reconsidered: The Person Comes First.</w:t>
      </w:r>
    </w:p>
    <w:p w:rsidRPr="004C23DC" w:rsidR="00BB35BA" w:rsidP="004C23DC" w:rsidRDefault="00BB35BA" w14:paraId="3DA87B09" w14:textId="77777777">
      <w:pPr>
        <w:pStyle w:val="NormalWeb"/>
        <w:numPr>
          <w:ilvl w:val="0"/>
          <w:numId w:val="6"/>
        </w:numPr>
        <w:shd w:val="clear" w:color="auto" w:fill="FFFFFF"/>
        <w:spacing w:line="360" w:lineRule="auto"/>
        <w:rPr>
          <w:rFonts w:ascii="Arial" w:hAnsi="Arial" w:cs="Arial"/>
          <w:color w:val="222222"/>
          <w:sz w:val="22"/>
          <w:szCs w:val="22"/>
        </w:rPr>
      </w:pPr>
      <w:r w:rsidRPr="004C23DC">
        <w:rPr>
          <w:rFonts w:ascii="Arial" w:hAnsi="Arial" w:cs="Arial"/>
          <w:color w:val="222222"/>
          <w:sz w:val="22"/>
          <w:szCs w:val="22"/>
        </w:rPr>
        <w:t>McAdams, D.P. (2019) ‘The psychobiography of Erik Erikson,’ Psychoanalytic Inquiry, 39(6), pp. 401–418.</w:t>
      </w:r>
    </w:p>
    <w:p w:rsidRPr="004C23DC" w:rsidR="00BB35BA" w:rsidP="004C23DC" w:rsidRDefault="00BB35BA" w14:paraId="0384E33D"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McAdams, D.P. (2019) ‘The psychobiography of Erik Erikson’, Psychoanalytic Inquiry, 39(6), pp. 401–418.</w:t>
      </w:r>
    </w:p>
    <w:p w:rsidRPr="004C23DC" w:rsidR="00BB35BA" w:rsidP="004C23DC" w:rsidRDefault="00BB35BA" w14:paraId="1C0E3BE8" w14:textId="77777777">
      <w:pPr>
        <w:pStyle w:val="NormalWeb"/>
        <w:numPr>
          <w:ilvl w:val="0"/>
          <w:numId w:val="6"/>
        </w:numPr>
        <w:shd w:val="clear" w:color="auto" w:fill="FFFFFF"/>
        <w:spacing w:line="360" w:lineRule="auto"/>
        <w:rPr>
          <w:rFonts w:ascii="Arial" w:hAnsi="Arial" w:cs="Arial"/>
          <w:color w:val="222222"/>
          <w:sz w:val="22"/>
          <w:szCs w:val="22"/>
        </w:rPr>
      </w:pPr>
      <w:r w:rsidRPr="004C23DC">
        <w:rPr>
          <w:rFonts w:ascii="Arial" w:hAnsi="Arial" w:cs="Arial"/>
          <w:color w:val="222222"/>
          <w:sz w:val="22"/>
          <w:szCs w:val="22"/>
        </w:rPr>
        <w:t>McKeown, J. et al. (2010). The use of life story work with people with dementia to enhance person-centred care. Journal of Clinical Nursing, 19(11–12), 1702–1709.</w:t>
      </w:r>
    </w:p>
    <w:p w:rsidRPr="004C23DC" w:rsidR="00BB35BA" w:rsidP="004C23DC" w:rsidRDefault="00BB35BA" w14:paraId="691CF537"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 xml:space="preserve">McKeown, J., Clarke, A. and </w:t>
      </w:r>
      <w:proofErr w:type="spellStart"/>
      <w:r w:rsidRPr="004C23DC">
        <w:rPr>
          <w:rFonts w:ascii="Arial" w:hAnsi="Arial" w:eastAsia="Times New Roman" w:cs="Arial"/>
          <w:color w:val="222222"/>
          <w:sz w:val="22"/>
          <w:szCs w:val="22"/>
          <w:lang w:eastAsia="en-GB"/>
        </w:rPr>
        <w:t>Repper</w:t>
      </w:r>
      <w:proofErr w:type="spellEnd"/>
      <w:r w:rsidRPr="004C23DC">
        <w:rPr>
          <w:rFonts w:ascii="Arial" w:hAnsi="Arial" w:eastAsia="Times New Roman" w:cs="Arial"/>
          <w:color w:val="222222"/>
          <w:sz w:val="22"/>
          <w:szCs w:val="22"/>
          <w:lang w:eastAsia="en-GB"/>
        </w:rPr>
        <w:t>, J. (2006) ‘Life story work in health and social care: Systematic review,’ Journal of Advanced Nursing, 55(2), pp. 237–247.</w:t>
      </w:r>
    </w:p>
    <w:p w:rsidRPr="004C23DC" w:rsidR="00BB35BA" w:rsidP="004C23DC" w:rsidRDefault="00BB35BA" w14:paraId="16F83931"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National Institute for Health and Care Excellence (2018) Dementia: Assessment, management and support for people living with dementia and their carers (NG97). London: NICE.</w:t>
      </w:r>
    </w:p>
    <w:p w:rsidRPr="004C23DC" w:rsidR="00BB35BA" w:rsidP="004C23DC" w:rsidRDefault="00BB35BA" w14:paraId="4BB6CA17"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National Institute for Health and Care Excellence (NICE) (2015) Older People: Independence and Mental Wellbeing (NG32). London: NICE.</w:t>
      </w:r>
    </w:p>
    <w:p w:rsidRPr="004C23DC" w:rsidR="00BB35BA" w:rsidP="004C23DC" w:rsidRDefault="00BB35BA" w14:paraId="3E73C486"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National Institute for Health and Care Excellence (NICE) (2018) Dementia: Assessment, Management and Support for People Living with Dementia and Their Carers (NG97). London: NICE.</w:t>
      </w:r>
    </w:p>
    <w:p w:rsidRPr="004C23DC" w:rsidR="00BB35BA" w:rsidP="004C23DC" w:rsidRDefault="00BB35BA" w14:paraId="7A471F4B" w14:textId="77777777">
      <w:pPr>
        <w:pStyle w:val="NormalWeb"/>
        <w:numPr>
          <w:ilvl w:val="0"/>
          <w:numId w:val="6"/>
        </w:numPr>
        <w:shd w:val="clear" w:color="auto" w:fill="FFFFFF"/>
        <w:spacing w:line="360" w:lineRule="auto"/>
        <w:rPr>
          <w:rFonts w:ascii="Arial" w:hAnsi="Arial" w:cs="Arial"/>
          <w:color w:val="222222"/>
          <w:sz w:val="22"/>
          <w:szCs w:val="22"/>
        </w:rPr>
      </w:pPr>
      <w:r w:rsidRPr="004C23DC">
        <w:rPr>
          <w:rFonts w:ascii="Arial" w:hAnsi="Arial" w:cs="Arial"/>
          <w:color w:val="222222"/>
          <w:sz w:val="22"/>
          <w:szCs w:val="22"/>
        </w:rPr>
        <w:t>Phinney, A., Chaudhury, H., &amp; O’Connor, D. (2007). Doing as much as I can do: The meaning of activity for people with dementia. Aging &amp; Mental Health, 11(4), 384–393.</w:t>
      </w:r>
    </w:p>
    <w:p w:rsidRPr="004C23DC" w:rsidR="00BB35BA" w:rsidP="004C23DC" w:rsidRDefault="00BB35BA" w14:paraId="15887F8D"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Piaget, J. (1952) The origins of intelligence in children. New York: International Universities Press.</w:t>
      </w:r>
    </w:p>
    <w:p w:rsidRPr="004C23DC" w:rsidR="00BB35BA" w:rsidP="004C23DC" w:rsidRDefault="00BB35BA" w14:paraId="30920F14"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Reisberg, B., Ferris, S.H., de Leon, M.J. and Crook, T. (1992) ‘The Global Deterioration Scale for assessment of primary degenerative dementia’, American Journal of Psychiatry, 139(9), pp. 1136–1139.</w:t>
      </w:r>
    </w:p>
    <w:p w:rsidRPr="004C23DC" w:rsidR="00BB35BA" w:rsidP="44A6C338" w:rsidRDefault="00BB35BA" w14:paraId="6E593759" w14:textId="2EE076C9">
      <w:pPr>
        <w:pStyle w:val="ListParagraph"/>
        <w:numPr>
          <w:ilvl w:val="0"/>
          <w:numId w:val="6"/>
        </w:numPr>
        <w:shd w:val="clear" w:color="auto" w:fill="FFFFFF" w:themeFill="background1"/>
        <w:spacing w:before="100" w:beforeAutospacing="on" w:after="100" w:afterAutospacing="on" w:line="360" w:lineRule="auto"/>
        <w:rPr>
          <w:rFonts w:ascii="Arial" w:hAnsi="Arial" w:eastAsia="Times New Roman" w:cs="Arial"/>
          <w:color w:val="222222"/>
          <w:sz w:val="22"/>
          <w:szCs w:val="22"/>
          <w:lang w:eastAsia="en-GB"/>
        </w:rPr>
      </w:pPr>
      <w:r w:rsidRPr="44A6C338" w:rsidR="04F33D8D">
        <w:rPr>
          <w:rFonts w:ascii="Arial" w:hAnsi="Arial" w:eastAsia="Times New Roman" w:cs="Arial"/>
          <w:color w:val="222222"/>
          <w:sz w:val="22"/>
          <w:szCs w:val="22"/>
          <w:lang w:eastAsia="en-GB"/>
        </w:rPr>
        <w:t>R</w:t>
      </w:r>
      <w:r w:rsidRPr="44A6C338" w:rsidR="00BB35BA">
        <w:rPr>
          <w:rFonts w:ascii="Arial" w:hAnsi="Arial" w:eastAsia="Times New Roman" w:cs="Arial"/>
          <w:color w:val="222222"/>
          <w:sz w:val="22"/>
          <w:szCs w:val="22"/>
          <w:lang w:eastAsia="en-GB"/>
        </w:rPr>
        <w:t>ooker</w:t>
      </w:r>
      <w:r w:rsidRPr="44A6C338" w:rsidR="00BB35BA">
        <w:rPr>
          <w:rFonts w:ascii="Arial" w:hAnsi="Arial" w:eastAsia="Times New Roman" w:cs="Arial"/>
          <w:color w:val="222222"/>
          <w:sz w:val="22"/>
          <w:szCs w:val="22"/>
          <w:lang w:eastAsia="en-GB"/>
        </w:rPr>
        <w:t>, D. and Latham, I. (2015) Person-centred dementia care: Making services better. 2nd ed. London: Jessica Kingsley Publishers.</w:t>
      </w:r>
    </w:p>
    <w:p w:rsidRPr="004C23DC" w:rsidR="00BB35BA" w:rsidP="004C23DC" w:rsidRDefault="00BB35BA" w14:paraId="6FAD3D4D"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Subramaniam, P. and Woods, B. (2016) ‘The impact of life story work on people with dementia: A systematic review,’ Journal of Alzheimer’s Disease, 51(1), pp. 393–404.</w:t>
      </w:r>
    </w:p>
    <w:p w:rsidRPr="004C23DC" w:rsidR="00BB35BA" w:rsidP="004C23DC" w:rsidRDefault="00BB35BA" w14:paraId="6415A96F"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Subramaniam, P. and Woods, B. (2016) ‘The impact of life story work on people with dementia: A systematic review’, Journal of Alzheimer’s Disease, 51(1), pp. 393–404.</w:t>
      </w:r>
    </w:p>
    <w:p w:rsidRPr="004C23DC" w:rsidR="00BB35BA" w:rsidP="004C23DC" w:rsidRDefault="00BB35BA" w14:paraId="2E11E7E9"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Subramaniam, P. and Woods, B. (2016) ‘The impact of life story work on people with dementia: A systematic review’, Journal of Alzheimer’s Disease, 51(1), pp. 393–404</w:t>
      </w:r>
    </w:p>
    <w:p w:rsidRPr="004C23DC" w:rsidR="00BB35BA" w:rsidP="004C23DC" w:rsidRDefault="00BB35BA" w14:paraId="7FFA8E49" w14:textId="77777777">
      <w:pPr>
        <w:pStyle w:val="NormalWeb"/>
        <w:numPr>
          <w:ilvl w:val="0"/>
          <w:numId w:val="6"/>
        </w:numPr>
        <w:shd w:val="clear" w:color="auto" w:fill="FFFFFF"/>
        <w:spacing w:line="360" w:lineRule="auto"/>
        <w:rPr>
          <w:rFonts w:ascii="Arial" w:hAnsi="Arial" w:cs="Arial"/>
          <w:color w:val="222222"/>
          <w:sz w:val="22"/>
          <w:szCs w:val="22"/>
        </w:rPr>
      </w:pPr>
      <w:r w:rsidRPr="004C23DC">
        <w:rPr>
          <w:rFonts w:ascii="Arial" w:hAnsi="Arial" w:cs="Arial"/>
          <w:color w:val="222222"/>
          <w:sz w:val="22"/>
          <w:szCs w:val="22"/>
        </w:rPr>
        <w:t>Subramaniam, P., &amp; Woods, B. (2016). The impact of individual reminiscence therapy for people with dementia: Systematic review. Expert Review of Neurotherapeutics, 16(5), 545–553.</w:t>
      </w:r>
    </w:p>
    <w:p w:rsidRPr="004C23DC" w:rsidR="00BB35BA" w:rsidP="004C23DC" w:rsidRDefault="00BB35BA" w14:paraId="4A319303"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lastRenderedPageBreak/>
        <w:t>Vygotsky, L.S. (1978) Mind in society: The development of higher psychological processes. Cambridge, MA: Harvard University Press.</w:t>
      </w:r>
    </w:p>
    <w:p w:rsidRPr="004C23DC" w:rsidR="00BB35BA" w:rsidP="004C23DC" w:rsidRDefault="00BB35BA" w14:paraId="6AE1A3BE"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Wang, J. et al. (2022) ‘Effects of reminiscence therapy in people with dementia: A systematic review and meta-analysis,’ Aging &amp; Mental Health, 26(5), pp. 996–1008.</w:t>
      </w:r>
    </w:p>
    <w:p w:rsidRPr="004C23DC" w:rsidR="00BB35BA" w:rsidP="004C23DC" w:rsidRDefault="00BB35BA" w14:paraId="6D539F11" w14:textId="77777777">
      <w:pPr>
        <w:pStyle w:val="ListParagraph"/>
        <w:numPr>
          <w:ilvl w:val="0"/>
          <w:numId w:val="6"/>
        </w:numPr>
        <w:shd w:val="clear" w:color="auto" w:fill="FFFFFF"/>
        <w:spacing w:before="100" w:beforeAutospacing="1" w:after="100" w:afterAutospacing="1" w:line="360" w:lineRule="auto"/>
        <w:rPr>
          <w:rFonts w:ascii="Arial" w:hAnsi="Arial" w:eastAsia="Times New Roman" w:cs="Arial"/>
          <w:color w:val="222222"/>
          <w:sz w:val="22"/>
          <w:szCs w:val="22"/>
          <w:lang w:eastAsia="en-GB"/>
        </w:rPr>
      </w:pPr>
      <w:r w:rsidRPr="004C23DC">
        <w:rPr>
          <w:rFonts w:ascii="Arial" w:hAnsi="Arial" w:eastAsia="Times New Roman" w:cs="Arial"/>
          <w:color w:val="222222"/>
          <w:sz w:val="22"/>
          <w:szCs w:val="22"/>
          <w:lang w:eastAsia="en-GB"/>
        </w:rPr>
        <w:t>Wang, J. et al. (2022) ‘Effects of reminiscence therapy in people with dementia: A systematic review and meta-analysis’, Aging &amp; Mental Health, 26(5), pp. 996–1008.</w:t>
      </w:r>
    </w:p>
    <w:p w:rsidRPr="004C23DC" w:rsidR="00BB35BA" w:rsidP="004C23DC" w:rsidRDefault="00BB35BA" w14:paraId="3C0A3082" w14:textId="77777777">
      <w:pPr>
        <w:pStyle w:val="NormalWeb"/>
        <w:numPr>
          <w:ilvl w:val="0"/>
          <w:numId w:val="6"/>
        </w:numPr>
        <w:shd w:val="clear" w:color="auto" w:fill="FFFFFF"/>
        <w:spacing w:line="360" w:lineRule="auto"/>
        <w:rPr>
          <w:rFonts w:ascii="Arial" w:hAnsi="Arial" w:cs="Arial"/>
          <w:color w:val="222222"/>
          <w:sz w:val="22"/>
          <w:szCs w:val="22"/>
        </w:rPr>
      </w:pPr>
      <w:r w:rsidRPr="004C23DC">
        <w:rPr>
          <w:rFonts w:ascii="Arial" w:hAnsi="Arial" w:cs="Arial"/>
          <w:color w:val="222222"/>
          <w:sz w:val="22"/>
          <w:szCs w:val="22"/>
        </w:rPr>
        <w:t>Woods, R. T. et al. (2018). Cognitive stimulation to enhance psychological well-being in dementia. Cochrane Database of Systematic Reviews.</w:t>
      </w:r>
    </w:p>
    <w:p w:rsidRPr="005876A4" w:rsidR="005B739D" w:rsidP="005B739D" w:rsidRDefault="005B739D" w14:paraId="70F5055F" w14:textId="77777777">
      <w:pPr>
        <w:pStyle w:val="ListParagraph"/>
        <w:shd w:val="clear" w:color="auto" w:fill="FFFFFF"/>
        <w:spacing w:before="100" w:beforeAutospacing="1" w:after="100" w:afterAutospacing="1"/>
        <w:rPr>
          <w:rFonts w:ascii="Arial" w:hAnsi="Arial" w:eastAsia="Times New Roman" w:cs="Arial"/>
          <w:color w:val="222222"/>
          <w:sz w:val="22"/>
          <w:szCs w:val="22"/>
          <w:lang w:eastAsia="en-GB"/>
        </w:rPr>
      </w:pPr>
    </w:p>
    <w:sectPr w:rsidRPr="005876A4" w:rsidR="005B739D" w:rsidSect="002365E2">
      <w:headerReference w:type="even" r:id="rId9"/>
      <w:headerReference w:type="default" r:id="rId10"/>
      <w:footerReference w:type="even" r:id="rId11"/>
      <w:footerReference w:type="default" r:id="rId12"/>
      <w:headerReference w:type="first" r:id="rId13"/>
      <w:footerReference w:type="first" r:id="rId14"/>
      <w:pgSz w:w="11900" w:h="16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301FC" w:rsidP="005876A4" w:rsidRDefault="009301FC" w14:paraId="518F23C3" w14:textId="77777777">
      <w:r>
        <w:separator/>
      </w:r>
    </w:p>
  </w:endnote>
  <w:endnote w:type="continuationSeparator" w:id="0">
    <w:p w:rsidR="009301FC" w:rsidP="005876A4" w:rsidRDefault="009301FC" w14:paraId="0C93FB8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3648973"/>
      <w:docPartObj>
        <w:docPartGallery w:val="Page Numbers (Bottom of Page)"/>
        <w:docPartUnique/>
      </w:docPartObj>
    </w:sdtPr>
    <w:sdtEndPr>
      <w:rPr>
        <w:rStyle w:val="PageNumber"/>
      </w:rPr>
    </w:sdtEndPr>
    <w:sdtContent>
      <w:p w:rsidR="005876A4" w:rsidP="00A4496D" w:rsidRDefault="005876A4" w14:paraId="09845505" w14:textId="04C8B204">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876A4" w:rsidP="005876A4" w:rsidRDefault="005876A4" w14:paraId="263CE75B"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5963060"/>
      <w:docPartObj>
        <w:docPartGallery w:val="Page Numbers (Bottom of Page)"/>
        <w:docPartUnique/>
      </w:docPartObj>
    </w:sdtPr>
    <w:sdtEndPr>
      <w:rPr>
        <w:rStyle w:val="PageNumber"/>
      </w:rPr>
    </w:sdtEndPr>
    <w:sdtContent>
      <w:p w:rsidR="005876A4" w:rsidP="00A4496D" w:rsidRDefault="005876A4" w14:paraId="636E74A6" w14:textId="3ACA8E33">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876A4" w:rsidP="005876A4" w:rsidRDefault="005876A4" w14:paraId="483CE6C8" w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76A4" w:rsidRDefault="005876A4" w14:paraId="195AFC3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301FC" w:rsidP="005876A4" w:rsidRDefault="009301FC" w14:paraId="6226D469" w14:textId="77777777">
      <w:r>
        <w:separator/>
      </w:r>
    </w:p>
  </w:footnote>
  <w:footnote w:type="continuationSeparator" w:id="0">
    <w:p w:rsidR="009301FC" w:rsidP="005876A4" w:rsidRDefault="009301FC" w14:paraId="1DC9922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76A4" w:rsidRDefault="005876A4" w14:paraId="2B4A0F6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76A4" w:rsidRDefault="005876A4" w14:paraId="7EA90CF8"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76A4" w:rsidRDefault="005876A4" w14:paraId="22FE851D" w14:textId="77777777">
    <w:pPr>
      <w:pStyle w:val="Header"/>
    </w:pPr>
  </w:p>
</w:hdr>
</file>

<file path=word/intelligence2.xml><?xml version="1.0" encoding="utf-8"?>
<int2:intelligence xmlns:int2="http://schemas.microsoft.com/office/intelligence/2020/intelligence">
  <int2:observations>
    <int2:textHash int2:hashCode="pR5YXsLDQS4do/" int2:id="zBhS1QRS">
      <int2:state int2:type="spell" int2:value="Rejected"/>
    </int2:textHash>
    <int2:textHash int2:hashCode="Y7rxyEYEGk+h8X" int2:id="WMDQu8Xk">
      <int2:state int2:type="spell" int2:value="Rejected"/>
    </int2:textHash>
    <int2:textHash int2:hashCode="pzkWhX3MQRF5HT" int2:id="R1xTAIrB">
      <int2:state int2:type="spell" int2:value="Rejected"/>
    </int2:textHash>
    <int2:textHash int2:hashCode="2jDWXptI/WiO69" int2:id="bsmLC5IK">
      <int2:state int2:type="spell" int2:value="Rejected"/>
    </int2:textHash>
    <int2:textHash int2:hashCode="919tPyWjL63iSF" int2:id="6TFCuM3p">
      <int2:state int2:type="spell" int2:value="Rejected"/>
    </int2:textHash>
    <int2:textHash int2:hashCode="HCDEAlr+45lrPX" int2:id="kSiK2Mil">
      <int2:state int2:type="spell" int2:value="Rejected"/>
    </int2:textHash>
    <int2:textHash int2:hashCode="T2G5Vcy6DXlZ6V" int2:id="Q2JpWUrX">
      <int2:state int2:type="spell" int2:value="Rejected"/>
    </int2:textHash>
    <int2:textHash int2:hashCode="2QXEDotLT2wjEy" int2:id="smlu9Vmo">
      <int2:state int2:type="spell" int2:value="Rejected"/>
    </int2:textHash>
    <int2:textHash int2:hashCode="OaiKWrWu2WgqCM" int2:id="6Bqv5OUn">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750A5"/>
    <w:multiLevelType w:val="hybridMultilevel"/>
    <w:tmpl w:val="44C477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E16683B"/>
    <w:multiLevelType w:val="multilevel"/>
    <w:tmpl w:val="F0E878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48C23FA"/>
    <w:multiLevelType w:val="hybridMultilevel"/>
    <w:tmpl w:val="EC0622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04A4298"/>
    <w:multiLevelType w:val="multilevel"/>
    <w:tmpl w:val="1B8C4F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C8F7E91"/>
    <w:multiLevelType w:val="multilevel"/>
    <w:tmpl w:val="96B298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B314C23"/>
    <w:multiLevelType w:val="hybridMultilevel"/>
    <w:tmpl w:val="4B08F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displayBackgroundShape/>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9BA"/>
    <w:rsid w:val="000308CB"/>
    <w:rsid w:val="000F2B71"/>
    <w:rsid w:val="002365E2"/>
    <w:rsid w:val="002B36AA"/>
    <w:rsid w:val="004C23DC"/>
    <w:rsid w:val="005876A4"/>
    <w:rsid w:val="005B739D"/>
    <w:rsid w:val="006E077B"/>
    <w:rsid w:val="007107C0"/>
    <w:rsid w:val="007F1E13"/>
    <w:rsid w:val="009301FC"/>
    <w:rsid w:val="00A15B9F"/>
    <w:rsid w:val="00A41992"/>
    <w:rsid w:val="00B56C95"/>
    <w:rsid w:val="00BB35BA"/>
    <w:rsid w:val="00D4216D"/>
    <w:rsid w:val="00E92812"/>
    <w:rsid w:val="00ED39BA"/>
    <w:rsid w:val="00F11369"/>
    <w:rsid w:val="0400C4D6"/>
    <w:rsid w:val="0461B440"/>
    <w:rsid w:val="04F33D8D"/>
    <w:rsid w:val="09670F40"/>
    <w:rsid w:val="0B9CEDAC"/>
    <w:rsid w:val="0EDB9CC5"/>
    <w:rsid w:val="11F753E9"/>
    <w:rsid w:val="19149DEB"/>
    <w:rsid w:val="1B5E3AE3"/>
    <w:rsid w:val="1C208125"/>
    <w:rsid w:val="22077606"/>
    <w:rsid w:val="233F4DBB"/>
    <w:rsid w:val="2CF3E564"/>
    <w:rsid w:val="2EE9231D"/>
    <w:rsid w:val="33944BD1"/>
    <w:rsid w:val="3870BAAB"/>
    <w:rsid w:val="3A09B3A0"/>
    <w:rsid w:val="3AAAF9BF"/>
    <w:rsid w:val="3DA0CC82"/>
    <w:rsid w:val="44A6C338"/>
    <w:rsid w:val="4506C835"/>
    <w:rsid w:val="4E10A64B"/>
    <w:rsid w:val="52D0203A"/>
    <w:rsid w:val="52F2E03B"/>
    <w:rsid w:val="5380654C"/>
    <w:rsid w:val="540C42AB"/>
    <w:rsid w:val="540FCB06"/>
    <w:rsid w:val="54331B50"/>
    <w:rsid w:val="5C56BD87"/>
    <w:rsid w:val="5C8F6172"/>
    <w:rsid w:val="5F3D1270"/>
    <w:rsid w:val="64CF20EA"/>
    <w:rsid w:val="67668B4F"/>
    <w:rsid w:val="68773109"/>
    <w:rsid w:val="6A4C5144"/>
    <w:rsid w:val="6C5F4F95"/>
    <w:rsid w:val="7D8A0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22555"/>
  <w15:chartTrackingRefBased/>
  <w15:docId w15:val="{DD7285DE-38C0-4C40-B600-491DA937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5876A4"/>
    <w:pPr>
      <w:spacing w:before="100" w:beforeAutospacing="1" w:after="100" w:afterAutospacing="1"/>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A15B9F"/>
    <w:pPr>
      <w:spacing w:before="100" w:beforeAutospacing="1" w:after="100"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00A15B9F"/>
    <w:pPr>
      <w:ind w:left="720"/>
      <w:contextualSpacing/>
    </w:pPr>
  </w:style>
  <w:style w:type="table" w:styleId="TableGrid">
    <w:name w:val="Table Grid"/>
    <w:basedOn w:val="TableNormal"/>
    <w:uiPriority w:val="39"/>
    <w:rsid w:val="005876A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unhideWhenUsed/>
    <w:rsid w:val="005876A4"/>
    <w:pPr>
      <w:tabs>
        <w:tab w:val="center" w:pos="4680"/>
        <w:tab w:val="right" w:pos="9360"/>
      </w:tabs>
    </w:pPr>
  </w:style>
  <w:style w:type="character" w:styleId="FooterChar" w:customStyle="1">
    <w:name w:val="Footer Char"/>
    <w:basedOn w:val="DefaultParagraphFont"/>
    <w:link w:val="Footer"/>
    <w:uiPriority w:val="99"/>
    <w:rsid w:val="005876A4"/>
  </w:style>
  <w:style w:type="character" w:styleId="PageNumber">
    <w:name w:val="page number"/>
    <w:basedOn w:val="DefaultParagraphFont"/>
    <w:uiPriority w:val="99"/>
    <w:semiHidden/>
    <w:unhideWhenUsed/>
    <w:rsid w:val="005876A4"/>
  </w:style>
  <w:style w:type="character" w:styleId="Heading3Char" w:customStyle="1">
    <w:name w:val="Heading 3 Char"/>
    <w:basedOn w:val="DefaultParagraphFont"/>
    <w:link w:val="Heading3"/>
    <w:uiPriority w:val="9"/>
    <w:rsid w:val="005876A4"/>
    <w:rPr>
      <w:rFonts w:ascii="Times New Roman" w:hAnsi="Times New Roman" w:eastAsia="Times New Roman" w:cs="Times New Roman"/>
      <w:b/>
      <w:bCs/>
      <w:sz w:val="27"/>
      <w:szCs w:val="27"/>
      <w:lang w:eastAsia="en-GB"/>
    </w:rPr>
  </w:style>
  <w:style w:type="character" w:styleId="Hyperlink">
    <w:name w:val="Hyperlink"/>
    <w:basedOn w:val="DefaultParagraphFont"/>
    <w:uiPriority w:val="99"/>
    <w:semiHidden/>
    <w:unhideWhenUsed/>
    <w:rsid w:val="005876A4"/>
    <w:rPr>
      <w:color w:val="0000FF"/>
      <w:u w:val="single"/>
    </w:rPr>
  </w:style>
  <w:style w:type="paragraph" w:styleId="Header">
    <w:name w:val="header"/>
    <w:basedOn w:val="Normal"/>
    <w:link w:val="HeaderChar"/>
    <w:uiPriority w:val="99"/>
    <w:unhideWhenUsed/>
    <w:rsid w:val="005876A4"/>
    <w:pPr>
      <w:tabs>
        <w:tab w:val="center" w:pos="4680"/>
        <w:tab w:val="right" w:pos="9360"/>
      </w:tabs>
    </w:pPr>
  </w:style>
  <w:style w:type="character" w:styleId="HeaderChar" w:customStyle="1">
    <w:name w:val="Header Char"/>
    <w:basedOn w:val="DefaultParagraphFont"/>
    <w:link w:val="Header"/>
    <w:uiPriority w:val="99"/>
    <w:rsid w:val="00587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2706">
      <w:bodyDiv w:val="1"/>
      <w:marLeft w:val="0"/>
      <w:marRight w:val="0"/>
      <w:marTop w:val="0"/>
      <w:marBottom w:val="0"/>
      <w:divBdr>
        <w:top w:val="none" w:sz="0" w:space="0" w:color="auto"/>
        <w:left w:val="none" w:sz="0" w:space="0" w:color="auto"/>
        <w:bottom w:val="none" w:sz="0" w:space="0" w:color="auto"/>
        <w:right w:val="none" w:sz="0" w:space="0" w:color="auto"/>
      </w:divBdr>
    </w:div>
    <w:div w:id="100609928">
      <w:bodyDiv w:val="1"/>
      <w:marLeft w:val="0"/>
      <w:marRight w:val="0"/>
      <w:marTop w:val="0"/>
      <w:marBottom w:val="0"/>
      <w:divBdr>
        <w:top w:val="none" w:sz="0" w:space="0" w:color="auto"/>
        <w:left w:val="none" w:sz="0" w:space="0" w:color="auto"/>
        <w:bottom w:val="none" w:sz="0" w:space="0" w:color="auto"/>
        <w:right w:val="none" w:sz="0" w:space="0" w:color="auto"/>
      </w:divBdr>
    </w:div>
    <w:div w:id="124472398">
      <w:bodyDiv w:val="1"/>
      <w:marLeft w:val="0"/>
      <w:marRight w:val="0"/>
      <w:marTop w:val="0"/>
      <w:marBottom w:val="0"/>
      <w:divBdr>
        <w:top w:val="none" w:sz="0" w:space="0" w:color="auto"/>
        <w:left w:val="none" w:sz="0" w:space="0" w:color="auto"/>
        <w:bottom w:val="none" w:sz="0" w:space="0" w:color="auto"/>
        <w:right w:val="none" w:sz="0" w:space="0" w:color="auto"/>
      </w:divBdr>
    </w:div>
    <w:div w:id="158010471">
      <w:bodyDiv w:val="1"/>
      <w:marLeft w:val="0"/>
      <w:marRight w:val="0"/>
      <w:marTop w:val="0"/>
      <w:marBottom w:val="0"/>
      <w:divBdr>
        <w:top w:val="none" w:sz="0" w:space="0" w:color="auto"/>
        <w:left w:val="none" w:sz="0" w:space="0" w:color="auto"/>
        <w:bottom w:val="none" w:sz="0" w:space="0" w:color="auto"/>
        <w:right w:val="none" w:sz="0" w:space="0" w:color="auto"/>
      </w:divBdr>
    </w:div>
    <w:div w:id="162747146">
      <w:bodyDiv w:val="1"/>
      <w:marLeft w:val="0"/>
      <w:marRight w:val="0"/>
      <w:marTop w:val="0"/>
      <w:marBottom w:val="0"/>
      <w:divBdr>
        <w:top w:val="none" w:sz="0" w:space="0" w:color="auto"/>
        <w:left w:val="none" w:sz="0" w:space="0" w:color="auto"/>
        <w:bottom w:val="none" w:sz="0" w:space="0" w:color="auto"/>
        <w:right w:val="none" w:sz="0" w:space="0" w:color="auto"/>
      </w:divBdr>
    </w:div>
    <w:div w:id="223420324">
      <w:bodyDiv w:val="1"/>
      <w:marLeft w:val="0"/>
      <w:marRight w:val="0"/>
      <w:marTop w:val="0"/>
      <w:marBottom w:val="0"/>
      <w:divBdr>
        <w:top w:val="none" w:sz="0" w:space="0" w:color="auto"/>
        <w:left w:val="none" w:sz="0" w:space="0" w:color="auto"/>
        <w:bottom w:val="none" w:sz="0" w:space="0" w:color="auto"/>
        <w:right w:val="none" w:sz="0" w:space="0" w:color="auto"/>
      </w:divBdr>
    </w:div>
    <w:div w:id="225848355">
      <w:bodyDiv w:val="1"/>
      <w:marLeft w:val="0"/>
      <w:marRight w:val="0"/>
      <w:marTop w:val="0"/>
      <w:marBottom w:val="0"/>
      <w:divBdr>
        <w:top w:val="none" w:sz="0" w:space="0" w:color="auto"/>
        <w:left w:val="none" w:sz="0" w:space="0" w:color="auto"/>
        <w:bottom w:val="none" w:sz="0" w:space="0" w:color="auto"/>
        <w:right w:val="none" w:sz="0" w:space="0" w:color="auto"/>
      </w:divBdr>
      <w:divsChild>
        <w:div w:id="37779501">
          <w:marLeft w:val="0"/>
          <w:marRight w:val="0"/>
          <w:marTop w:val="0"/>
          <w:marBottom w:val="0"/>
          <w:divBdr>
            <w:top w:val="none" w:sz="0" w:space="0" w:color="auto"/>
            <w:left w:val="none" w:sz="0" w:space="0" w:color="auto"/>
            <w:bottom w:val="none" w:sz="0" w:space="0" w:color="auto"/>
            <w:right w:val="none" w:sz="0" w:space="0" w:color="auto"/>
          </w:divBdr>
        </w:div>
      </w:divsChild>
    </w:div>
    <w:div w:id="257642037">
      <w:bodyDiv w:val="1"/>
      <w:marLeft w:val="0"/>
      <w:marRight w:val="0"/>
      <w:marTop w:val="0"/>
      <w:marBottom w:val="0"/>
      <w:divBdr>
        <w:top w:val="none" w:sz="0" w:space="0" w:color="auto"/>
        <w:left w:val="none" w:sz="0" w:space="0" w:color="auto"/>
        <w:bottom w:val="none" w:sz="0" w:space="0" w:color="auto"/>
        <w:right w:val="none" w:sz="0" w:space="0" w:color="auto"/>
      </w:divBdr>
    </w:div>
    <w:div w:id="357435132">
      <w:bodyDiv w:val="1"/>
      <w:marLeft w:val="0"/>
      <w:marRight w:val="0"/>
      <w:marTop w:val="0"/>
      <w:marBottom w:val="0"/>
      <w:divBdr>
        <w:top w:val="none" w:sz="0" w:space="0" w:color="auto"/>
        <w:left w:val="none" w:sz="0" w:space="0" w:color="auto"/>
        <w:bottom w:val="none" w:sz="0" w:space="0" w:color="auto"/>
        <w:right w:val="none" w:sz="0" w:space="0" w:color="auto"/>
      </w:divBdr>
      <w:divsChild>
        <w:div w:id="1532189219">
          <w:marLeft w:val="0"/>
          <w:marRight w:val="0"/>
          <w:marTop w:val="0"/>
          <w:marBottom w:val="0"/>
          <w:divBdr>
            <w:top w:val="none" w:sz="0" w:space="0" w:color="auto"/>
            <w:left w:val="none" w:sz="0" w:space="0" w:color="auto"/>
            <w:bottom w:val="none" w:sz="0" w:space="0" w:color="auto"/>
            <w:right w:val="none" w:sz="0" w:space="0" w:color="auto"/>
          </w:divBdr>
          <w:divsChild>
            <w:div w:id="126895762">
              <w:marLeft w:val="0"/>
              <w:marRight w:val="0"/>
              <w:marTop w:val="0"/>
              <w:marBottom w:val="0"/>
              <w:divBdr>
                <w:top w:val="none" w:sz="0" w:space="0" w:color="auto"/>
                <w:left w:val="none" w:sz="0" w:space="0" w:color="auto"/>
                <w:bottom w:val="none" w:sz="0" w:space="0" w:color="auto"/>
                <w:right w:val="none" w:sz="0" w:space="0" w:color="auto"/>
              </w:divBdr>
              <w:divsChild>
                <w:div w:id="1321620699">
                  <w:marLeft w:val="0"/>
                  <w:marRight w:val="0"/>
                  <w:marTop w:val="120"/>
                  <w:marBottom w:val="0"/>
                  <w:divBdr>
                    <w:top w:val="none" w:sz="0" w:space="0" w:color="auto"/>
                    <w:left w:val="none" w:sz="0" w:space="0" w:color="auto"/>
                    <w:bottom w:val="none" w:sz="0" w:space="0" w:color="auto"/>
                    <w:right w:val="none" w:sz="0" w:space="0" w:color="auto"/>
                  </w:divBdr>
                  <w:divsChild>
                    <w:div w:id="414057724">
                      <w:marLeft w:val="0"/>
                      <w:marRight w:val="0"/>
                      <w:marTop w:val="0"/>
                      <w:marBottom w:val="0"/>
                      <w:divBdr>
                        <w:top w:val="none" w:sz="0" w:space="0" w:color="auto"/>
                        <w:left w:val="none" w:sz="0" w:space="0" w:color="auto"/>
                        <w:bottom w:val="none" w:sz="0" w:space="0" w:color="auto"/>
                        <w:right w:val="none" w:sz="0" w:space="0" w:color="auto"/>
                      </w:divBdr>
                      <w:divsChild>
                        <w:div w:id="977682871">
                          <w:marLeft w:val="0"/>
                          <w:marRight w:val="0"/>
                          <w:marTop w:val="0"/>
                          <w:marBottom w:val="0"/>
                          <w:divBdr>
                            <w:top w:val="none" w:sz="0" w:space="0" w:color="auto"/>
                            <w:left w:val="none" w:sz="0" w:space="0" w:color="auto"/>
                            <w:bottom w:val="none" w:sz="0" w:space="0" w:color="auto"/>
                            <w:right w:val="none" w:sz="0" w:space="0" w:color="auto"/>
                          </w:divBdr>
                          <w:divsChild>
                            <w:div w:id="1030951745">
                              <w:marLeft w:val="0"/>
                              <w:marRight w:val="0"/>
                              <w:marTop w:val="0"/>
                              <w:marBottom w:val="0"/>
                              <w:divBdr>
                                <w:top w:val="none" w:sz="0" w:space="0" w:color="auto"/>
                                <w:left w:val="none" w:sz="0" w:space="0" w:color="auto"/>
                                <w:bottom w:val="none" w:sz="0" w:space="0" w:color="auto"/>
                                <w:right w:val="none" w:sz="0" w:space="0" w:color="auto"/>
                              </w:divBdr>
                              <w:divsChild>
                                <w:div w:id="713191912">
                                  <w:marLeft w:val="0"/>
                                  <w:marRight w:val="0"/>
                                  <w:marTop w:val="0"/>
                                  <w:marBottom w:val="0"/>
                                  <w:divBdr>
                                    <w:top w:val="none" w:sz="0" w:space="0" w:color="auto"/>
                                    <w:left w:val="none" w:sz="0" w:space="0" w:color="auto"/>
                                    <w:bottom w:val="none" w:sz="0" w:space="0" w:color="auto"/>
                                    <w:right w:val="none" w:sz="0" w:space="0" w:color="auto"/>
                                  </w:divBdr>
                                  <w:divsChild>
                                    <w:div w:id="649484358">
                                      <w:marLeft w:val="0"/>
                                      <w:marRight w:val="0"/>
                                      <w:marTop w:val="0"/>
                                      <w:marBottom w:val="0"/>
                                      <w:divBdr>
                                        <w:top w:val="none" w:sz="0" w:space="0" w:color="auto"/>
                                        <w:left w:val="none" w:sz="0" w:space="0" w:color="auto"/>
                                        <w:bottom w:val="none" w:sz="0" w:space="0" w:color="auto"/>
                                        <w:right w:val="none" w:sz="0" w:space="0" w:color="auto"/>
                                      </w:divBdr>
                                    </w:div>
                                  </w:divsChild>
                                </w:div>
                                <w:div w:id="723722704">
                                  <w:marLeft w:val="0"/>
                                  <w:marRight w:val="0"/>
                                  <w:marTop w:val="0"/>
                                  <w:marBottom w:val="0"/>
                                  <w:divBdr>
                                    <w:top w:val="none" w:sz="0" w:space="0" w:color="auto"/>
                                    <w:left w:val="none" w:sz="0" w:space="0" w:color="auto"/>
                                    <w:bottom w:val="none" w:sz="0" w:space="0" w:color="auto"/>
                                    <w:right w:val="none" w:sz="0" w:space="0" w:color="auto"/>
                                  </w:divBdr>
                                  <w:divsChild>
                                    <w:div w:id="191589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599050">
      <w:bodyDiv w:val="1"/>
      <w:marLeft w:val="0"/>
      <w:marRight w:val="0"/>
      <w:marTop w:val="0"/>
      <w:marBottom w:val="0"/>
      <w:divBdr>
        <w:top w:val="none" w:sz="0" w:space="0" w:color="auto"/>
        <w:left w:val="none" w:sz="0" w:space="0" w:color="auto"/>
        <w:bottom w:val="none" w:sz="0" w:space="0" w:color="auto"/>
        <w:right w:val="none" w:sz="0" w:space="0" w:color="auto"/>
      </w:divBdr>
    </w:div>
    <w:div w:id="445731971">
      <w:bodyDiv w:val="1"/>
      <w:marLeft w:val="0"/>
      <w:marRight w:val="0"/>
      <w:marTop w:val="0"/>
      <w:marBottom w:val="0"/>
      <w:divBdr>
        <w:top w:val="none" w:sz="0" w:space="0" w:color="auto"/>
        <w:left w:val="none" w:sz="0" w:space="0" w:color="auto"/>
        <w:bottom w:val="none" w:sz="0" w:space="0" w:color="auto"/>
        <w:right w:val="none" w:sz="0" w:space="0" w:color="auto"/>
      </w:divBdr>
    </w:div>
    <w:div w:id="531725665">
      <w:bodyDiv w:val="1"/>
      <w:marLeft w:val="0"/>
      <w:marRight w:val="0"/>
      <w:marTop w:val="0"/>
      <w:marBottom w:val="0"/>
      <w:divBdr>
        <w:top w:val="none" w:sz="0" w:space="0" w:color="auto"/>
        <w:left w:val="none" w:sz="0" w:space="0" w:color="auto"/>
        <w:bottom w:val="none" w:sz="0" w:space="0" w:color="auto"/>
        <w:right w:val="none" w:sz="0" w:space="0" w:color="auto"/>
      </w:divBdr>
    </w:div>
    <w:div w:id="532230784">
      <w:bodyDiv w:val="1"/>
      <w:marLeft w:val="0"/>
      <w:marRight w:val="0"/>
      <w:marTop w:val="0"/>
      <w:marBottom w:val="0"/>
      <w:divBdr>
        <w:top w:val="none" w:sz="0" w:space="0" w:color="auto"/>
        <w:left w:val="none" w:sz="0" w:space="0" w:color="auto"/>
        <w:bottom w:val="none" w:sz="0" w:space="0" w:color="auto"/>
        <w:right w:val="none" w:sz="0" w:space="0" w:color="auto"/>
      </w:divBdr>
    </w:div>
    <w:div w:id="791289726">
      <w:bodyDiv w:val="1"/>
      <w:marLeft w:val="0"/>
      <w:marRight w:val="0"/>
      <w:marTop w:val="0"/>
      <w:marBottom w:val="0"/>
      <w:divBdr>
        <w:top w:val="none" w:sz="0" w:space="0" w:color="auto"/>
        <w:left w:val="none" w:sz="0" w:space="0" w:color="auto"/>
        <w:bottom w:val="none" w:sz="0" w:space="0" w:color="auto"/>
        <w:right w:val="none" w:sz="0" w:space="0" w:color="auto"/>
      </w:divBdr>
    </w:div>
    <w:div w:id="942884820">
      <w:bodyDiv w:val="1"/>
      <w:marLeft w:val="0"/>
      <w:marRight w:val="0"/>
      <w:marTop w:val="0"/>
      <w:marBottom w:val="0"/>
      <w:divBdr>
        <w:top w:val="none" w:sz="0" w:space="0" w:color="auto"/>
        <w:left w:val="none" w:sz="0" w:space="0" w:color="auto"/>
        <w:bottom w:val="none" w:sz="0" w:space="0" w:color="auto"/>
        <w:right w:val="none" w:sz="0" w:space="0" w:color="auto"/>
      </w:divBdr>
    </w:div>
    <w:div w:id="1018578449">
      <w:bodyDiv w:val="1"/>
      <w:marLeft w:val="0"/>
      <w:marRight w:val="0"/>
      <w:marTop w:val="0"/>
      <w:marBottom w:val="0"/>
      <w:divBdr>
        <w:top w:val="none" w:sz="0" w:space="0" w:color="auto"/>
        <w:left w:val="none" w:sz="0" w:space="0" w:color="auto"/>
        <w:bottom w:val="none" w:sz="0" w:space="0" w:color="auto"/>
        <w:right w:val="none" w:sz="0" w:space="0" w:color="auto"/>
      </w:divBdr>
      <w:divsChild>
        <w:div w:id="1077903080">
          <w:marLeft w:val="0"/>
          <w:marRight w:val="0"/>
          <w:marTop w:val="0"/>
          <w:marBottom w:val="0"/>
          <w:divBdr>
            <w:top w:val="none" w:sz="0" w:space="0" w:color="auto"/>
            <w:left w:val="none" w:sz="0" w:space="0" w:color="auto"/>
            <w:bottom w:val="none" w:sz="0" w:space="0" w:color="auto"/>
            <w:right w:val="none" w:sz="0" w:space="0" w:color="auto"/>
          </w:divBdr>
          <w:divsChild>
            <w:div w:id="335425114">
              <w:marLeft w:val="0"/>
              <w:marRight w:val="0"/>
              <w:marTop w:val="0"/>
              <w:marBottom w:val="0"/>
              <w:divBdr>
                <w:top w:val="none" w:sz="0" w:space="0" w:color="auto"/>
                <w:left w:val="none" w:sz="0" w:space="0" w:color="auto"/>
                <w:bottom w:val="none" w:sz="0" w:space="0" w:color="auto"/>
                <w:right w:val="none" w:sz="0" w:space="0" w:color="auto"/>
              </w:divBdr>
              <w:divsChild>
                <w:div w:id="1966739514">
                  <w:marLeft w:val="0"/>
                  <w:marRight w:val="0"/>
                  <w:marTop w:val="120"/>
                  <w:marBottom w:val="0"/>
                  <w:divBdr>
                    <w:top w:val="none" w:sz="0" w:space="0" w:color="auto"/>
                    <w:left w:val="none" w:sz="0" w:space="0" w:color="auto"/>
                    <w:bottom w:val="none" w:sz="0" w:space="0" w:color="auto"/>
                    <w:right w:val="none" w:sz="0" w:space="0" w:color="auto"/>
                  </w:divBdr>
                  <w:divsChild>
                    <w:div w:id="1277252937">
                      <w:marLeft w:val="0"/>
                      <w:marRight w:val="0"/>
                      <w:marTop w:val="0"/>
                      <w:marBottom w:val="0"/>
                      <w:divBdr>
                        <w:top w:val="none" w:sz="0" w:space="0" w:color="auto"/>
                        <w:left w:val="none" w:sz="0" w:space="0" w:color="auto"/>
                        <w:bottom w:val="none" w:sz="0" w:space="0" w:color="auto"/>
                        <w:right w:val="none" w:sz="0" w:space="0" w:color="auto"/>
                      </w:divBdr>
                      <w:divsChild>
                        <w:div w:id="1852837434">
                          <w:marLeft w:val="0"/>
                          <w:marRight w:val="0"/>
                          <w:marTop w:val="0"/>
                          <w:marBottom w:val="0"/>
                          <w:divBdr>
                            <w:top w:val="none" w:sz="0" w:space="0" w:color="auto"/>
                            <w:left w:val="none" w:sz="0" w:space="0" w:color="auto"/>
                            <w:bottom w:val="none" w:sz="0" w:space="0" w:color="auto"/>
                            <w:right w:val="none" w:sz="0" w:space="0" w:color="auto"/>
                          </w:divBdr>
                          <w:divsChild>
                            <w:div w:id="841700411">
                              <w:marLeft w:val="0"/>
                              <w:marRight w:val="0"/>
                              <w:marTop w:val="0"/>
                              <w:marBottom w:val="0"/>
                              <w:divBdr>
                                <w:top w:val="none" w:sz="0" w:space="0" w:color="auto"/>
                                <w:left w:val="none" w:sz="0" w:space="0" w:color="auto"/>
                                <w:bottom w:val="none" w:sz="0" w:space="0" w:color="auto"/>
                                <w:right w:val="none" w:sz="0" w:space="0" w:color="auto"/>
                              </w:divBdr>
                              <w:divsChild>
                                <w:div w:id="1239747346">
                                  <w:marLeft w:val="0"/>
                                  <w:marRight w:val="0"/>
                                  <w:marTop w:val="0"/>
                                  <w:marBottom w:val="0"/>
                                  <w:divBdr>
                                    <w:top w:val="none" w:sz="0" w:space="0" w:color="auto"/>
                                    <w:left w:val="none" w:sz="0" w:space="0" w:color="auto"/>
                                    <w:bottom w:val="none" w:sz="0" w:space="0" w:color="auto"/>
                                    <w:right w:val="none" w:sz="0" w:space="0" w:color="auto"/>
                                  </w:divBdr>
                                  <w:divsChild>
                                    <w:div w:id="44952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7581926">
      <w:bodyDiv w:val="1"/>
      <w:marLeft w:val="0"/>
      <w:marRight w:val="0"/>
      <w:marTop w:val="0"/>
      <w:marBottom w:val="0"/>
      <w:divBdr>
        <w:top w:val="none" w:sz="0" w:space="0" w:color="auto"/>
        <w:left w:val="none" w:sz="0" w:space="0" w:color="auto"/>
        <w:bottom w:val="none" w:sz="0" w:space="0" w:color="auto"/>
        <w:right w:val="none" w:sz="0" w:space="0" w:color="auto"/>
      </w:divBdr>
    </w:div>
    <w:div w:id="1204563670">
      <w:bodyDiv w:val="1"/>
      <w:marLeft w:val="0"/>
      <w:marRight w:val="0"/>
      <w:marTop w:val="0"/>
      <w:marBottom w:val="0"/>
      <w:divBdr>
        <w:top w:val="none" w:sz="0" w:space="0" w:color="auto"/>
        <w:left w:val="none" w:sz="0" w:space="0" w:color="auto"/>
        <w:bottom w:val="none" w:sz="0" w:space="0" w:color="auto"/>
        <w:right w:val="none" w:sz="0" w:space="0" w:color="auto"/>
      </w:divBdr>
    </w:div>
    <w:div w:id="1257903555">
      <w:bodyDiv w:val="1"/>
      <w:marLeft w:val="0"/>
      <w:marRight w:val="0"/>
      <w:marTop w:val="0"/>
      <w:marBottom w:val="0"/>
      <w:divBdr>
        <w:top w:val="none" w:sz="0" w:space="0" w:color="auto"/>
        <w:left w:val="none" w:sz="0" w:space="0" w:color="auto"/>
        <w:bottom w:val="none" w:sz="0" w:space="0" w:color="auto"/>
        <w:right w:val="none" w:sz="0" w:space="0" w:color="auto"/>
      </w:divBdr>
    </w:div>
    <w:div w:id="1346594620">
      <w:bodyDiv w:val="1"/>
      <w:marLeft w:val="0"/>
      <w:marRight w:val="0"/>
      <w:marTop w:val="0"/>
      <w:marBottom w:val="0"/>
      <w:divBdr>
        <w:top w:val="none" w:sz="0" w:space="0" w:color="auto"/>
        <w:left w:val="none" w:sz="0" w:space="0" w:color="auto"/>
        <w:bottom w:val="none" w:sz="0" w:space="0" w:color="auto"/>
        <w:right w:val="none" w:sz="0" w:space="0" w:color="auto"/>
      </w:divBdr>
    </w:div>
    <w:div w:id="1434980530">
      <w:bodyDiv w:val="1"/>
      <w:marLeft w:val="0"/>
      <w:marRight w:val="0"/>
      <w:marTop w:val="0"/>
      <w:marBottom w:val="0"/>
      <w:divBdr>
        <w:top w:val="none" w:sz="0" w:space="0" w:color="auto"/>
        <w:left w:val="none" w:sz="0" w:space="0" w:color="auto"/>
        <w:bottom w:val="none" w:sz="0" w:space="0" w:color="auto"/>
        <w:right w:val="none" w:sz="0" w:space="0" w:color="auto"/>
      </w:divBdr>
    </w:div>
    <w:div w:id="1561595075">
      <w:bodyDiv w:val="1"/>
      <w:marLeft w:val="0"/>
      <w:marRight w:val="0"/>
      <w:marTop w:val="0"/>
      <w:marBottom w:val="0"/>
      <w:divBdr>
        <w:top w:val="none" w:sz="0" w:space="0" w:color="auto"/>
        <w:left w:val="none" w:sz="0" w:space="0" w:color="auto"/>
        <w:bottom w:val="none" w:sz="0" w:space="0" w:color="auto"/>
        <w:right w:val="none" w:sz="0" w:space="0" w:color="auto"/>
      </w:divBdr>
    </w:div>
    <w:div w:id="1839225690">
      <w:bodyDiv w:val="1"/>
      <w:marLeft w:val="0"/>
      <w:marRight w:val="0"/>
      <w:marTop w:val="0"/>
      <w:marBottom w:val="0"/>
      <w:divBdr>
        <w:top w:val="none" w:sz="0" w:space="0" w:color="auto"/>
        <w:left w:val="none" w:sz="0" w:space="0" w:color="auto"/>
        <w:bottom w:val="none" w:sz="0" w:space="0" w:color="auto"/>
        <w:right w:val="none" w:sz="0" w:space="0" w:color="auto"/>
      </w:divBdr>
    </w:div>
    <w:div w:id="187881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lzheimers.org.uk/" TargetMode="External"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microsoft.com/office/2020/10/relationships/intelligence" Target="intelligence2.xml" Id="R12ce5f1bc32c4405" /></Relationships>
</file>

<file path=word/theme/theme1.xml><?xml version="1.0" encoding="utf-8"?>
<a:theme xmlns:a="http://schemas.openxmlformats.org/drawingml/2006/main" xmlns:thm15="http://schemas.microsoft.com/office/thememl/2012/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8CEEC-DC1B-7941-9EBC-E7B1DA89CFF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rukeiya saleem</lastModifiedBy>
  <revision>7</revision>
  <dcterms:created xsi:type="dcterms:W3CDTF">2025-11-14T08:28:00.0000000Z</dcterms:created>
  <dcterms:modified xsi:type="dcterms:W3CDTF">2025-11-15T17:30:50.0391299Z</dcterms:modified>
</coreProperties>
</file>