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Default="002A7AAE" w:rsidP="00484EC1">
      <w:bookmarkStart w:id="0" w:name="_GoBack"/>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3DA7E0FF"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7CE5FB20" w14:textId="77777777" w:rsidR="00C3093A" w:rsidRPr="00C536A6" w:rsidRDefault="00C3093A" w:rsidP="00EB1F41">
      <w:pPr>
        <w:pStyle w:val="BodyText"/>
        <w:rPr>
          <w:b/>
          <w:color w:val="FF0000"/>
          <w:sz w:val="28"/>
          <w:szCs w:val="28"/>
          <w:u w:val="single"/>
        </w:rPr>
      </w:pPr>
    </w:p>
    <w:p w14:paraId="1ACC874B" w14:textId="4A472AE4"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4375D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77777777" w:rsidR="00872DA2" w:rsidRPr="00313008" w:rsidRDefault="00872DA2" w:rsidP="00872DA2">
            <w:pPr>
              <w:pStyle w:val="Subtitle"/>
              <w:rPr>
                <w:b/>
                <w:bCs/>
                <w:sz w:val="24"/>
                <w:szCs w:val="24"/>
                <w:u w:val="none"/>
              </w:rPr>
            </w:pPr>
          </w:p>
        </w:tc>
      </w:tr>
      <w:tr w:rsidR="00872DA2" w:rsidRPr="00313008" w14:paraId="39DE4F1D"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77777777" w:rsidR="00872DA2" w:rsidRPr="00313008" w:rsidRDefault="00872DA2" w:rsidP="00872DA2">
            <w:pPr>
              <w:pStyle w:val="Subtitle"/>
              <w:rPr>
                <w:b/>
                <w:bCs/>
                <w:sz w:val="24"/>
                <w:szCs w:val="24"/>
                <w:u w:val="none"/>
              </w:rPr>
            </w:pPr>
          </w:p>
        </w:tc>
      </w:tr>
      <w:tr w:rsidR="00872DA2" w:rsidRPr="00313008" w14:paraId="38407057"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77777777" w:rsidR="00872DA2" w:rsidRPr="00313008" w:rsidRDefault="00872DA2" w:rsidP="00872DA2">
            <w:pPr>
              <w:pStyle w:val="Subtitle"/>
              <w:rPr>
                <w:b/>
                <w:bCs/>
                <w:sz w:val="24"/>
                <w:szCs w:val="24"/>
                <w:u w:val="none"/>
              </w:rPr>
            </w:pPr>
          </w:p>
        </w:tc>
      </w:tr>
      <w:tr w:rsidR="00872DA2" w:rsidRPr="00313008" w14:paraId="503B7B0C" w14:textId="77777777" w:rsidTr="004375D8">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4375D8">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4375D8">
        <w:tc>
          <w:tcPr>
            <w:tcW w:w="2305" w:type="dxa"/>
            <w:tcBorders>
              <w:top w:val="single" w:sz="6" w:space="0" w:color="auto"/>
              <w:left w:val="thinThickLargeGap" w:sz="24" w:space="0" w:color="auto"/>
              <w:bottom w:val="single" w:sz="6" w:space="0" w:color="auto"/>
            </w:tcBorders>
          </w:tcPr>
          <w:p w14:paraId="15DFD769" w14:textId="77777777"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gridSpan w:val="2"/>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4375D8">
        <w:tc>
          <w:tcPr>
            <w:tcW w:w="2305" w:type="dxa"/>
            <w:tcBorders>
              <w:top w:val="single" w:sz="6" w:space="0" w:color="auto"/>
              <w:left w:val="thinThickLargeGap" w:sz="24" w:space="0" w:color="auto"/>
              <w:bottom w:val="single" w:sz="6" w:space="0" w:color="auto"/>
            </w:tcBorders>
          </w:tcPr>
          <w:p w14:paraId="4C893315" w14:textId="77777777" w:rsidR="00872DA2" w:rsidRPr="009B5330" w:rsidRDefault="00872DA2" w:rsidP="00872DA2">
            <w:pPr>
              <w:pStyle w:val="Subtitle"/>
              <w:jc w:val="left"/>
              <w:rPr>
                <w:sz w:val="18"/>
                <w:szCs w:val="18"/>
                <w:u w:val="none"/>
              </w:rPr>
            </w:pPr>
            <w:r>
              <w:rPr>
                <w:sz w:val="18"/>
                <w:szCs w:val="18"/>
                <w:u w:val="none"/>
              </w:rPr>
              <w:t xml:space="preserve">Evaluate the role of outdoors and physical play in the foundation phase. </w:t>
            </w:r>
          </w:p>
        </w:tc>
        <w:tc>
          <w:tcPr>
            <w:tcW w:w="540" w:type="dxa"/>
            <w:gridSpan w:val="2"/>
            <w:tcBorders>
              <w:top w:val="single" w:sz="6" w:space="0" w:color="auto"/>
              <w:bottom w:val="single" w:sz="6" w:space="0" w:color="auto"/>
              <w:right w:val="single" w:sz="6" w:space="0" w:color="auto"/>
            </w:tcBorders>
          </w:tcPr>
          <w:p w14:paraId="467979BB" w14:textId="77777777" w:rsidR="00872DA2" w:rsidRPr="00313008" w:rsidRDefault="00872DA2"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gridSpan w:val="2"/>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495309FB" w14:textId="77777777" w:rsidTr="004375D8">
        <w:tc>
          <w:tcPr>
            <w:tcW w:w="2305" w:type="dxa"/>
            <w:tcBorders>
              <w:top w:val="single" w:sz="6" w:space="0" w:color="auto"/>
              <w:left w:val="thinThickLargeGap" w:sz="24" w:space="0" w:color="auto"/>
              <w:bottom w:val="single" w:sz="6" w:space="0" w:color="auto"/>
            </w:tcBorders>
          </w:tcPr>
          <w:p w14:paraId="03672DD3" w14:textId="77777777"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 child development</w:t>
            </w:r>
          </w:p>
        </w:tc>
        <w:tc>
          <w:tcPr>
            <w:tcW w:w="540" w:type="dxa"/>
            <w:gridSpan w:val="2"/>
            <w:tcBorders>
              <w:top w:val="single" w:sz="6" w:space="0" w:color="auto"/>
              <w:bottom w:val="single" w:sz="6" w:space="0" w:color="auto"/>
              <w:right w:val="single" w:sz="6" w:space="0" w:color="auto"/>
            </w:tcBorders>
          </w:tcPr>
          <w:p w14:paraId="2855A523" w14:textId="77777777" w:rsidR="00872DA2" w:rsidRPr="00313008" w:rsidRDefault="00872DA2" w:rsidP="00872DA2">
            <w:pPr>
              <w:pStyle w:val="Subtitle"/>
              <w:rPr>
                <w:b/>
                <w:bCs/>
                <w:sz w:val="18"/>
                <w:szCs w:val="18"/>
                <w:u w:val="none"/>
              </w:rPr>
            </w:pPr>
          </w:p>
          <w:p w14:paraId="78ACED01" w14:textId="77777777"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D0D2F89"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14:paraId="503A6482" w14:textId="77777777" w:rsidTr="004375D8">
        <w:tc>
          <w:tcPr>
            <w:tcW w:w="2305"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gridSpan w:val="2"/>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14:paraId="4AFB1E21" w14:textId="77777777" w:rsidTr="004375D8">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4375D8">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4375D8">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2453BD3C" w14:textId="3B8F6331" w:rsidR="0089561D" w:rsidRPr="0089561D" w:rsidRDefault="00D6095A" w:rsidP="0089561D">
      <w:pPr>
        <w:pStyle w:val="Title"/>
        <w:ind w:left="-284"/>
        <w:jc w:val="left"/>
        <w:rPr>
          <w:u w:val="single"/>
        </w:rPr>
      </w:pPr>
      <w:r>
        <w:rPr>
          <w:sz w:val="24"/>
          <w:szCs w:val="24"/>
        </w:rPr>
        <w:br w:type="page"/>
      </w:r>
    </w:p>
    <w:p w14:paraId="49C4829D" w14:textId="77777777" w:rsidR="0089561D" w:rsidRPr="00E26E70" w:rsidRDefault="0089561D" w:rsidP="0089561D">
      <w:pPr>
        <w:pStyle w:val="fixed"/>
        <w:ind w:left="0" w:firstLine="0"/>
        <w:jc w:val="center"/>
        <w:rPr>
          <w:b w:val="0"/>
          <w:sz w:val="28"/>
          <w:szCs w:val="28"/>
        </w:rPr>
      </w:pPr>
      <w:r w:rsidRPr="00E26E70">
        <w:rPr>
          <w:b w:val="0"/>
          <w:sz w:val="28"/>
          <w:szCs w:val="28"/>
        </w:rPr>
        <w:t>Analyse how a range of child development theories and international educational approaches influenced the Foundation Phase.  In particular examine these influences in relation to outdoor learning and the development of physical literacy.</w:t>
      </w:r>
    </w:p>
    <w:p w14:paraId="12D39449" w14:textId="77777777" w:rsidR="0089561D" w:rsidRDefault="0089561D" w:rsidP="0089561D">
      <w:pPr>
        <w:spacing w:line="360" w:lineRule="auto"/>
        <w:jc w:val="center"/>
        <w:rPr>
          <w:rFonts w:ascii="Times New Roman" w:hAnsi="Times New Roman" w:cs="Times New Roman"/>
          <w:sz w:val="28"/>
        </w:rPr>
      </w:pPr>
    </w:p>
    <w:p w14:paraId="59EC606D" w14:textId="77777777" w:rsidR="0089561D" w:rsidRDefault="0089561D" w:rsidP="0089561D">
      <w:pPr>
        <w:spacing w:line="360" w:lineRule="auto"/>
        <w:rPr>
          <w:rFonts w:ascii="Times New Roman" w:hAnsi="Times New Roman" w:cs="Times New Roman"/>
          <w:sz w:val="28"/>
        </w:rPr>
      </w:pPr>
    </w:p>
    <w:p w14:paraId="5C3C205E"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 xml:space="preserve">The Foundation Phase is a modern curriculum framework for children aged 3 – 7 which has a clear focus on the developmental needs of children. The framework is designed to meet the needs for children across a diverse ability scale – from the children who are at an earlier stage of their development to those who are progressing at a more rapid rate. The children will engage in learning through a first-hand experience, one major aspect of this framework is a learn through play approach where the children will develop their understanding of themselves and the environment they live in. This framework is also allowing schools to move away from the tradition school approach – where children are grouped together simply based on their ages. </w:t>
      </w:r>
    </w:p>
    <w:p w14:paraId="09B2B023" w14:textId="77777777" w:rsidR="0089561D" w:rsidRDefault="0089561D" w:rsidP="0089561D">
      <w:pPr>
        <w:spacing w:line="240" w:lineRule="auto"/>
        <w:jc w:val="right"/>
        <w:rPr>
          <w:rFonts w:ascii="Times New Roman" w:hAnsi="Times New Roman" w:cs="Times New Roman"/>
          <w:sz w:val="24"/>
        </w:rPr>
      </w:pPr>
      <w:r>
        <w:rPr>
          <w:rFonts w:ascii="Times New Roman" w:hAnsi="Times New Roman" w:cs="Times New Roman"/>
          <w:sz w:val="24"/>
        </w:rPr>
        <w:t>‘</w:t>
      </w:r>
      <w:r w:rsidRPr="00301FC1">
        <w:rPr>
          <w:rFonts w:ascii="Times New Roman" w:hAnsi="Times New Roman" w:cs="Times New Roman"/>
          <w:sz w:val="24"/>
        </w:rPr>
        <w:t>A curriculum for young children should be appropriate to their stage of learning rather than focusing solely on age-related outcomes to be achieved. Children should move on to the next stages of their learning when they are developmentally ready and at their own pace.</w:t>
      </w:r>
      <w:r>
        <w:rPr>
          <w:rFonts w:ascii="Times New Roman" w:hAnsi="Times New Roman" w:cs="Times New Roman"/>
          <w:sz w:val="24"/>
        </w:rPr>
        <w:t xml:space="preserve">’ (Foundation Phase, 2008). </w:t>
      </w:r>
    </w:p>
    <w:p w14:paraId="271BD71A"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 xml:space="preserve">As mentioned, a large aspect of this framework if the learn through play approach. </w:t>
      </w:r>
      <w:hyperlink r:id="rId8" w:history="1">
        <w:r w:rsidRPr="00826F8D">
          <w:rPr>
            <w:rStyle w:val="fp-filename"/>
            <w:rFonts w:ascii="Times New Roman" w:hAnsi="Times New Roman" w:cs="Times New Roman"/>
            <w:sz w:val="24"/>
            <w:szCs w:val="24"/>
            <w:shd w:val="clear" w:color="auto" w:fill="FFFFFF"/>
          </w:rPr>
          <w:t xml:space="preserve">McInnes </w:t>
        </w:r>
        <w:r w:rsidRPr="00826F8D">
          <w:rPr>
            <w:rStyle w:val="fp-filename"/>
            <w:rFonts w:ascii="Times New Roman" w:hAnsi="Times New Roman" w:cs="Times New Roman"/>
            <w:i/>
            <w:sz w:val="24"/>
            <w:szCs w:val="24"/>
            <w:shd w:val="clear" w:color="auto" w:fill="FFFFFF"/>
          </w:rPr>
          <w:t>et al</w:t>
        </w:r>
        <w:r>
          <w:rPr>
            <w:rStyle w:val="fp-filename"/>
            <w:rFonts w:ascii="Times New Roman" w:hAnsi="Times New Roman" w:cs="Times New Roman"/>
            <w:i/>
            <w:sz w:val="24"/>
            <w:szCs w:val="24"/>
            <w:shd w:val="clear" w:color="auto" w:fill="FFFFFF"/>
          </w:rPr>
          <w:t>.</w:t>
        </w:r>
        <w:r w:rsidRPr="00826F8D">
          <w:rPr>
            <w:rStyle w:val="fp-filename"/>
            <w:rFonts w:ascii="Times New Roman" w:hAnsi="Times New Roman" w:cs="Times New Roman"/>
            <w:sz w:val="24"/>
            <w:szCs w:val="24"/>
            <w:shd w:val="clear" w:color="auto" w:fill="FFFFFF"/>
          </w:rPr>
          <w:t xml:space="preserve"> </w:t>
        </w:r>
        <w:r>
          <w:rPr>
            <w:rStyle w:val="fp-filename"/>
            <w:rFonts w:ascii="Times New Roman" w:hAnsi="Times New Roman" w:cs="Times New Roman"/>
            <w:sz w:val="24"/>
            <w:szCs w:val="24"/>
            <w:shd w:val="clear" w:color="auto" w:fill="FFFFFF"/>
          </w:rPr>
          <w:t>(</w:t>
        </w:r>
        <w:r w:rsidRPr="00826F8D">
          <w:rPr>
            <w:rStyle w:val="fp-filename"/>
            <w:rFonts w:ascii="Times New Roman" w:hAnsi="Times New Roman" w:cs="Times New Roman"/>
            <w:sz w:val="24"/>
            <w:szCs w:val="24"/>
            <w:shd w:val="clear" w:color="auto" w:fill="FFFFFF"/>
          </w:rPr>
          <w:t>2009</w:t>
        </w:r>
      </w:hyperlink>
      <w:r>
        <w:rPr>
          <w:rFonts w:ascii="Times New Roman" w:hAnsi="Times New Roman" w:cs="Times New Roman"/>
          <w:sz w:val="24"/>
          <w:szCs w:val="24"/>
        </w:rPr>
        <w:t>) discussed the concept of “learn through play”. The idea that adults and children view play very differently and for this reason the views children have of play should be utilised for this framework. This study concludes that ‘</w:t>
      </w:r>
      <w:r w:rsidRPr="001159F2">
        <w:rPr>
          <w:rFonts w:ascii="Times New Roman" w:hAnsi="Times New Roman" w:cs="Times New Roman"/>
          <w:sz w:val="24"/>
        </w:rPr>
        <w:t>Children who have practised tasks under playful rather than formal conditions have demonstrated significantly greater improvement in performance across a range of activities</w:t>
      </w:r>
      <w:r>
        <w:rPr>
          <w:rFonts w:ascii="Times New Roman" w:hAnsi="Times New Roman" w:cs="Times New Roman"/>
          <w:sz w:val="24"/>
        </w:rPr>
        <w:t>’. Because of this, there is great merit for using the “learn through play” approach within the foundation phase.</w:t>
      </w:r>
    </w:p>
    <w:p w14:paraId="7217D69C" w14:textId="77777777" w:rsidR="0089561D" w:rsidRDefault="0089561D" w:rsidP="0089561D">
      <w:pPr>
        <w:spacing w:line="360" w:lineRule="auto"/>
        <w:rPr>
          <w:rFonts w:ascii="Times New Roman" w:hAnsi="Times New Roman" w:cs="Times New Roman"/>
          <w:sz w:val="24"/>
        </w:rPr>
      </w:pPr>
    </w:p>
    <w:p w14:paraId="17911A88"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 xml:space="preserve">The opinion that play is an appropriate vehicle for learning is also shared by the research of Walsh </w:t>
      </w:r>
      <w:r w:rsidRPr="004A7CB4">
        <w:rPr>
          <w:rFonts w:ascii="Times New Roman" w:hAnsi="Times New Roman" w:cs="Times New Roman"/>
          <w:i/>
          <w:sz w:val="24"/>
        </w:rPr>
        <w:t>et al.</w:t>
      </w:r>
      <w:r>
        <w:rPr>
          <w:rFonts w:ascii="Times New Roman" w:hAnsi="Times New Roman" w:cs="Times New Roman"/>
          <w:i/>
          <w:sz w:val="24"/>
        </w:rPr>
        <w:t xml:space="preserve"> </w:t>
      </w:r>
      <w:r w:rsidRPr="004A7CB4">
        <w:rPr>
          <w:rFonts w:ascii="Times New Roman" w:hAnsi="Times New Roman" w:cs="Times New Roman"/>
          <w:sz w:val="24"/>
        </w:rPr>
        <w:t>(2006)</w:t>
      </w:r>
      <w:r>
        <w:rPr>
          <w:rFonts w:ascii="Times New Roman" w:hAnsi="Times New Roman" w:cs="Times New Roman"/>
          <w:sz w:val="24"/>
        </w:rPr>
        <w:t xml:space="preserve">. These findings show that a learning environment which encompasses play provides the children with a higher quality learning experience. This study also highlighted the need for specific teacher training to ensure this high quality experience – which is achieved through specific requirements. </w:t>
      </w:r>
    </w:p>
    <w:p w14:paraId="34B390A0" w14:textId="77777777" w:rsidR="0089561D" w:rsidRDefault="0089561D" w:rsidP="0089561D">
      <w:pPr>
        <w:spacing w:line="240" w:lineRule="auto"/>
        <w:jc w:val="right"/>
        <w:rPr>
          <w:rFonts w:ascii="Times New Roman" w:hAnsi="Times New Roman" w:cs="Times New Roman"/>
          <w:sz w:val="24"/>
        </w:rPr>
      </w:pPr>
      <w:r>
        <w:rPr>
          <w:rFonts w:ascii="Times New Roman" w:hAnsi="Times New Roman" w:cs="Times New Roman"/>
          <w:sz w:val="24"/>
        </w:rPr>
        <w:t>‘A</w:t>
      </w:r>
      <w:r w:rsidRPr="00A15BAE">
        <w:rPr>
          <w:rFonts w:ascii="Times New Roman" w:hAnsi="Times New Roman" w:cs="Times New Roman"/>
          <w:sz w:val="24"/>
        </w:rPr>
        <w:t>n appropriate learning environment for young children is one in which useful age-appropriate activities are available, interesting practical projects are carried out, teachers have high expectations of children, and children and adults work together as a team.</w:t>
      </w:r>
      <w:r>
        <w:rPr>
          <w:rFonts w:ascii="Times New Roman" w:hAnsi="Times New Roman" w:cs="Times New Roman"/>
          <w:sz w:val="24"/>
        </w:rPr>
        <w:t xml:space="preserve">’ </w:t>
      </w:r>
    </w:p>
    <w:p w14:paraId="67C00CF5" w14:textId="77777777" w:rsidR="0089561D" w:rsidRDefault="0089561D" w:rsidP="0089561D">
      <w:pPr>
        <w:spacing w:line="240" w:lineRule="auto"/>
        <w:jc w:val="right"/>
        <w:rPr>
          <w:rFonts w:ascii="Times New Roman" w:hAnsi="Times New Roman" w:cs="Times New Roman"/>
          <w:sz w:val="24"/>
        </w:rPr>
      </w:pPr>
      <w:r>
        <w:rPr>
          <w:rFonts w:ascii="Times New Roman" w:hAnsi="Times New Roman" w:cs="Times New Roman"/>
          <w:sz w:val="24"/>
        </w:rPr>
        <w:t xml:space="preserve">(Walsh </w:t>
      </w:r>
      <w:r w:rsidRPr="00A15BAE">
        <w:rPr>
          <w:rFonts w:ascii="Times New Roman" w:hAnsi="Times New Roman" w:cs="Times New Roman"/>
          <w:i/>
          <w:sz w:val="24"/>
        </w:rPr>
        <w:t>et al,</w:t>
      </w:r>
      <w:r>
        <w:rPr>
          <w:rFonts w:ascii="Times New Roman" w:hAnsi="Times New Roman" w:cs="Times New Roman"/>
          <w:sz w:val="24"/>
        </w:rPr>
        <w:t>. 2006)</w:t>
      </w:r>
    </w:p>
    <w:p w14:paraId="4DBE141B" w14:textId="77777777" w:rsidR="0089561D" w:rsidRDefault="0089561D" w:rsidP="0089561D">
      <w:pPr>
        <w:spacing w:line="240" w:lineRule="auto"/>
        <w:rPr>
          <w:rFonts w:ascii="Times New Roman" w:hAnsi="Times New Roman" w:cs="Times New Roman"/>
          <w:i/>
          <w:color w:val="FF0000"/>
          <w:sz w:val="28"/>
        </w:rPr>
      </w:pPr>
    </w:p>
    <w:p w14:paraId="10162861" w14:textId="77777777" w:rsidR="0089561D" w:rsidRPr="0094384D" w:rsidRDefault="0089561D" w:rsidP="0089561D">
      <w:pPr>
        <w:spacing w:line="360" w:lineRule="auto"/>
        <w:rPr>
          <w:rFonts w:ascii="Times New Roman" w:hAnsi="Times New Roman" w:cs="Times New Roman"/>
          <w:sz w:val="24"/>
          <w:szCs w:val="24"/>
        </w:rPr>
      </w:pPr>
      <w:r>
        <w:rPr>
          <w:rFonts w:ascii="Times New Roman" w:hAnsi="Times New Roman" w:cs="Times New Roman"/>
          <w:sz w:val="24"/>
          <w:szCs w:val="24"/>
        </w:rPr>
        <w:t>A big influence on the foundation phase is the Reggio Emilia Approach. The ideas and influences are taken into great consideration, however unlike some models, the education styles are the exact actions are not used and replicated – more so the philosophies and theories of this approach are understood and taken into consideration to help mould the foundation phase.</w:t>
      </w:r>
    </w:p>
    <w:p w14:paraId="3D17B92D" w14:textId="77777777" w:rsidR="0089561D" w:rsidRDefault="0089561D" w:rsidP="0089561D">
      <w:pPr>
        <w:spacing w:line="240" w:lineRule="auto"/>
        <w:jc w:val="right"/>
        <w:rPr>
          <w:rFonts w:ascii="Times New Roman" w:hAnsi="Times New Roman" w:cs="Times New Roman"/>
          <w:sz w:val="24"/>
          <w:szCs w:val="24"/>
        </w:rPr>
      </w:pPr>
      <w:r>
        <w:rPr>
          <w:rFonts w:ascii="Times New Roman" w:hAnsi="Times New Roman" w:cs="Times New Roman"/>
          <w:sz w:val="24"/>
          <w:szCs w:val="24"/>
        </w:rPr>
        <w:t xml:space="preserve"> ‘</w:t>
      </w:r>
      <w:r w:rsidRPr="0094384D">
        <w:rPr>
          <w:rFonts w:ascii="Times New Roman" w:hAnsi="Times New Roman" w:cs="Times New Roman"/>
          <w:sz w:val="24"/>
          <w:szCs w:val="24"/>
        </w:rPr>
        <w:t>The Reggio Emilia Approach to educating young children is strongly influenced by a unique image of the child and deeply embedded within the surrounding culture. It is not a model nor recipe with a set of guidelines and procedures to be followed, therefore, one cannot and should not attempt to simply import it to another location. Rather, it must be carefully uncovered and redefined according to one’s own culture in order to successfully affect practice elsewhere.</w:t>
      </w:r>
      <w:r>
        <w:rPr>
          <w:rFonts w:ascii="Times New Roman" w:hAnsi="Times New Roman" w:cs="Times New Roman"/>
          <w:sz w:val="24"/>
          <w:szCs w:val="24"/>
        </w:rPr>
        <w:t xml:space="preserve">’ </w:t>
      </w:r>
      <w:r w:rsidRPr="0094384D">
        <w:rPr>
          <w:rFonts w:ascii="Times New Roman" w:hAnsi="Times New Roman" w:cs="Times New Roman"/>
          <w:sz w:val="24"/>
          <w:szCs w:val="24"/>
        </w:rPr>
        <w:t>(Hewett, 2001)</w:t>
      </w:r>
      <w:r>
        <w:rPr>
          <w:rFonts w:ascii="Times New Roman" w:hAnsi="Times New Roman" w:cs="Times New Roman"/>
          <w:sz w:val="24"/>
          <w:szCs w:val="24"/>
        </w:rPr>
        <w:t>.</w:t>
      </w:r>
    </w:p>
    <w:p w14:paraId="5227C611" w14:textId="77777777" w:rsidR="0089561D" w:rsidRDefault="0089561D" w:rsidP="0089561D">
      <w:pPr>
        <w:spacing w:line="360" w:lineRule="auto"/>
        <w:rPr>
          <w:rFonts w:ascii="Times New Roman" w:hAnsi="Times New Roman" w:cs="Times New Roman"/>
          <w:sz w:val="24"/>
          <w:szCs w:val="24"/>
        </w:rPr>
      </w:pPr>
      <w:r>
        <w:rPr>
          <w:rFonts w:ascii="Times New Roman" w:hAnsi="Times New Roman" w:cs="Times New Roman"/>
          <w:sz w:val="24"/>
          <w:szCs w:val="24"/>
        </w:rPr>
        <w:t>Hewett (2001) examines and breaks down the Reggio Emilia Approach, looking at not what rules or non-negotiables are set out but rather the ‘Image and Role of the learner’. Firstly, the child are seen to have rights, not just needs</w:t>
      </w:r>
      <w:r w:rsidRPr="00764A73">
        <w:rPr>
          <w:rFonts w:ascii="Times New Roman" w:hAnsi="Times New Roman" w:cs="Times New Roman"/>
          <w:sz w:val="24"/>
          <w:szCs w:val="24"/>
        </w:rPr>
        <w:t xml:space="preserve">. </w:t>
      </w:r>
      <w:r>
        <w:rPr>
          <w:rFonts w:ascii="Times New Roman" w:hAnsi="Times New Roman" w:cs="Times New Roman"/>
          <w:sz w:val="24"/>
          <w:szCs w:val="24"/>
        </w:rPr>
        <w:t>‘T</w:t>
      </w:r>
      <w:r w:rsidRPr="00764A73">
        <w:rPr>
          <w:rFonts w:ascii="Times New Roman" w:hAnsi="Times New Roman" w:cs="Times New Roman"/>
          <w:sz w:val="24"/>
          <w:szCs w:val="24"/>
        </w:rPr>
        <w:t>he child is beheld as beautiful, powerful, competent, creative, curious, and full of potential and ambitious desires</w:t>
      </w:r>
      <w:r>
        <w:rPr>
          <w:rFonts w:ascii="Times New Roman" w:hAnsi="Times New Roman" w:cs="Times New Roman"/>
          <w:sz w:val="24"/>
          <w:szCs w:val="24"/>
        </w:rPr>
        <w:t xml:space="preserve">’.  If children are deemed to have rights then it is understood that they should be granted the opportunities to develop their inelegance and prepare them for the forthcoming success. The children should also be researchers, simply questioning things and thinking is research and so the children should question what they see, and predict outcomes and at the end of everything, reflect.  Children should have an active role in their education, it is understood that </w:t>
      </w:r>
      <w:r w:rsidRPr="009C6DE0">
        <w:rPr>
          <w:rFonts w:ascii="Times New Roman" w:hAnsi="Times New Roman" w:cs="Times New Roman"/>
          <w:sz w:val="24"/>
          <w:szCs w:val="24"/>
        </w:rPr>
        <w:t>‘learning is not something that is done to the child, but rather something she does’</w:t>
      </w:r>
      <w:r>
        <w:rPr>
          <w:rFonts w:ascii="Times New Roman" w:hAnsi="Times New Roman" w:cs="Times New Roman"/>
          <w:sz w:val="24"/>
          <w:szCs w:val="24"/>
        </w:rPr>
        <w:t xml:space="preserve">. Finally, the approach pushed for the children to have opportunities to be social – </w:t>
      </w:r>
      <w:r w:rsidRPr="009C6DE0">
        <w:rPr>
          <w:rFonts w:ascii="Times New Roman" w:hAnsi="Times New Roman" w:cs="Times New Roman"/>
          <w:sz w:val="24"/>
          <w:szCs w:val="24"/>
        </w:rPr>
        <w:t>‘it places a strong emphasis on children’s social construction of knowledge through their relationships’</w:t>
      </w:r>
      <w:r>
        <w:rPr>
          <w:rFonts w:ascii="Times New Roman" w:hAnsi="Times New Roman" w:cs="Times New Roman"/>
          <w:sz w:val="24"/>
          <w:szCs w:val="24"/>
        </w:rPr>
        <w:t xml:space="preserve">. This will be achieved </w:t>
      </w:r>
      <w:r w:rsidRPr="009C6DE0">
        <w:rPr>
          <w:rFonts w:ascii="Times New Roman" w:hAnsi="Times New Roman" w:cs="Times New Roman"/>
          <w:sz w:val="24"/>
          <w:szCs w:val="24"/>
        </w:rPr>
        <w:t>‘within the context of collaboration, dialogue, conflict, negotiation, and cooperation with peers and adults’</w:t>
      </w:r>
    </w:p>
    <w:p w14:paraId="5AE66865" w14:textId="77777777" w:rsidR="0089561D" w:rsidRDefault="0089561D" w:rsidP="0089561D">
      <w:pPr>
        <w:spacing w:line="360" w:lineRule="auto"/>
        <w:rPr>
          <w:rFonts w:ascii="Times New Roman" w:hAnsi="Times New Roman" w:cs="Times New Roman"/>
          <w:sz w:val="24"/>
          <w:szCs w:val="24"/>
        </w:rPr>
      </w:pPr>
    </w:p>
    <w:p w14:paraId="543FCBF3" w14:textId="77777777" w:rsidR="0089561D" w:rsidRDefault="0089561D" w:rsidP="0089561D">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influence to the foundation phase is the Te Whariki approach in New Zealand. </w:t>
      </w:r>
      <w:r w:rsidRPr="005B45E5">
        <w:rPr>
          <w:rFonts w:ascii="Times New Roman" w:hAnsi="Times New Roman" w:cs="Times New Roman"/>
          <w:sz w:val="24"/>
          <w:szCs w:val="24"/>
        </w:rPr>
        <w:t>‘Te Whāriki translates to ‘a woven mat’ that allows for diverse patterning depending on knowledge bases, beliefs and values.’</w:t>
      </w:r>
      <w:r>
        <w:rPr>
          <w:rFonts w:ascii="Times New Roman" w:hAnsi="Times New Roman" w:cs="Times New Roman"/>
          <w:sz w:val="24"/>
          <w:szCs w:val="24"/>
        </w:rPr>
        <w:t xml:space="preserve"> (Rameka, 2011).</w:t>
      </w:r>
      <w:r w:rsidRPr="005B45E5">
        <w:rPr>
          <w:rFonts w:ascii="Times New Roman" w:hAnsi="Times New Roman" w:cs="Times New Roman"/>
          <w:sz w:val="24"/>
          <w:szCs w:val="24"/>
        </w:rPr>
        <w:t xml:space="preserve"> </w:t>
      </w:r>
      <w:r>
        <w:rPr>
          <w:rFonts w:ascii="Times New Roman" w:hAnsi="Times New Roman" w:cs="Times New Roman"/>
          <w:sz w:val="24"/>
          <w:szCs w:val="24"/>
        </w:rPr>
        <w:t xml:space="preserve">Within this is the goal that children should </w:t>
      </w:r>
      <w:r w:rsidRPr="005B45E5">
        <w:rPr>
          <w:rFonts w:ascii="Times New Roman" w:hAnsi="Times New Roman" w:cs="Times New Roman"/>
          <w:sz w:val="24"/>
          <w:szCs w:val="24"/>
        </w:rPr>
        <w:t>‘grow up as competent and confident learners and communicators, healthy in mind, body and spirit, secure in their sense of belonging and in the knowledge that they make a valued contribution to society’</w:t>
      </w:r>
      <w:r>
        <w:rPr>
          <w:rFonts w:ascii="Times New Roman" w:hAnsi="Times New Roman" w:cs="Times New Roman"/>
          <w:sz w:val="24"/>
          <w:szCs w:val="24"/>
        </w:rPr>
        <w:t xml:space="preserve">.  The main tools here can be split into categories – ways of being, ways of knowing and ways of doing, i.e. children knowing how they are connected to their homeland, their spiritual connectedness and balance and assessment. This approach places great value on the children’s spiritual connection to their roots and homeland. The children should have a secure identity on their ancestors, their home and the world around them. They should feel a strong connectedness to everyone around them as well as the nature and environment they are within.  Also, the emphasis on balance is very clear – in this instance, balance does not refer to the children’s motor and other physical skills, instead a spiritual balance. This encompasses their spiritual balance, their knowledge of right and wrong and bad and good. </w:t>
      </w:r>
    </w:p>
    <w:p w14:paraId="2E7FFA47" w14:textId="77777777" w:rsidR="0089561D" w:rsidRDefault="0089561D" w:rsidP="0089561D">
      <w:pPr>
        <w:spacing w:line="360" w:lineRule="auto"/>
        <w:rPr>
          <w:rFonts w:ascii="Times New Roman" w:hAnsi="Times New Roman" w:cs="Times New Roman"/>
          <w:sz w:val="24"/>
          <w:szCs w:val="24"/>
        </w:rPr>
      </w:pPr>
    </w:p>
    <w:p w14:paraId="7EB136D4" w14:textId="77777777" w:rsidR="0089561D" w:rsidRDefault="0089561D" w:rsidP="0089561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approach is very different to Reggio Emilia. What they teach is different as well as the greater lessons and goals they each present. This is to be assumed however because of the locations – New Zealand is a very spiritual place with a much greater emphasis on people’s roots and connectedness to their world, nature and history/legacy. However, while they are very different – the main attributes and successes of each can be further reflected on and these are taken forward into the foundation phase. </w:t>
      </w:r>
    </w:p>
    <w:p w14:paraId="6F915654" w14:textId="77777777" w:rsidR="0089561D" w:rsidRPr="0094384D" w:rsidRDefault="0089561D" w:rsidP="0089561D">
      <w:pPr>
        <w:spacing w:line="360" w:lineRule="auto"/>
        <w:rPr>
          <w:rFonts w:ascii="Times New Roman" w:hAnsi="Times New Roman" w:cs="Times New Roman"/>
          <w:sz w:val="24"/>
          <w:szCs w:val="24"/>
        </w:rPr>
      </w:pPr>
    </w:p>
    <w:p w14:paraId="35A9C356"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The outdoors is a key aspect of the Foundation Phase, the push for using the outdoors impacts both the children - in what and how they choose to learn - but also the teachers in the way they teach, be it the content or their approach to the class. Maynard and Walters (2007) discuss how some teachers felt they could give the children more freedom to explore the lesson aims and in some cases allow the children to take the initiative to develop their own learning. They also mention how some head teachers come to realise that in their schools, any lesson can be taken outside with the learning aims still being achieved – providing the teachers can be creative and resourceful with their planning.</w:t>
      </w:r>
    </w:p>
    <w:p w14:paraId="4CB78698" w14:textId="77777777" w:rsidR="0089561D" w:rsidRDefault="0089561D" w:rsidP="0089561D">
      <w:pPr>
        <w:spacing w:line="360" w:lineRule="auto"/>
        <w:rPr>
          <w:rFonts w:ascii="Times New Roman" w:hAnsi="Times New Roman" w:cs="Times New Roman"/>
          <w:sz w:val="24"/>
        </w:rPr>
      </w:pPr>
    </w:p>
    <w:p w14:paraId="37B35295"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 xml:space="preserve">As </w:t>
      </w:r>
      <w:r w:rsidRPr="00AD0352">
        <w:rPr>
          <w:rFonts w:ascii="Times New Roman" w:hAnsi="Times New Roman" w:cs="Times New Roman"/>
          <w:sz w:val="24"/>
          <w:szCs w:val="24"/>
        </w:rPr>
        <w:t>Fjørtoft</w:t>
      </w:r>
      <w:r>
        <w:rPr>
          <w:rFonts w:ascii="Times New Roman" w:hAnsi="Times New Roman" w:cs="Times New Roman"/>
          <w:sz w:val="24"/>
          <w:szCs w:val="24"/>
        </w:rPr>
        <w:t xml:space="preserve"> (2001) says, the outdoors is a great place for children to learn because of the affordance of nature. Nature create a dynamic and rough environment for learning which results in fantastic development of motor skills. Children react to the environment they’re placed in and learn from it. In the traditional classroom, children are presented with chairs to sit on, and desks to sit behind. The space they lean in is flat and they learn by looking forward. In nature they are gifted with a completely different environment. They are placed in the centre of a twisting and dynamic environment where they can learn and develop skills in all directions. Instead of being told to jump, climb or throw, they can explore and approach a situation where they are required to do such things. The children will see this environment and instinctively will use the space to play. Thorough play these children will be constantly be developing motor skills through the challenges they will experience through play. ‘</w:t>
      </w:r>
      <w:r w:rsidRPr="008D4045">
        <w:rPr>
          <w:rFonts w:ascii="Times New Roman" w:hAnsi="Times New Roman" w:cs="Times New Roman"/>
          <w:sz w:val="24"/>
        </w:rPr>
        <w:t>When given the opportunity to play freely, children will test their limits physically – how high can they climb; how much weight can they lift; how far can they throw; how fast can they run</w:t>
      </w:r>
      <w:r>
        <w:t>.’ (</w:t>
      </w:r>
      <w:r>
        <w:rPr>
          <w:rFonts w:ascii="Times New Roman" w:hAnsi="Times New Roman" w:cs="Times New Roman"/>
          <w:sz w:val="24"/>
          <w:szCs w:val="24"/>
        </w:rPr>
        <w:t>Wilson, 2008) As one of the main goals of the foundation phase is to develop motor skills, the outdoor element has great importance because of these challenges through play the children are presented with.</w:t>
      </w:r>
    </w:p>
    <w:p w14:paraId="7573DE0A" w14:textId="77777777" w:rsidR="0089561D" w:rsidRDefault="0089561D" w:rsidP="0089561D">
      <w:pPr>
        <w:spacing w:line="360" w:lineRule="auto"/>
        <w:rPr>
          <w:rFonts w:ascii="Times New Roman" w:hAnsi="Times New Roman" w:cs="Times New Roman"/>
          <w:sz w:val="24"/>
        </w:rPr>
      </w:pPr>
    </w:p>
    <w:p w14:paraId="791A2382" w14:textId="77777777" w:rsidR="0089561D" w:rsidRDefault="0089561D" w:rsidP="0089561D">
      <w:pPr>
        <w:spacing w:line="360" w:lineRule="auto"/>
        <w:rPr>
          <w:rFonts w:ascii="Times New Roman" w:hAnsi="Times New Roman" w:cs="Times New Roman"/>
          <w:sz w:val="24"/>
        </w:rPr>
      </w:pPr>
      <w:r>
        <w:rPr>
          <w:rFonts w:ascii="Times New Roman" w:hAnsi="Times New Roman" w:cs="Times New Roman"/>
          <w:sz w:val="24"/>
        </w:rPr>
        <w:t xml:space="preserve">In recent times, children have become very disconnected with nature and the outdoors (Dowdell </w:t>
      </w:r>
      <w:r>
        <w:rPr>
          <w:rFonts w:ascii="Times New Roman" w:hAnsi="Times New Roman" w:cs="Times New Roman"/>
          <w:i/>
          <w:sz w:val="24"/>
        </w:rPr>
        <w:t xml:space="preserve">et al, </w:t>
      </w:r>
      <w:r>
        <w:rPr>
          <w:rFonts w:ascii="Times New Roman" w:hAnsi="Times New Roman" w:cs="Times New Roman"/>
          <w:sz w:val="24"/>
        </w:rPr>
        <w:t xml:space="preserve">20011). This can be a geographical issue where some children don’t have easy access to safe outdoor environments – it is fantastic for children to grow up close to forest trail areas or flowing fields and hills because they have every opportunity to play outside without too many worries. However there are too many children growing up in areas where they can’t easily go out to play. For just this reason alone, outdoor play has such a big role in the foundation phase as it grants the opportunity to experience true nature and the outdoors to these children who are not fortunate enough to have this chance where they live. </w:t>
      </w:r>
    </w:p>
    <w:p w14:paraId="7AD1386B" w14:textId="77777777" w:rsidR="0089561D" w:rsidRDefault="0089561D" w:rsidP="0089561D">
      <w:pPr>
        <w:spacing w:line="360" w:lineRule="auto"/>
        <w:rPr>
          <w:rFonts w:ascii="Times New Roman" w:hAnsi="Times New Roman" w:cs="Times New Roman"/>
          <w:color w:val="FF0000"/>
          <w:sz w:val="24"/>
        </w:rPr>
      </w:pPr>
    </w:p>
    <w:p w14:paraId="476E6D5D" w14:textId="77777777" w:rsidR="0089561D" w:rsidRPr="00640871" w:rsidRDefault="0089561D" w:rsidP="0089561D">
      <w:pPr>
        <w:spacing w:line="360" w:lineRule="auto"/>
        <w:rPr>
          <w:rFonts w:ascii="Times New Roman" w:hAnsi="Times New Roman" w:cs="Times New Roman"/>
          <w:i/>
          <w:sz w:val="24"/>
        </w:rPr>
      </w:pPr>
      <w:r w:rsidRPr="00BC72A8">
        <w:rPr>
          <w:rFonts w:ascii="Times New Roman" w:hAnsi="Times New Roman" w:cs="Times New Roman"/>
          <w:sz w:val="24"/>
        </w:rPr>
        <w:t xml:space="preserve">The foundation phase – like most </w:t>
      </w:r>
      <w:r>
        <w:rPr>
          <w:rFonts w:ascii="Times New Roman" w:hAnsi="Times New Roman" w:cs="Times New Roman"/>
          <w:sz w:val="24"/>
        </w:rPr>
        <w:t>active aspects of education – will contribute to the children’s development of their physical literacy. The development of physical literacy is one of the major goals of a child’s physical education. Because activeness and movement have such a large presence in the foundation phase, the framework is a great vehicle for the children to develop their personal physical literacy. ‘</w:t>
      </w:r>
      <w:r w:rsidRPr="00640871">
        <w:rPr>
          <w:rStyle w:val="Emphasis"/>
          <w:rFonts w:ascii="Times New Roman" w:hAnsi="Times New Roman" w:cs="Times New Roman"/>
          <w:i w:val="0"/>
          <w:sz w:val="24"/>
          <w:szCs w:val="24"/>
          <w:shd w:val="clear" w:color="auto" w:fill="FFFFFF"/>
        </w:rPr>
        <w:t>Physical literacy can be described as the motivation, confidence, physical competence, knowledge and understanding to value and take responsibility for engagement i</w:t>
      </w:r>
      <w:r>
        <w:rPr>
          <w:rStyle w:val="Emphasis"/>
          <w:rFonts w:ascii="Times New Roman" w:hAnsi="Times New Roman" w:cs="Times New Roman"/>
          <w:i w:val="0"/>
          <w:sz w:val="24"/>
          <w:szCs w:val="24"/>
          <w:shd w:val="clear" w:color="auto" w:fill="FFFFFF"/>
        </w:rPr>
        <w:t>n physical activities for life’ (IPLA, 2018). The foundation phase is a fantastic opportunity for the children to develop their physical literacy in a free and encouraging environment. As the end goal is for children to be in a place where they can actively engage in regular physical activity both confidently and competently well into their adult hood, the foundation phase will be the place where they begin the journey towards their physical literacy. In the foundation phase, children will be developing their fine and gross motor skills – i.e. balance, movement and coordination. This development of their motor skills will be paramount in the children developing further physical skills to in turn develop their physical literacy.</w:t>
      </w:r>
    </w:p>
    <w:p w14:paraId="72665270" w14:textId="77777777" w:rsidR="0089561D" w:rsidRDefault="0089561D" w:rsidP="0089561D">
      <w:pPr>
        <w:spacing w:line="360" w:lineRule="auto"/>
        <w:rPr>
          <w:rFonts w:ascii="Times New Roman" w:hAnsi="Times New Roman" w:cs="Times New Roman"/>
          <w:color w:val="FF0000"/>
          <w:sz w:val="24"/>
        </w:rPr>
      </w:pPr>
    </w:p>
    <w:p w14:paraId="5A7581BB" w14:textId="77777777" w:rsidR="0089561D" w:rsidRDefault="0089561D" w:rsidP="0089561D">
      <w:pPr>
        <w:spacing w:line="360" w:lineRule="auto"/>
        <w:rPr>
          <w:rFonts w:ascii="Times New Roman" w:hAnsi="Times New Roman" w:cs="Times New Roman"/>
          <w:sz w:val="24"/>
          <w:szCs w:val="24"/>
        </w:rPr>
      </w:pPr>
      <w:r>
        <w:rPr>
          <w:rFonts w:ascii="Times New Roman" w:hAnsi="Times New Roman" w:cs="Times New Roman"/>
          <w:sz w:val="24"/>
        </w:rPr>
        <w:t xml:space="preserve">As mentioned the foundation phase will greatly help the children develop their motor skills – which is the definitive first step towards their physical literacy. It is proposed that enriched movement will lead on to an increased movement and therefore an increased proficiency in a repertoire of movement skills. This allows children to improve the way they adapt to new movements and environments and from this they will have an increased self-efficiency. Children will should now be more motivated to try new activities and they should see success in these activities. Because of the success they will be experiencing they may be participating more which will directly result in improved health and a much greater quality of life. </w:t>
      </w:r>
      <w:r w:rsidRPr="00E83C94">
        <w:rPr>
          <w:rFonts w:ascii="Times New Roman" w:hAnsi="Times New Roman" w:cs="Times New Roman"/>
          <w:sz w:val="24"/>
          <w:szCs w:val="24"/>
        </w:rPr>
        <w:t>(Jurbala, 2015)</w:t>
      </w:r>
      <w:r>
        <w:rPr>
          <w:rFonts w:ascii="Times New Roman" w:hAnsi="Times New Roman" w:cs="Times New Roman"/>
          <w:sz w:val="24"/>
          <w:szCs w:val="24"/>
        </w:rPr>
        <w:t xml:space="preserve">. </w:t>
      </w:r>
    </w:p>
    <w:p w14:paraId="68FEC443" w14:textId="77777777" w:rsidR="0089561D" w:rsidRDefault="0089561D" w:rsidP="0089561D">
      <w:pPr>
        <w:spacing w:line="360" w:lineRule="auto"/>
        <w:rPr>
          <w:rFonts w:ascii="Times New Roman" w:hAnsi="Times New Roman" w:cs="Times New Roman"/>
          <w:sz w:val="24"/>
          <w:szCs w:val="24"/>
        </w:rPr>
      </w:pPr>
    </w:p>
    <w:p w14:paraId="10BC3CAC" w14:textId="77777777" w:rsidR="0089561D" w:rsidRDefault="0089561D" w:rsidP="0089561D">
      <w:pPr>
        <w:spacing w:line="360" w:lineRule="auto"/>
        <w:rPr>
          <w:rFonts w:ascii="Times New Roman" w:hAnsi="Times New Roman" w:cs="Times New Roman"/>
          <w:sz w:val="24"/>
          <w:szCs w:val="24"/>
        </w:rPr>
      </w:pPr>
      <w:r>
        <w:rPr>
          <w:rFonts w:ascii="Times New Roman" w:hAnsi="Times New Roman" w:cs="Times New Roman"/>
          <w:sz w:val="24"/>
          <w:szCs w:val="24"/>
        </w:rPr>
        <w:t>The affordances offered within the foundation phase are great for the development motor skills due to the children’s enthusiasm for the chance to “play”. This is according to a study by Storli and Hagen (2010). It was first understood that children of the foundation phase age were very quick to start gathering tools and toys to begin playing – the children’s enthusiasm for their time to play greatly reinforces the development of their motor skills. Yes they will developing these motor skill, but their enthusiasm for playing means this development will be greater. As mentioned, the affordances allowed children to learn and develop. It was noted that the children would use the natural environment, there was learning trough purpose – the children would climb because they had to in order to move on, they would run and vary their speeds depending on the terrain. Also, in the playground environment, the activities were accommodated appropriate to the locations they had available – flat areas for cycling, areas for digging and opportunities for climbing.</w:t>
      </w:r>
    </w:p>
    <w:p w14:paraId="20704F67" w14:textId="77777777" w:rsidR="0089561D" w:rsidRDefault="0089561D" w:rsidP="0089561D">
      <w:pPr>
        <w:spacing w:line="360" w:lineRule="auto"/>
        <w:rPr>
          <w:rFonts w:ascii="Times New Roman" w:hAnsi="Times New Roman" w:cs="Times New Roman"/>
          <w:sz w:val="24"/>
        </w:rPr>
      </w:pPr>
    </w:p>
    <w:p w14:paraId="0FA2EFBF" w14:textId="77777777" w:rsidR="0089561D" w:rsidRPr="00E26E70" w:rsidRDefault="0089561D" w:rsidP="0089561D">
      <w:pPr>
        <w:spacing w:line="360" w:lineRule="auto"/>
        <w:rPr>
          <w:rFonts w:ascii="Times New Roman" w:hAnsi="Times New Roman" w:cs="Times New Roman"/>
          <w:color w:val="FF0000"/>
          <w:sz w:val="24"/>
        </w:rPr>
      </w:pPr>
      <w:r>
        <w:rPr>
          <w:rFonts w:ascii="Times New Roman" w:hAnsi="Times New Roman" w:cs="Times New Roman"/>
          <w:sz w:val="24"/>
        </w:rPr>
        <w:t>The foundation phase was brought in in 2008 so it is still a relatively new framework in terms of the rest of the curriculum in schools. Up until 2008 when the framework was brought in, children of foundation phase age were in great need of a fresh outlook on their education. Schools have on occasion been described as Victorian, it is not hard to see why because in basic terms schools haven’t changed a huge amount. Classrooms can sometimes be seen as on dimensional and the children are judged and assessed against a set of criteria – criteria determined by the age group of the children. It is not dissimilar to a factory. Children are seen as products going through quality control checks in the form of typical assessment. Children leave school in batches. The foundation phase brings a fresh attitude to school which is specifically designed to nurture the needs of children at this age. Children will have the freedom and the tools to learn the way that’s best for them. They will have the best possible start towards their physical literacy and school development in general.</w:t>
      </w:r>
    </w:p>
    <w:p w14:paraId="78D4373E" w14:textId="77777777" w:rsidR="0089561D" w:rsidRPr="00E26E70" w:rsidRDefault="0089561D" w:rsidP="0089561D">
      <w:pPr>
        <w:rPr>
          <w:rFonts w:ascii="Times New Roman" w:hAnsi="Times New Roman" w:cs="Times New Roman"/>
          <w:color w:val="FF0000"/>
          <w:sz w:val="24"/>
        </w:rPr>
      </w:pPr>
    </w:p>
    <w:p w14:paraId="005842F5" w14:textId="77777777" w:rsidR="0089561D" w:rsidRDefault="0089561D" w:rsidP="0089561D">
      <w:pPr>
        <w:jc w:val="center"/>
      </w:pPr>
    </w:p>
    <w:p w14:paraId="28E920FB" w14:textId="77777777" w:rsidR="0089561D" w:rsidRDefault="0089561D" w:rsidP="0089561D">
      <w:pPr>
        <w:pStyle w:val="Heading2"/>
        <w:spacing w:before="0" w:line="360" w:lineRule="auto"/>
        <w:rPr>
          <w:rFonts w:ascii="Times New Roman" w:hAnsi="Times New Roman" w:cs="Times New Roman"/>
          <w:b/>
          <w:bCs/>
          <w:color w:val="000000"/>
          <w:sz w:val="28"/>
        </w:rPr>
      </w:pPr>
      <w:r w:rsidRPr="009A4E18">
        <w:rPr>
          <w:rFonts w:ascii="Times New Roman" w:hAnsi="Times New Roman" w:cs="Times New Roman"/>
          <w:b/>
          <w:bCs/>
          <w:color w:val="000000"/>
          <w:sz w:val="28"/>
        </w:rPr>
        <w:t>References</w:t>
      </w:r>
    </w:p>
    <w:p w14:paraId="12A3165A" w14:textId="77777777" w:rsidR="0089561D" w:rsidRPr="00DD3B91" w:rsidRDefault="0089561D" w:rsidP="0089561D"/>
    <w:p w14:paraId="159D3405" w14:textId="77777777" w:rsidR="0089561D" w:rsidRPr="00DD3B91" w:rsidRDefault="0089561D" w:rsidP="0089561D">
      <w:pPr>
        <w:shd w:val="clear" w:color="auto" w:fill="FFFFFF"/>
        <w:spacing w:after="158" w:line="240" w:lineRule="auto"/>
        <w:outlineLvl w:val="0"/>
        <w:rPr>
          <w:rFonts w:ascii="Times New Roman" w:eastAsia="Times New Roman" w:hAnsi="Times New Roman" w:cs="Times New Roman"/>
          <w:color w:val="777777"/>
          <w:kern w:val="36"/>
          <w:sz w:val="24"/>
          <w:szCs w:val="24"/>
          <w:lang w:eastAsia="en-GB"/>
        </w:rPr>
      </w:pPr>
      <w:r w:rsidRPr="00DD3B91">
        <w:rPr>
          <w:rFonts w:ascii="Times New Roman" w:hAnsi="Times New Roman" w:cs="Times New Roman"/>
          <w:sz w:val="24"/>
          <w:szCs w:val="24"/>
        </w:rPr>
        <w:t xml:space="preserve">Dowdell, K. Gray, T. and Malone, K. (2011). </w:t>
      </w:r>
      <w:r w:rsidRPr="00DD3B91">
        <w:rPr>
          <w:rFonts w:ascii="Times New Roman" w:eastAsia="Times New Roman" w:hAnsi="Times New Roman" w:cs="Times New Roman"/>
          <w:kern w:val="36"/>
          <w:sz w:val="24"/>
          <w:szCs w:val="24"/>
          <w:lang w:eastAsia="en-GB"/>
        </w:rPr>
        <w:t xml:space="preserve">Nature and its Influence on Children's Outdoor Play. </w:t>
      </w:r>
      <w:hyperlink r:id="rId9" w:tooltip="Click to search for more items from this journal" w:history="1">
        <w:r w:rsidRPr="00DD3B91">
          <w:rPr>
            <w:rFonts w:ascii="Times New Roman" w:eastAsia="Times New Roman" w:hAnsi="Times New Roman" w:cs="Times New Roman"/>
            <w:bCs/>
            <w:i/>
            <w:sz w:val="24"/>
            <w:szCs w:val="24"/>
            <w:lang w:eastAsia="en-GB"/>
          </w:rPr>
          <w:t>Australian Journal of Outdoor Education</w:t>
        </w:r>
      </w:hyperlink>
      <w:r w:rsidRPr="00DD3B91">
        <w:rPr>
          <w:rFonts w:ascii="Times New Roman" w:eastAsia="Times New Roman" w:hAnsi="Times New Roman" w:cs="Times New Roman"/>
          <w:i/>
          <w:sz w:val="24"/>
          <w:szCs w:val="24"/>
          <w:lang w:eastAsia="en-GB"/>
        </w:rPr>
        <w:t xml:space="preserve">, </w:t>
      </w:r>
      <w:r w:rsidRPr="00DD3B91">
        <w:rPr>
          <w:rFonts w:ascii="Times New Roman" w:eastAsia="Times New Roman" w:hAnsi="Times New Roman" w:cs="Times New Roman"/>
          <w:sz w:val="24"/>
          <w:szCs w:val="24"/>
          <w:lang w:eastAsia="en-GB"/>
        </w:rPr>
        <w:t>15(2), pp.24-35.</w:t>
      </w:r>
    </w:p>
    <w:p w14:paraId="4AE15592" w14:textId="77777777" w:rsidR="0089561D" w:rsidRDefault="0089561D" w:rsidP="0089561D">
      <w:pPr>
        <w:pStyle w:val="NormalWeb"/>
        <w:spacing w:before="0" w:beforeAutospacing="0" w:after="180" w:afterAutospacing="0" w:line="360" w:lineRule="auto"/>
        <w:ind w:left="450" w:hanging="450"/>
        <w:rPr>
          <w:color w:val="000000"/>
        </w:rPr>
      </w:pPr>
      <w:r>
        <w:rPr>
          <w:color w:val="000000"/>
        </w:rPr>
        <w:t>Fjørtoft, I. (2001)</w:t>
      </w:r>
      <w:r w:rsidRPr="009A4E18">
        <w:rPr>
          <w:color w:val="000000"/>
        </w:rPr>
        <w:t>. </w:t>
      </w:r>
      <w:r w:rsidRPr="009A4E18">
        <w:rPr>
          <w:i/>
          <w:iCs/>
          <w:color w:val="000000"/>
        </w:rPr>
        <w:t>Early Childhood Education Journal</w:t>
      </w:r>
      <w:r w:rsidRPr="009A4E18">
        <w:rPr>
          <w:color w:val="000000"/>
        </w:rPr>
        <w:t>, 29(2), pp.111-117.</w:t>
      </w:r>
    </w:p>
    <w:p w14:paraId="419C8CE5" w14:textId="77777777" w:rsidR="0089561D" w:rsidRDefault="0089561D" w:rsidP="0089561D">
      <w:pPr>
        <w:pStyle w:val="NormalWeb"/>
        <w:spacing w:before="0" w:beforeAutospacing="0" w:after="180" w:afterAutospacing="0" w:line="360" w:lineRule="auto"/>
        <w:ind w:left="450" w:hanging="450"/>
        <w:rPr>
          <w:color w:val="000000"/>
        </w:rPr>
      </w:pPr>
      <w:r w:rsidRPr="00DD3B91">
        <w:t>Hewett, V. (2001). Examining the Reggio Emilia Approach to Early Childhood Education.</w:t>
      </w:r>
      <w:r w:rsidRPr="00DD3B91">
        <w:rPr>
          <w:i/>
        </w:rPr>
        <w:t xml:space="preserve"> Early Childhood Education Journal, </w:t>
      </w:r>
      <w:r w:rsidRPr="00DD3B91">
        <w:t>29(2).</w:t>
      </w:r>
    </w:p>
    <w:p w14:paraId="2DD5F247" w14:textId="77777777" w:rsidR="0089561D" w:rsidRDefault="0089561D" w:rsidP="0089561D">
      <w:pPr>
        <w:pStyle w:val="NormalWeb"/>
        <w:spacing w:before="0" w:beforeAutospacing="0" w:after="180" w:afterAutospacing="0" w:line="360" w:lineRule="auto"/>
        <w:ind w:left="450" w:hanging="450"/>
        <w:rPr>
          <w:color w:val="000000"/>
        </w:rPr>
      </w:pPr>
      <w:r w:rsidRPr="009A4E18">
        <w:rPr>
          <w:color w:val="000000"/>
        </w:rPr>
        <w:t>IPLA. (2018). </w:t>
      </w:r>
      <w:r w:rsidRPr="009A4E18">
        <w:rPr>
          <w:i/>
          <w:iCs/>
          <w:color w:val="000000"/>
        </w:rPr>
        <w:t>Defining Physical Literacy - IPLA</w:t>
      </w:r>
      <w:r w:rsidRPr="009A4E18">
        <w:rPr>
          <w:color w:val="000000"/>
        </w:rPr>
        <w:t>. [online] Available at: https://www.physical-literacy.org.uk/defining-physical-literacy/ [Accessed 29 Mar. 2018].</w:t>
      </w:r>
    </w:p>
    <w:p w14:paraId="03BC5368" w14:textId="77777777" w:rsidR="0089561D" w:rsidRDefault="0089561D" w:rsidP="0089561D">
      <w:pPr>
        <w:pStyle w:val="NormalWeb"/>
        <w:spacing w:before="0" w:beforeAutospacing="0" w:after="180" w:afterAutospacing="0" w:line="360" w:lineRule="auto"/>
        <w:ind w:left="450" w:hanging="450"/>
        <w:rPr>
          <w:color w:val="000000"/>
        </w:rPr>
      </w:pPr>
      <w:r w:rsidRPr="009A4E18">
        <w:rPr>
          <w:color w:val="000000"/>
        </w:rPr>
        <w:t>Jurbala, P. (2015). What Is Physical Literacy, Really?. </w:t>
      </w:r>
      <w:r w:rsidRPr="009A4E18">
        <w:rPr>
          <w:i/>
          <w:iCs/>
          <w:color w:val="000000"/>
        </w:rPr>
        <w:t>Quest</w:t>
      </w:r>
      <w:r w:rsidRPr="009A4E18">
        <w:rPr>
          <w:color w:val="000000"/>
        </w:rPr>
        <w:t>, 67(4), pp.367-383.</w:t>
      </w:r>
    </w:p>
    <w:p w14:paraId="6AD86670"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Learning.gov.wales. (2008). [online] Available at: http://learning.gov.wales/docs/learningwales/publications/150803-fp-framework-en.pdf [Accessed 27 Mar. 2018].</w:t>
      </w:r>
    </w:p>
    <w:p w14:paraId="0ADED698"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Maynard, T. and Waters, J. (2007). Learning in the outdoor environment: a missed opportunity?. </w:t>
      </w:r>
      <w:r w:rsidRPr="009A4E18">
        <w:rPr>
          <w:i/>
          <w:iCs/>
          <w:color w:val="000000"/>
        </w:rPr>
        <w:t>Early Years</w:t>
      </w:r>
      <w:r w:rsidRPr="009A4E18">
        <w:rPr>
          <w:color w:val="000000"/>
        </w:rPr>
        <w:t>, 27(3), pp.255-265.</w:t>
      </w:r>
    </w:p>
    <w:p w14:paraId="21DB3B18"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McInnes, K., Howard, J., Miles, G. and K. (2009). Differences Crowley, in practitioners’ understanding of play and how this influences pedagogy and children’s perceptions of play. </w:t>
      </w:r>
      <w:r w:rsidRPr="009A4E18">
        <w:rPr>
          <w:i/>
          <w:iCs/>
          <w:color w:val="000000"/>
        </w:rPr>
        <w:t>Early Years</w:t>
      </w:r>
      <w:r w:rsidRPr="009A4E18">
        <w:rPr>
          <w:color w:val="000000"/>
        </w:rPr>
        <w:t>, 31(2), pp.121-133.</w:t>
      </w:r>
    </w:p>
    <w:p w14:paraId="7276D232"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Rameka, L. (2011). Being Māori: culturally relevant assessment in early childhood education. </w:t>
      </w:r>
      <w:r w:rsidRPr="009A4E18">
        <w:rPr>
          <w:i/>
          <w:iCs/>
          <w:color w:val="000000"/>
        </w:rPr>
        <w:t>Early Years</w:t>
      </w:r>
      <w:r w:rsidRPr="009A4E18">
        <w:rPr>
          <w:color w:val="000000"/>
        </w:rPr>
        <w:t>, 31(3), pp.245-256.</w:t>
      </w:r>
    </w:p>
    <w:p w14:paraId="536AB722"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Storli, R. and Hagen, T. (2010). Affordances in outdoor environments and children's physically active play in pre</w:t>
      </w:r>
      <w:r w:rsidRPr="009A4E18">
        <w:rPr>
          <w:rFonts w:ascii="Cambria Math" w:hAnsi="Cambria Math" w:cs="Cambria Math"/>
          <w:color w:val="000000"/>
        </w:rPr>
        <w:t>‐</w:t>
      </w:r>
      <w:r w:rsidRPr="009A4E18">
        <w:rPr>
          <w:color w:val="000000"/>
        </w:rPr>
        <w:t>school. </w:t>
      </w:r>
      <w:r w:rsidRPr="009A4E18">
        <w:rPr>
          <w:i/>
          <w:iCs/>
          <w:color w:val="000000"/>
        </w:rPr>
        <w:t>European Early Childhood Education Research Journal</w:t>
      </w:r>
      <w:r w:rsidRPr="009A4E18">
        <w:rPr>
          <w:color w:val="000000"/>
        </w:rPr>
        <w:t>, 18(4), pp.445-456.</w:t>
      </w:r>
    </w:p>
    <w:p w14:paraId="40006DA4" w14:textId="77777777" w:rsidR="0089561D" w:rsidRPr="009A4E18" w:rsidRDefault="0089561D" w:rsidP="0089561D">
      <w:pPr>
        <w:pStyle w:val="NormalWeb"/>
        <w:spacing w:before="0" w:beforeAutospacing="0" w:after="180" w:afterAutospacing="0" w:line="360" w:lineRule="auto"/>
        <w:ind w:left="450" w:hanging="450"/>
        <w:rPr>
          <w:color w:val="000000"/>
        </w:rPr>
      </w:pPr>
      <w:r w:rsidRPr="009A4E18">
        <w:rPr>
          <w:color w:val="000000"/>
        </w:rPr>
        <w:t>Wilson, R. (2008). </w:t>
      </w:r>
      <w:r w:rsidRPr="009A4E18">
        <w:rPr>
          <w:i/>
          <w:iCs/>
          <w:color w:val="000000"/>
        </w:rPr>
        <w:t>Nature and young children</w:t>
      </w:r>
      <w:r w:rsidRPr="009A4E18">
        <w:rPr>
          <w:color w:val="000000"/>
        </w:rPr>
        <w:t>. Abingdon, Oxon: Routledge, p.ix.</w:t>
      </w:r>
    </w:p>
    <w:p w14:paraId="6B7B01B2"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68FCF0B0"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4AAA86D9"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0B0416CA"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36EB02B3"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70D35328"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762A2654" w14:textId="77777777" w:rsidR="0089561D" w:rsidRDefault="0089561D" w:rsidP="0089561D">
      <w:pPr>
        <w:shd w:val="clear" w:color="auto" w:fill="FFFFFF"/>
        <w:spacing w:after="158" w:line="240" w:lineRule="auto"/>
        <w:outlineLvl w:val="0"/>
        <w:rPr>
          <w:rFonts w:ascii="Times New Roman" w:hAnsi="Times New Roman" w:cs="Times New Roman"/>
          <w:sz w:val="28"/>
        </w:rPr>
      </w:pPr>
    </w:p>
    <w:p w14:paraId="4A0D6E02" w14:textId="77777777" w:rsidR="0089561D" w:rsidRDefault="0089561D" w:rsidP="0089561D"/>
    <w:bookmarkEnd w:id="0"/>
    <w:p w14:paraId="1B7D2790" w14:textId="77777777" w:rsidR="0089561D" w:rsidRPr="004150A6" w:rsidRDefault="0089561D" w:rsidP="004150A6">
      <w:pPr>
        <w:jc w:val="center"/>
        <w:rPr>
          <w:rFonts w:eastAsia="Times New Roman"/>
          <w:b/>
          <w:sz w:val="24"/>
          <w:szCs w:val="24"/>
        </w:rPr>
      </w:pPr>
    </w:p>
    <w:sectPr w:rsidR="0089561D"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B3FBCD" w14:textId="77777777" w:rsidR="008B1215" w:rsidRDefault="008B1215" w:rsidP="0077207E">
      <w:pPr>
        <w:spacing w:line="240" w:lineRule="auto"/>
      </w:pPr>
      <w:r>
        <w:separator/>
      </w:r>
    </w:p>
  </w:endnote>
  <w:endnote w:type="continuationSeparator" w:id="0">
    <w:p w14:paraId="1E588F60" w14:textId="77777777" w:rsidR="008B1215" w:rsidRDefault="008B121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8E3A71" w14:textId="77777777" w:rsidR="008B1215" w:rsidRDefault="008B1215" w:rsidP="0077207E">
      <w:pPr>
        <w:spacing w:line="240" w:lineRule="auto"/>
      </w:pPr>
      <w:r>
        <w:separator/>
      </w:r>
    </w:p>
  </w:footnote>
  <w:footnote w:type="continuationSeparator" w:id="0">
    <w:p w14:paraId="2DD4900E" w14:textId="77777777" w:rsidR="008B1215" w:rsidRDefault="008B1215"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D4291"/>
    <w:rsid w:val="001A4B68"/>
    <w:rsid w:val="001F7C59"/>
    <w:rsid w:val="00260D7B"/>
    <w:rsid w:val="00284793"/>
    <w:rsid w:val="00293206"/>
    <w:rsid w:val="002A7AAE"/>
    <w:rsid w:val="00317441"/>
    <w:rsid w:val="00344249"/>
    <w:rsid w:val="00401D59"/>
    <w:rsid w:val="004150A6"/>
    <w:rsid w:val="00417FA2"/>
    <w:rsid w:val="00424460"/>
    <w:rsid w:val="00437D19"/>
    <w:rsid w:val="00484EC1"/>
    <w:rsid w:val="004E5105"/>
    <w:rsid w:val="005374BB"/>
    <w:rsid w:val="005963C3"/>
    <w:rsid w:val="0077207E"/>
    <w:rsid w:val="007D2445"/>
    <w:rsid w:val="007D332B"/>
    <w:rsid w:val="00846882"/>
    <w:rsid w:val="00872DA2"/>
    <w:rsid w:val="0089561D"/>
    <w:rsid w:val="008B1215"/>
    <w:rsid w:val="009859DC"/>
    <w:rsid w:val="00A02860"/>
    <w:rsid w:val="00A72A53"/>
    <w:rsid w:val="00BF3F1C"/>
    <w:rsid w:val="00C10F21"/>
    <w:rsid w:val="00C3093A"/>
    <w:rsid w:val="00C536A6"/>
    <w:rsid w:val="00C6371F"/>
    <w:rsid w:val="00CA255D"/>
    <w:rsid w:val="00CB1CB8"/>
    <w:rsid w:val="00D34C76"/>
    <w:rsid w:val="00D6095A"/>
    <w:rsid w:val="00D66A3D"/>
    <w:rsid w:val="00DF5A32"/>
    <w:rsid w:val="00E10195"/>
    <w:rsid w:val="00EA5C3F"/>
    <w:rsid w:val="00EB1F41"/>
    <w:rsid w:val="00EE29ED"/>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9561D"/>
    <w:pPr>
      <w:keepNext/>
      <w:keepLines/>
      <w:spacing w:before="4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customStyle="1" w:styleId="Heading2Char">
    <w:name w:val="Heading 2 Char"/>
    <w:basedOn w:val="DefaultParagraphFont"/>
    <w:link w:val="Heading2"/>
    <w:uiPriority w:val="9"/>
    <w:semiHidden/>
    <w:rsid w:val="0089561D"/>
    <w:rPr>
      <w:rFonts w:asciiTheme="majorHAnsi" w:eastAsiaTheme="majorEastAsia" w:hAnsiTheme="majorHAnsi" w:cstheme="majorBidi"/>
      <w:color w:val="365F91" w:themeColor="accent1" w:themeShade="BF"/>
      <w:sz w:val="26"/>
      <w:szCs w:val="26"/>
    </w:rPr>
  </w:style>
  <w:style w:type="character" w:customStyle="1" w:styleId="fp-filename">
    <w:name w:val="fp-filename"/>
    <w:basedOn w:val="DefaultParagraphFont"/>
    <w:rsid w:val="0089561D"/>
  </w:style>
  <w:style w:type="character" w:styleId="Emphasis">
    <w:name w:val="Emphasis"/>
    <w:basedOn w:val="DefaultParagraphFont"/>
    <w:uiPriority w:val="20"/>
    <w:qFormat/>
    <w:rsid w:val="0089561D"/>
    <w:rPr>
      <w:i/>
      <w:iCs/>
    </w:rPr>
  </w:style>
  <w:style w:type="paragraph" w:styleId="NormalWeb">
    <w:name w:val="Normal (Web)"/>
    <w:basedOn w:val="Normal"/>
    <w:uiPriority w:val="99"/>
    <w:unhideWhenUsed/>
    <w:rsid w:val="0089561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2269/mod_folder/content/0/McInnes%20et%20al%202009%20behaviour%20differences%20in%20play.pdf?forcedownload=1"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proquest.com/pubidlinkhandler/sng/pubtitle/Australian+Journal+of+Outdoor+Education/$N/29628/OpenView/1010412777/$B/5465933BA6984F19P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 Jones</cp:lastModifiedBy>
  <cp:revision>2</cp:revision>
  <cp:lastPrinted>2014-08-18T15:50:00Z</cp:lastPrinted>
  <dcterms:created xsi:type="dcterms:W3CDTF">2018-03-30T13:53:00Z</dcterms:created>
  <dcterms:modified xsi:type="dcterms:W3CDTF">2018-03-30T13:53:00Z</dcterms:modified>
</cp:coreProperties>
</file>