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bookmarkStart w:id="0" w:name="_MON_1832922378"/>
    <w:bookmarkEnd w:id="0"/>
    <w:p w14:paraId="128C2307" w14:textId="39AE577A" w:rsidR="00B768B1" w:rsidRDefault="00353AFB" w:rsidP="00353AFB">
      <w:pPr>
        <w:jc w:val="center"/>
        <w:rPr>
          <w:b/>
          <w:bCs/>
          <w:sz w:val="52"/>
          <w:szCs w:val="52"/>
        </w:rPr>
        <w:sectPr w:rsidR="00B768B1" w:rsidSect="00353AFB">
          <w:pgSz w:w="24480" w:h="31680" w:code="24"/>
          <w:pgMar w:top="1440" w:right="1440" w:bottom="1440" w:left="1440" w:header="708" w:footer="708" w:gutter="0"/>
          <w:pgNumType w:start="0"/>
          <w:cols w:space="708"/>
          <w:titlePg/>
          <w:docGrid w:linePitch="360"/>
        </w:sectPr>
      </w:pPr>
      <w:r>
        <w:rPr>
          <w:b/>
          <w:bCs/>
          <w:sz w:val="52"/>
          <w:szCs w:val="52"/>
        </w:rPr>
        <w:object w:dxaOrig="9026" w:dyaOrig="14089" w14:anchorId="4F32D6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35pt;height:703.9pt" o:ole="">
            <v:imagedata r:id="rId8" o:title=""/>
          </v:shape>
          <o:OLEObject Type="Embed" ProgID="Word.Document.12" ShapeID="_x0000_i1025" DrawAspect="Content" ObjectID="_1833193008" r:id="rId9">
            <o:FieldCodes>\s</o:FieldCodes>
          </o:OLEObject>
        </w:object>
      </w:r>
      <w:r>
        <w:rPr>
          <w:b/>
          <w:bCs/>
          <w:sz w:val="52"/>
          <w:szCs w:val="52"/>
        </w:rPr>
        <w:t xml:space="preserve">       </w:t>
      </w:r>
    </w:p>
    <w:p w14:paraId="00B3CA69" w14:textId="6A3BC4BA" w:rsidR="00E76863" w:rsidRDefault="00353AFB">
      <w:pPr>
        <w:rPr>
          <w:b/>
          <w:bCs/>
          <w:sz w:val="52"/>
          <w:szCs w:val="52"/>
        </w:rPr>
      </w:pPr>
      <w:r>
        <w:rPr>
          <w:b/>
          <w:bCs/>
          <w:noProof/>
          <w:sz w:val="52"/>
          <w:szCs w:val="52"/>
        </w:rPr>
        <w:lastRenderedPageBreak/>
        <w:drawing>
          <wp:anchor distT="0" distB="0" distL="114300" distR="114300" simplePos="0" relativeHeight="251663360" behindDoc="1" locked="0" layoutInCell="1" allowOverlap="1" wp14:anchorId="0C93215F" wp14:editId="11F70CCF">
            <wp:simplePos x="0" y="0"/>
            <wp:positionH relativeFrom="margin">
              <wp:align>right</wp:align>
            </wp:positionH>
            <wp:positionV relativeFrom="paragraph">
              <wp:posOffset>-63062</wp:posOffset>
            </wp:positionV>
            <wp:extent cx="4575941" cy="2911962"/>
            <wp:effectExtent l="0" t="0" r="0" b="3175"/>
            <wp:wrapNone/>
            <wp:docPr id="1650759209" name="Picture 6" descr="Daughter bonding with father in wheelc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59209" name="Picture 1650759209" descr="Daughter bonding with father in wheelchai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5941" cy="2911962"/>
                    </a:xfrm>
                    <a:prstGeom prst="rect">
                      <a:avLst/>
                    </a:prstGeom>
                  </pic:spPr>
                </pic:pic>
              </a:graphicData>
            </a:graphic>
            <wp14:sizeRelH relativeFrom="margin">
              <wp14:pctWidth>0</wp14:pctWidth>
            </wp14:sizeRelH>
            <wp14:sizeRelV relativeFrom="margin">
              <wp14:pctHeight>0</wp14:pctHeight>
            </wp14:sizeRelV>
          </wp:anchor>
        </w:drawing>
      </w:r>
      <w:r>
        <w:rPr>
          <w:b/>
          <w:bCs/>
          <w:noProof/>
          <w:sz w:val="52"/>
          <w:szCs w:val="52"/>
        </w:rPr>
        <w:drawing>
          <wp:anchor distT="0" distB="0" distL="114300" distR="114300" simplePos="0" relativeHeight="251668480" behindDoc="0" locked="0" layoutInCell="1" allowOverlap="1" wp14:anchorId="2C839AD1" wp14:editId="2477B3F9">
            <wp:simplePos x="0" y="0"/>
            <wp:positionH relativeFrom="margin">
              <wp:align>left</wp:align>
            </wp:positionH>
            <wp:positionV relativeFrom="paragraph">
              <wp:posOffset>0</wp:posOffset>
            </wp:positionV>
            <wp:extent cx="4193540" cy="2915920"/>
            <wp:effectExtent l="0" t="0" r="0" b="0"/>
            <wp:wrapThrough wrapText="bothSides">
              <wp:wrapPolygon edited="0">
                <wp:start x="0" y="0"/>
                <wp:lineTo x="0" y="21449"/>
                <wp:lineTo x="21489" y="21449"/>
                <wp:lineTo x="21489" y="0"/>
                <wp:lineTo x="0" y="0"/>
              </wp:wrapPolygon>
            </wp:wrapThrough>
            <wp:docPr id="733924015" name="Picture 8" descr="Elderly couple looking at photo 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24015" name="Picture 733924015" descr="Elderly couple looking at photo album"/>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6350" cy="2917839"/>
                    </a:xfrm>
                    <a:prstGeom prst="rect">
                      <a:avLst/>
                    </a:prstGeom>
                  </pic:spPr>
                </pic:pic>
              </a:graphicData>
            </a:graphic>
            <wp14:sizeRelH relativeFrom="margin">
              <wp14:pctWidth>0</wp14:pctWidth>
            </wp14:sizeRelH>
            <wp14:sizeRelV relativeFrom="margin">
              <wp14:pctHeight>0</wp14:pctHeight>
            </wp14:sizeRelV>
          </wp:anchor>
        </w:drawing>
      </w:r>
      <w:r w:rsidR="00E76863">
        <w:rPr>
          <w:b/>
          <w:bCs/>
          <w:sz w:val="52"/>
          <w:szCs w:val="52"/>
        </w:rPr>
        <w:t xml:space="preserve">                                 </w:t>
      </w:r>
      <w:r w:rsidR="00FE26DE">
        <w:rPr>
          <w:b/>
          <w:bCs/>
          <w:sz w:val="52"/>
          <w:szCs w:val="52"/>
        </w:rPr>
        <w:t xml:space="preserve">          </w:t>
      </w:r>
      <w:r w:rsidR="00E76863">
        <w:rPr>
          <w:b/>
          <w:bCs/>
          <w:sz w:val="52"/>
          <w:szCs w:val="52"/>
        </w:rPr>
        <w:t xml:space="preserve"> Community Disability Services </w:t>
      </w:r>
    </w:p>
    <w:p w14:paraId="2D47068A" w14:textId="210DEC1C" w:rsidR="00E76863" w:rsidRDefault="00E76863">
      <w:pPr>
        <w:rPr>
          <w:b/>
          <w:bCs/>
          <w:sz w:val="52"/>
          <w:szCs w:val="52"/>
        </w:rPr>
      </w:pPr>
    </w:p>
    <w:p w14:paraId="63309A82" w14:textId="3239B359" w:rsidR="00E76863" w:rsidRDefault="00E76863">
      <w:pPr>
        <w:rPr>
          <w:b/>
          <w:bCs/>
          <w:sz w:val="52"/>
          <w:szCs w:val="52"/>
        </w:rPr>
      </w:pPr>
    </w:p>
    <w:p w14:paraId="6C6AEBC2" w14:textId="77777777" w:rsidR="00E76863" w:rsidRDefault="00E76863">
      <w:pPr>
        <w:rPr>
          <w:b/>
          <w:bCs/>
          <w:sz w:val="52"/>
          <w:szCs w:val="52"/>
        </w:rPr>
      </w:pPr>
    </w:p>
    <w:p w14:paraId="17CFE889" w14:textId="77777777" w:rsidR="00E76863" w:rsidRDefault="00E76863">
      <w:pPr>
        <w:rPr>
          <w:b/>
          <w:bCs/>
          <w:sz w:val="52"/>
          <w:szCs w:val="52"/>
        </w:rPr>
      </w:pPr>
    </w:p>
    <w:p w14:paraId="2C605EB0" w14:textId="77777777" w:rsidR="00E76863" w:rsidRPr="00822137" w:rsidRDefault="00E76863" w:rsidP="00693956">
      <w:pPr>
        <w:spacing w:line="360" w:lineRule="auto"/>
        <w:rPr>
          <w:b/>
          <w:bCs/>
          <w:color w:val="0070C0"/>
          <w:sz w:val="22"/>
          <w:szCs w:val="22"/>
          <w:u w:val="single"/>
        </w:rPr>
      </w:pPr>
      <w:r w:rsidRPr="00822137">
        <w:rPr>
          <w:b/>
          <w:bCs/>
          <w:color w:val="0070C0"/>
          <w:sz w:val="22"/>
          <w:szCs w:val="22"/>
          <w:u w:val="single"/>
        </w:rPr>
        <w:t>What are community disability services?</w:t>
      </w:r>
    </w:p>
    <w:p w14:paraId="081D555D" w14:textId="77777777" w:rsidR="00E76863" w:rsidRPr="0090036D" w:rsidRDefault="00E76863" w:rsidP="00693956">
      <w:pPr>
        <w:spacing w:line="360" w:lineRule="auto"/>
        <w:rPr>
          <w:b/>
          <w:bCs/>
          <w:color w:val="0070C0"/>
          <w:sz w:val="22"/>
          <w:szCs w:val="22"/>
        </w:rPr>
      </w:pPr>
      <w:r w:rsidRPr="0090036D">
        <w:rPr>
          <w:b/>
          <w:bCs/>
          <w:color w:val="0070C0"/>
          <w:sz w:val="22"/>
          <w:szCs w:val="22"/>
        </w:rPr>
        <w:t>In accordance with the National health service (NHS),</w:t>
      </w:r>
      <w:r>
        <w:rPr>
          <w:b/>
          <w:bCs/>
          <w:color w:val="0070C0"/>
          <w:sz w:val="22"/>
          <w:szCs w:val="22"/>
        </w:rPr>
        <w:t xml:space="preserve"> </w:t>
      </w:r>
      <w:r w:rsidRPr="0090036D">
        <w:rPr>
          <w:b/>
          <w:bCs/>
          <w:color w:val="0070C0"/>
          <w:sz w:val="22"/>
          <w:szCs w:val="22"/>
        </w:rPr>
        <w:t xml:space="preserve">Community health services for disabled service users can be defined as providing support from birth to elderly to those with complex additional needs. This support assists with aiding the </w:t>
      </w:r>
    </w:p>
    <w:p w14:paraId="686098F0" w14:textId="77777777" w:rsidR="00E76863" w:rsidRPr="0009052C" w:rsidRDefault="00E76863" w:rsidP="00693956">
      <w:pPr>
        <w:spacing w:line="360" w:lineRule="auto"/>
        <w:rPr>
          <w:b/>
          <w:bCs/>
          <w:color w:val="0070C0"/>
          <w:sz w:val="22"/>
          <w:szCs w:val="22"/>
        </w:rPr>
      </w:pPr>
      <w:r>
        <w:rPr>
          <w:b/>
          <w:bCs/>
          <w:noProof/>
          <w:sz w:val="52"/>
          <w:szCs w:val="52"/>
        </w:rPr>
        <w:drawing>
          <wp:anchor distT="0" distB="0" distL="114300" distR="114300" simplePos="0" relativeHeight="251672576" behindDoc="1" locked="0" layoutInCell="1" allowOverlap="1" wp14:anchorId="0C466007" wp14:editId="02DE9F6C">
            <wp:simplePos x="0" y="0"/>
            <wp:positionH relativeFrom="page">
              <wp:align>right</wp:align>
            </wp:positionH>
            <wp:positionV relativeFrom="paragraph">
              <wp:posOffset>442595</wp:posOffset>
            </wp:positionV>
            <wp:extent cx="3086100" cy="2343150"/>
            <wp:effectExtent l="0" t="0" r="0" b="0"/>
            <wp:wrapThrough wrapText="bothSides">
              <wp:wrapPolygon edited="0">
                <wp:start x="0" y="0"/>
                <wp:lineTo x="0" y="21424"/>
                <wp:lineTo x="21467" y="21424"/>
                <wp:lineTo x="21467" y="0"/>
                <wp:lineTo x="0" y="0"/>
              </wp:wrapPolygon>
            </wp:wrapThrough>
            <wp:docPr id="1243192720" name="Picture 11" descr="Hands forming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192720" name="Picture 1243192720" descr="Hands forming circl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86100" cy="2343150"/>
                    </a:xfrm>
                    <a:prstGeom prst="rect">
                      <a:avLst/>
                    </a:prstGeom>
                  </pic:spPr>
                </pic:pic>
              </a:graphicData>
            </a:graphic>
            <wp14:sizeRelH relativeFrom="margin">
              <wp14:pctWidth>0</wp14:pctWidth>
            </wp14:sizeRelH>
            <wp14:sizeRelV relativeFrom="margin">
              <wp14:pctHeight>0</wp14:pctHeight>
            </wp14:sizeRelV>
          </wp:anchor>
        </w:drawing>
      </w:r>
      <w:r w:rsidRPr="0090036D">
        <w:rPr>
          <w:b/>
          <w:bCs/>
          <w:color w:val="0070C0"/>
          <w:sz w:val="22"/>
          <w:szCs w:val="22"/>
        </w:rPr>
        <w:t xml:space="preserve">service user staying in their home longer instead of requiring residential care. The support services offered are, </w:t>
      </w:r>
      <w:r w:rsidRPr="00AE415A">
        <w:rPr>
          <w:b/>
          <w:bCs/>
          <w:color w:val="0070C0"/>
          <w:sz w:val="22"/>
          <w:szCs w:val="22"/>
        </w:rPr>
        <w:t>Urgent Community Response including 2 hour rapid crisis response services</w:t>
      </w:r>
      <w:r w:rsidRPr="0090036D">
        <w:rPr>
          <w:b/>
          <w:bCs/>
          <w:color w:val="0070C0"/>
          <w:sz w:val="22"/>
          <w:szCs w:val="22"/>
        </w:rPr>
        <w:t>, d</w:t>
      </w:r>
      <w:r w:rsidRPr="00AE415A">
        <w:rPr>
          <w:b/>
          <w:bCs/>
          <w:color w:val="0070C0"/>
          <w:sz w:val="22"/>
          <w:szCs w:val="22"/>
        </w:rPr>
        <w:t>istrict nursing</w:t>
      </w:r>
      <w:r w:rsidRPr="0090036D">
        <w:rPr>
          <w:b/>
          <w:bCs/>
          <w:color w:val="0070C0"/>
          <w:sz w:val="22"/>
          <w:szCs w:val="22"/>
        </w:rPr>
        <w:t>, c</w:t>
      </w:r>
      <w:r w:rsidRPr="00AE415A">
        <w:rPr>
          <w:b/>
          <w:bCs/>
          <w:color w:val="0070C0"/>
          <w:sz w:val="22"/>
          <w:szCs w:val="22"/>
        </w:rPr>
        <w:t>hild health services</w:t>
      </w:r>
      <w:r w:rsidRPr="0090036D">
        <w:rPr>
          <w:b/>
          <w:bCs/>
          <w:color w:val="0070C0"/>
          <w:sz w:val="22"/>
          <w:szCs w:val="22"/>
        </w:rPr>
        <w:t>, c</w:t>
      </w:r>
      <w:r w:rsidRPr="00AE415A">
        <w:rPr>
          <w:b/>
          <w:bCs/>
          <w:color w:val="0070C0"/>
          <w:sz w:val="22"/>
          <w:szCs w:val="22"/>
        </w:rPr>
        <w:t>ommunity occupational therapy</w:t>
      </w:r>
      <w:r w:rsidRPr="0090036D">
        <w:rPr>
          <w:b/>
          <w:bCs/>
          <w:color w:val="0070C0"/>
          <w:sz w:val="22"/>
          <w:szCs w:val="22"/>
        </w:rPr>
        <w:t>, c</w:t>
      </w:r>
      <w:r w:rsidRPr="00AE415A">
        <w:rPr>
          <w:b/>
          <w:bCs/>
          <w:color w:val="0070C0"/>
          <w:sz w:val="22"/>
          <w:szCs w:val="22"/>
        </w:rPr>
        <w:t>ommunity paediatric clinics</w:t>
      </w:r>
      <w:r w:rsidRPr="0090036D">
        <w:rPr>
          <w:b/>
          <w:bCs/>
          <w:color w:val="0070C0"/>
          <w:sz w:val="22"/>
          <w:szCs w:val="22"/>
        </w:rPr>
        <w:t>, c</w:t>
      </w:r>
      <w:r w:rsidRPr="00AE415A">
        <w:rPr>
          <w:b/>
          <w:bCs/>
          <w:color w:val="0070C0"/>
          <w:sz w:val="22"/>
          <w:szCs w:val="22"/>
        </w:rPr>
        <w:t>ommunity </w:t>
      </w:r>
      <w:r w:rsidRPr="0090036D">
        <w:rPr>
          <w:b/>
          <w:bCs/>
          <w:color w:val="0070C0"/>
          <w:sz w:val="22"/>
          <w:szCs w:val="22"/>
        </w:rPr>
        <w:t>end of life and palliative care, c</w:t>
      </w:r>
      <w:r w:rsidRPr="00AE415A">
        <w:rPr>
          <w:b/>
          <w:bCs/>
          <w:color w:val="0070C0"/>
          <w:sz w:val="22"/>
          <w:szCs w:val="22"/>
        </w:rPr>
        <w:t>ommunity physiotherapy</w:t>
      </w:r>
      <w:r w:rsidRPr="0090036D">
        <w:rPr>
          <w:b/>
          <w:bCs/>
          <w:color w:val="0070C0"/>
          <w:sz w:val="22"/>
          <w:szCs w:val="22"/>
        </w:rPr>
        <w:t>, m</w:t>
      </w:r>
      <w:r w:rsidRPr="00AE415A">
        <w:rPr>
          <w:b/>
          <w:bCs/>
          <w:color w:val="0070C0"/>
          <w:sz w:val="22"/>
          <w:szCs w:val="22"/>
        </w:rPr>
        <w:t>usculoskeletal therapy</w:t>
      </w:r>
      <w:r w:rsidRPr="0090036D">
        <w:rPr>
          <w:b/>
          <w:bCs/>
          <w:color w:val="0070C0"/>
          <w:sz w:val="22"/>
          <w:szCs w:val="22"/>
        </w:rPr>
        <w:t>, p</w:t>
      </w:r>
      <w:r w:rsidRPr="00AE415A">
        <w:rPr>
          <w:b/>
          <w:bCs/>
          <w:color w:val="0070C0"/>
          <w:sz w:val="22"/>
          <w:szCs w:val="22"/>
        </w:rPr>
        <w:t>ulmonary or cardiac rehabilitation</w:t>
      </w:r>
      <w:r w:rsidRPr="0090036D">
        <w:rPr>
          <w:b/>
          <w:bCs/>
          <w:color w:val="0070C0"/>
          <w:sz w:val="22"/>
          <w:szCs w:val="22"/>
        </w:rPr>
        <w:t>, c</w:t>
      </w:r>
      <w:r w:rsidRPr="00AE415A">
        <w:rPr>
          <w:b/>
          <w:bCs/>
          <w:color w:val="0070C0"/>
          <w:sz w:val="22"/>
          <w:szCs w:val="22"/>
        </w:rPr>
        <w:t>ommunity podiatry</w:t>
      </w:r>
      <w:r w:rsidRPr="0090036D">
        <w:rPr>
          <w:b/>
          <w:bCs/>
          <w:color w:val="0070C0"/>
          <w:sz w:val="22"/>
          <w:szCs w:val="22"/>
        </w:rPr>
        <w:t>, c</w:t>
      </w:r>
      <w:r w:rsidRPr="00AE415A">
        <w:rPr>
          <w:b/>
          <w:bCs/>
          <w:color w:val="0070C0"/>
          <w:sz w:val="22"/>
          <w:szCs w:val="22"/>
        </w:rPr>
        <w:t>ommunity speech and language therapy</w:t>
      </w:r>
      <w:r w:rsidRPr="0090036D">
        <w:rPr>
          <w:b/>
          <w:bCs/>
          <w:color w:val="0070C0"/>
          <w:sz w:val="22"/>
          <w:szCs w:val="22"/>
        </w:rPr>
        <w:t>, f</w:t>
      </w:r>
      <w:r w:rsidRPr="00AE415A">
        <w:rPr>
          <w:b/>
          <w:bCs/>
          <w:color w:val="0070C0"/>
          <w:sz w:val="22"/>
          <w:szCs w:val="22"/>
        </w:rPr>
        <w:t>alls prevention services</w:t>
      </w:r>
      <w:r w:rsidRPr="0090036D">
        <w:rPr>
          <w:b/>
          <w:bCs/>
          <w:color w:val="0070C0"/>
          <w:sz w:val="22"/>
          <w:szCs w:val="22"/>
        </w:rPr>
        <w:t>, i</w:t>
      </w:r>
      <w:r w:rsidRPr="00AE415A">
        <w:rPr>
          <w:b/>
          <w:bCs/>
          <w:color w:val="0070C0"/>
          <w:sz w:val="22"/>
          <w:szCs w:val="22"/>
        </w:rPr>
        <w:t>ntermediate care services</w:t>
      </w:r>
      <w:r w:rsidRPr="0090036D">
        <w:rPr>
          <w:b/>
          <w:bCs/>
          <w:color w:val="0070C0"/>
          <w:sz w:val="22"/>
          <w:szCs w:val="22"/>
        </w:rPr>
        <w:t>, s</w:t>
      </w:r>
      <w:r w:rsidRPr="00AE415A">
        <w:rPr>
          <w:b/>
          <w:bCs/>
          <w:color w:val="0070C0"/>
          <w:sz w:val="22"/>
          <w:szCs w:val="22"/>
        </w:rPr>
        <w:t>pecialist nurses (for example, diabetes, COPD, heart failure, incontinence, tissue viability)</w:t>
      </w:r>
      <w:r w:rsidRPr="0090036D">
        <w:rPr>
          <w:b/>
          <w:bCs/>
          <w:color w:val="0070C0"/>
          <w:sz w:val="22"/>
          <w:szCs w:val="22"/>
        </w:rPr>
        <w:t>, b</w:t>
      </w:r>
      <w:r w:rsidRPr="00AE415A">
        <w:rPr>
          <w:b/>
          <w:bCs/>
          <w:color w:val="0070C0"/>
          <w:sz w:val="22"/>
          <w:szCs w:val="22"/>
        </w:rPr>
        <w:t>ed-based community rehabilitation</w:t>
      </w:r>
      <w:r w:rsidRPr="0090036D">
        <w:rPr>
          <w:b/>
          <w:bCs/>
          <w:color w:val="0070C0"/>
          <w:sz w:val="22"/>
          <w:szCs w:val="22"/>
        </w:rPr>
        <w:t>, w</w:t>
      </w:r>
      <w:r w:rsidRPr="00AE415A">
        <w:rPr>
          <w:b/>
          <w:bCs/>
          <w:color w:val="0070C0"/>
          <w:sz w:val="22"/>
          <w:szCs w:val="22"/>
        </w:rPr>
        <w:t>heelchair services</w:t>
      </w:r>
      <w:r w:rsidRPr="0090036D">
        <w:rPr>
          <w:b/>
          <w:bCs/>
          <w:color w:val="0070C0"/>
          <w:sz w:val="22"/>
          <w:szCs w:val="22"/>
        </w:rPr>
        <w:t>, h</w:t>
      </w:r>
      <w:r w:rsidRPr="00AE415A">
        <w:rPr>
          <w:b/>
          <w:bCs/>
          <w:color w:val="0070C0"/>
          <w:sz w:val="22"/>
          <w:szCs w:val="22"/>
        </w:rPr>
        <w:t>ealth visiting</w:t>
      </w:r>
      <w:r w:rsidRPr="0090036D">
        <w:rPr>
          <w:b/>
          <w:bCs/>
          <w:color w:val="0070C0"/>
          <w:sz w:val="22"/>
          <w:szCs w:val="22"/>
        </w:rPr>
        <w:t>, s</w:t>
      </w:r>
      <w:r w:rsidRPr="00AE415A">
        <w:rPr>
          <w:b/>
          <w:bCs/>
          <w:color w:val="0070C0"/>
          <w:sz w:val="22"/>
          <w:szCs w:val="22"/>
        </w:rPr>
        <w:t>chool health services</w:t>
      </w:r>
      <w:r w:rsidRPr="0090036D">
        <w:rPr>
          <w:b/>
          <w:bCs/>
          <w:color w:val="0070C0"/>
          <w:sz w:val="22"/>
          <w:szCs w:val="22"/>
        </w:rPr>
        <w:t>, s</w:t>
      </w:r>
      <w:r w:rsidRPr="00AE415A">
        <w:rPr>
          <w:b/>
          <w:bCs/>
          <w:color w:val="0070C0"/>
          <w:sz w:val="22"/>
          <w:szCs w:val="22"/>
        </w:rPr>
        <w:t>exual health services</w:t>
      </w:r>
      <w:r w:rsidRPr="0090036D">
        <w:rPr>
          <w:b/>
          <w:bCs/>
          <w:color w:val="0070C0"/>
          <w:sz w:val="22"/>
          <w:szCs w:val="22"/>
        </w:rPr>
        <w:t>. This list however is not the full extent.</w:t>
      </w:r>
      <w:r>
        <w:rPr>
          <w:b/>
          <w:bCs/>
          <w:color w:val="0070C0"/>
          <w:sz w:val="22"/>
          <w:szCs w:val="22"/>
        </w:rPr>
        <w:t xml:space="preserve"> </w:t>
      </w:r>
      <w:r w:rsidRPr="0090036D">
        <w:rPr>
          <w:b/>
          <w:bCs/>
          <w:color w:val="0070C0"/>
          <w:sz w:val="22"/>
          <w:szCs w:val="22"/>
        </w:rPr>
        <w:t>These services can be provided by NHS trusts, community interest companies, social enterprises, local authorities and independent providers (NHS, No Date).</w:t>
      </w:r>
    </w:p>
    <w:p w14:paraId="5CD82C51" w14:textId="77777777" w:rsidR="00E76863" w:rsidRPr="00BB5079" w:rsidRDefault="00E76863" w:rsidP="00693956">
      <w:pPr>
        <w:spacing w:line="360" w:lineRule="auto"/>
        <w:rPr>
          <w:b/>
          <w:bCs/>
          <w:sz w:val="22"/>
          <w:szCs w:val="22"/>
          <w:u w:val="single"/>
        </w:rPr>
      </w:pPr>
      <w:r w:rsidRPr="00555E64">
        <w:rPr>
          <w:b/>
          <w:bCs/>
          <w:sz w:val="22"/>
          <w:szCs w:val="22"/>
          <w:u w:val="single"/>
        </w:rPr>
        <w:t>The history:</w:t>
      </w:r>
    </w:p>
    <w:p w14:paraId="6C29064D" w14:textId="77777777" w:rsidR="00E76863" w:rsidRDefault="00E76863" w:rsidP="00693956">
      <w:pPr>
        <w:spacing w:line="360" w:lineRule="auto"/>
        <w:rPr>
          <w:b/>
          <w:bCs/>
          <w:sz w:val="22"/>
          <w:szCs w:val="22"/>
        </w:rPr>
      </w:pPr>
      <w:r>
        <w:rPr>
          <w:b/>
          <w:bCs/>
          <w:sz w:val="22"/>
          <w:szCs w:val="22"/>
        </w:rPr>
        <w:t>During medieval England, support for the disabled in the community mainly came from family, friends</w:t>
      </w:r>
    </w:p>
    <w:p w14:paraId="7CE3A0DE" w14:textId="77777777" w:rsidR="00E76863" w:rsidRDefault="00E76863" w:rsidP="00693956">
      <w:pPr>
        <w:spacing w:line="360" w:lineRule="auto"/>
        <w:rPr>
          <w:b/>
          <w:bCs/>
          <w:sz w:val="22"/>
          <w:szCs w:val="22"/>
        </w:rPr>
      </w:pPr>
      <w:r>
        <w:rPr>
          <w:b/>
          <w:bCs/>
          <w:sz w:val="22"/>
          <w:szCs w:val="22"/>
        </w:rPr>
        <w:t>and neighbours. Some were unfortunate and would have to resort to begging to receive help and support,</w:t>
      </w:r>
    </w:p>
    <w:p w14:paraId="439F703D" w14:textId="77777777" w:rsidR="00E76863" w:rsidRDefault="00E76863" w:rsidP="00693956">
      <w:pPr>
        <w:spacing w:line="360" w:lineRule="auto"/>
        <w:rPr>
          <w:b/>
          <w:bCs/>
          <w:sz w:val="22"/>
          <w:szCs w:val="22"/>
        </w:rPr>
      </w:pPr>
      <w:r>
        <w:rPr>
          <w:b/>
          <w:bCs/>
          <w:sz w:val="22"/>
          <w:szCs w:val="22"/>
        </w:rPr>
        <w:t>or they may get assistance from a charity if fortunate. In 1535 the Poor Law Act came into legislation, this gave those in the community who were classed as poor</w:t>
      </w:r>
    </w:p>
    <w:p w14:paraId="56A1BD49" w14:textId="77777777" w:rsidR="00E76863" w:rsidRDefault="00E76863" w:rsidP="00693956">
      <w:pPr>
        <w:spacing w:line="360" w:lineRule="auto"/>
        <w:rPr>
          <w:b/>
          <w:bCs/>
          <w:sz w:val="22"/>
          <w:szCs w:val="22"/>
        </w:rPr>
      </w:pPr>
      <w:r>
        <w:rPr>
          <w:b/>
          <w:bCs/>
          <w:sz w:val="22"/>
          <w:szCs w:val="22"/>
        </w:rPr>
        <w:t>or impotent support. Those with mental health problems had the security of institutions (Historic England, 2026). This is further supported by M. Close, 2020 whereby it is said that</w:t>
      </w:r>
    </w:p>
    <w:p w14:paraId="15E76D4B" w14:textId="77777777" w:rsidR="00E76863" w:rsidRDefault="00E76863" w:rsidP="00693956">
      <w:pPr>
        <w:spacing w:line="360" w:lineRule="auto"/>
        <w:rPr>
          <w:b/>
          <w:bCs/>
          <w:sz w:val="22"/>
          <w:szCs w:val="22"/>
        </w:rPr>
      </w:pPr>
      <w:r>
        <w:rPr>
          <w:b/>
          <w:bCs/>
          <w:sz w:val="22"/>
          <w:szCs w:val="22"/>
        </w:rPr>
        <w:t>“</w:t>
      </w:r>
      <w:r w:rsidRPr="00225206">
        <w:rPr>
          <w:b/>
          <w:bCs/>
          <w:sz w:val="22"/>
          <w:szCs w:val="22"/>
        </w:rPr>
        <w:t>The dissolution of the monasteries creates large numbers of beggars, many of them disabled people who had previously been supported by the church. In response the Poor Law Act of 1535 decrees that ‘the poor and impotent’ should be supported by way of voluntary and charitable alms raised locally. This was the beginning of taxation to support the poor.</w:t>
      </w:r>
      <w:r>
        <w:rPr>
          <w:b/>
          <w:bCs/>
          <w:sz w:val="22"/>
          <w:szCs w:val="22"/>
        </w:rPr>
        <w:t>”</w:t>
      </w:r>
    </w:p>
    <w:p w14:paraId="6A588C91" w14:textId="77777777" w:rsidR="00E76863" w:rsidRDefault="00E76863" w:rsidP="00693956">
      <w:pPr>
        <w:spacing w:line="360" w:lineRule="auto"/>
        <w:rPr>
          <w:b/>
          <w:bCs/>
          <w:sz w:val="22"/>
          <w:szCs w:val="22"/>
        </w:rPr>
      </w:pPr>
      <w:r>
        <w:rPr>
          <w:b/>
          <w:bCs/>
          <w:sz w:val="22"/>
          <w:szCs w:val="22"/>
        </w:rPr>
        <w:t xml:space="preserve">The services became readily available in 1981. This was the end of those with disabilities being forced to live in asylums or hospitals. This was able to happen due to the care in the community green paper act becoming legislation and the Disability Act 1948 (Historic England, 2026).                                                                                                       </w:t>
      </w:r>
    </w:p>
    <w:p w14:paraId="6F80FBF8" w14:textId="1B86F459" w:rsidR="00E76863" w:rsidRDefault="005E7AF7" w:rsidP="00693956">
      <w:pPr>
        <w:spacing w:line="360" w:lineRule="auto"/>
        <w:rPr>
          <w:b/>
          <w:bCs/>
          <w:sz w:val="22"/>
          <w:szCs w:val="22"/>
        </w:rPr>
      </w:pPr>
      <w:r>
        <w:rPr>
          <w:b/>
          <w:bCs/>
          <w:noProof/>
          <w:sz w:val="52"/>
          <w:szCs w:val="52"/>
        </w:rPr>
        <w:drawing>
          <wp:anchor distT="0" distB="0" distL="114300" distR="114300" simplePos="0" relativeHeight="251670528" behindDoc="1" locked="0" layoutInCell="1" allowOverlap="1" wp14:anchorId="3196B286" wp14:editId="65D1A877">
            <wp:simplePos x="0" y="0"/>
            <wp:positionH relativeFrom="margin">
              <wp:align>right</wp:align>
            </wp:positionH>
            <wp:positionV relativeFrom="paragraph">
              <wp:posOffset>348506</wp:posOffset>
            </wp:positionV>
            <wp:extent cx="3146627" cy="2390252"/>
            <wp:effectExtent l="0" t="0" r="0" b="0"/>
            <wp:wrapNone/>
            <wp:docPr id="686793584" name="Picture 12" descr="White puzzle with one red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5622" name="Picture 147155622" descr="White puzzle with one red pie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46627" cy="2390252"/>
                    </a:xfrm>
                    <a:prstGeom prst="rect">
                      <a:avLst/>
                    </a:prstGeom>
                  </pic:spPr>
                </pic:pic>
              </a:graphicData>
            </a:graphic>
            <wp14:sizeRelH relativeFrom="margin">
              <wp14:pctWidth>0</wp14:pctWidth>
            </wp14:sizeRelH>
            <wp14:sizeRelV relativeFrom="margin">
              <wp14:pctHeight>0</wp14:pctHeight>
            </wp14:sizeRelV>
          </wp:anchor>
        </w:drawing>
      </w:r>
      <w:r w:rsidR="00E76863">
        <w:rPr>
          <w:b/>
          <w:bCs/>
          <w:sz w:val="22"/>
          <w:szCs w:val="22"/>
        </w:rPr>
        <w:t xml:space="preserve"> M. Close also says that, in 1996 the national centre for independent living (NCIL) was established. This was to enable disabled people to have a choice and the option to live independently. This is financially supported by The </w:t>
      </w:r>
      <w:r w:rsidR="00E1084D">
        <w:rPr>
          <w:b/>
          <w:bCs/>
          <w:sz w:val="22"/>
          <w:szCs w:val="22"/>
        </w:rPr>
        <w:t>Community Care</w:t>
      </w:r>
      <w:r w:rsidR="00E76863">
        <w:rPr>
          <w:b/>
          <w:bCs/>
          <w:sz w:val="22"/>
          <w:szCs w:val="22"/>
        </w:rPr>
        <w:t xml:space="preserve"> Act (direct payments). This is important as support should be delivered with a person-centred approach.                                                                                                          </w:t>
      </w:r>
    </w:p>
    <w:p w14:paraId="424F5BEB" w14:textId="77777777" w:rsidR="00E76863" w:rsidRPr="00555E64" w:rsidRDefault="00E76863" w:rsidP="00693956">
      <w:pPr>
        <w:spacing w:line="360" w:lineRule="auto"/>
        <w:rPr>
          <w:b/>
          <w:bCs/>
          <w:color w:val="0070C0"/>
          <w:sz w:val="22"/>
          <w:szCs w:val="22"/>
          <w:u w:val="single"/>
        </w:rPr>
      </w:pPr>
      <w:r w:rsidRPr="00555E64">
        <w:rPr>
          <w:b/>
          <w:bCs/>
          <w:color w:val="0070C0"/>
          <w:sz w:val="22"/>
          <w:szCs w:val="22"/>
          <w:u w:val="single"/>
        </w:rPr>
        <w:t>Functioning:</w:t>
      </w:r>
      <w:r w:rsidRPr="00E47D77">
        <w:rPr>
          <w:b/>
          <w:bCs/>
          <w:noProof/>
          <w:sz w:val="52"/>
          <w:szCs w:val="52"/>
        </w:rPr>
        <w:t xml:space="preserve"> </w:t>
      </w:r>
    </w:p>
    <w:p w14:paraId="798625E7" w14:textId="77777777" w:rsidR="00E76863" w:rsidRDefault="00E76863" w:rsidP="00693956">
      <w:pPr>
        <w:spacing w:line="360" w:lineRule="auto"/>
        <w:rPr>
          <w:b/>
          <w:bCs/>
          <w:color w:val="0070C0"/>
          <w:sz w:val="22"/>
          <w:szCs w:val="22"/>
        </w:rPr>
      </w:pPr>
      <w:r>
        <w:rPr>
          <w:b/>
          <w:bCs/>
          <w:noProof/>
          <w:sz w:val="52"/>
          <w:szCs w:val="52"/>
        </w:rPr>
        <w:drawing>
          <wp:anchor distT="0" distB="0" distL="114300" distR="114300" simplePos="0" relativeHeight="251671552" behindDoc="1" locked="0" layoutInCell="1" allowOverlap="1" wp14:anchorId="5746D914" wp14:editId="5402B333">
            <wp:simplePos x="0" y="0"/>
            <wp:positionH relativeFrom="margin">
              <wp:posOffset>-143007</wp:posOffset>
            </wp:positionH>
            <wp:positionV relativeFrom="paragraph">
              <wp:posOffset>288509</wp:posOffset>
            </wp:positionV>
            <wp:extent cx="3049221" cy="2162175"/>
            <wp:effectExtent l="0" t="0" r="0" b="0"/>
            <wp:wrapThrough wrapText="bothSides">
              <wp:wrapPolygon edited="0">
                <wp:start x="0" y="0"/>
                <wp:lineTo x="0" y="21315"/>
                <wp:lineTo x="21461" y="21315"/>
                <wp:lineTo x="21461" y="0"/>
                <wp:lineTo x="0" y="0"/>
              </wp:wrapPolygon>
            </wp:wrapThrough>
            <wp:docPr id="1328427983" name="Picture 9" descr="Father and dau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79143" name="Picture 1766379143" descr="Father and daughte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9221" cy="2162175"/>
                    </a:xfrm>
                    <a:prstGeom prst="rect">
                      <a:avLst/>
                    </a:prstGeom>
                  </pic:spPr>
                </pic:pic>
              </a:graphicData>
            </a:graphic>
            <wp14:sizeRelH relativeFrom="margin">
              <wp14:pctWidth>0</wp14:pctWidth>
            </wp14:sizeRelH>
            <wp14:sizeRelV relativeFrom="margin">
              <wp14:pctHeight>0</wp14:pctHeight>
            </wp14:sizeRelV>
          </wp:anchor>
        </w:drawing>
      </w:r>
      <w:r w:rsidRPr="007766A7">
        <w:rPr>
          <w:b/>
          <w:bCs/>
          <w:color w:val="0070C0"/>
          <w:sz w:val="22"/>
          <w:szCs w:val="22"/>
        </w:rPr>
        <w:t>Current functioning state of disability services is that it is under pressure.</w:t>
      </w:r>
      <w:r>
        <w:rPr>
          <w:b/>
          <w:bCs/>
          <w:color w:val="0070C0"/>
          <w:sz w:val="22"/>
          <w:szCs w:val="22"/>
        </w:rPr>
        <w:t xml:space="preserve"> There is an inclination of service users requiring support, whether it is in supporting them in the community or financial help to pay for the</w:t>
      </w:r>
    </w:p>
    <w:p w14:paraId="2A68FF76" w14:textId="77777777" w:rsidR="00E76863" w:rsidRPr="007766A7" w:rsidRDefault="00E76863" w:rsidP="00693956">
      <w:pPr>
        <w:spacing w:line="360" w:lineRule="auto"/>
        <w:rPr>
          <w:b/>
          <w:bCs/>
          <w:color w:val="0070C0"/>
          <w:sz w:val="22"/>
          <w:szCs w:val="22"/>
        </w:rPr>
      </w:pPr>
      <w:r>
        <w:rPr>
          <w:b/>
          <w:bCs/>
          <w:color w:val="0070C0"/>
          <w:sz w:val="22"/>
          <w:szCs w:val="22"/>
        </w:rPr>
        <w:t>costs of care. People requiring support often struggle financially and depend on support from their government to receive the help in the community.</w:t>
      </w:r>
    </w:p>
    <w:p w14:paraId="191D251D" w14:textId="77777777" w:rsidR="00E76863" w:rsidRPr="007766A7" w:rsidRDefault="00E76863" w:rsidP="00693956">
      <w:pPr>
        <w:spacing w:line="360" w:lineRule="auto"/>
        <w:rPr>
          <w:b/>
          <w:bCs/>
          <w:color w:val="0070C0"/>
          <w:sz w:val="22"/>
          <w:szCs w:val="22"/>
        </w:rPr>
      </w:pPr>
      <w:r w:rsidRPr="007766A7">
        <w:rPr>
          <w:b/>
          <w:bCs/>
          <w:color w:val="0070C0"/>
          <w:sz w:val="22"/>
          <w:szCs w:val="22"/>
        </w:rPr>
        <w:t>The Care Quality Commission (CQC) states that the demand for the service is growing</w:t>
      </w:r>
      <w:r>
        <w:rPr>
          <w:b/>
          <w:bCs/>
          <w:color w:val="0070C0"/>
          <w:sz w:val="22"/>
          <w:szCs w:val="22"/>
        </w:rPr>
        <w:t xml:space="preserve">. </w:t>
      </w:r>
      <w:r w:rsidRPr="007766A7">
        <w:rPr>
          <w:b/>
          <w:bCs/>
          <w:color w:val="0070C0"/>
          <w:sz w:val="22"/>
          <w:szCs w:val="22"/>
        </w:rPr>
        <w:t xml:space="preserve">People cannot always access the care or treatment they need. “In community health </w:t>
      </w:r>
    </w:p>
    <w:p w14:paraId="7DD7EC4A" w14:textId="70057015" w:rsidR="00E76863" w:rsidRPr="00162821" w:rsidRDefault="00E76863" w:rsidP="00693956">
      <w:pPr>
        <w:spacing w:line="360" w:lineRule="auto"/>
        <w:rPr>
          <w:b/>
          <w:bCs/>
          <w:color w:val="0070C0"/>
          <w:sz w:val="22"/>
          <w:szCs w:val="22"/>
        </w:rPr>
      </w:pPr>
      <w:r w:rsidRPr="007766A7">
        <w:rPr>
          <w:b/>
          <w:bCs/>
          <w:color w:val="0070C0"/>
          <w:sz w:val="22"/>
          <w:szCs w:val="22"/>
        </w:rPr>
        <w:t>services, there has been a 26% increase in the number of children and young people</w:t>
      </w:r>
      <w:r w:rsidR="004B73B1">
        <w:rPr>
          <w:b/>
          <w:bCs/>
          <w:color w:val="0070C0"/>
          <w:sz w:val="22"/>
          <w:szCs w:val="22"/>
        </w:rPr>
        <w:t xml:space="preserve"> </w:t>
      </w:r>
      <w:r w:rsidRPr="007766A7">
        <w:rPr>
          <w:b/>
          <w:bCs/>
          <w:color w:val="0070C0"/>
          <w:sz w:val="22"/>
          <w:szCs w:val="22"/>
        </w:rPr>
        <w:t>waiting to access care between January 2023 and December 2024” “In adult social</w:t>
      </w:r>
      <w:r>
        <w:rPr>
          <w:b/>
          <w:bCs/>
          <w:color w:val="0070C0"/>
          <w:sz w:val="22"/>
          <w:szCs w:val="22"/>
        </w:rPr>
        <w:t xml:space="preserve"> </w:t>
      </w:r>
      <w:r w:rsidRPr="007766A7">
        <w:rPr>
          <w:b/>
          <w:bCs/>
          <w:color w:val="0070C0"/>
          <w:sz w:val="22"/>
          <w:szCs w:val="22"/>
        </w:rPr>
        <w:t>care, the demand for support funded by a local authority continued to rise. New requests for care were 4% higher in 2023/24 than in the previous year, and 8% higher than in 2019/20.”</w:t>
      </w:r>
      <w:r>
        <w:rPr>
          <w:b/>
          <w:bCs/>
          <w:color w:val="0070C0"/>
          <w:sz w:val="22"/>
          <w:szCs w:val="22"/>
        </w:rPr>
        <w:t xml:space="preserve"> </w:t>
      </w:r>
      <w:r w:rsidRPr="007766A7">
        <w:rPr>
          <w:b/>
          <w:bCs/>
          <w:color w:val="0070C0"/>
          <w:sz w:val="22"/>
          <w:szCs w:val="22"/>
        </w:rPr>
        <w:t xml:space="preserve">(CQC, 2026). </w:t>
      </w:r>
    </w:p>
    <w:p w14:paraId="5F90C7FE" w14:textId="77777777" w:rsidR="00E76863" w:rsidRPr="00A552A2" w:rsidRDefault="00E76863" w:rsidP="00693956">
      <w:pPr>
        <w:spacing w:line="360" w:lineRule="auto"/>
        <w:rPr>
          <w:b/>
          <w:bCs/>
          <w:sz w:val="22"/>
          <w:szCs w:val="22"/>
        </w:rPr>
      </w:pPr>
      <w:r w:rsidRPr="00555E64">
        <w:rPr>
          <w:b/>
          <w:bCs/>
          <w:sz w:val="22"/>
          <w:szCs w:val="22"/>
          <w:u w:val="single"/>
        </w:rPr>
        <w:t>Challenges:</w:t>
      </w:r>
    </w:p>
    <w:p w14:paraId="505557E1" w14:textId="77777777" w:rsidR="00E76863" w:rsidRDefault="00E76863" w:rsidP="00693956">
      <w:pPr>
        <w:spacing w:line="360" w:lineRule="auto"/>
        <w:rPr>
          <w:b/>
          <w:bCs/>
          <w:sz w:val="22"/>
          <w:szCs w:val="22"/>
        </w:rPr>
      </w:pPr>
      <w:r>
        <w:rPr>
          <w:b/>
          <w:bCs/>
          <w:sz w:val="22"/>
          <w:szCs w:val="22"/>
        </w:rPr>
        <w:t>Two challenges faced by disability services are economic inequality and poverty, and volunteering decline. “Rising living costs, especially housing and food, may</w:t>
      </w:r>
    </w:p>
    <w:p w14:paraId="75192F32" w14:textId="77777777" w:rsidR="00E76863" w:rsidRDefault="00E76863" w:rsidP="00693956">
      <w:pPr>
        <w:spacing w:line="360" w:lineRule="auto"/>
        <w:rPr>
          <w:b/>
          <w:bCs/>
          <w:sz w:val="22"/>
          <w:szCs w:val="22"/>
        </w:rPr>
      </w:pPr>
      <w:r>
        <w:rPr>
          <w:b/>
          <w:bCs/>
          <w:sz w:val="22"/>
          <w:szCs w:val="22"/>
        </w:rPr>
        <w:t>exacerbate poverty and inequality, creating additional pressures on community groups that aim to support the most vulnerable populations” This challenge makes it difficult to ensure that</w:t>
      </w:r>
    </w:p>
    <w:p w14:paraId="623496E9" w14:textId="77777777" w:rsidR="00E76863" w:rsidRDefault="00E76863" w:rsidP="00693956">
      <w:pPr>
        <w:spacing w:line="360" w:lineRule="auto"/>
        <w:rPr>
          <w:b/>
          <w:bCs/>
          <w:sz w:val="22"/>
          <w:szCs w:val="22"/>
        </w:rPr>
      </w:pPr>
      <w:r>
        <w:rPr>
          <w:b/>
          <w:bCs/>
          <w:sz w:val="22"/>
          <w:szCs w:val="22"/>
        </w:rPr>
        <w:t>all service users are getting the correct amount of time, care and support. “As peoples lifestyle becomes busier, attracting and retaining volunteers could become harder impacting groups who rely on volunteers to support and enhance our operations” (Aspin, 2025).  Some individuals also face challenges transitioning from</w:t>
      </w:r>
      <w:r w:rsidRPr="003B3952">
        <w:rPr>
          <w:rFonts w:ascii="Arial" w:hAnsi="Arial" w:cs="Arial"/>
          <w:color w:val="0B0C0C"/>
          <w:sz w:val="29"/>
          <w:szCs w:val="29"/>
          <w:shd w:val="clear" w:color="auto" w:fill="FFFFFF"/>
        </w:rPr>
        <w:t xml:space="preserve"> </w:t>
      </w:r>
      <w:r w:rsidRPr="003B3952">
        <w:rPr>
          <w:b/>
          <w:bCs/>
          <w:sz w:val="22"/>
          <w:szCs w:val="22"/>
        </w:rPr>
        <w:t>institutional care and navigating complex social arrangements</w:t>
      </w:r>
      <w:r>
        <w:rPr>
          <w:b/>
          <w:bCs/>
          <w:sz w:val="22"/>
          <w:szCs w:val="22"/>
        </w:rPr>
        <w:t>, this is in accordance with The Office for Equality and Opportunity, 2025. This challenge makes it difficult for the service as they need to have an extensive plan to rehabilitate the service user into society. However, in accordance with D. Snape et al, 2022 the main barriers are physical and digital. The physical layout of buildings can be an obstruction for the person with a disabling condition that would then prevent them from being able to access a service in the community. Stairs can be an obstruction or doors not being wide enough for a wheelchair to gain access.</w:t>
      </w:r>
    </w:p>
    <w:p w14:paraId="168E4B54" w14:textId="77777777" w:rsidR="00E76863" w:rsidRDefault="00E76863" w:rsidP="00693956">
      <w:pPr>
        <w:spacing w:line="360" w:lineRule="auto"/>
        <w:rPr>
          <w:b/>
          <w:bCs/>
          <w:sz w:val="22"/>
          <w:szCs w:val="22"/>
        </w:rPr>
      </w:pPr>
      <w:r>
        <w:rPr>
          <w:b/>
          <w:bCs/>
          <w:sz w:val="22"/>
          <w:szCs w:val="22"/>
        </w:rPr>
        <w:t xml:space="preserve">Digital literacy, </w:t>
      </w:r>
      <w:r w:rsidRPr="00DA231F">
        <w:rPr>
          <w:b/>
          <w:bCs/>
          <w:sz w:val="22"/>
          <w:szCs w:val="22"/>
        </w:rPr>
        <w:t>digital design of online services</w:t>
      </w:r>
      <w:r>
        <w:rPr>
          <w:b/>
          <w:bCs/>
          <w:sz w:val="22"/>
          <w:szCs w:val="22"/>
        </w:rPr>
        <w:t xml:space="preserve"> and </w:t>
      </w:r>
      <w:r w:rsidRPr="00DA231F">
        <w:rPr>
          <w:b/>
          <w:bCs/>
          <w:sz w:val="22"/>
          <w:szCs w:val="22"/>
        </w:rPr>
        <w:t>the design of systems and processes</w:t>
      </w:r>
      <w:r>
        <w:rPr>
          <w:b/>
          <w:bCs/>
          <w:sz w:val="22"/>
          <w:szCs w:val="22"/>
        </w:rPr>
        <w:t xml:space="preserve"> can restrict and hinder a disabled person. A lot of services can be found online but some cannot use computers due to a visual impairment. Family and friends provide the support sometimes and though their effort is appreciated the disabled person is not then involved. They may not get a choice in the community care service that is chosen for them on the basis that they cannot see the options on screen. If they are not given a choice, this may lead to emotional problems which can lead to social isolation which is then restricting them from accessing services created to assist and support their day-to-day needs.</w:t>
      </w:r>
    </w:p>
    <w:p w14:paraId="6BEC9175" w14:textId="77777777" w:rsidR="00E76863" w:rsidRDefault="00E76863" w:rsidP="00693956">
      <w:pPr>
        <w:spacing w:line="360" w:lineRule="auto"/>
        <w:rPr>
          <w:b/>
          <w:bCs/>
          <w:sz w:val="22"/>
          <w:szCs w:val="22"/>
          <w:u w:val="single"/>
        </w:rPr>
      </w:pPr>
      <w:r w:rsidRPr="004441D5">
        <w:rPr>
          <w:b/>
          <w:bCs/>
          <w:sz w:val="22"/>
          <w:szCs w:val="22"/>
          <w:u w:val="single"/>
        </w:rPr>
        <w:t>Summary</w:t>
      </w:r>
      <w:r>
        <w:rPr>
          <w:b/>
          <w:bCs/>
          <w:sz w:val="22"/>
          <w:szCs w:val="22"/>
          <w:u w:val="single"/>
        </w:rPr>
        <w:t>:</w:t>
      </w:r>
    </w:p>
    <w:p w14:paraId="6FF5E2D1" w14:textId="77777777" w:rsidR="00353AFB" w:rsidRDefault="00E76863" w:rsidP="00693956">
      <w:pPr>
        <w:spacing w:line="360" w:lineRule="auto"/>
        <w:rPr>
          <w:b/>
          <w:bCs/>
          <w:sz w:val="22"/>
          <w:szCs w:val="22"/>
        </w:rPr>
        <w:sectPr w:rsidR="00353AFB" w:rsidSect="00364C09">
          <w:pgSz w:w="31680" w:h="24480" w:orient="landscape" w:code="24"/>
          <w:pgMar w:top="1440" w:right="1440" w:bottom="1440" w:left="1440" w:header="708" w:footer="708" w:gutter="0"/>
          <w:pgNumType w:start="0"/>
          <w:cols w:space="708"/>
          <w:titlePg/>
          <w:docGrid w:linePitch="360"/>
        </w:sectPr>
      </w:pPr>
      <w:r>
        <w:rPr>
          <w:b/>
          <w:bCs/>
          <w:sz w:val="22"/>
          <w:szCs w:val="22"/>
        </w:rPr>
        <w:t>It has taken a long time, effort and changes in legislation but the services are becoming more supportive of the most vulnerable in society. With the correct guidance there is support in place for those with disabilities to access these services.</w:t>
      </w:r>
    </w:p>
    <w:p w14:paraId="2E4C6AFB" w14:textId="77777777" w:rsidR="00E1084D" w:rsidRDefault="00E1084D" w:rsidP="00E1084D">
      <w:pPr>
        <w:tabs>
          <w:tab w:val="left" w:pos="15542"/>
        </w:tabs>
        <w:spacing w:line="360" w:lineRule="auto"/>
        <w:jc w:val="center"/>
        <w:rPr>
          <w:sz w:val="22"/>
          <w:szCs w:val="22"/>
          <w:u w:val="single"/>
        </w:rPr>
      </w:pPr>
      <w:r>
        <w:rPr>
          <w:sz w:val="22"/>
          <w:szCs w:val="22"/>
          <w:u w:val="single"/>
        </w:rPr>
        <w:lastRenderedPageBreak/>
        <w:t>Ambulance services.</w:t>
      </w:r>
    </w:p>
    <w:p w14:paraId="44B0DF06" w14:textId="77777777" w:rsidR="00E1084D" w:rsidRDefault="00E1084D" w:rsidP="00E1084D">
      <w:pPr>
        <w:tabs>
          <w:tab w:val="left" w:pos="15542"/>
        </w:tabs>
        <w:spacing w:line="360" w:lineRule="auto"/>
        <w:rPr>
          <w:sz w:val="22"/>
          <w:szCs w:val="22"/>
        </w:rPr>
      </w:pPr>
      <w:r>
        <w:rPr>
          <w:sz w:val="22"/>
          <w:szCs w:val="22"/>
        </w:rPr>
        <w:t xml:space="preserve">The National Health Service (NHS) 2017, states that “Ambulance services are at the heart of the urgent and emergency care system”. Ambulance services respond to 999 calls and emergency care is provided 24 hours a day, 7 days a week. Whether it is for sudden illness, chronic pain, life threatening injuries or triaging cases. Where possible on the scene treatment is provided or patients are transported to the hospital. Ambulances are used for transporting patients between hospitals for different treatments. They are also used in response to major incidents, being the focal point when there are large scale injuries or fatalities. The ambulance services provide information to the community, often visiting schools to provide vital information to the public. </w:t>
      </w:r>
    </w:p>
    <w:p w14:paraId="5068B9BA" w14:textId="77777777" w:rsidR="00E1084D" w:rsidRDefault="00E1084D" w:rsidP="00E1084D">
      <w:pPr>
        <w:tabs>
          <w:tab w:val="left" w:pos="15542"/>
        </w:tabs>
        <w:spacing w:line="360" w:lineRule="auto"/>
        <w:rPr>
          <w:sz w:val="22"/>
          <w:szCs w:val="22"/>
        </w:rPr>
      </w:pPr>
      <w:r>
        <w:rPr>
          <w:sz w:val="22"/>
          <w:szCs w:val="22"/>
        </w:rPr>
        <w:t>The ambulance services in The United Kingdom (U.K) originated in the 19</w:t>
      </w:r>
      <w:r w:rsidRPr="00A74148">
        <w:rPr>
          <w:sz w:val="22"/>
          <w:szCs w:val="22"/>
          <w:vertAlign w:val="superscript"/>
        </w:rPr>
        <w:t>th</w:t>
      </w:r>
      <w:r>
        <w:rPr>
          <w:sz w:val="22"/>
          <w:szCs w:val="22"/>
        </w:rPr>
        <w:t xml:space="preserve"> century. Prior to ambulances being established people were taken to get treatment via other emergency services such as, police and fire fighters. People had to often use taxis also as a means of emergency transportation. These were equipped with wheeled stretchers, known as litters. When the ambulance services began, it was a horse drawn service that transported patients to care without providing any treatment. 1904 saw the first motorised (petrol) ambulances. They could reach a speed of 15mph, only carrying a single stretcher. Leading up to the second world war an auxiliary ambulance service mainly made of women, was put in place by the government which provided an excellent service towards those in London. This was a part of the civil defence service. After the war the National Health Service Act 1948 made the requirement for ambulances to be provided for those that need it legislation. This was when medical assistance began being given prior to hospital arrival.  By 1965 a London wide service was formed, this consisted of nine existing services being combined. Providing 1,000 emergency vehicles, with 2,500 professional staff.   This is in accordance with London ambulance service. 2026, we can call 999 and receive an ambulance response to our medical emergency in adequate time.</w:t>
      </w:r>
    </w:p>
    <w:p w14:paraId="5CA9F886" w14:textId="77777777" w:rsidR="00E1084D" w:rsidRDefault="00E1084D" w:rsidP="00E1084D">
      <w:pPr>
        <w:tabs>
          <w:tab w:val="left" w:pos="15542"/>
        </w:tabs>
        <w:spacing w:line="360" w:lineRule="auto"/>
        <w:rPr>
          <w:sz w:val="22"/>
          <w:szCs w:val="22"/>
        </w:rPr>
      </w:pPr>
      <w:r>
        <w:rPr>
          <w:sz w:val="22"/>
          <w:szCs w:val="22"/>
        </w:rPr>
        <w:t xml:space="preserve">The ambulance service over the past decade has faced challenges such as delays in handover upon arrival at hospitals, which affects the performance of the ambulance service along with other factors such as funding. A Parry 2023/24, states that “When we consider the sustained pressure that our ambulance workforce has been under in recent years” and J. Killens 2023/24 also says that “Hospital handover delays continue to cause serious problems that directly impact ambulance service performance and waiting times for patients and cause untold, inexcusable additional harm”. S. </w:t>
      </w:r>
      <w:proofErr w:type="spellStart"/>
      <w:r>
        <w:rPr>
          <w:sz w:val="22"/>
          <w:szCs w:val="22"/>
        </w:rPr>
        <w:t>Gainsbury</w:t>
      </w:r>
      <w:proofErr w:type="spellEnd"/>
      <w:r>
        <w:rPr>
          <w:sz w:val="22"/>
          <w:szCs w:val="22"/>
        </w:rPr>
        <w:t xml:space="preserve"> 2024, suggests that funding for the ambulance service is “unsustainable as demand for care proves higher than hoped, efficiency assumptions within plans prove unrealistic, and even baseline spending estimates turn out to be flawed.”</w:t>
      </w:r>
    </w:p>
    <w:p w14:paraId="7FB0125B" w14:textId="77777777" w:rsidR="00E1084D" w:rsidRDefault="00E1084D" w:rsidP="00E1084D">
      <w:pPr>
        <w:tabs>
          <w:tab w:val="left" w:pos="15542"/>
        </w:tabs>
        <w:spacing w:line="360" w:lineRule="auto"/>
        <w:rPr>
          <w:sz w:val="22"/>
          <w:szCs w:val="22"/>
        </w:rPr>
      </w:pPr>
      <w:r>
        <w:rPr>
          <w:sz w:val="22"/>
          <w:szCs w:val="22"/>
        </w:rPr>
        <w:t xml:space="preserve"> Despite these challenges, the ambulance service continues to improve performance from origin and is consistently measuring the way in which the service is provided and developing new strategies to enhance things such as, response time and reducing the time delay in handover to a clinician.</w:t>
      </w:r>
    </w:p>
    <w:p w14:paraId="20BD198F" w14:textId="77777777" w:rsidR="00E1084D" w:rsidRPr="005708F1" w:rsidRDefault="00E1084D" w:rsidP="00E1084D">
      <w:pPr>
        <w:tabs>
          <w:tab w:val="left" w:pos="15542"/>
        </w:tabs>
        <w:spacing w:line="360" w:lineRule="auto"/>
        <w:rPr>
          <w:sz w:val="22"/>
          <w:szCs w:val="22"/>
        </w:rPr>
      </w:pPr>
      <w:r>
        <w:rPr>
          <w:sz w:val="22"/>
          <w:szCs w:val="22"/>
        </w:rPr>
        <w:t xml:space="preserve">Ambulance services enhance the lives of patients by reducing the mortality rate of those who are determined deceased before arriving at the hospital. Paramedics can advise/treat some patients at home, reducing the need to attend hospital for the patient, as well as a reduction in the strain on hospitals. Where appropriate, patients can be taken for treatment away from hospitals at another medical facility that can provide treatment needed. The main way in which the ambulance service enhances patients’ lives is by being a free service meaning even the most financially vulnerable of society can always receive medical assistance and treatments. The NHS 2026 states “In a medical emergency, call 999 and ask for an ambulance. You will not have to pay to be taken to hospital in an emergency”  </w:t>
      </w:r>
    </w:p>
    <w:p w14:paraId="470B5619" w14:textId="4B9D839E" w:rsidR="00F61509" w:rsidRPr="00A74C4A" w:rsidRDefault="00F61509" w:rsidP="003303CC">
      <w:pPr>
        <w:tabs>
          <w:tab w:val="left" w:pos="15542"/>
        </w:tabs>
        <w:spacing w:line="360" w:lineRule="auto"/>
        <w:rPr>
          <w:sz w:val="22"/>
          <w:szCs w:val="22"/>
        </w:rPr>
        <w:sectPr w:rsidR="00F61509" w:rsidRPr="00A74C4A" w:rsidSect="00353AFB">
          <w:pgSz w:w="24480" w:h="31680" w:code="24"/>
          <w:pgMar w:top="1440" w:right="1440" w:bottom="1440" w:left="1440" w:header="708" w:footer="708" w:gutter="0"/>
          <w:pgNumType w:start="0"/>
          <w:cols w:space="708"/>
          <w:titlePg/>
          <w:docGrid w:linePitch="360"/>
        </w:sectPr>
      </w:pPr>
    </w:p>
    <w:p w14:paraId="6D951B54" w14:textId="77777777" w:rsidR="00E76863" w:rsidRPr="004441D5" w:rsidRDefault="00E76863" w:rsidP="00E76863">
      <w:pPr>
        <w:rPr>
          <w:b/>
          <w:bCs/>
          <w:sz w:val="22"/>
          <w:szCs w:val="22"/>
        </w:rPr>
      </w:pPr>
    </w:p>
    <w:p w14:paraId="7DAEAF50" w14:textId="77777777" w:rsidR="00D761FE" w:rsidRPr="003C679F" w:rsidRDefault="00D761FE" w:rsidP="00D761FE">
      <w:pPr>
        <w:rPr>
          <w:b/>
          <w:bCs/>
          <w:sz w:val="22"/>
          <w:szCs w:val="22"/>
          <w:u w:val="single"/>
        </w:rPr>
      </w:pPr>
      <w:r w:rsidRPr="003C679F">
        <w:rPr>
          <w:b/>
          <w:bCs/>
          <w:sz w:val="22"/>
          <w:szCs w:val="22"/>
          <w:u w:val="single"/>
        </w:rPr>
        <w:t>Reference list:</w:t>
      </w:r>
    </w:p>
    <w:p w14:paraId="1AC3CA4E" w14:textId="527BF219" w:rsidR="000978C4" w:rsidRDefault="00E54132" w:rsidP="00D761FE">
      <w:pPr>
        <w:rPr>
          <w:sz w:val="22"/>
          <w:szCs w:val="22"/>
        </w:rPr>
      </w:pPr>
      <w:hyperlink r:id="rId15" w:history="1">
        <w:r w:rsidRPr="00CE6413">
          <w:rPr>
            <w:rStyle w:val="Hyperlink"/>
            <w:sz w:val="22"/>
            <w:szCs w:val="22"/>
          </w:rPr>
          <w:t>http://aace.org.uk/news/nhs-ambulance-services-achieve-performance-improvements-despite-significant-growth-in-demand-and-handover-delays-equating-to-183-years-of-lost-ambulance-capacity/#:~:text=NHS%20ambulance%20services%20achieve%20performance,8.2%20million%20in%20September%202023</w:t>
        </w:r>
      </w:hyperlink>
      <w:r>
        <w:rPr>
          <w:sz w:val="22"/>
          <w:szCs w:val="22"/>
        </w:rPr>
        <w:t xml:space="preserve"> Anna Parry </w:t>
      </w:r>
      <w:r w:rsidR="009B476A">
        <w:rPr>
          <w:sz w:val="22"/>
          <w:szCs w:val="22"/>
        </w:rPr>
        <w:t xml:space="preserve">Jason Killens, </w:t>
      </w:r>
      <w:r w:rsidR="00061E4D">
        <w:rPr>
          <w:sz w:val="22"/>
          <w:szCs w:val="22"/>
        </w:rPr>
        <w:t xml:space="preserve">Managing director and Chair, AACE, </w:t>
      </w:r>
      <w:r w:rsidR="00255D64">
        <w:rPr>
          <w:sz w:val="22"/>
          <w:szCs w:val="22"/>
        </w:rPr>
        <w:t>2023/24</w:t>
      </w:r>
      <w:r w:rsidR="009B476A">
        <w:rPr>
          <w:sz w:val="22"/>
          <w:szCs w:val="22"/>
        </w:rPr>
        <w:t xml:space="preserve"> </w:t>
      </w:r>
    </w:p>
    <w:p w14:paraId="31887A16" w14:textId="1D44430F" w:rsidR="00D761FE" w:rsidRPr="003C679F" w:rsidRDefault="000978C4" w:rsidP="00D761FE">
      <w:pPr>
        <w:rPr>
          <w:b/>
          <w:bCs/>
          <w:sz w:val="22"/>
          <w:szCs w:val="22"/>
        </w:rPr>
      </w:pPr>
      <w:hyperlink r:id="rId16" w:history="1">
        <w:r w:rsidRPr="00CE6413">
          <w:rPr>
            <w:rStyle w:val="Hyperlink"/>
            <w:b/>
            <w:bCs/>
            <w:sz w:val="22"/>
            <w:szCs w:val="22"/>
          </w:rPr>
          <w:t>https://www.cqc.org.uk/publications/major-report/state-care/2024-2025/summary</w:t>
        </w:r>
      </w:hyperlink>
      <w:r w:rsidR="00D761FE" w:rsidRPr="003C679F">
        <w:rPr>
          <w:b/>
          <w:bCs/>
          <w:sz w:val="22"/>
          <w:szCs w:val="22"/>
          <w:u w:val="single"/>
        </w:rPr>
        <w:t xml:space="preserve">  </w:t>
      </w:r>
      <w:r w:rsidR="00D761FE" w:rsidRPr="003C679F">
        <w:rPr>
          <w:b/>
          <w:bCs/>
          <w:sz w:val="22"/>
          <w:szCs w:val="22"/>
        </w:rPr>
        <w:t>Care Quality Commission, 2026</w:t>
      </w:r>
    </w:p>
    <w:p w14:paraId="5BC078BB" w14:textId="77777777" w:rsidR="00D761FE" w:rsidRPr="003C679F" w:rsidRDefault="00D761FE" w:rsidP="00D761FE">
      <w:pPr>
        <w:rPr>
          <w:b/>
          <w:bCs/>
          <w:sz w:val="22"/>
          <w:szCs w:val="22"/>
        </w:rPr>
      </w:pPr>
      <w:hyperlink r:id="rId17" w:history="1">
        <w:r w:rsidRPr="003C679F">
          <w:rPr>
            <w:rStyle w:val="Hyperlink"/>
            <w:b/>
            <w:bCs/>
            <w:sz w:val="22"/>
            <w:szCs w:val="22"/>
          </w:rPr>
          <w:t>https://www.ons.gov.uk/peoplepopulationandcommunity/healthandsocialcare/disability/datasets/disabledpeoplesexperienceswithactivitiesgoodsandservicesintheuksampleinformation</w:t>
        </w:r>
      </w:hyperlink>
      <w:r w:rsidRPr="003C679F">
        <w:rPr>
          <w:b/>
          <w:bCs/>
          <w:sz w:val="22"/>
          <w:szCs w:val="22"/>
        </w:rPr>
        <w:t xml:space="preserve"> D. Snape et al, Office for National Statistics, July 2022</w:t>
      </w:r>
    </w:p>
    <w:p w14:paraId="01E47681" w14:textId="49672920" w:rsidR="00D761FE" w:rsidRPr="003C679F" w:rsidRDefault="00D761FE" w:rsidP="00D761FE">
      <w:pPr>
        <w:rPr>
          <w:b/>
          <w:bCs/>
          <w:sz w:val="22"/>
          <w:szCs w:val="22"/>
        </w:rPr>
      </w:pPr>
      <w:hyperlink r:id="rId18" w:history="1">
        <w:r w:rsidRPr="003C679F">
          <w:rPr>
            <w:rStyle w:val="Hyperlink"/>
            <w:b/>
            <w:bCs/>
            <w:sz w:val="22"/>
            <w:szCs w:val="22"/>
          </w:rPr>
          <w:t>https://www.communitycvs.org.uk/10-challenges-facing-community-groups-in-2025/</w:t>
        </w:r>
      </w:hyperlink>
      <w:r w:rsidRPr="003C679F">
        <w:rPr>
          <w:b/>
          <w:bCs/>
          <w:sz w:val="22"/>
          <w:szCs w:val="22"/>
        </w:rPr>
        <w:t xml:space="preserve"> Graham Aspin, community </w:t>
      </w:r>
      <w:r w:rsidR="002A5E0C" w:rsidRPr="003C679F">
        <w:rPr>
          <w:b/>
          <w:bCs/>
          <w:sz w:val="22"/>
          <w:szCs w:val="22"/>
        </w:rPr>
        <w:t>CVS</w:t>
      </w:r>
      <w:r w:rsidRPr="003C679F">
        <w:rPr>
          <w:b/>
          <w:bCs/>
          <w:sz w:val="22"/>
          <w:szCs w:val="22"/>
        </w:rPr>
        <w:t>, February 2025</w:t>
      </w:r>
    </w:p>
    <w:p w14:paraId="34A2DACD" w14:textId="77777777" w:rsidR="00D761FE" w:rsidRPr="003C679F" w:rsidRDefault="00D761FE" w:rsidP="00D761FE">
      <w:pPr>
        <w:rPr>
          <w:sz w:val="22"/>
          <w:szCs w:val="22"/>
        </w:rPr>
      </w:pPr>
      <w:hyperlink r:id="rId19" w:history="1">
        <w:r w:rsidRPr="003C679F">
          <w:rPr>
            <w:rStyle w:val="Hyperlink"/>
            <w:sz w:val="22"/>
            <w:szCs w:val="22"/>
          </w:rPr>
          <w:t>https://historicengland.org.uk/research/inclusive-heritage/disability-history/1050-1485/disability-in-the-community/</w:t>
        </w:r>
      </w:hyperlink>
      <w:r w:rsidRPr="003C679F">
        <w:rPr>
          <w:sz w:val="22"/>
          <w:szCs w:val="22"/>
        </w:rPr>
        <w:t xml:space="preserve"> Historic England, 2026</w:t>
      </w:r>
    </w:p>
    <w:p w14:paraId="66B0BD32" w14:textId="77777777" w:rsidR="00D761FE" w:rsidRPr="003C679F" w:rsidRDefault="00D761FE" w:rsidP="00D761FE">
      <w:pPr>
        <w:rPr>
          <w:b/>
          <w:bCs/>
          <w:sz w:val="22"/>
          <w:szCs w:val="22"/>
        </w:rPr>
      </w:pPr>
      <w:hyperlink r:id="rId20" w:history="1">
        <w:r w:rsidRPr="003C679F">
          <w:rPr>
            <w:rStyle w:val="Hyperlink"/>
            <w:b/>
            <w:bCs/>
            <w:sz w:val="22"/>
            <w:szCs w:val="22"/>
          </w:rPr>
          <w:t>https://historicengland.org.uk/research/inclusive-heritage/disability-history/1945-to-the-present-day/back-to-the-community/</w:t>
        </w:r>
      </w:hyperlink>
      <w:r w:rsidRPr="003C679F">
        <w:rPr>
          <w:b/>
          <w:bCs/>
          <w:sz w:val="22"/>
          <w:szCs w:val="22"/>
        </w:rPr>
        <w:t xml:space="preserve"> Historic England, 2026</w:t>
      </w:r>
    </w:p>
    <w:p w14:paraId="25570606" w14:textId="4DF678EA" w:rsidR="00D761FE" w:rsidRDefault="00D761FE" w:rsidP="00D761FE">
      <w:pPr>
        <w:rPr>
          <w:b/>
          <w:bCs/>
          <w:sz w:val="22"/>
          <w:szCs w:val="22"/>
        </w:rPr>
      </w:pPr>
      <w:hyperlink r:id="rId21" w:history="1">
        <w:r w:rsidRPr="003C679F">
          <w:rPr>
            <w:rStyle w:val="Hyperlink"/>
            <w:b/>
            <w:bCs/>
            <w:sz w:val="22"/>
            <w:szCs w:val="22"/>
          </w:rPr>
          <w:t>https://www.england.nhs.uk/community-health-services/what-are-community-health-services/</w:t>
        </w:r>
      </w:hyperlink>
      <w:r w:rsidRPr="003C679F">
        <w:rPr>
          <w:b/>
          <w:bCs/>
          <w:sz w:val="22"/>
          <w:szCs w:val="22"/>
        </w:rPr>
        <w:t xml:space="preserve"> NHS England, no date provided on web</w:t>
      </w:r>
      <w:r w:rsidR="005B0475">
        <w:rPr>
          <w:b/>
          <w:bCs/>
          <w:sz w:val="22"/>
          <w:szCs w:val="22"/>
        </w:rPr>
        <w:t xml:space="preserve"> page</w:t>
      </w:r>
    </w:p>
    <w:p w14:paraId="1DBD2834" w14:textId="468F4E1B" w:rsidR="00117635" w:rsidRDefault="00D935EB" w:rsidP="00D761FE">
      <w:pPr>
        <w:rPr>
          <w:b/>
          <w:bCs/>
          <w:sz w:val="22"/>
          <w:szCs w:val="22"/>
        </w:rPr>
      </w:pPr>
      <w:hyperlink r:id="rId22" w:history="1">
        <w:r w:rsidRPr="00CE6413">
          <w:rPr>
            <w:rStyle w:val="Hyperlink"/>
            <w:b/>
            <w:bCs/>
            <w:sz w:val="22"/>
            <w:szCs w:val="22"/>
          </w:rPr>
          <w:t>http://www.england.nhs.uk/urgent-emergency-care/improving-ambulance-services/#:~:text=Ambulance%20services%20are%20at%20the,to%20respond%20to%20different%20incidents</w:t>
        </w:r>
      </w:hyperlink>
      <w:r>
        <w:rPr>
          <w:b/>
          <w:bCs/>
          <w:sz w:val="22"/>
          <w:szCs w:val="22"/>
        </w:rPr>
        <w:t xml:space="preserve">. </w:t>
      </w:r>
      <w:r w:rsidR="000B06CA">
        <w:rPr>
          <w:b/>
          <w:bCs/>
          <w:sz w:val="22"/>
          <w:szCs w:val="22"/>
        </w:rPr>
        <w:t>NHS England, 2017</w:t>
      </w:r>
    </w:p>
    <w:p w14:paraId="2F7F7E26" w14:textId="1AE38C33" w:rsidR="0066011B" w:rsidRPr="003C679F" w:rsidRDefault="00EF1903" w:rsidP="00D761FE">
      <w:pPr>
        <w:rPr>
          <w:b/>
          <w:bCs/>
          <w:sz w:val="22"/>
          <w:szCs w:val="22"/>
        </w:rPr>
      </w:pPr>
      <w:hyperlink r:id="rId23" w:history="1">
        <w:r w:rsidRPr="00474A03">
          <w:rPr>
            <w:rStyle w:val="Hyperlink"/>
            <w:b/>
            <w:bCs/>
            <w:sz w:val="22"/>
            <w:szCs w:val="22"/>
          </w:rPr>
          <w:t>http://www.nhs.uk/nhs-services/hospital/going-into-hospital/how-to-organise-transport-to-and-from-hospital/#:~:text=In%20a%20medical%20emergency%2C%20call,to%20hospital%20in%20an%20emergency</w:t>
        </w:r>
      </w:hyperlink>
      <w:r>
        <w:rPr>
          <w:b/>
          <w:bCs/>
          <w:sz w:val="22"/>
          <w:szCs w:val="22"/>
        </w:rPr>
        <w:t xml:space="preserve">. </w:t>
      </w:r>
      <w:r w:rsidR="00747656">
        <w:rPr>
          <w:b/>
          <w:bCs/>
          <w:sz w:val="22"/>
          <w:szCs w:val="22"/>
        </w:rPr>
        <w:t>NHS 2026</w:t>
      </w:r>
    </w:p>
    <w:p w14:paraId="168EEC60" w14:textId="77777777" w:rsidR="00D761FE" w:rsidRDefault="00D761FE" w:rsidP="00D761FE">
      <w:pPr>
        <w:rPr>
          <w:b/>
          <w:bCs/>
          <w:sz w:val="22"/>
          <w:szCs w:val="22"/>
        </w:rPr>
      </w:pPr>
      <w:hyperlink r:id="rId24" w:history="1">
        <w:r w:rsidRPr="003C679F">
          <w:rPr>
            <w:rStyle w:val="Hyperlink"/>
            <w:b/>
            <w:bCs/>
            <w:sz w:val="22"/>
            <w:szCs w:val="22"/>
          </w:rPr>
          <w:t>https://www.gov.uk/government/publications/the-lived-experience-of-disabled-people-in-the-uk-a-review-of-evidence/the-lived-experience-of-disabled-people-in-the-uk-a-review-of-evidence</w:t>
        </w:r>
      </w:hyperlink>
      <w:r w:rsidRPr="003C679F">
        <w:rPr>
          <w:b/>
          <w:bCs/>
          <w:sz w:val="22"/>
          <w:szCs w:val="22"/>
        </w:rPr>
        <w:t xml:space="preserve"> Office for equality and opportunity, Government, July 2025</w:t>
      </w:r>
    </w:p>
    <w:p w14:paraId="14098772" w14:textId="4D8D2F15" w:rsidR="00181ADD" w:rsidRPr="003C679F" w:rsidRDefault="00E8597D" w:rsidP="00D761FE">
      <w:pPr>
        <w:rPr>
          <w:b/>
          <w:bCs/>
          <w:sz w:val="22"/>
          <w:szCs w:val="22"/>
        </w:rPr>
      </w:pPr>
      <w:hyperlink r:id="rId25" w:history="1">
        <w:r w:rsidRPr="00CE6413">
          <w:rPr>
            <w:rStyle w:val="Hyperlink"/>
            <w:b/>
            <w:bCs/>
            <w:sz w:val="22"/>
            <w:szCs w:val="22"/>
          </w:rPr>
          <w:t>http://www.londonamblance.nhs.uk/about-us/our-history/our-history-a-timeline/</w:t>
        </w:r>
      </w:hyperlink>
      <w:r>
        <w:rPr>
          <w:b/>
          <w:bCs/>
          <w:sz w:val="22"/>
          <w:szCs w:val="22"/>
        </w:rPr>
        <w:t xml:space="preserve"> </w:t>
      </w:r>
      <w:r w:rsidR="00732EB8">
        <w:rPr>
          <w:b/>
          <w:bCs/>
          <w:sz w:val="22"/>
          <w:szCs w:val="22"/>
        </w:rPr>
        <w:t>Our history, NHS, no date provided on web page</w:t>
      </w:r>
    </w:p>
    <w:p w14:paraId="040ECA56" w14:textId="77777777" w:rsidR="00D761FE" w:rsidRDefault="00D761FE" w:rsidP="00D761FE">
      <w:pPr>
        <w:rPr>
          <w:b/>
          <w:bCs/>
          <w:sz w:val="22"/>
          <w:szCs w:val="22"/>
        </w:rPr>
      </w:pPr>
      <w:hyperlink r:id="rId26" w:history="1">
        <w:r w:rsidRPr="003C679F">
          <w:rPr>
            <w:rStyle w:val="Hyperlink"/>
            <w:b/>
            <w:bCs/>
            <w:sz w:val="22"/>
            <w:szCs w:val="22"/>
          </w:rPr>
          <w:t>https://disability-equality.org.uk/wp-content/uploads/2021/02/DENW-UKDHM-timeline-November-2020.pdf</w:t>
        </w:r>
      </w:hyperlink>
      <w:r w:rsidRPr="003C679F">
        <w:rPr>
          <w:b/>
          <w:bCs/>
          <w:sz w:val="22"/>
          <w:szCs w:val="22"/>
        </w:rPr>
        <w:t xml:space="preserve"> M. Close, Disability Equality, November 2020</w:t>
      </w:r>
    </w:p>
    <w:p w14:paraId="474BE221" w14:textId="1A332301" w:rsidR="00BB1CED" w:rsidRPr="003C679F" w:rsidRDefault="001B07AA" w:rsidP="00D761FE">
      <w:pPr>
        <w:rPr>
          <w:b/>
          <w:bCs/>
          <w:sz w:val="22"/>
          <w:szCs w:val="22"/>
        </w:rPr>
      </w:pPr>
      <w:hyperlink r:id="rId27" w:history="1">
        <w:r w:rsidRPr="00CE6413">
          <w:rPr>
            <w:rStyle w:val="Hyperlink"/>
            <w:b/>
            <w:bCs/>
            <w:sz w:val="22"/>
            <w:szCs w:val="22"/>
          </w:rPr>
          <w:t>http://www.nuffieldtrust.org.uk/resource/nhs-spending-plans-over-the-past-decade#:~:text=They%20were%20clearly%20not%20foreseen,the%20pre%2Dpandemic%20funding%20plan</w:t>
        </w:r>
      </w:hyperlink>
      <w:r>
        <w:rPr>
          <w:b/>
          <w:bCs/>
          <w:sz w:val="22"/>
          <w:szCs w:val="22"/>
        </w:rPr>
        <w:t>. Sally Gainsbury</w:t>
      </w:r>
      <w:r w:rsidR="00746B70">
        <w:rPr>
          <w:b/>
          <w:bCs/>
          <w:sz w:val="22"/>
          <w:szCs w:val="22"/>
        </w:rPr>
        <w:t>, Nuffield Trust</w:t>
      </w:r>
      <w:r w:rsidR="000709EE">
        <w:rPr>
          <w:b/>
          <w:bCs/>
          <w:sz w:val="22"/>
          <w:szCs w:val="22"/>
        </w:rPr>
        <w:t>, 2024</w:t>
      </w:r>
    </w:p>
    <w:p w14:paraId="32C6896E" w14:textId="138A10B4" w:rsidR="004441D5" w:rsidRPr="003C679F" w:rsidRDefault="004441D5" w:rsidP="00DA231F">
      <w:pPr>
        <w:rPr>
          <w:b/>
          <w:bCs/>
          <w:sz w:val="22"/>
          <w:szCs w:val="22"/>
        </w:rPr>
      </w:pPr>
    </w:p>
    <w:sectPr w:rsidR="004441D5" w:rsidRPr="003C679F" w:rsidSect="00353AFB">
      <w:pgSz w:w="24480" w:h="31680" w:code="24"/>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3334F" w14:textId="77777777" w:rsidR="00FC67E1" w:rsidRDefault="00FC67E1" w:rsidP="00AD2D84">
      <w:pPr>
        <w:spacing w:after="0" w:line="240" w:lineRule="auto"/>
      </w:pPr>
      <w:r>
        <w:separator/>
      </w:r>
    </w:p>
  </w:endnote>
  <w:endnote w:type="continuationSeparator" w:id="0">
    <w:p w14:paraId="76D4BA07" w14:textId="77777777" w:rsidR="00FC67E1" w:rsidRDefault="00FC67E1" w:rsidP="00AD2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DAA5" w14:textId="77777777" w:rsidR="00FC67E1" w:rsidRDefault="00FC67E1" w:rsidP="00AD2D84">
      <w:pPr>
        <w:spacing w:after="0" w:line="240" w:lineRule="auto"/>
      </w:pPr>
      <w:r>
        <w:separator/>
      </w:r>
    </w:p>
  </w:footnote>
  <w:footnote w:type="continuationSeparator" w:id="0">
    <w:p w14:paraId="47BCF5D3" w14:textId="77777777" w:rsidR="00FC67E1" w:rsidRDefault="00FC67E1" w:rsidP="00AD2D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E34C13"/>
    <w:multiLevelType w:val="multilevel"/>
    <w:tmpl w:val="6800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3979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8C"/>
    <w:rsid w:val="0000235E"/>
    <w:rsid w:val="00026BF6"/>
    <w:rsid w:val="0003041D"/>
    <w:rsid w:val="0003666E"/>
    <w:rsid w:val="00037816"/>
    <w:rsid w:val="000408FE"/>
    <w:rsid w:val="00042A1A"/>
    <w:rsid w:val="00050F75"/>
    <w:rsid w:val="0005183A"/>
    <w:rsid w:val="00061E4D"/>
    <w:rsid w:val="00065094"/>
    <w:rsid w:val="000707E9"/>
    <w:rsid w:val="000709EE"/>
    <w:rsid w:val="0008324E"/>
    <w:rsid w:val="0009052C"/>
    <w:rsid w:val="000975F5"/>
    <w:rsid w:val="000978C4"/>
    <w:rsid w:val="000B06CA"/>
    <w:rsid w:val="000B7436"/>
    <w:rsid w:val="000C19E8"/>
    <w:rsid w:val="000D0D59"/>
    <w:rsid w:val="000D203F"/>
    <w:rsid w:val="000D3659"/>
    <w:rsid w:val="000D3D34"/>
    <w:rsid w:val="000D6ECA"/>
    <w:rsid w:val="000E2C84"/>
    <w:rsid w:val="000F2B98"/>
    <w:rsid w:val="000F3A29"/>
    <w:rsid w:val="000F7CE9"/>
    <w:rsid w:val="00117635"/>
    <w:rsid w:val="00130727"/>
    <w:rsid w:val="00131E1A"/>
    <w:rsid w:val="00151CB8"/>
    <w:rsid w:val="00162821"/>
    <w:rsid w:val="001662CF"/>
    <w:rsid w:val="00170761"/>
    <w:rsid w:val="00181ADD"/>
    <w:rsid w:val="001948BD"/>
    <w:rsid w:val="00197D46"/>
    <w:rsid w:val="001A07EB"/>
    <w:rsid w:val="001A21BC"/>
    <w:rsid w:val="001A35CA"/>
    <w:rsid w:val="001A554C"/>
    <w:rsid w:val="001A6909"/>
    <w:rsid w:val="001B07AA"/>
    <w:rsid w:val="001B13A9"/>
    <w:rsid w:val="001B7D07"/>
    <w:rsid w:val="001C32F7"/>
    <w:rsid w:val="001C37F7"/>
    <w:rsid w:val="001D57B5"/>
    <w:rsid w:val="001D6122"/>
    <w:rsid w:val="001E63CB"/>
    <w:rsid w:val="00201774"/>
    <w:rsid w:val="00203D40"/>
    <w:rsid w:val="00215E6B"/>
    <w:rsid w:val="00225206"/>
    <w:rsid w:val="00227CC7"/>
    <w:rsid w:val="002338DB"/>
    <w:rsid w:val="00233B20"/>
    <w:rsid w:val="0024130F"/>
    <w:rsid w:val="00242831"/>
    <w:rsid w:val="00245AA8"/>
    <w:rsid w:val="00255D64"/>
    <w:rsid w:val="002573D3"/>
    <w:rsid w:val="00257A10"/>
    <w:rsid w:val="00263DDB"/>
    <w:rsid w:val="002656CB"/>
    <w:rsid w:val="00267766"/>
    <w:rsid w:val="002713F7"/>
    <w:rsid w:val="00275EF3"/>
    <w:rsid w:val="00285E7F"/>
    <w:rsid w:val="00287608"/>
    <w:rsid w:val="00295575"/>
    <w:rsid w:val="002969ED"/>
    <w:rsid w:val="002A5E0C"/>
    <w:rsid w:val="002E7240"/>
    <w:rsid w:val="002F0274"/>
    <w:rsid w:val="002F2C08"/>
    <w:rsid w:val="002F3D9F"/>
    <w:rsid w:val="002F630C"/>
    <w:rsid w:val="00302EED"/>
    <w:rsid w:val="00312C80"/>
    <w:rsid w:val="003303CC"/>
    <w:rsid w:val="00333A4B"/>
    <w:rsid w:val="00353AFB"/>
    <w:rsid w:val="00361737"/>
    <w:rsid w:val="00364C09"/>
    <w:rsid w:val="00367FC6"/>
    <w:rsid w:val="00372656"/>
    <w:rsid w:val="0038336E"/>
    <w:rsid w:val="00390B8B"/>
    <w:rsid w:val="00393495"/>
    <w:rsid w:val="00396201"/>
    <w:rsid w:val="003B3952"/>
    <w:rsid w:val="003C679F"/>
    <w:rsid w:val="003D58F2"/>
    <w:rsid w:val="003E5E2F"/>
    <w:rsid w:val="003F5D35"/>
    <w:rsid w:val="0040135B"/>
    <w:rsid w:val="0040223D"/>
    <w:rsid w:val="00404BD8"/>
    <w:rsid w:val="00411091"/>
    <w:rsid w:val="00411781"/>
    <w:rsid w:val="00411E78"/>
    <w:rsid w:val="00415DBA"/>
    <w:rsid w:val="0042236B"/>
    <w:rsid w:val="00422C83"/>
    <w:rsid w:val="00443867"/>
    <w:rsid w:val="00443CDA"/>
    <w:rsid w:val="004441D5"/>
    <w:rsid w:val="00457A53"/>
    <w:rsid w:val="004616EE"/>
    <w:rsid w:val="00463FB4"/>
    <w:rsid w:val="00466667"/>
    <w:rsid w:val="00466A79"/>
    <w:rsid w:val="00476DBC"/>
    <w:rsid w:val="00490F69"/>
    <w:rsid w:val="004B0110"/>
    <w:rsid w:val="004B73B1"/>
    <w:rsid w:val="004C0DCA"/>
    <w:rsid w:val="004D41D7"/>
    <w:rsid w:val="004E1B44"/>
    <w:rsid w:val="004F1C67"/>
    <w:rsid w:val="004F275E"/>
    <w:rsid w:val="00505BC2"/>
    <w:rsid w:val="005066CA"/>
    <w:rsid w:val="00507D8D"/>
    <w:rsid w:val="00513651"/>
    <w:rsid w:val="005216F0"/>
    <w:rsid w:val="00525B04"/>
    <w:rsid w:val="00530775"/>
    <w:rsid w:val="00534125"/>
    <w:rsid w:val="00534900"/>
    <w:rsid w:val="00543909"/>
    <w:rsid w:val="00543D35"/>
    <w:rsid w:val="00554172"/>
    <w:rsid w:val="00555018"/>
    <w:rsid w:val="00555E64"/>
    <w:rsid w:val="0055716C"/>
    <w:rsid w:val="00560E72"/>
    <w:rsid w:val="00561AF8"/>
    <w:rsid w:val="005659F6"/>
    <w:rsid w:val="005675FB"/>
    <w:rsid w:val="00575514"/>
    <w:rsid w:val="005B0475"/>
    <w:rsid w:val="005B0EBC"/>
    <w:rsid w:val="005B2723"/>
    <w:rsid w:val="005C2B73"/>
    <w:rsid w:val="005C58BE"/>
    <w:rsid w:val="005C677D"/>
    <w:rsid w:val="005D606E"/>
    <w:rsid w:val="005E01B7"/>
    <w:rsid w:val="005E7AF7"/>
    <w:rsid w:val="005F3461"/>
    <w:rsid w:val="0061204F"/>
    <w:rsid w:val="006148DE"/>
    <w:rsid w:val="006149F4"/>
    <w:rsid w:val="00614B0F"/>
    <w:rsid w:val="00616A4B"/>
    <w:rsid w:val="0062020C"/>
    <w:rsid w:val="0062249D"/>
    <w:rsid w:val="00623E1C"/>
    <w:rsid w:val="00625098"/>
    <w:rsid w:val="006344D4"/>
    <w:rsid w:val="0064283B"/>
    <w:rsid w:val="006553BF"/>
    <w:rsid w:val="0066011B"/>
    <w:rsid w:val="00663ABB"/>
    <w:rsid w:val="00671A5A"/>
    <w:rsid w:val="00687429"/>
    <w:rsid w:val="00692AA1"/>
    <w:rsid w:val="00693956"/>
    <w:rsid w:val="00695811"/>
    <w:rsid w:val="006B4FA9"/>
    <w:rsid w:val="006C07BD"/>
    <w:rsid w:val="006D5FA8"/>
    <w:rsid w:val="006D6033"/>
    <w:rsid w:val="006E0655"/>
    <w:rsid w:val="006E1DEC"/>
    <w:rsid w:val="006E4AE2"/>
    <w:rsid w:val="006F771B"/>
    <w:rsid w:val="00700481"/>
    <w:rsid w:val="007007FD"/>
    <w:rsid w:val="00711CFC"/>
    <w:rsid w:val="0071460E"/>
    <w:rsid w:val="007146AA"/>
    <w:rsid w:val="007310F0"/>
    <w:rsid w:val="00732EB8"/>
    <w:rsid w:val="007366C7"/>
    <w:rsid w:val="0074028B"/>
    <w:rsid w:val="00741545"/>
    <w:rsid w:val="00744E33"/>
    <w:rsid w:val="00746B70"/>
    <w:rsid w:val="00746D9E"/>
    <w:rsid w:val="00747656"/>
    <w:rsid w:val="00752CB0"/>
    <w:rsid w:val="007624BF"/>
    <w:rsid w:val="00774583"/>
    <w:rsid w:val="007766A7"/>
    <w:rsid w:val="007931B2"/>
    <w:rsid w:val="007933B4"/>
    <w:rsid w:val="00793632"/>
    <w:rsid w:val="007938EC"/>
    <w:rsid w:val="00797BFD"/>
    <w:rsid w:val="007B7CB8"/>
    <w:rsid w:val="007D27E4"/>
    <w:rsid w:val="007D4157"/>
    <w:rsid w:val="007D4E8F"/>
    <w:rsid w:val="007D634B"/>
    <w:rsid w:val="007E1BDC"/>
    <w:rsid w:val="007E4AF2"/>
    <w:rsid w:val="007E68F8"/>
    <w:rsid w:val="00800FCE"/>
    <w:rsid w:val="00801383"/>
    <w:rsid w:val="00815C8C"/>
    <w:rsid w:val="00822137"/>
    <w:rsid w:val="00826392"/>
    <w:rsid w:val="008330DF"/>
    <w:rsid w:val="00835932"/>
    <w:rsid w:val="008377EC"/>
    <w:rsid w:val="0084288E"/>
    <w:rsid w:val="0085686D"/>
    <w:rsid w:val="008578C9"/>
    <w:rsid w:val="00863FC3"/>
    <w:rsid w:val="008769B9"/>
    <w:rsid w:val="008769C5"/>
    <w:rsid w:val="0089456E"/>
    <w:rsid w:val="008A5101"/>
    <w:rsid w:val="008A764E"/>
    <w:rsid w:val="008D2031"/>
    <w:rsid w:val="008E193B"/>
    <w:rsid w:val="008F1A86"/>
    <w:rsid w:val="0090036D"/>
    <w:rsid w:val="00907D60"/>
    <w:rsid w:val="00910ED8"/>
    <w:rsid w:val="00911E03"/>
    <w:rsid w:val="0093287A"/>
    <w:rsid w:val="00951AEE"/>
    <w:rsid w:val="009713C7"/>
    <w:rsid w:val="009740B4"/>
    <w:rsid w:val="00974FAF"/>
    <w:rsid w:val="00975F50"/>
    <w:rsid w:val="00984266"/>
    <w:rsid w:val="00990815"/>
    <w:rsid w:val="009B476A"/>
    <w:rsid w:val="009B7622"/>
    <w:rsid w:val="009C1D7F"/>
    <w:rsid w:val="009C2B3F"/>
    <w:rsid w:val="009D3401"/>
    <w:rsid w:val="009D6719"/>
    <w:rsid w:val="009F106C"/>
    <w:rsid w:val="009F1B11"/>
    <w:rsid w:val="009F30CD"/>
    <w:rsid w:val="009F786D"/>
    <w:rsid w:val="00A024EC"/>
    <w:rsid w:val="00A063BE"/>
    <w:rsid w:val="00A076C6"/>
    <w:rsid w:val="00A12F9F"/>
    <w:rsid w:val="00A15214"/>
    <w:rsid w:val="00A20467"/>
    <w:rsid w:val="00A46328"/>
    <w:rsid w:val="00A552A2"/>
    <w:rsid w:val="00A6645B"/>
    <w:rsid w:val="00A728A5"/>
    <w:rsid w:val="00A74148"/>
    <w:rsid w:val="00A74C4A"/>
    <w:rsid w:val="00A76338"/>
    <w:rsid w:val="00A841FA"/>
    <w:rsid w:val="00A862A2"/>
    <w:rsid w:val="00A90B3A"/>
    <w:rsid w:val="00A9515D"/>
    <w:rsid w:val="00AC0258"/>
    <w:rsid w:val="00AC5C49"/>
    <w:rsid w:val="00AD2D84"/>
    <w:rsid w:val="00AE415A"/>
    <w:rsid w:val="00B00B6A"/>
    <w:rsid w:val="00B00DB0"/>
    <w:rsid w:val="00B03157"/>
    <w:rsid w:val="00B065B4"/>
    <w:rsid w:val="00B175ED"/>
    <w:rsid w:val="00B234B6"/>
    <w:rsid w:val="00B4751C"/>
    <w:rsid w:val="00B4782D"/>
    <w:rsid w:val="00B52070"/>
    <w:rsid w:val="00B56EEC"/>
    <w:rsid w:val="00B67CB3"/>
    <w:rsid w:val="00B768B1"/>
    <w:rsid w:val="00B8382C"/>
    <w:rsid w:val="00B9594B"/>
    <w:rsid w:val="00BA3782"/>
    <w:rsid w:val="00BB1CED"/>
    <w:rsid w:val="00BB5079"/>
    <w:rsid w:val="00BB69C4"/>
    <w:rsid w:val="00BC381A"/>
    <w:rsid w:val="00BC795F"/>
    <w:rsid w:val="00BD524E"/>
    <w:rsid w:val="00BE174F"/>
    <w:rsid w:val="00BE5774"/>
    <w:rsid w:val="00BF3FE3"/>
    <w:rsid w:val="00BF43A5"/>
    <w:rsid w:val="00BF4DD8"/>
    <w:rsid w:val="00C01948"/>
    <w:rsid w:val="00C13BA3"/>
    <w:rsid w:val="00C22DA5"/>
    <w:rsid w:val="00C2356A"/>
    <w:rsid w:val="00C32C35"/>
    <w:rsid w:val="00C3301E"/>
    <w:rsid w:val="00C33689"/>
    <w:rsid w:val="00C548E5"/>
    <w:rsid w:val="00C76C58"/>
    <w:rsid w:val="00C778F4"/>
    <w:rsid w:val="00C83D59"/>
    <w:rsid w:val="00C954C5"/>
    <w:rsid w:val="00CA11EE"/>
    <w:rsid w:val="00CA7571"/>
    <w:rsid w:val="00CC1355"/>
    <w:rsid w:val="00CD78AA"/>
    <w:rsid w:val="00D00DB7"/>
    <w:rsid w:val="00D00F4F"/>
    <w:rsid w:val="00D23D2D"/>
    <w:rsid w:val="00D247AB"/>
    <w:rsid w:val="00D30759"/>
    <w:rsid w:val="00D4531B"/>
    <w:rsid w:val="00D56C5D"/>
    <w:rsid w:val="00D648FE"/>
    <w:rsid w:val="00D761FE"/>
    <w:rsid w:val="00D77F03"/>
    <w:rsid w:val="00D8286B"/>
    <w:rsid w:val="00D86F69"/>
    <w:rsid w:val="00D935EB"/>
    <w:rsid w:val="00D9586B"/>
    <w:rsid w:val="00DA231F"/>
    <w:rsid w:val="00DC0576"/>
    <w:rsid w:val="00DF1E09"/>
    <w:rsid w:val="00DF365A"/>
    <w:rsid w:val="00E01AD6"/>
    <w:rsid w:val="00E1084D"/>
    <w:rsid w:val="00E306C3"/>
    <w:rsid w:val="00E42407"/>
    <w:rsid w:val="00E43C77"/>
    <w:rsid w:val="00E4500F"/>
    <w:rsid w:val="00E47D77"/>
    <w:rsid w:val="00E50997"/>
    <w:rsid w:val="00E54132"/>
    <w:rsid w:val="00E54B0C"/>
    <w:rsid w:val="00E612DA"/>
    <w:rsid w:val="00E7058A"/>
    <w:rsid w:val="00E75A87"/>
    <w:rsid w:val="00E7659C"/>
    <w:rsid w:val="00E76863"/>
    <w:rsid w:val="00E846F3"/>
    <w:rsid w:val="00E8597D"/>
    <w:rsid w:val="00E90DAF"/>
    <w:rsid w:val="00E97F98"/>
    <w:rsid w:val="00EA7B2F"/>
    <w:rsid w:val="00ED2C9E"/>
    <w:rsid w:val="00EF1903"/>
    <w:rsid w:val="00EF35E0"/>
    <w:rsid w:val="00F13156"/>
    <w:rsid w:val="00F50A3D"/>
    <w:rsid w:val="00F50BCE"/>
    <w:rsid w:val="00F61509"/>
    <w:rsid w:val="00F76E91"/>
    <w:rsid w:val="00F80FF2"/>
    <w:rsid w:val="00F86944"/>
    <w:rsid w:val="00FA2A31"/>
    <w:rsid w:val="00FC67E1"/>
    <w:rsid w:val="00FD35D1"/>
    <w:rsid w:val="00FE26DE"/>
    <w:rsid w:val="00FE3DB8"/>
    <w:rsid w:val="00FE73F1"/>
    <w:rsid w:val="00FF48F0"/>
    <w:rsid w:val="00FF5E00"/>
    <w:rsid w:val="00FF6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F7EAB"/>
  <w15:chartTrackingRefBased/>
  <w15:docId w15:val="{437B24E8-E780-4E60-9371-F18CE86C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C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C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C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C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C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C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C8C"/>
    <w:rPr>
      <w:rFonts w:eastAsiaTheme="majorEastAsia" w:cstheme="majorBidi"/>
      <w:color w:val="272727" w:themeColor="text1" w:themeTint="D8"/>
    </w:rPr>
  </w:style>
  <w:style w:type="paragraph" w:styleId="Title">
    <w:name w:val="Title"/>
    <w:basedOn w:val="Normal"/>
    <w:next w:val="Normal"/>
    <w:link w:val="TitleChar"/>
    <w:uiPriority w:val="10"/>
    <w:qFormat/>
    <w:rsid w:val="00815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C8C"/>
    <w:pPr>
      <w:spacing w:before="160"/>
      <w:jc w:val="center"/>
    </w:pPr>
    <w:rPr>
      <w:i/>
      <w:iCs/>
      <w:color w:val="404040" w:themeColor="text1" w:themeTint="BF"/>
    </w:rPr>
  </w:style>
  <w:style w:type="character" w:customStyle="1" w:styleId="QuoteChar">
    <w:name w:val="Quote Char"/>
    <w:basedOn w:val="DefaultParagraphFont"/>
    <w:link w:val="Quote"/>
    <w:uiPriority w:val="29"/>
    <w:rsid w:val="00815C8C"/>
    <w:rPr>
      <w:i/>
      <w:iCs/>
      <w:color w:val="404040" w:themeColor="text1" w:themeTint="BF"/>
    </w:rPr>
  </w:style>
  <w:style w:type="paragraph" w:styleId="ListParagraph">
    <w:name w:val="List Paragraph"/>
    <w:basedOn w:val="Normal"/>
    <w:uiPriority w:val="34"/>
    <w:qFormat/>
    <w:rsid w:val="00815C8C"/>
    <w:pPr>
      <w:ind w:left="720"/>
      <w:contextualSpacing/>
    </w:pPr>
  </w:style>
  <w:style w:type="character" w:styleId="IntenseEmphasis">
    <w:name w:val="Intense Emphasis"/>
    <w:basedOn w:val="DefaultParagraphFont"/>
    <w:uiPriority w:val="21"/>
    <w:qFormat/>
    <w:rsid w:val="00815C8C"/>
    <w:rPr>
      <w:i/>
      <w:iCs/>
      <w:color w:val="0F4761" w:themeColor="accent1" w:themeShade="BF"/>
    </w:rPr>
  </w:style>
  <w:style w:type="paragraph" w:styleId="IntenseQuote">
    <w:name w:val="Intense Quote"/>
    <w:basedOn w:val="Normal"/>
    <w:next w:val="Normal"/>
    <w:link w:val="IntenseQuoteChar"/>
    <w:uiPriority w:val="30"/>
    <w:qFormat/>
    <w:rsid w:val="00815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C8C"/>
    <w:rPr>
      <w:i/>
      <w:iCs/>
      <w:color w:val="0F4761" w:themeColor="accent1" w:themeShade="BF"/>
    </w:rPr>
  </w:style>
  <w:style w:type="character" w:styleId="IntenseReference">
    <w:name w:val="Intense Reference"/>
    <w:basedOn w:val="DefaultParagraphFont"/>
    <w:uiPriority w:val="32"/>
    <w:qFormat/>
    <w:rsid w:val="00815C8C"/>
    <w:rPr>
      <w:b/>
      <w:bCs/>
      <w:smallCaps/>
      <w:color w:val="0F4761" w:themeColor="accent1" w:themeShade="BF"/>
      <w:spacing w:val="5"/>
    </w:rPr>
  </w:style>
  <w:style w:type="paragraph" w:styleId="NoSpacing">
    <w:name w:val="No Spacing"/>
    <w:link w:val="NoSpacingChar"/>
    <w:uiPriority w:val="1"/>
    <w:qFormat/>
    <w:rsid w:val="005216F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216F0"/>
    <w:rPr>
      <w:rFonts w:eastAsiaTheme="minorEastAsia"/>
      <w:kern w:val="0"/>
      <w:sz w:val="22"/>
      <w:szCs w:val="22"/>
      <w:lang w:eastAsia="en-GB"/>
      <w14:ligatures w14:val="none"/>
    </w:rPr>
  </w:style>
  <w:style w:type="character" w:styleId="Hyperlink">
    <w:name w:val="Hyperlink"/>
    <w:basedOn w:val="DefaultParagraphFont"/>
    <w:uiPriority w:val="99"/>
    <w:unhideWhenUsed/>
    <w:rsid w:val="00AE415A"/>
    <w:rPr>
      <w:color w:val="467886" w:themeColor="hyperlink"/>
      <w:u w:val="single"/>
    </w:rPr>
  </w:style>
  <w:style w:type="character" w:styleId="UnresolvedMention">
    <w:name w:val="Unresolved Mention"/>
    <w:basedOn w:val="DefaultParagraphFont"/>
    <w:uiPriority w:val="99"/>
    <w:semiHidden/>
    <w:unhideWhenUsed/>
    <w:rsid w:val="00AE415A"/>
    <w:rPr>
      <w:color w:val="605E5C"/>
      <w:shd w:val="clear" w:color="auto" w:fill="E1DFDD"/>
    </w:rPr>
  </w:style>
  <w:style w:type="paragraph" w:styleId="Header">
    <w:name w:val="header"/>
    <w:basedOn w:val="Normal"/>
    <w:link w:val="HeaderChar"/>
    <w:uiPriority w:val="99"/>
    <w:unhideWhenUsed/>
    <w:rsid w:val="00AD2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D84"/>
  </w:style>
  <w:style w:type="paragraph" w:styleId="Footer">
    <w:name w:val="footer"/>
    <w:basedOn w:val="Normal"/>
    <w:link w:val="FooterChar"/>
    <w:uiPriority w:val="99"/>
    <w:unhideWhenUsed/>
    <w:rsid w:val="00AD2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hyperlink" Target="https://www.communitycvs.org.uk/10-challenges-facing-community-groups-in-2025/" TargetMode="External"/><Relationship Id="rId26" Type="http://schemas.openxmlformats.org/officeDocument/2006/relationships/hyperlink" Target="https://disability-equality.org.uk/wp-content/uploads/2021/02/DENW-UKDHM-timeline-November-2020.pdf" TargetMode="External"/><Relationship Id="rId3" Type="http://schemas.openxmlformats.org/officeDocument/2006/relationships/styles" Target="styles.xml"/><Relationship Id="rId21" Type="http://schemas.openxmlformats.org/officeDocument/2006/relationships/hyperlink" Target="https://www.england.nhs.uk/community-health-services/what-are-community-health-services/"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ons.gov.uk/peoplepopulationandcommunity/healthandsocialcare/disability/datasets/disabledpeoplesexperienceswithactivitiesgoodsandservicesintheuksampleinformation" TargetMode="External"/><Relationship Id="rId25" Type="http://schemas.openxmlformats.org/officeDocument/2006/relationships/hyperlink" Target="http://www.londonamblance.nhs.uk/about-us/our-history/our-history-a-timeline/" TargetMode="External"/><Relationship Id="rId2" Type="http://schemas.openxmlformats.org/officeDocument/2006/relationships/numbering" Target="numbering.xml"/><Relationship Id="rId16" Type="http://schemas.openxmlformats.org/officeDocument/2006/relationships/hyperlink" Target="https://www.cqc.org.uk/publications/major-report/state-care/2024-2025/summary" TargetMode="External"/><Relationship Id="rId20" Type="http://schemas.openxmlformats.org/officeDocument/2006/relationships/hyperlink" Target="https://historicengland.org.uk/research/inclusive-heritage/disability-history/1945-to-the-present-day/back-to-the-communit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gov.uk/government/publications/the-lived-experience-of-disabled-people-in-the-uk-a-review-of-evidence/the-lived-experience-of-disabled-people-in-the-uk-a-review-of-evidence" TargetMode="External"/><Relationship Id="rId5" Type="http://schemas.openxmlformats.org/officeDocument/2006/relationships/webSettings" Target="webSettings.xml"/><Relationship Id="rId15" Type="http://schemas.openxmlformats.org/officeDocument/2006/relationships/hyperlink" Target="http://aace.org.uk/news/nhs-ambulance-services-achieve-performance-improvements-despite-significant-growth-in-demand-and-handover-delays-equating-to-183-years-of-lost-ambulance-capacity/#:~:text=NHS%20ambulance%20services%20achieve%20performance,8.2%20million%20in%20September%202023" TargetMode="External"/><Relationship Id="rId23" Type="http://schemas.openxmlformats.org/officeDocument/2006/relationships/hyperlink" Target="http://www.nhs.uk/nhs-services/hospital/going-into-hospital/how-to-organise-transport-to-and-from-hospital/#:~:text=In%20a%20medical%20emergency%2C%20call,to%20hospital%20in%20an%20emergency"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historicengland.org.uk/research/inclusive-heritage/disability-history/1050-1485/disability-in-the-community/" TargetMode="Externa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image" Target="media/image6.jpeg"/><Relationship Id="rId22" Type="http://schemas.openxmlformats.org/officeDocument/2006/relationships/hyperlink" Target="http://www.england.nhs.uk/urgent-emergency-care/improving-ambulance-services/#:~:text=Ambulance%20services%20are%20at%20the,to%20respond%20to%20different%20incidents" TargetMode="External"/><Relationship Id="rId27" Type="http://schemas.openxmlformats.org/officeDocument/2006/relationships/hyperlink" Target="http://www.nuffieldtrust.org.uk/resource/nhs-spending-plans-over-the-past-decade#:~:text=They%20were%20clearly%20not%20foreseen,the%20pre%2Dpandemic%20funding%20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number: 2511942
Lecturers name: David Haruna</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4</Pages>
  <Words>2203</Words>
  <Characters>12562</Characters>
  <Application>Microsoft Office Word</Application>
  <DocSecurity>0</DocSecurity>
  <Lines>104</Lines>
  <Paragraphs>29</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LCHS4003- Introduction to health and social care</dc:title>
  <dc:subject>Portfolio (Poster andy)</dc:subject>
  <dc:creator/>
  <cp:keywords/>
  <dc:description/>
  <cp:lastModifiedBy>Sabrina Rose</cp:lastModifiedBy>
  <cp:revision>367</cp:revision>
  <dcterms:created xsi:type="dcterms:W3CDTF">2026-01-19T15:51:00Z</dcterms:created>
  <dcterms:modified xsi:type="dcterms:W3CDTF">2026-02-21T15:28:00Z</dcterms:modified>
</cp:coreProperties>
</file>