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50378A0" w:rsidR="7908378C" w:rsidRDefault="7908378C" w:rsidP="33572C6E">
            <w:pPr>
              <w:ind w:right="237"/>
              <w:rPr>
                <w:b/>
                <w:bCs/>
                <w:color w:val="auto"/>
                <w:sz w:val="32"/>
                <w:szCs w:val="32"/>
              </w:rPr>
            </w:pPr>
            <w:r w:rsidRPr="33572C6E">
              <w:rPr>
                <w:b/>
                <w:bCs/>
                <w:color w:val="auto"/>
                <w:sz w:val="32"/>
                <w:szCs w:val="32"/>
              </w:rPr>
              <w:t xml:space="preserve">Learner name: </w:t>
            </w:r>
            <w:r w:rsidR="008046BA">
              <w:rPr>
                <w:b/>
                <w:bCs/>
                <w:color w:val="auto"/>
                <w:sz w:val="32"/>
                <w:szCs w:val="32"/>
              </w:rPr>
              <w:t>Caitlin Selby</w:t>
            </w:r>
          </w:p>
          <w:p w14:paraId="3A3A802D" w14:textId="77777777" w:rsidR="33572C6E" w:rsidRDefault="33572C6E" w:rsidP="33572C6E">
            <w:pPr>
              <w:ind w:right="237"/>
              <w:rPr>
                <w:b/>
                <w:bCs/>
                <w:color w:val="auto"/>
                <w:sz w:val="32"/>
                <w:szCs w:val="32"/>
              </w:rPr>
            </w:pPr>
          </w:p>
          <w:p w14:paraId="7883A53E" w14:textId="5BEFB567" w:rsidR="7908378C" w:rsidRDefault="7908378C" w:rsidP="33572C6E">
            <w:pPr>
              <w:ind w:right="237"/>
              <w:rPr>
                <w:b/>
                <w:bCs/>
                <w:color w:val="auto"/>
                <w:sz w:val="32"/>
                <w:szCs w:val="32"/>
              </w:rPr>
            </w:pPr>
            <w:r w:rsidRPr="33572C6E">
              <w:rPr>
                <w:b/>
                <w:bCs/>
                <w:color w:val="auto"/>
                <w:sz w:val="32"/>
                <w:szCs w:val="32"/>
              </w:rPr>
              <w:t>Learner’s University Registration Number:</w:t>
            </w:r>
            <w:r w:rsidR="008046BA">
              <w:rPr>
                <w:b/>
                <w:bCs/>
                <w:color w:val="auto"/>
                <w:sz w:val="32"/>
                <w:szCs w:val="32"/>
              </w:rPr>
              <w:t xml:space="preserve"> 2125064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85CD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Default="5B843AF0" w:rsidP="5B843AF0">
      <w:pPr>
        <w:ind w:right="237"/>
        <w:jc w:val="center"/>
        <w:rPr>
          <w:b/>
          <w:bCs/>
          <w:sz w:val="24"/>
          <w:szCs w:val="24"/>
        </w:rPr>
      </w:pPr>
    </w:p>
    <w:p w14:paraId="21232796" w14:textId="0F412A66"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During my second year as a Police Constable there have been many incidents where I have dealt with vulnerable victims who require support from police and partner agencies. Throughout this assignment I will be referring to a specific incident which demonstrates the additional support available to victims of domestic abuse, as well as evaluating the appropriateness of these support approaches. </w:t>
      </w:r>
      <w:r w:rsidR="001C6476">
        <w:rPr>
          <w:rFonts w:asciiTheme="minorHAnsi" w:hAnsiTheme="minorHAnsi" w:cstheme="minorHAnsi"/>
          <w:sz w:val="24"/>
          <w:szCs w:val="24"/>
        </w:rPr>
        <w:t xml:space="preserve">Victims of domestic abuse are classed as vulnerable victims due to the severity of the situation, the Government (2022) states that a person is vulnerable if they are “in need of special care, support, or protection because of age, disability, risk of abuse or neglect”. </w:t>
      </w:r>
      <w:r w:rsidRPr="008046BA">
        <w:rPr>
          <w:rFonts w:asciiTheme="minorHAnsi" w:hAnsiTheme="minorHAnsi" w:cstheme="minorHAnsi"/>
          <w:sz w:val="24"/>
          <w:szCs w:val="24"/>
        </w:rPr>
        <w:t xml:space="preserve">Some of the support available which police offer or refer victims of domestic abuse to include, Welsh Women’s Aid, Live Fear Free, Social Services, and the Public Protection Unit within South Wales Police. I will also be considering the effectiveness of Domestic Abuse Protection Notices and Orders, Claire’s </w:t>
      </w:r>
      <w:proofErr w:type="gramStart"/>
      <w:r w:rsidRPr="008046BA">
        <w:rPr>
          <w:rFonts w:asciiTheme="minorHAnsi" w:hAnsiTheme="minorHAnsi" w:cstheme="minorHAnsi"/>
          <w:sz w:val="24"/>
          <w:szCs w:val="24"/>
        </w:rPr>
        <w:t>Law</w:t>
      </w:r>
      <w:proofErr w:type="gramEnd"/>
      <w:r w:rsidRPr="008046BA">
        <w:rPr>
          <w:rFonts w:asciiTheme="minorHAnsi" w:hAnsiTheme="minorHAnsi" w:cstheme="minorHAnsi"/>
          <w:sz w:val="24"/>
          <w:szCs w:val="24"/>
        </w:rPr>
        <w:t xml:space="preserve"> and </w:t>
      </w:r>
      <w:r w:rsidRPr="008046BA">
        <w:rPr>
          <w:rFonts w:asciiTheme="minorHAnsi" w:hAnsiTheme="minorHAnsi" w:cstheme="minorHAnsi"/>
          <w:sz w:val="24"/>
          <w:szCs w:val="24"/>
        </w:rPr>
        <w:lastRenderedPageBreak/>
        <w:t>MARAC Referrals and whether they are tackling repeat victimisation and offending rates. I will be using Gibbs Reflective Cycle to reflect on this incident that I have attended (University of Edinburgh</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 2020). </w:t>
      </w:r>
    </w:p>
    <w:p w14:paraId="5CB2707E" w14:textId="77777777" w:rsidR="008046BA" w:rsidRPr="008046BA" w:rsidRDefault="008046BA" w:rsidP="008046BA">
      <w:pPr>
        <w:spacing w:line="480" w:lineRule="auto"/>
        <w:rPr>
          <w:rFonts w:asciiTheme="minorHAnsi" w:hAnsiTheme="minorHAnsi" w:cstheme="minorHAnsi"/>
          <w:sz w:val="24"/>
          <w:szCs w:val="24"/>
        </w:rPr>
      </w:pPr>
    </w:p>
    <w:p w14:paraId="44928B28" w14:textId="77777777" w:rsidR="008046BA" w:rsidRPr="008046BA" w:rsidRDefault="008046BA" w:rsidP="008046BA">
      <w:pPr>
        <w:spacing w:line="480" w:lineRule="auto"/>
        <w:rPr>
          <w:rFonts w:asciiTheme="minorHAnsi" w:hAnsiTheme="minorHAnsi" w:cstheme="minorHAnsi"/>
          <w:sz w:val="24"/>
          <w:szCs w:val="24"/>
        </w:rPr>
      </w:pP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effectively reflect and evaluate the incident that I have attended, I will firstly describe briefly the circumstances around the call. Police received an abandoned 999 call from a phone number with sounds of a disturbance in the background. Officers have attended the address that the telephone number was registered to and there was a male and female present inside the property. The female was visibly upset as she was shaking and crying, whilst the male was extremely angry and shouting at officers. It became apparent that the female was the victim of an assault where her partner had pushed her into a door frame. The victim was whispering for officers to help her and to not tell him that it was her who contacted the police. The victim was petrified of the perpetrator due to his aggressive demeanour that he demonstrated to officers. The perpetrator told officers that he suffered with mental health issues and that he had previously attempted to take his own life. The perpetrator came across as very controlling towards the victim, whilst officers were </w:t>
      </w:r>
      <w:proofErr w:type="gramStart"/>
      <w:r w:rsidRPr="008046BA">
        <w:rPr>
          <w:rFonts w:asciiTheme="minorHAnsi" w:hAnsiTheme="minorHAnsi" w:cstheme="minorHAnsi"/>
          <w:sz w:val="24"/>
          <w:szCs w:val="24"/>
        </w:rPr>
        <w:t>present</w:t>
      </w:r>
      <w:proofErr w:type="gramEnd"/>
      <w:r w:rsidRPr="008046BA">
        <w:rPr>
          <w:rFonts w:asciiTheme="minorHAnsi" w:hAnsiTheme="minorHAnsi" w:cstheme="minorHAnsi"/>
          <w:sz w:val="24"/>
          <w:szCs w:val="24"/>
        </w:rPr>
        <w:t xml:space="preserve"> he was shouting demands at the victim from the other side of the house. The perpetrator was arrested and conveyed to custody whilst I stayed with the victim to ascertain more detail as to what had happened without the perpetrator being present in the household. Whilst speaking with the victim it became apparent that she was extremely vulnerable and would need support referrals to be put in place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safeguard her. </w:t>
      </w:r>
    </w:p>
    <w:p w14:paraId="44F16143" w14:textId="77777777" w:rsidR="008046BA" w:rsidRPr="008046BA" w:rsidRDefault="008046BA" w:rsidP="008046BA">
      <w:pPr>
        <w:spacing w:line="480" w:lineRule="auto"/>
        <w:rPr>
          <w:rFonts w:asciiTheme="minorHAnsi" w:hAnsiTheme="minorHAnsi" w:cstheme="minorHAnsi"/>
          <w:sz w:val="24"/>
          <w:szCs w:val="24"/>
        </w:rPr>
      </w:pPr>
    </w:p>
    <w:p w14:paraId="0C02E309" w14:textId="77777777"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According to University of Cumbria (2020) the next stage in Gibbs Reflective Cycle is to discuss my feelings and thoughts about the incident. Before arriving at the </w:t>
      </w:r>
      <w:proofErr w:type="gramStart"/>
      <w:r w:rsidRPr="008046BA">
        <w:rPr>
          <w:rFonts w:asciiTheme="minorHAnsi" w:hAnsiTheme="minorHAnsi" w:cstheme="minorHAnsi"/>
          <w:sz w:val="24"/>
          <w:szCs w:val="24"/>
        </w:rPr>
        <w:t>report</w:t>
      </w:r>
      <w:proofErr w:type="gramEnd"/>
      <w:r w:rsidRPr="008046BA">
        <w:rPr>
          <w:rFonts w:asciiTheme="minorHAnsi" w:hAnsiTheme="minorHAnsi" w:cstheme="minorHAnsi"/>
          <w:sz w:val="24"/>
          <w:szCs w:val="24"/>
        </w:rPr>
        <w:t xml:space="preserve"> I did feel </w:t>
      </w:r>
      <w:r w:rsidRPr="008046BA">
        <w:rPr>
          <w:rFonts w:asciiTheme="minorHAnsi" w:hAnsiTheme="minorHAnsi" w:cstheme="minorHAnsi"/>
          <w:sz w:val="24"/>
          <w:szCs w:val="24"/>
        </w:rPr>
        <w:lastRenderedPageBreak/>
        <w:t xml:space="preserve">slightly apprehensive as there was very limited information known about the incident and the people involved. According to the College of Policing (2013) it is imperative to develop a working strategy before attending an emergency call, this includes considering aspects like who is involved, what has happened, where the call has come from, where the location of the call is and how the incident outcome is going to be achieved. Due to this feeling of the unknown it made it difficult to consider the possible options and outcomes that were available before entering the call. </w:t>
      </w:r>
    </w:p>
    <w:p w14:paraId="71D5C8D5" w14:textId="77777777" w:rsidR="008046BA" w:rsidRPr="008046BA" w:rsidRDefault="008046BA" w:rsidP="008046BA">
      <w:pPr>
        <w:spacing w:line="480" w:lineRule="auto"/>
        <w:rPr>
          <w:rFonts w:asciiTheme="minorHAnsi" w:hAnsiTheme="minorHAnsi" w:cstheme="minorHAnsi"/>
          <w:sz w:val="24"/>
          <w:szCs w:val="24"/>
        </w:rPr>
      </w:pPr>
    </w:p>
    <w:p w14:paraId="3186857F" w14:textId="25129D4A"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However, after entering the call and becoming familiar with the circumstances of the report, I felt very determined as I wanted to help the victim and ensure there was appropriate support available for her. Whilst the perpetrator was being aggressive and resistant whilst trying to effect an arrest, I felt quite concerned by how volatile the situation could become. I considered calling for extra police units to attend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assist us in detaining the male safely, however, it became apparent that after persistently talking to the male he had calmed down enough to safely apply hand cuffs. Another feeling I had during this experience was one of concern as I was trying to safeguard the vulnerable needs of both parties during this incident. Although in this case the female was vulnerable due to her being victim of domestic abuse; the perpetrator showed signs of vulnerability due to </w:t>
      </w:r>
      <w:r w:rsidR="00FC3185">
        <w:rPr>
          <w:rFonts w:asciiTheme="minorHAnsi" w:hAnsiTheme="minorHAnsi" w:cstheme="minorHAnsi"/>
          <w:sz w:val="24"/>
          <w:szCs w:val="24"/>
        </w:rPr>
        <w:t xml:space="preserve">having a mental health disability </w:t>
      </w:r>
      <w:r w:rsidRPr="008046BA">
        <w:rPr>
          <w:rFonts w:asciiTheme="minorHAnsi" w:hAnsiTheme="minorHAnsi" w:cstheme="minorHAnsi"/>
          <w:sz w:val="24"/>
          <w:szCs w:val="24"/>
        </w:rPr>
        <w:t>which he did not have any support for.</w:t>
      </w:r>
      <w:r w:rsidR="001C6476">
        <w:rPr>
          <w:rFonts w:asciiTheme="minorHAnsi" w:hAnsiTheme="minorHAnsi" w:cstheme="minorHAnsi"/>
          <w:sz w:val="24"/>
          <w:szCs w:val="24"/>
        </w:rPr>
        <w:t xml:space="preserve"> </w:t>
      </w:r>
      <w:r w:rsidRPr="008046BA">
        <w:rPr>
          <w:rFonts w:asciiTheme="minorHAnsi" w:hAnsiTheme="minorHAnsi" w:cstheme="minorHAnsi"/>
          <w:sz w:val="24"/>
          <w:szCs w:val="24"/>
        </w:rPr>
        <w:t>I was dynamically assessing my options throughout the call and considered what support referrals I could put in place for the male in this incident. This included submitting a Public Protection Notification Report for him to get support for his mental health.</w:t>
      </w:r>
    </w:p>
    <w:p w14:paraId="06CEA55E" w14:textId="77777777" w:rsidR="00890D32" w:rsidRDefault="00890D32" w:rsidP="008046BA">
      <w:pPr>
        <w:spacing w:line="480" w:lineRule="auto"/>
        <w:rPr>
          <w:rFonts w:asciiTheme="minorHAnsi" w:hAnsiTheme="minorHAnsi" w:cstheme="minorHAnsi"/>
          <w:sz w:val="24"/>
          <w:szCs w:val="24"/>
        </w:rPr>
      </w:pPr>
    </w:p>
    <w:p w14:paraId="1CEB8A4A" w14:textId="71E2F0FE"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lastRenderedPageBreak/>
        <w:t>The next stage of Gibbs Reflective Cycle is to evaluate the incident and consider what was both good and bad (University of Edinburgh</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 2020). Firstly, I will evaluate the good parts of the incident including the support approaches put in place by police at scene as well as partner agencies. Overall, looking back on the experience I think there was a positive outcome as no one was injured severely and the subject was successfully arrested and dealt with for the allegation. After dealing with any report of a domestic related incident or a vulnerable adult, a Public Protection Notification Report (PPN) must be submitted by the attending officers. This report gets shared with the Public Protection Unit within the Police and the individual gets risk assessed on their needs and additional support can be put in place for them (South Wales Police</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 2015). Where the victim consents, the PPN will get shared with partner agencies like their GP for their awareness, Social Services, and schools if there are children involved. In this case, the victim consented to getting extra support and she was risk assessed as a high risk victim by myself due to her vulnerability. Due to being risk assessed as high risk, the victim was given an Independent Domestic Violence Advocate (IDVA) who work separate to the police in supporting victims. According to South Wales Victim Focus (2023), an IDVA can assist in helping rehouse a victim, helping them with debts, </w:t>
      </w:r>
      <w:proofErr w:type="gramStart"/>
      <w:r w:rsidRPr="008046BA">
        <w:rPr>
          <w:rFonts w:asciiTheme="minorHAnsi" w:hAnsiTheme="minorHAnsi" w:cstheme="minorHAnsi"/>
          <w:sz w:val="24"/>
          <w:szCs w:val="24"/>
        </w:rPr>
        <w:t>and also</w:t>
      </w:r>
      <w:proofErr w:type="gramEnd"/>
      <w:r w:rsidRPr="008046BA">
        <w:rPr>
          <w:rFonts w:asciiTheme="minorHAnsi" w:hAnsiTheme="minorHAnsi" w:cstheme="minorHAnsi"/>
          <w:sz w:val="24"/>
          <w:szCs w:val="24"/>
        </w:rPr>
        <w:t xml:space="preserve"> be the point of contact between the police, the Crown Prosecution Service and the victim. For this victim, the support from an IDVA provided an imperative impact on allowing them to safely leave the abusive relationship. The victim had encouragement from the right department who knew how to handle their specific needs.</w:t>
      </w:r>
    </w:p>
    <w:p w14:paraId="13250949" w14:textId="77777777" w:rsidR="008046BA" w:rsidRPr="008046BA" w:rsidRDefault="008046BA" w:rsidP="008046BA">
      <w:pPr>
        <w:spacing w:line="480" w:lineRule="auto"/>
        <w:rPr>
          <w:rFonts w:asciiTheme="minorHAnsi" w:hAnsiTheme="minorHAnsi" w:cstheme="minorHAnsi"/>
          <w:sz w:val="24"/>
          <w:szCs w:val="24"/>
        </w:rPr>
      </w:pPr>
    </w:p>
    <w:p w14:paraId="0EE1E52D" w14:textId="14C41ADF"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In this incident, the victim was living with the perpetrator at his home address. The victim was not local to the area and grew up and worked a two hour drive away from where she lived with the male. Because of the initial support that I could provide her at the scene the </w:t>
      </w:r>
      <w:r w:rsidRPr="008046BA">
        <w:rPr>
          <w:rFonts w:asciiTheme="minorHAnsi" w:hAnsiTheme="minorHAnsi" w:cstheme="minorHAnsi"/>
          <w:sz w:val="24"/>
          <w:szCs w:val="24"/>
        </w:rPr>
        <w:lastRenderedPageBreak/>
        <w:t xml:space="preserve">victim felt ready to leave the address that evening and never return. Once the perpetrator was arrested and she felt safe enough to talk about what had been happening, she </w:t>
      </w:r>
      <w:proofErr w:type="gramStart"/>
      <w:r w:rsidRPr="008046BA">
        <w:rPr>
          <w:rFonts w:asciiTheme="minorHAnsi" w:hAnsiTheme="minorHAnsi" w:cstheme="minorHAnsi"/>
          <w:sz w:val="24"/>
          <w:szCs w:val="24"/>
        </w:rPr>
        <w:t>opened up</w:t>
      </w:r>
      <w:proofErr w:type="gramEnd"/>
      <w:r w:rsidRPr="008046BA">
        <w:rPr>
          <w:rFonts w:asciiTheme="minorHAnsi" w:hAnsiTheme="minorHAnsi" w:cstheme="minorHAnsi"/>
          <w:sz w:val="24"/>
          <w:szCs w:val="24"/>
        </w:rPr>
        <w:t xml:space="preserve"> and disclosed a lot of abuse that had been occurring for over two years. The victim kept telling me how safe she felt with me being in the property and knowing the male would not return that night. We discussed her safety and the option of her leaving the address straight away and she agreed that this would be the best option. The victim did not even pack </w:t>
      </w:r>
      <w:proofErr w:type="gramStart"/>
      <w:r w:rsidRPr="008046BA">
        <w:rPr>
          <w:rFonts w:asciiTheme="minorHAnsi" w:hAnsiTheme="minorHAnsi" w:cstheme="minorHAnsi"/>
          <w:sz w:val="24"/>
          <w:szCs w:val="24"/>
        </w:rPr>
        <w:t>all of</w:t>
      </w:r>
      <w:proofErr w:type="gramEnd"/>
      <w:r w:rsidRPr="008046BA">
        <w:rPr>
          <w:rFonts w:asciiTheme="minorHAnsi" w:hAnsiTheme="minorHAnsi" w:cstheme="minorHAnsi"/>
          <w:sz w:val="24"/>
          <w:szCs w:val="24"/>
        </w:rPr>
        <w:t xml:space="preserve"> her belongings, she was willing to leave them there and just take the necessary items that she needed. I helped her pack her bag and I drove her to her family home to ensure her safety and to continue to show her the support that was around her. I think a fundamental part of successful policing is to support victims of domestic abuse, according to Her Majesty’s Inspectorate of Constabulary and Fire and Rescue Services (HMICFRS) (2019) </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the way officers behave when they arrive at the scene of domestic abuse is vital”. This shows that if a victim feels supported and understood by the initial attending officers, they are more likely to </w:t>
      </w:r>
      <w:proofErr w:type="gramStart"/>
      <w:r w:rsidRPr="008046BA">
        <w:rPr>
          <w:rFonts w:asciiTheme="minorHAnsi" w:hAnsiTheme="minorHAnsi" w:cstheme="minorHAnsi"/>
          <w:sz w:val="24"/>
          <w:szCs w:val="24"/>
        </w:rPr>
        <w:t>open up</w:t>
      </w:r>
      <w:proofErr w:type="gramEnd"/>
      <w:r w:rsidRPr="008046BA">
        <w:rPr>
          <w:rFonts w:asciiTheme="minorHAnsi" w:hAnsiTheme="minorHAnsi" w:cstheme="minorHAnsi"/>
          <w:sz w:val="24"/>
          <w:szCs w:val="24"/>
        </w:rPr>
        <w:t xml:space="preserve"> and disclose things to police which in turn will aid the overall case. This can impact the chance of a victim becoming a repeat victim as they are more inclined to not only trust police but also be more willing to obtain support from other agencies. </w:t>
      </w:r>
    </w:p>
    <w:p w14:paraId="0B21B6E8" w14:textId="77777777" w:rsidR="008046BA" w:rsidRPr="008046BA" w:rsidRDefault="008046BA" w:rsidP="008046BA">
      <w:pPr>
        <w:spacing w:line="480" w:lineRule="auto"/>
        <w:rPr>
          <w:rFonts w:asciiTheme="minorHAnsi" w:hAnsiTheme="minorHAnsi" w:cstheme="minorHAnsi"/>
          <w:sz w:val="24"/>
          <w:szCs w:val="24"/>
        </w:rPr>
      </w:pPr>
    </w:p>
    <w:p w14:paraId="2772A7AB" w14:textId="42479129"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Another professional support service who </w:t>
      </w:r>
      <w:proofErr w:type="gramStart"/>
      <w:r w:rsidRPr="008046BA">
        <w:rPr>
          <w:rFonts w:asciiTheme="minorHAnsi" w:hAnsiTheme="minorHAnsi" w:cstheme="minorHAnsi"/>
          <w:sz w:val="24"/>
          <w:szCs w:val="24"/>
        </w:rPr>
        <w:t>aid</w:t>
      </w:r>
      <w:proofErr w:type="gramEnd"/>
      <w:r w:rsidRPr="008046BA">
        <w:rPr>
          <w:rFonts w:asciiTheme="minorHAnsi" w:hAnsiTheme="minorHAnsi" w:cstheme="minorHAnsi"/>
          <w:sz w:val="24"/>
          <w:szCs w:val="24"/>
        </w:rPr>
        <w:t xml:space="preserve"> vulnerable victims of domestic abuse are the organisation Welsh Women’s Aid. These are an independent charity not associated with the police service who aid and support not only victims of domestic abuse, but also family and friends of victims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inform people of effective support strategies. Women’s Aid advocate for safety within domestic abuse relationships </w:t>
      </w:r>
      <w:proofErr w:type="gramStart"/>
      <w:r w:rsidRPr="008046BA">
        <w:rPr>
          <w:rFonts w:asciiTheme="minorHAnsi" w:hAnsiTheme="minorHAnsi" w:cstheme="minorHAnsi"/>
          <w:sz w:val="24"/>
          <w:szCs w:val="24"/>
        </w:rPr>
        <w:t>and also</w:t>
      </w:r>
      <w:proofErr w:type="gramEnd"/>
      <w:r w:rsidRPr="008046BA">
        <w:rPr>
          <w:rFonts w:asciiTheme="minorHAnsi" w:hAnsiTheme="minorHAnsi" w:cstheme="minorHAnsi"/>
          <w:sz w:val="24"/>
          <w:szCs w:val="24"/>
        </w:rPr>
        <w:t xml:space="preserve"> provide 24/7 helpline support for victims to contact to get advice (Welsh Women’s Aid</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 2022). Most police officers advise all domestic abuse victims of Women’s Aid and the service in which they provide, this </w:t>
      </w:r>
      <w:r w:rsidRPr="008046BA">
        <w:rPr>
          <w:rFonts w:asciiTheme="minorHAnsi" w:hAnsiTheme="minorHAnsi" w:cstheme="minorHAnsi"/>
          <w:sz w:val="24"/>
          <w:szCs w:val="24"/>
        </w:rPr>
        <w:lastRenderedPageBreak/>
        <w:t xml:space="preserve">is a support service that I encouraged the victim in this case to get in touch with. Women’s Aid is one of the most popular partner </w:t>
      </w:r>
      <w:proofErr w:type="gramStart"/>
      <w:r w:rsidRPr="008046BA">
        <w:rPr>
          <w:rFonts w:asciiTheme="minorHAnsi" w:hAnsiTheme="minorHAnsi" w:cstheme="minorHAnsi"/>
          <w:sz w:val="24"/>
          <w:szCs w:val="24"/>
        </w:rPr>
        <w:t>agency</w:t>
      </w:r>
      <w:proofErr w:type="gramEnd"/>
      <w:r w:rsidRPr="008046BA">
        <w:rPr>
          <w:rFonts w:asciiTheme="minorHAnsi" w:hAnsiTheme="minorHAnsi" w:cstheme="minorHAnsi"/>
          <w:sz w:val="24"/>
          <w:szCs w:val="24"/>
        </w:rPr>
        <w:t xml:space="preserve"> that is available to victims, this is because it is completely separate to the police service, which often fills victims of domestic abuse with a lot more comfort. According to HMICFRS (2019) it is common for victims of domestic abuse to not support police action for </w:t>
      </w:r>
      <w:proofErr w:type="gramStart"/>
      <w:r w:rsidRPr="008046BA">
        <w:rPr>
          <w:rFonts w:asciiTheme="minorHAnsi" w:hAnsiTheme="minorHAnsi" w:cstheme="minorHAnsi"/>
          <w:sz w:val="24"/>
          <w:szCs w:val="24"/>
        </w:rPr>
        <w:t>a number of</w:t>
      </w:r>
      <w:proofErr w:type="gramEnd"/>
      <w:r w:rsidRPr="008046BA">
        <w:rPr>
          <w:rFonts w:asciiTheme="minorHAnsi" w:hAnsiTheme="minorHAnsi" w:cstheme="minorHAnsi"/>
          <w:sz w:val="24"/>
          <w:szCs w:val="24"/>
        </w:rPr>
        <w:t xml:space="preserve"> different reasons,</w:t>
      </w:r>
      <w:r w:rsidR="00FC3185">
        <w:rPr>
          <w:rFonts w:asciiTheme="minorHAnsi" w:hAnsiTheme="minorHAnsi" w:cstheme="minorHAnsi"/>
          <w:sz w:val="24"/>
          <w:szCs w:val="24"/>
        </w:rPr>
        <w:t xml:space="preserve"> for example they may not trust police or feel like they still love the perpetrator,</w:t>
      </w:r>
      <w:r w:rsidRPr="008046BA">
        <w:rPr>
          <w:rFonts w:asciiTheme="minorHAnsi" w:hAnsiTheme="minorHAnsi" w:cstheme="minorHAnsi"/>
          <w:sz w:val="24"/>
          <w:szCs w:val="24"/>
        </w:rPr>
        <w:t xml:space="preserve"> this emphasises the importance of third party intervention as they can assist vulnerable victims without them feeling the pressure of police involvement.  The approach of professional approaches like Women’s Aid is vital in supporting vulnerable people, however, it is only as effective as the victim allows it to be. In this case it worked out to be positive as the victim was accepting of the intervention. In other </w:t>
      </w:r>
      <w:proofErr w:type="gramStart"/>
      <w:r w:rsidRPr="008046BA">
        <w:rPr>
          <w:rFonts w:asciiTheme="minorHAnsi" w:hAnsiTheme="minorHAnsi" w:cstheme="minorHAnsi"/>
          <w:sz w:val="24"/>
          <w:szCs w:val="24"/>
        </w:rPr>
        <w:t>cases</w:t>
      </w:r>
      <w:proofErr w:type="gramEnd"/>
      <w:r w:rsidRPr="008046BA">
        <w:rPr>
          <w:rFonts w:asciiTheme="minorHAnsi" w:hAnsiTheme="minorHAnsi" w:cstheme="minorHAnsi"/>
          <w:sz w:val="24"/>
          <w:szCs w:val="24"/>
        </w:rPr>
        <w:t xml:space="preserve"> the victim at risk of harm may not be as willing to engage with any support agencies; this increases the likelihood of them being repeat victims and the perpetrator reoffending as the cycle of domestic violence will continue.</w:t>
      </w:r>
    </w:p>
    <w:p w14:paraId="7497063D" w14:textId="77777777" w:rsidR="008046BA" w:rsidRPr="008046BA" w:rsidRDefault="008046BA" w:rsidP="008046BA">
      <w:pPr>
        <w:spacing w:line="480" w:lineRule="auto"/>
        <w:rPr>
          <w:rFonts w:asciiTheme="minorHAnsi" w:hAnsiTheme="minorHAnsi" w:cstheme="minorHAnsi"/>
          <w:sz w:val="24"/>
          <w:szCs w:val="24"/>
        </w:rPr>
      </w:pPr>
    </w:p>
    <w:p w14:paraId="60D73810" w14:textId="4E98BBEB"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The next stage of Gibbs Reflective Cycle is the analysis stage, a fundamental part of reflection is making sense of the situation that has occurred (Hopkinson</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 2020). The reason why this incident turned out to be a positive one was due to the attitude of the victim who welcomed support and intervention. As stated by HMICFRS (2019) there is evidence to suggest that a rise in domestic violence statistics is due to victims feeling more confident to report it as they are supported by police. This shows how important it is for police to listen to the needs of a victim and be productive in offering them relevant support. Partnership working is an essential part of supporting and managing vulnerable people who are at risk of harm; it takes the initial attending police officers to encourage the victim to obtain support from outside agencies. This will have a knock on effect on tackling repeat victimisation as </w:t>
      </w:r>
      <w:r w:rsidRPr="008046BA">
        <w:rPr>
          <w:rFonts w:asciiTheme="minorHAnsi" w:hAnsiTheme="minorHAnsi" w:cstheme="minorHAnsi"/>
          <w:sz w:val="24"/>
          <w:szCs w:val="24"/>
        </w:rPr>
        <w:lastRenderedPageBreak/>
        <w:t xml:space="preserve">the victim will know what signs to look out for and are less likely to be in a domestic violence relationship in the future. Furthermore, according to HM Government (2022) an effective way to limit reoffending rates of domestic abuse is to be more robust with perpetrators; this includes the use of electronic tagging, behavioural change programmes and tougher sentences. This not only includes the use of custodial sentencing but also demonstrates how out of court disposals such as behaviour programmes and electronic tagging can be efficient deterrents.   </w:t>
      </w:r>
    </w:p>
    <w:p w14:paraId="3B8E98DA" w14:textId="77777777" w:rsidR="008046BA" w:rsidRPr="008046BA" w:rsidRDefault="008046BA" w:rsidP="008046BA">
      <w:pPr>
        <w:spacing w:line="480" w:lineRule="auto"/>
        <w:rPr>
          <w:rFonts w:asciiTheme="minorHAnsi" w:hAnsiTheme="minorHAnsi" w:cstheme="minorHAnsi"/>
          <w:sz w:val="24"/>
          <w:szCs w:val="24"/>
        </w:rPr>
      </w:pPr>
    </w:p>
    <w:p w14:paraId="688AB145" w14:textId="546E0109"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Moreover, another part of this incident which shone a positive light on policing approaches to supporting vulnerable victims is the initial response from me and my colleague. According to </w:t>
      </w:r>
      <w:proofErr w:type="spellStart"/>
      <w:r w:rsidRPr="008046BA">
        <w:rPr>
          <w:rFonts w:asciiTheme="minorHAnsi" w:hAnsiTheme="minorHAnsi" w:cstheme="minorHAnsi"/>
          <w:sz w:val="24"/>
          <w:szCs w:val="24"/>
        </w:rPr>
        <w:t>Fulambarker</w:t>
      </w:r>
      <w:proofErr w:type="spellEnd"/>
      <w:r w:rsidRPr="008046BA">
        <w:rPr>
          <w:rFonts w:asciiTheme="minorHAnsi" w:hAnsiTheme="minorHAnsi" w:cstheme="minorHAnsi"/>
          <w:sz w:val="24"/>
          <w:szCs w:val="24"/>
        </w:rPr>
        <w:t xml:space="preserve"> (2020), a police officers’ response to domestic violence incidents correlates with their perception of domestic violence. There is evidence to suggest that some people officers experience role overload, where they become desensitised to attending calls which results in them giving less support and a below average service to victims. “The number of police recorded domestic abuse-related crimes in England and Wales increased by 7.7% compared with the previous year” (Office for National Statistics</w:t>
      </w:r>
      <w:r w:rsidR="00890D32">
        <w:rPr>
          <w:rFonts w:asciiTheme="minorHAnsi" w:hAnsiTheme="minorHAnsi" w:cstheme="minorHAnsi"/>
          <w:sz w:val="24"/>
          <w:szCs w:val="24"/>
        </w:rPr>
        <w:t>,</w:t>
      </w:r>
      <w:r w:rsidRPr="008046BA">
        <w:rPr>
          <w:rFonts w:asciiTheme="minorHAnsi" w:hAnsiTheme="minorHAnsi" w:cstheme="minorHAnsi"/>
          <w:sz w:val="24"/>
          <w:szCs w:val="24"/>
        </w:rPr>
        <w:t xml:space="preserve"> 2022). This supports the finding that some police officers who are experiencing an increase in domestic related calls are becoming disinterested in supporting the victims efficiently. </w:t>
      </w:r>
    </w:p>
    <w:p w14:paraId="2BBF883F" w14:textId="77777777" w:rsidR="008046BA" w:rsidRPr="008046BA" w:rsidRDefault="008046BA" w:rsidP="008046BA">
      <w:pPr>
        <w:spacing w:line="480" w:lineRule="auto"/>
        <w:rPr>
          <w:rFonts w:asciiTheme="minorHAnsi" w:hAnsiTheme="minorHAnsi" w:cstheme="minorHAnsi"/>
          <w:sz w:val="24"/>
          <w:szCs w:val="24"/>
        </w:rPr>
      </w:pPr>
    </w:p>
    <w:p w14:paraId="6DDAAD1B" w14:textId="7ADA5F4D"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In conclusion, I have learnt that the initial police constable’s response and behaviour at a domestic incident is imperative in paving the way for future third party support referrals. If the police officer can gain support from the victim, they are more likely to be receptive to accepting help from partner agencies in the long term. This in turn can limit the chance of the victim becoming a repeat victim as they can break the cycle of being involved in a </w:t>
      </w:r>
      <w:r w:rsidRPr="008046BA">
        <w:rPr>
          <w:rFonts w:asciiTheme="minorHAnsi" w:hAnsiTheme="minorHAnsi" w:cstheme="minorHAnsi"/>
          <w:sz w:val="24"/>
          <w:szCs w:val="24"/>
        </w:rPr>
        <w:lastRenderedPageBreak/>
        <w:t>domestic violence relationship. Furthermore, I have learnt the importance of also supporting the offender if they are vulnerable and at risk of harm like in this case. There are five mental health officers working within the Public Protection Department of South Wales Police who I referred the male to (Cardiff and Vale Action for Mental Health</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2021). </w:t>
      </w:r>
    </w:p>
    <w:p w14:paraId="792FC4F0" w14:textId="77777777" w:rsidR="008046BA" w:rsidRPr="008046BA" w:rsidRDefault="008046BA" w:rsidP="008046BA">
      <w:pPr>
        <w:spacing w:line="480" w:lineRule="auto"/>
        <w:rPr>
          <w:rFonts w:asciiTheme="minorHAnsi" w:hAnsiTheme="minorHAnsi" w:cstheme="minorHAnsi"/>
          <w:sz w:val="24"/>
          <w:szCs w:val="24"/>
        </w:rPr>
      </w:pPr>
    </w:p>
    <w:p w14:paraId="16F88524" w14:textId="2686FB1E" w:rsidR="00FC3185"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The final part of Gibbs Reflective Cycle is to consider an action plan for a future incident of a similar nature (Hopkinson</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2020). I would deal with a future situation in a similar way as I feel like it was a positive experience, however, I believe the success was due to the victim being on board with obtaining support from services. I would try and get support referrals in place as soon as possible in the future to ensure the victim does not change their mind. According to Ford et al (2019) police services are monitored to check on how they protect and support vulnerable people; therefore, I would ensure that I conduct </w:t>
      </w:r>
      <w:proofErr w:type="gramStart"/>
      <w:r w:rsidRPr="008046BA">
        <w:rPr>
          <w:rFonts w:asciiTheme="minorHAnsi" w:hAnsiTheme="minorHAnsi" w:cstheme="minorHAnsi"/>
          <w:sz w:val="24"/>
          <w:szCs w:val="24"/>
        </w:rPr>
        <w:t>all of</w:t>
      </w:r>
      <w:proofErr w:type="gramEnd"/>
      <w:r w:rsidRPr="008046BA">
        <w:rPr>
          <w:rFonts w:asciiTheme="minorHAnsi" w:hAnsiTheme="minorHAnsi" w:cstheme="minorHAnsi"/>
          <w:sz w:val="24"/>
          <w:szCs w:val="24"/>
        </w:rPr>
        <w:t xml:space="preserve"> the appropriate referrals to support victims of domestic violence</w:t>
      </w:r>
      <w:r w:rsidR="00FC3185">
        <w:rPr>
          <w:rFonts w:asciiTheme="minorHAnsi" w:hAnsiTheme="minorHAnsi" w:cstheme="minorHAnsi"/>
          <w:sz w:val="24"/>
          <w:szCs w:val="24"/>
        </w:rPr>
        <w:t>.</w:t>
      </w:r>
    </w:p>
    <w:p w14:paraId="62EBCC56" w14:textId="77777777" w:rsidR="00FC3185" w:rsidRDefault="00FC3185" w:rsidP="008046BA">
      <w:pPr>
        <w:spacing w:line="480" w:lineRule="auto"/>
        <w:rPr>
          <w:rFonts w:asciiTheme="minorHAnsi" w:hAnsiTheme="minorHAnsi" w:cstheme="minorHAnsi"/>
          <w:sz w:val="24"/>
          <w:szCs w:val="24"/>
        </w:rPr>
      </w:pPr>
    </w:p>
    <w:p w14:paraId="52FB0921" w14:textId="63190F6D" w:rsidR="69F7424F" w:rsidRPr="008046BA" w:rsidRDefault="00FC3185" w:rsidP="008046BA">
      <w:pPr>
        <w:spacing w:line="480" w:lineRule="auto"/>
        <w:rPr>
          <w:rFonts w:asciiTheme="minorHAnsi" w:hAnsiTheme="minorHAnsi" w:cstheme="minorHAnsi"/>
          <w:sz w:val="24"/>
          <w:szCs w:val="24"/>
        </w:rPr>
      </w:pPr>
      <w:r>
        <w:rPr>
          <w:rFonts w:asciiTheme="minorHAnsi" w:hAnsiTheme="minorHAnsi" w:cstheme="minorHAnsi"/>
          <w:sz w:val="24"/>
          <w:szCs w:val="24"/>
        </w:rPr>
        <w:t>Word count: 2,318</w:t>
      </w:r>
      <w:r w:rsidR="00A221AB" w:rsidRPr="5CE196A1">
        <w:rPr>
          <w:b/>
          <w:bCs/>
          <w:sz w:val="24"/>
          <w:szCs w:val="24"/>
        </w:rPr>
        <w:br w:type="page"/>
      </w: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732D590" w14:textId="435F419F" w:rsidR="00025650" w:rsidRDefault="00025650" w:rsidP="0FF883D4">
      <w:pPr>
        <w:ind w:right="237"/>
        <w:jc w:val="both"/>
        <w:rPr>
          <w:color w:val="000000" w:themeColor="text1"/>
          <w:sz w:val="24"/>
          <w:szCs w:val="24"/>
        </w:rPr>
      </w:pPr>
    </w:p>
    <w:p w14:paraId="592011BE" w14:textId="77777777" w:rsidR="008046BA" w:rsidRDefault="008046BA" w:rsidP="0FF883D4">
      <w:pPr>
        <w:ind w:right="237"/>
        <w:jc w:val="both"/>
        <w:rPr>
          <w:color w:val="000000" w:themeColor="text1"/>
          <w:sz w:val="24"/>
          <w:szCs w:val="24"/>
        </w:rPr>
      </w:pPr>
    </w:p>
    <w:p w14:paraId="753EA31A" w14:textId="77777777" w:rsidR="008046BA" w:rsidRDefault="008046BA" w:rsidP="0FF883D4">
      <w:pPr>
        <w:ind w:right="237"/>
        <w:jc w:val="both"/>
        <w:rPr>
          <w:color w:val="000000" w:themeColor="text1"/>
          <w:sz w:val="24"/>
          <w:szCs w:val="24"/>
        </w:rPr>
      </w:pPr>
    </w:p>
    <w:p w14:paraId="5D304E03" w14:textId="77777777" w:rsidR="008046BA" w:rsidRDefault="008046BA" w:rsidP="0FF883D4">
      <w:pPr>
        <w:ind w:right="237"/>
        <w:jc w:val="both"/>
        <w:rPr>
          <w:color w:val="000000" w:themeColor="text1"/>
          <w:sz w:val="24"/>
          <w:szCs w:val="24"/>
        </w:rPr>
      </w:pPr>
    </w:p>
    <w:p w14:paraId="73B59DBE" w14:textId="77777777" w:rsidR="008046BA" w:rsidRDefault="008046BA" w:rsidP="0FF883D4">
      <w:pPr>
        <w:ind w:right="237"/>
        <w:jc w:val="both"/>
        <w:rPr>
          <w:color w:val="000000" w:themeColor="text1"/>
          <w:sz w:val="24"/>
          <w:szCs w:val="24"/>
        </w:rPr>
      </w:pPr>
    </w:p>
    <w:p w14:paraId="337DF2BB" w14:textId="77777777" w:rsidR="008046BA" w:rsidRDefault="008046BA" w:rsidP="0FF883D4">
      <w:pPr>
        <w:ind w:right="237"/>
        <w:jc w:val="both"/>
        <w:rPr>
          <w:color w:val="000000" w:themeColor="text1"/>
          <w:sz w:val="24"/>
          <w:szCs w:val="24"/>
        </w:rPr>
      </w:pPr>
    </w:p>
    <w:p w14:paraId="0076F072" w14:textId="77777777" w:rsidR="008046BA" w:rsidRDefault="008046BA" w:rsidP="0FF883D4">
      <w:pPr>
        <w:ind w:right="237"/>
        <w:jc w:val="both"/>
        <w:rPr>
          <w:color w:val="000000" w:themeColor="text1"/>
          <w:sz w:val="24"/>
          <w:szCs w:val="24"/>
        </w:rPr>
      </w:pPr>
    </w:p>
    <w:p w14:paraId="1A496DC5" w14:textId="77777777" w:rsidR="008046BA" w:rsidRDefault="008046BA" w:rsidP="0FF883D4">
      <w:pPr>
        <w:ind w:right="237"/>
        <w:jc w:val="both"/>
        <w:rPr>
          <w:color w:val="000000" w:themeColor="text1"/>
          <w:sz w:val="24"/>
          <w:szCs w:val="24"/>
        </w:rPr>
      </w:pPr>
    </w:p>
    <w:p w14:paraId="6E2251D1" w14:textId="77777777" w:rsidR="008046BA" w:rsidRDefault="008046BA" w:rsidP="0FF883D4">
      <w:pPr>
        <w:ind w:right="237"/>
        <w:jc w:val="both"/>
        <w:rPr>
          <w:color w:val="000000" w:themeColor="text1"/>
          <w:sz w:val="24"/>
          <w:szCs w:val="24"/>
        </w:rPr>
      </w:pPr>
    </w:p>
    <w:p w14:paraId="47BAD8EA" w14:textId="77777777" w:rsidR="008046BA" w:rsidRDefault="008046BA" w:rsidP="0FF883D4">
      <w:pPr>
        <w:ind w:right="237"/>
        <w:jc w:val="both"/>
        <w:rPr>
          <w:color w:val="000000" w:themeColor="text1"/>
          <w:sz w:val="24"/>
          <w:szCs w:val="24"/>
        </w:rPr>
      </w:pPr>
    </w:p>
    <w:p w14:paraId="029F9A77" w14:textId="77777777" w:rsidR="008046BA" w:rsidRDefault="008046BA" w:rsidP="0FF883D4">
      <w:pPr>
        <w:ind w:right="237"/>
        <w:jc w:val="both"/>
        <w:rPr>
          <w:color w:val="000000" w:themeColor="text1"/>
          <w:sz w:val="24"/>
          <w:szCs w:val="24"/>
        </w:rPr>
      </w:pPr>
    </w:p>
    <w:p w14:paraId="48EF923A" w14:textId="77777777" w:rsidR="008046BA" w:rsidRDefault="008046BA" w:rsidP="0FF883D4">
      <w:pPr>
        <w:ind w:right="237"/>
        <w:jc w:val="both"/>
        <w:rPr>
          <w:color w:val="000000" w:themeColor="text1"/>
          <w:sz w:val="24"/>
          <w:szCs w:val="24"/>
        </w:rPr>
      </w:pPr>
    </w:p>
    <w:p w14:paraId="371D2C67" w14:textId="77777777" w:rsidR="008046BA" w:rsidRDefault="008046BA" w:rsidP="0FF883D4">
      <w:pPr>
        <w:ind w:right="237"/>
        <w:jc w:val="both"/>
        <w:rPr>
          <w:color w:val="000000" w:themeColor="text1"/>
          <w:sz w:val="24"/>
          <w:szCs w:val="24"/>
        </w:rPr>
      </w:pPr>
    </w:p>
    <w:p w14:paraId="47666B60" w14:textId="77777777" w:rsidR="008046BA" w:rsidRDefault="008046BA" w:rsidP="0FF883D4">
      <w:pPr>
        <w:ind w:right="237"/>
        <w:jc w:val="both"/>
        <w:rPr>
          <w:color w:val="000000" w:themeColor="text1"/>
          <w:sz w:val="24"/>
          <w:szCs w:val="24"/>
        </w:rPr>
      </w:pPr>
    </w:p>
    <w:p w14:paraId="033DEC0D" w14:textId="77777777" w:rsidR="008046BA" w:rsidRDefault="008046BA" w:rsidP="0FF883D4">
      <w:pPr>
        <w:ind w:right="237"/>
        <w:jc w:val="both"/>
        <w:rPr>
          <w:color w:val="000000" w:themeColor="text1"/>
          <w:sz w:val="24"/>
          <w:szCs w:val="24"/>
        </w:rPr>
      </w:pPr>
    </w:p>
    <w:p w14:paraId="6FF3F215" w14:textId="77777777" w:rsidR="008046BA" w:rsidRDefault="008046BA" w:rsidP="0FF883D4">
      <w:pPr>
        <w:ind w:right="237"/>
        <w:jc w:val="both"/>
        <w:rPr>
          <w:color w:val="000000" w:themeColor="text1"/>
          <w:sz w:val="24"/>
          <w:szCs w:val="24"/>
        </w:rPr>
      </w:pPr>
    </w:p>
    <w:p w14:paraId="623441B6" w14:textId="77777777" w:rsidR="008046BA" w:rsidRDefault="008046BA" w:rsidP="0FF883D4">
      <w:pPr>
        <w:ind w:right="237"/>
        <w:jc w:val="both"/>
        <w:rPr>
          <w:color w:val="000000" w:themeColor="text1"/>
          <w:sz w:val="24"/>
          <w:szCs w:val="24"/>
        </w:rPr>
      </w:pPr>
    </w:p>
    <w:p w14:paraId="1FE0A0F3" w14:textId="77777777" w:rsidR="008046BA" w:rsidRDefault="008046BA" w:rsidP="0FF883D4">
      <w:pPr>
        <w:ind w:right="237"/>
        <w:jc w:val="both"/>
        <w:rPr>
          <w:color w:val="000000" w:themeColor="text1"/>
          <w:sz w:val="24"/>
          <w:szCs w:val="24"/>
        </w:rPr>
      </w:pPr>
    </w:p>
    <w:p w14:paraId="03E9A57F" w14:textId="77777777" w:rsidR="008046BA" w:rsidRDefault="008046BA" w:rsidP="0FF883D4">
      <w:pPr>
        <w:ind w:right="237"/>
        <w:jc w:val="both"/>
        <w:rPr>
          <w:color w:val="000000" w:themeColor="text1"/>
          <w:sz w:val="24"/>
          <w:szCs w:val="24"/>
        </w:rPr>
      </w:pPr>
    </w:p>
    <w:p w14:paraId="57325A65" w14:textId="77777777" w:rsidR="008046BA" w:rsidRDefault="008046BA" w:rsidP="0FF883D4">
      <w:pPr>
        <w:ind w:right="237"/>
        <w:jc w:val="both"/>
        <w:rPr>
          <w:color w:val="000000" w:themeColor="text1"/>
          <w:sz w:val="24"/>
          <w:szCs w:val="24"/>
        </w:rPr>
      </w:pPr>
    </w:p>
    <w:p w14:paraId="68CA79BE" w14:textId="77777777" w:rsidR="008046BA" w:rsidRDefault="008046BA" w:rsidP="0FF883D4">
      <w:pPr>
        <w:ind w:right="237"/>
        <w:jc w:val="both"/>
        <w:rPr>
          <w:color w:val="000000" w:themeColor="text1"/>
          <w:sz w:val="24"/>
          <w:szCs w:val="24"/>
        </w:rPr>
      </w:pPr>
    </w:p>
    <w:p w14:paraId="28878E78" w14:textId="77777777" w:rsidR="008046BA" w:rsidRDefault="008046BA" w:rsidP="0FF883D4">
      <w:pPr>
        <w:ind w:right="237"/>
        <w:jc w:val="both"/>
        <w:rPr>
          <w:color w:val="000000" w:themeColor="text1"/>
          <w:sz w:val="24"/>
          <w:szCs w:val="24"/>
        </w:rPr>
      </w:pPr>
    </w:p>
    <w:p w14:paraId="616710AB" w14:textId="77777777" w:rsidR="008046BA" w:rsidRDefault="008046BA" w:rsidP="0FF883D4">
      <w:pPr>
        <w:ind w:right="237"/>
        <w:jc w:val="both"/>
        <w:rPr>
          <w:color w:val="000000" w:themeColor="text1"/>
          <w:sz w:val="24"/>
          <w:szCs w:val="24"/>
        </w:rPr>
      </w:pPr>
    </w:p>
    <w:p w14:paraId="2F2DB06B" w14:textId="77777777" w:rsidR="008046BA" w:rsidRDefault="008046BA" w:rsidP="0FF883D4">
      <w:pPr>
        <w:ind w:right="237"/>
        <w:jc w:val="both"/>
        <w:rPr>
          <w:color w:val="000000" w:themeColor="text1"/>
          <w:sz w:val="24"/>
          <w:szCs w:val="24"/>
        </w:rPr>
      </w:pPr>
    </w:p>
    <w:p w14:paraId="53E4A315" w14:textId="77777777" w:rsidR="008046BA" w:rsidRDefault="008046BA" w:rsidP="0FF883D4">
      <w:pPr>
        <w:ind w:right="237"/>
        <w:jc w:val="both"/>
        <w:rPr>
          <w:color w:val="000000" w:themeColor="text1"/>
          <w:sz w:val="24"/>
          <w:szCs w:val="24"/>
        </w:rPr>
      </w:pPr>
    </w:p>
    <w:p w14:paraId="17FF6721" w14:textId="77777777" w:rsidR="008046BA" w:rsidRDefault="008046BA" w:rsidP="0FF883D4">
      <w:pPr>
        <w:ind w:right="237"/>
        <w:jc w:val="both"/>
        <w:rPr>
          <w:color w:val="000000" w:themeColor="text1"/>
          <w:sz w:val="24"/>
          <w:szCs w:val="24"/>
        </w:rPr>
      </w:pPr>
    </w:p>
    <w:p w14:paraId="51C3126F" w14:textId="77777777" w:rsidR="008046BA" w:rsidRDefault="008046BA" w:rsidP="0FF883D4">
      <w:pPr>
        <w:ind w:right="237"/>
        <w:jc w:val="both"/>
        <w:rPr>
          <w:color w:val="000000" w:themeColor="text1"/>
          <w:sz w:val="24"/>
          <w:szCs w:val="24"/>
        </w:rPr>
      </w:pPr>
    </w:p>
    <w:p w14:paraId="77E3DF1A" w14:textId="77777777" w:rsidR="008046BA" w:rsidRDefault="008046BA" w:rsidP="0FF883D4">
      <w:pPr>
        <w:ind w:right="237"/>
        <w:jc w:val="both"/>
        <w:rPr>
          <w:color w:val="000000" w:themeColor="text1"/>
          <w:sz w:val="24"/>
          <w:szCs w:val="24"/>
        </w:rPr>
      </w:pPr>
    </w:p>
    <w:p w14:paraId="2F5E4ADD" w14:textId="77777777" w:rsidR="008046BA" w:rsidRDefault="008046BA" w:rsidP="0FF883D4">
      <w:pPr>
        <w:ind w:right="237"/>
        <w:jc w:val="both"/>
        <w:rPr>
          <w:color w:val="000000" w:themeColor="text1"/>
          <w:sz w:val="24"/>
          <w:szCs w:val="24"/>
        </w:rPr>
      </w:pPr>
    </w:p>
    <w:p w14:paraId="5208063E" w14:textId="77777777" w:rsidR="008046BA" w:rsidRDefault="008046BA" w:rsidP="0FF883D4">
      <w:pPr>
        <w:ind w:right="237"/>
        <w:jc w:val="both"/>
        <w:rPr>
          <w:color w:val="000000" w:themeColor="text1"/>
          <w:sz w:val="24"/>
          <w:szCs w:val="24"/>
        </w:rPr>
      </w:pPr>
    </w:p>
    <w:p w14:paraId="0CEA6C6C" w14:textId="77777777" w:rsidR="008046BA" w:rsidRDefault="008046BA" w:rsidP="0FF883D4">
      <w:pPr>
        <w:ind w:right="237"/>
        <w:jc w:val="both"/>
        <w:rPr>
          <w:color w:val="000000" w:themeColor="text1"/>
          <w:sz w:val="24"/>
          <w:szCs w:val="24"/>
        </w:rPr>
      </w:pPr>
    </w:p>
    <w:p w14:paraId="092DB016" w14:textId="77777777" w:rsidR="008046BA" w:rsidRDefault="008046BA" w:rsidP="0FF883D4">
      <w:pPr>
        <w:ind w:right="237"/>
        <w:jc w:val="both"/>
        <w:rPr>
          <w:color w:val="000000" w:themeColor="text1"/>
          <w:sz w:val="24"/>
          <w:szCs w:val="24"/>
        </w:rPr>
      </w:pPr>
    </w:p>
    <w:p w14:paraId="0D4D3AA7" w14:textId="77777777" w:rsidR="008046BA" w:rsidRDefault="008046BA" w:rsidP="0FF883D4">
      <w:pPr>
        <w:ind w:right="237"/>
        <w:jc w:val="both"/>
        <w:rPr>
          <w:color w:val="000000" w:themeColor="text1"/>
          <w:sz w:val="24"/>
          <w:szCs w:val="24"/>
        </w:rPr>
      </w:pPr>
    </w:p>
    <w:p w14:paraId="4C47BF94" w14:textId="77777777" w:rsidR="008046BA" w:rsidRDefault="008046BA" w:rsidP="0FF883D4">
      <w:pPr>
        <w:ind w:right="237"/>
        <w:jc w:val="both"/>
        <w:rPr>
          <w:color w:val="000000" w:themeColor="text1"/>
          <w:sz w:val="24"/>
          <w:szCs w:val="24"/>
        </w:rPr>
      </w:pPr>
    </w:p>
    <w:p w14:paraId="09507630" w14:textId="77777777" w:rsidR="008046BA" w:rsidRDefault="008046BA" w:rsidP="0FF883D4">
      <w:pPr>
        <w:ind w:right="237"/>
        <w:jc w:val="both"/>
        <w:rPr>
          <w:color w:val="000000" w:themeColor="text1"/>
          <w:sz w:val="24"/>
          <w:szCs w:val="24"/>
        </w:rPr>
      </w:pPr>
    </w:p>
    <w:p w14:paraId="27D9CDAE" w14:textId="77777777" w:rsidR="008046BA" w:rsidRDefault="008046BA" w:rsidP="0FF883D4">
      <w:pPr>
        <w:ind w:right="237"/>
        <w:jc w:val="both"/>
        <w:rPr>
          <w:color w:val="000000" w:themeColor="text1"/>
          <w:sz w:val="24"/>
          <w:szCs w:val="24"/>
        </w:rPr>
      </w:pPr>
    </w:p>
    <w:p w14:paraId="4609F16F" w14:textId="77777777" w:rsidR="008046BA" w:rsidRDefault="008046BA" w:rsidP="0FF883D4">
      <w:pPr>
        <w:ind w:right="237"/>
        <w:jc w:val="both"/>
        <w:rPr>
          <w:color w:val="000000" w:themeColor="text1"/>
          <w:sz w:val="24"/>
          <w:szCs w:val="24"/>
        </w:rPr>
      </w:pPr>
    </w:p>
    <w:p w14:paraId="77993130" w14:textId="77777777" w:rsidR="008046BA" w:rsidRDefault="008046BA" w:rsidP="0FF883D4">
      <w:pPr>
        <w:ind w:right="237"/>
        <w:jc w:val="both"/>
        <w:rPr>
          <w:color w:val="000000" w:themeColor="text1"/>
          <w:sz w:val="24"/>
          <w:szCs w:val="24"/>
        </w:rPr>
      </w:pPr>
    </w:p>
    <w:p w14:paraId="7E474191" w14:textId="77777777" w:rsidR="008046BA" w:rsidRDefault="008046BA" w:rsidP="0FF883D4">
      <w:pPr>
        <w:ind w:right="237"/>
        <w:jc w:val="both"/>
        <w:rPr>
          <w:color w:val="000000" w:themeColor="text1"/>
          <w:sz w:val="24"/>
          <w:szCs w:val="24"/>
        </w:rPr>
      </w:pPr>
    </w:p>
    <w:p w14:paraId="5C4EDBF7" w14:textId="77777777" w:rsidR="008046BA" w:rsidRPr="00E676F7" w:rsidRDefault="008046BA"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Default="3E63D7DA" w:rsidP="0FF883D4">
      <w:pPr>
        <w:ind w:right="237"/>
        <w:jc w:val="both"/>
        <w:rPr>
          <w:b/>
          <w:bCs/>
          <w:sz w:val="24"/>
          <w:szCs w:val="24"/>
        </w:rPr>
      </w:pPr>
      <w:r w:rsidRPr="5CE196A1">
        <w:rPr>
          <w:b/>
          <w:bCs/>
          <w:sz w:val="24"/>
          <w:szCs w:val="24"/>
        </w:rPr>
        <w:t xml:space="preserve">Answer: </w:t>
      </w:r>
    </w:p>
    <w:p w14:paraId="7E38DA12" w14:textId="77777777" w:rsidR="008046BA" w:rsidRPr="00E676F7" w:rsidRDefault="008046BA" w:rsidP="0FF883D4">
      <w:pPr>
        <w:ind w:right="237"/>
        <w:jc w:val="both"/>
        <w:rPr>
          <w:b/>
          <w:bCs/>
          <w:sz w:val="24"/>
          <w:szCs w:val="24"/>
        </w:rPr>
      </w:pPr>
    </w:p>
    <w:p w14:paraId="2329CB2A" w14:textId="2FE72E4C" w:rsidR="008046BA" w:rsidRPr="008046BA" w:rsidRDefault="008046BA" w:rsidP="00FC3185">
      <w:pPr>
        <w:spacing w:line="480" w:lineRule="auto"/>
        <w:rPr>
          <w:rFonts w:asciiTheme="minorHAnsi" w:hAnsiTheme="minorHAnsi" w:cstheme="minorHAnsi"/>
          <w:sz w:val="24"/>
          <w:szCs w:val="24"/>
        </w:rPr>
      </w:pPr>
      <w:r w:rsidRPr="008046BA">
        <w:rPr>
          <w:rFonts w:asciiTheme="minorHAnsi" w:hAnsiTheme="minorHAnsi" w:cstheme="minorHAnsi"/>
          <w:sz w:val="24"/>
          <w:szCs w:val="24"/>
        </w:rPr>
        <w:t>Community policing was introduced into British policing in 1829 when Robert Peel founded the Metropolitan Police; he established nine ‘policing principles’ which are still at the forefront of modern day policing (Stephens</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2022). One of the nine principles which encapsulates the true emphasis of community policing </w:t>
      </w:r>
      <w:r w:rsidR="00FC3185">
        <w:rPr>
          <w:rFonts w:asciiTheme="minorHAnsi" w:hAnsiTheme="minorHAnsi" w:cstheme="minorHAnsi"/>
          <w:sz w:val="24"/>
          <w:szCs w:val="24"/>
        </w:rPr>
        <w:t xml:space="preserve">states that the public are the </w:t>
      </w:r>
      <w:proofErr w:type="gramStart"/>
      <w:r w:rsidR="00FC3185">
        <w:rPr>
          <w:rFonts w:asciiTheme="minorHAnsi" w:hAnsiTheme="minorHAnsi" w:cstheme="minorHAnsi"/>
          <w:sz w:val="24"/>
          <w:szCs w:val="24"/>
        </w:rPr>
        <w:t>police</w:t>
      </w:r>
      <w:proofErr w:type="gramEnd"/>
      <w:r w:rsidR="00FC3185">
        <w:rPr>
          <w:rFonts w:asciiTheme="minorHAnsi" w:hAnsiTheme="minorHAnsi" w:cstheme="minorHAnsi"/>
          <w:sz w:val="24"/>
          <w:szCs w:val="24"/>
        </w:rPr>
        <w:t xml:space="preserve"> and the police are the public. This means that </w:t>
      </w:r>
      <w:proofErr w:type="gramStart"/>
      <w:r w:rsidR="00FC3185">
        <w:rPr>
          <w:rFonts w:asciiTheme="minorHAnsi" w:hAnsiTheme="minorHAnsi" w:cstheme="minorHAnsi"/>
          <w:sz w:val="24"/>
          <w:szCs w:val="24"/>
        </w:rPr>
        <w:t>in order to</w:t>
      </w:r>
      <w:proofErr w:type="gramEnd"/>
      <w:r w:rsidR="00FC3185">
        <w:rPr>
          <w:rFonts w:asciiTheme="minorHAnsi" w:hAnsiTheme="minorHAnsi" w:cstheme="minorHAnsi"/>
          <w:sz w:val="24"/>
          <w:szCs w:val="24"/>
        </w:rPr>
        <w:t xml:space="preserve"> maintain a relationship with the community, a partnership work between the police and public is important as they provide the police with vital information and can assist in crime detecting and reporting (H</w:t>
      </w:r>
      <w:r w:rsidRPr="008046BA">
        <w:rPr>
          <w:rFonts w:asciiTheme="minorHAnsi" w:hAnsiTheme="minorHAnsi" w:cstheme="minorHAnsi"/>
          <w:sz w:val="24"/>
          <w:szCs w:val="24"/>
        </w:rPr>
        <w:t>ome Office</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2012)</w:t>
      </w:r>
      <w:r w:rsidR="00FC3185">
        <w:rPr>
          <w:rFonts w:asciiTheme="minorHAnsi" w:hAnsiTheme="minorHAnsi" w:cstheme="minorHAnsi"/>
          <w:sz w:val="24"/>
          <w:szCs w:val="24"/>
        </w:rPr>
        <w:t>.</w:t>
      </w:r>
    </w:p>
    <w:p w14:paraId="1563C0BC" w14:textId="2D4068F9" w:rsid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lastRenderedPageBreak/>
        <w:t>Community policing is about involving the community to assist in detecting problems in the local area and using a strategy like</w:t>
      </w:r>
      <w:r w:rsidR="00FC3185">
        <w:rPr>
          <w:rFonts w:asciiTheme="minorHAnsi" w:hAnsiTheme="minorHAnsi" w:cstheme="minorHAnsi"/>
          <w:sz w:val="24"/>
          <w:szCs w:val="24"/>
        </w:rPr>
        <w:t xml:space="preserve"> </w:t>
      </w:r>
      <w:r w:rsidR="00FC3185" w:rsidRPr="008046BA">
        <w:rPr>
          <w:rFonts w:asciiTheme="minorHAnsi" w:hAnsiTheme="minorHAnsi" w:cstheme="minorHAnsi"/>
          <w:sz w:val="24"/>
          <w:szCs w:val="24"/>
        </w:rPr>
        <w:t>Problem Orientated Policing</w:t>
      </w:r>
      <w:r w:rsidRPr="008046BA">
        <w:rPr>
          <w:rFonts w:asciiTheme="minorHAnsi" w:hAnsiTheme="minorHAnsi" w:cstheme="minorHAnsi"/>
          <w:sz w:val="24"/>
          <w:szCs w:val="24"/>
        </w:rPr>
        <w:t xml:space="preserve"> </w:t>
      </w:r>
      <w:r w:rsidR="00FC3185">
        <w:rPr>
          <w:rFonts w:asciiTheme="minorHAnsi" w:hAnsiTheme="minorHAnsi" w:cstheme="minorHAnsi"/>
          <w:sz w:val="24"/>
          <w:szCs w:val="24"/>
        </w:rPr>
        <w:t>(</w:t>
      </w:r>
      <w:r w:rsidRPr="008046BA">
        <w:rPr>
          <w:rFonts w:asciiTheme="minorHAnsi" w:hAnsiTheme="minorHAnsi" w:cstheme="minorHAnsi"/>
          <w:sz w:val="24"/>
          <w:szCs w:val="24"/>
        </w:rPr>
        <w:t>POP</w:t>
      </w:r>
      <w:r w:rsidR="00FC3185">
        <w:rPr>
          <w:rFonts w:asciiTheme="minorHAnsi" w:hAnsiTheme="minorHAnsi" w:cstheme="minorHAnsi"/>
          <w:sz w:val="24"/>
          <w:szCs w:val="24"/>
        </w:rPr>
        <w:t>)</w:t>
      </w:r>
      <w:r w:rsidRPr="008046BA">
        <w:rPr>
          <w:rFonts w:asciiTheme="minorHAnsi" w:hAnsiTheme="minorHAnsi" w:cstheme="minorHAnsi"/>
          <w:sz w:val="24"/>
          <w:szCs w:val="24"/>
        </w:rPr>
        <w:t xml:space="preserve">, </w:t>
      </w:r>
      <w:r w:rsidR="00FC3185" w:rsidRPr="008046BA">
        <w:rPr>
          <w:rFonts w:asciiTheme="minorHAnsi" w:hAnsiTheme="minorHAnsi" w:cstheme="minorHAnsi"/>
          <w:sz w:val="24"/>
          <w:szCs w:val="24"/>
        </w:rPr>
        <w:t>Scanning, Analysis, Response, Assessment</w:t>
      </w:r>
      <w:r w:rsidR="00FC3185">
        <w:rPr>
          <w:rFonts w:asciiTheme="minorHAnsi" w:hAnsiTheme="minorHAnsi" w:cstheme="minorHAnsi"/>
          <w:sz w:val="24"/>
          <w:szCs w:val="24"/>
        </w:rPr>
        <w:t xml:space="preserve"> (SARA)</w:t>
      </w:r>
      <w:r w:rsidRPr="008046BA">
        <w:rPr>
          <w:rFonts w:asciiTheme="minorHAnsi" w:hAnsiTheme="minorHAnsi" w:cstheme="minorHAnsi"/>
          <w:sz w:val="24"/>
          <w:szCs w:val="24"/>
        </w:rPr>
        <w:t>, or even the use of social media to alleviate the issue (Weisburd et al</w:t>
      </w:r>
      <w:r w:rsidR="00FC3185">
        <w:rPr>
          <w:rFonts w:asciiTheme="minorHAnsi" w:hAnsiTheme="minorHAnsi" w:cstheme="minorHAnsi"/>
          <w:sz w:val="24"/>
          <w:szCs w:val="24"/>
        </w:rPr>
        <w:t>,</w:t>
      </w:r>
      <w:r w:rsidRPr="008046BA">
        <w:rPr>
          <w:rFonts w:asciiTheme="minorHAnsi" w:hAnsiTheme="minorHAnsi" w:cstheme="minorHAnsi"/>
          <w:sz w:val="24"/>
          <w:szCs w:val="24"/>
        </w:rPr>
        <w:t xml:space="preserve"> 2008). Throughout my career as a Police Constable so far, I have completed an attachment period of three months with the Neighbourhood Policing Team. This increased my knowledge of dealing with slower time incidents, building community relationships, as well as the importance of partnership working to solve problems in the local area. For this assignment I will be using Gibbs Reflective Cycle to reflect on an issue I assisted in solving whilst working with the Neighbourhood Team, I will include the interventions I considered using </w:t>
      </w:r>
      <w:proofErr w:type="gramStart"/>
      <w:r w:rsidRPr="008046BA">
        <w:rPr>
          <w:rFonts w:asciiTheme="minorHAnsi" w:hAnsiTheme="minorHAnsi" w:cstheme="minorHAnsi"/>
          <w:sz w:val="24"/>
          <w:szCs w:val="24"/>
        </w:rPr>
        <w:t>and also</w:t>
      </w:r>
      <w:proofErr w:type="gramEnd"/>
      <w:r w:rsidRPr="008046BA">
        <w:rPr>
          <w:rFonts w:asciiTheme="minorHAnsi" w:hAnsiTheme="minorHAnsi" w:cstheme="minorHAnsi"/>
          <w:sz w:val="24"/>
          <w:szCs w:val="24"/>
        </w:rPr>
        <w:t xml:space="preserve"> the ones that I adopted to resolve the problem and engage the community. </w:t>
      </w:r>
    </w:p>
    <w:p w14:paraId="18D07757" w14:textId="77777777" w:rsidR="00FC3185" w:rsidRPr="008046BA" w:rsidRDefault="00FC3185" w:rsidP="008046BA">
      <w:pPr>
        <w:spacing w:line="480" w:lineRule="auto"/>
        <w:rPr>
          <w:rFonts w:asciiTheme="minorHAnsi" w:hAnsiTheme="minorHAnsi" w:cstheme="minorHAnsi"/>
          <w:sz w:val="24"/>
          <w:szCs w:val="24"/>
        </w:rPr>
      </w:pPr>
    </w:p>
    <w:p w14:paraId="2EE5A1CC" w14:textId="52E7F865" w:rsid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According to Gibbs Reflective Cycle the first stage of reflective writing is to describe the issue and incident (University of Edinburgh</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2020). There was an ongoing problem in the local area with young people congregating in a park and being antisocial. The community continually reported the issues to police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get an accurate representation of how often it was happening, as well as to encourage police to take the matter seriously and tackle the problem. </w:t>
      </w:r>
      <w:r w:rsidR="00890D32">
        <w:rPr>
          <w:rFonts w:asciiTheme="minorHAnsi" w:hAnsiTheme="minorHAnsi" w:cstheme="minorHAnsi"/>
          <w:sz w:val="24"/>
          <w:szCs w:val="24"/>
        </w:rPr>
        <w:t xml:space="preserve">Due to the issue continuing over such a lengthy </w:t>
      </w:r>
      <w:proofErr w:type="gramStart"/>
      <w:r w:rsidR="00890D32">
        <w:rPr>
          <w:rFonts w:asciiTheme="minorHAnsi" w:hAnsiTheme="minorHAnsi" w:cstheme="minorHAnsi"/>
          <w:sz w:val="24"/>
          <w:szCs w:val="24"/>
        </w:rPr>
        <w:t>period of time</w:t>
      </w:r>
      <w:proofErr w:type="gramEnd"/>
      <w:r w:rsidR="00890D32">
        <w:rPr>
          <w:rFonts w:asciiTheme="minorHAnsi" w:hAnsiTheme="minorHAnsi" w:cstheme="minorHAnsi"/>
          <w:sz w:val="24"/>
          <w:szCs w:val="24"/>
        </w:rPr>
        <w:t xml:space="preserve"> without it decreasing, the public thought the police were not doing anything about it therefore it was imperative to gain them back on side to aid us in solving the problem. </w:t>
      </w:r>
      <w:r w:rsidRPr="008046BA">
        <w:rPr>
          <w:rFonts w:asciiTheme="minorHAnsi" w:hAnsiTheme="minorHAnsi" w:cstheme="minorHAnsi"/>
          <w:sz w:val="24"/>
          <w:szCs w:val="24"/>
        </w:rPr>
        <w:t xml:space="preserve">The antisocial behaviour that was occurring included the use of off road bikes to ride around the park, drug taking and consumption of alcohol, noise complaints and littering. This was occurring every evening and throughout the days on weekends; young children being in the park did not deter the young people which escalated the community tension within the area. I </w:t>
      </w:r>
      <w:r w:rsidRPr="008046BA">
        <w:rPr>
          <w:rFonts w:asciiTheme="minorHAnsi" w:hAnsiTheme="minorHAnsi" w:cstheme="minorHAnsi"/>
          <w:sz w:val="24"/>
          <w:szCs w:val="24"/>
        </w:rPr>
        <w:lastRenderedPageBreak/>
        <w:t xml:space="preserve">started working as part of the community team in the month of June, and at the beginning I was informed by other officers that there had been a total of 124 calls in the past month relating to this antisocial behaviour. This equated to roughly 4 calls every day about the problem and the situation only seemed to be escalating. </w:t>
      </w:r>
      <w:r w:rsidR="00890D32">
        <w:rPr>
          <w:rFonts w:asciiTheme="minorHAnsi" w:hAnsiTheme="minorHAnsi" w:cstheme="minorHAnsi"/>
          <w:sz w:val="24"/>
          <w:szCs w:val="24"/>
        </w:rPr>
        <w:t xml:space="preserve">This had a massive impact on the community as it was taking a lot of time for each person to report the problem to the police and resulted in tensions within the community due to their frustrations at the people responsible. </w:t>
      </w:r>
      <w:r w:rsidRPr="008046BA">
        <w:rPr>
          <w:rFonts w:asciiTheme="minorHAnsi" w:hAnsiTheme="minorHAnsi" w:cstheme="minorHAnsi"/>
          <w:sz w:val="24"/>
          <w:szCs w:val="24"/>
        </w:rPr>
        <w:t xml:space="preserve">Every time I was attending the calls at this park and trying to engage with the young people, they were very evasive and rude with myself and colleagues. Trying to build a rapport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develop the relationship between the police and the young people was the first plan that I considered adopting. I thought this would allow for better communication where I could explain the issue that they were causing in the area, as well as working with them to listen to their concerns and reasons as to why they were choosing this particular park to act antisocial in. </w:t>
      </w:r>
      <w:r w:rsidR="00890D32">
        <w:rPr>
          <w:rFonts w:asciiTheme="minorHAnsi" w:hAnsiTheme="minorHAnsi" w:cstheme="minorHAnsi"/>
          <w:sz w:val="24"/>
          <w:szCs w:val="24"/>
        </w:rPr>
        <w:t>A</w:t>
      </w:r>
      <w:r w:rsidRPr="008046BA">
        <w:rPr>
          <w:rFonts w:asciiTheme="minorHAnsi" w:hAnsiTheme="minorHAnsi" w:cstheme="minorHAnsi"/>
          <w:sz w:val="24"/>
          <w:szCs w:val="24"/>
        </w:rPr>
        <w:t xml:space="preserve">ccording to the National Policing Improvement Agency (2017) community cohesion is a vital part of any community; it is where different people within communities get along well and integration within the community is of a high level. Having high levels of antisocial behaviour in a </w:t>
      </w:r>
      <w:proofErr w:type="gramStart"/>
      <w:r w:rsidRPr="008046BA">
        <w:rPr>
          <w:rFonts w:asciiTheme="minorHAnsi" w:hAnsiTheme="minorHAnsi" w:cstheme="minorHAnsi"/>
          <w:sz w:val="24"/>
          <w:szCs w:val="24"/>
        </w:rPr>
        <w:t>location results</w:t>
      </w:r>
      <w:proofErr w:type="gramEnd"/>
      <w:r w:rsidRPr="008046BA">
        <w:rPr>
          <w:rFonts w:asciiTheme="minorHAnsi" w:hAnsiTheme="minorHAnsi" w:cstheme="minorHAnsi"/>
          <w:sz w:val="24"/>
          <w:szCs w:val="24"/>
        </w:rPr>
        <w:t xml:space="preserve"> in low levels of community cohesion due to stress and differences between the public</w:t>
      </w:r>
      <w:r w:rsidR="00890D32">
        <w:rPr>
          <w:rFonts w:asciiTheme="minorHAnsi" w:hAnsiTheme="minorHAnsi" w:cstheme="minorHAnsi"/>
          <w:sz w:val="24"/>
          <w:szCs w:val="24"/>
        </w:rPr>
        <w:t xml:space="preserve"> this could create a breakdown in the community and cause members of the community to argue with one another, as a result potentially increasing the amount of reports to police relating to neighbour issues and public order incidents. </w:t>
      </w:r>
    </w:p>
    <w:p w14:paraId="31B411D2" w14:textId="77777777" w:rsidR="00890D32" w:rsidRPr="008046BA" w:rsidRDefault="00890D32" w:rsidP="008046BA">
      <w:pPr>
        <w:spacing w:line="480" w:lineRule="auto"/>
        <w:rPr>
          <w:rFonts w:asciiTheme="minorHAnsi" w:hAnsiTheme="minorHAnsi" w:cstheme="minorHAnsi"/>
          <w:sz w:val="24"/>
          <w:szCs w:val="24"/>
        </w:rPr>
      </w:pPr>
    </w:p>
    <w:p w14:paraId="3A7CDD1C" w14:textId="77777777" w:rsid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Furthermore, how I felt throughout this experience is the next stage of Gibbs Reflective Cycle. At the beginning of my attachment with the Neighbourhood Policing Team I felt apprehensive about how to tackle this issue as it had been going on for around 4 months. It </w:t>
      </w:r>
      <w:r w:rsidRPr="008046BA">
        <w:rPr>
          <w:rFonts w:asciiTheme="minorHAnsi" w:hAnsiTheme="minorHAnsi" w:cstheme="minorHAnsi"/>
          <w:sz w:val="24"/>
          <w:szCs w:val="24"/>
        </w:rPr>
        <w:lastRenderedPageBreak/>
        <w:t xml:space="preserve">was escalating </w:t>
      </w:r>
      <w:proofErr w:type="gramStart"/>
      <w:r w:rsidRPr="008046BA">
        <w:rPr>
          <w:rFonts w:asciiTheme="minorHAnsi" w:hAnsiTheme="minorHAnsi" w:cstheme="minorHAnsi"/>
          <w:sz w:val="24"/>
          <w:szCs w:val="24"/>
        </w:rPr>
        <w:t>weekly</w:t>
      </w:r>
      <w:proofErr w:type="gramEnd"/>
      <w:r w:rsidRPr="008046BA">
        <w:rPr>
          <w:rFonts w:asciiTheme="minorHAnsi" w:hAnsiTheme="minorHAnsi" w:cstheme="minorHAnsi"/>
          <w:sz w:val="24"/>
          <w:szCs w:val="24"/>
        </w:rPr>
        <w:t xml:space="preserve"> and I felt quite out of my depth in coming up with a solution. I did have doubts that I would be able to improve the problem as other police officers had tried this already and it did not seem to be working.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gain confidence in my own ability to successfully alleviate the community issue, I had to consider what options were available to use as well as the positives and negatives of each option. Even though a lot of my initial thoughts and feelings about this incident were overall quite negative, this was due to being apprehensive about having to deal with a new side of policing, I found that I was very determined to tackle the issue for the local community. Looking back on the overall experience I now think it was a positive experience for my learning and development as it taught me a lot of skills of building relationships with the public and effective community policing styles.</w:t>
      </w:r>
    </w:p>
    <w:p w14:paraId="217D6F31" w14:textId="77777777" w:rsidR="00890D32" w:rsidRPr="008046BA" w:rsidRDefault="00890D32" w:rsidP="008046BA">
      <w:pPr>
        <w:spacing w:line="480" w:lineRule="auto"/>
        <w:rPr>
          <w:rFonts w:asciiTheme="minorHAnsi" w:hAnsiTheme="minorHAnsi" w:cstheme="minorHAnsi"/>
          <w:sz w:val="24"/>
          <w:szCs w:val="24"/>
        </w:rPr>
      </w:pPr>
    </w:p>
    <w:p w14:paraId="633B5861" w14:textId="28310BEA"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Moreover, evaluating the experience is a vital part of Gibbs Reflective Cycle as it allows you to consider the positives and negatives of the experience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develop in the future. Overall, the experience was positive as the issue has been mostly resolved due to the interventions I put in place. Utilising the community to aid police in tackling the issue was a vital aspect, one that has taught me the importance of working together with the community. Robert Peele once stated that “the police are the public and the public are the police” (Home Office</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2012). This supports the community policing style as it shows that there has always been a long standing important relationship between the community and police, and without that it was be increasingly difficult to conduct the job efficiently. Being able to work within the team of other community police officers to discuss what strategies might work and what ones would not work for the type of community that the issue was present within allowed the experience to be positive. The antisocial behaviour was </w:t>
      </w:r>
      <w:r w:rsidRPr="008046BA">
        <w:rPr>
          <w:rFonts w:asciiTheme="minorHAnsi" w:hAnsiTheme="minorHAnsi" w:cstheme="minorHAnsi"/>
          <w:sz w:val="24"/>
          <w:szCs w:val="24"/>
        </w:rPr>
        <w:lastRenderedPageBreak/>
        <w:t xml:space="preserve">occurring in a very deprived area where criminality levels were high, this meant that some strategies would not work as well as others due to the demographic. This was also a point that was bad about the experience for me, I was not used to working in a challenging area which had so much tension between the community and police. I found it difficult to get used to a different style of policing, and to consult with local people so much. </w:t>
      </w:r>
    </w:p>
    <w:p w14:paraId="76BA7FF0" w14:textId="77777777" w:rsidR="008046BA" w:rsidRPr="008046BA" w:rsidRDefault="008046BA" w:rsidP="008046BA">
      <w:pPr>
        <w:spacing w:line="480" w:lineRule="auto"/>
        <w:rPr>
          <w:rFonts w:asciiTheme="minorHAnsi" w:hAnsiTheme="minorHAnsi" w:cstheme="minorHAnsi"/>
          <w:sz w:val="24"/>
          <w:szCs w:val="24"/>
        </w:rPr>
      </w:pPr>
    </w:p>
    <w:p w14:paraId="6BCB204F" w14:textId="47FCDB17"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The next stage of Gibbs Reflective Cycle is to analyse the experience (University of Edinburgh</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2020). To do this I will talk about each intervention I employed to promote community engagement and whether it solved the issue or not. Firstly, I utilised the Problem Orientated Policing (POP) model alongside the SARA (scanning, analysis, </w:t>
      </w:r>
      <w:proofErr w:type="gramStart"/>
      <w:r w:rsidRPr="008046BA">
        <w:rPr>
          <w:rFonts w:asciiTheme="minorHAnsi" w:hAnsiTheme="minorHAnsi" w:cstheme="minorHAnsi"/>
          <w:sz w:val="24"/>
          <w:szCs w:val="24"/>
        </w:rPr>
        <w:t>response</w:t>
      </w:r>
      <w:proofErr w:type="gramEnd"/>
      <w:r w:rsidRPr="008046BA">
        <w:rPr>
          <w:rFonts w:asciiTheme="minorHAnsi" w:hAnsiTheme="minorHAnsi" w:cstheme="minorHAnsi"/>
          <w:sz w:val="24"/>
          <w:szCs w:val="24"/>
        </w:rPr>
        <w:t xml:space="preserve"> and assessment) model to fully understand the problem at hand. The POP model focuses on problem solving and the importance of understanding the problem, </w:t>
      </w:r>
      <w:proofErr w:type="gramStart"/>
      <w:r w:rsidRPr="008046BA">
        <w:rPr>
          <w:rFonts w:asciiTheme="minorHAnsi" w:hAnsiTheme="minorHAnsi" w:cstheme="minorHAnsi"/>
          <w:sz w:val="24"/>
          <w:szCs w:val="24"/>
        </w:rPr>
        <w:t>developing</w:t>
      </w:r>
      <w:proofErr w:type="gramEnd"/>
      <w:r w:rsidRPr="008046BA">
        <w:rPr>
          <w:rFonts w:asciiTheme="minorHAnsi" w:hAnsiTheme="minorHAnsi" w:cstheme="minorHAnsi"/>
          <w:sz w:val="24"/>
          <w:szCs w:val="24"/>
        </w:rPr>
        <w:t xml:space="preserve"> and tailoring a response to the problem and then assessing the effects of the response. I researched this style of policing before adopting the approach and there is evidence to suggest that using a POP method reduces the levels of general offending (College of Policing</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2017), which is why I decided to undertake this response. The SARA model starts with the scanning stage which includes identifying what the antisocial behaviour problem is. The analysis stage includes analysing reasons for the problem and gathering information and intelligence to discover what is causing the problem. The response part is the next step, this requires implementation of strategies to try and tackle the problem. Finally, the assessment stage involves measuring the impact of the solution and identifying if it has worked in combating the problem (College of Policing</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2017). The College of Policing (2021) stated that problem solving in local communities should: “enable police and partners to address long-term issues” </w:t>
      </w:r>
      <w:proofErr w:type="gramStart"/>
      <w:r w:rsidRPr="008046BA">
        <w:rPr>
          <w:rFonts w:asciiTheme="minorHAnsi" w:hAnsiTheme="minorHAnsi" w:cstheme="minorHAnsi"/>
          <w:sz w:val="24"/>
          <w:szCs w:val="24"/>
        </w:rPr>
        <w:t>and also</w:t>
      </w:r>
      <w:proofErr w:type="gramEnd"/>
      <w:r w:rsidRPr="008046BA">
        <w:rPr>
          <w:rFonts w:asciiTheme="minorHAnsi" w:hAnsiTheme="minorHAnsi" w:cstheme="minorHAnsi"/>
          <w:sz w:val="24"/>
          <w:szCs w:val="24"/>
        </w:rPr>
        <w:t xml:space="preserve"> should “reduce demand on the police service and partners”. I used these </w:t>
      </w:r>
      <w:r w:rsidRPr="008046BA">
        <w:rPr>
          <w:rFonts w:asciiTheme="minorHAnsi" w:hAnsiTheme="minorHAnsi" w:cstheme="minorHAnsi"/>
          <w:sz w:val="24"/>
          <w:szCs w:val="24"/>
        </w:rPr>
        <w:lastRenderedPageBreak/>
        <w:t>two models at the forefront of my problem solving approach as it allowed me to understand the cause of the problem and then use different interventions to try and resolve the issue.</w:t>
      </w:r>
    </w:p>
    <w:p w14:paraId="6AA355EE" w14:textId="77777777" w:rsidR="008046BA" w:rsidRPr="008046BA" w:rsidRDefault="008046BA" w:rsidP="008046BA">
      <w:pPr>
        <w:spacing w:line="480" w:lineRule="auto"/>
        <w:rPr>
          <w:rFonts w:asciiTheme="minorHAnsi" w:hAnsiTheme="minorHAnsi" w:cstheme="minorHAnsi"/>
          <w:sz w:val="24"/>
          <w:szCs w:val="24"/>
        </w:rPr>
      </w:pPr>
    </w:p>
    <w:p w14:paraId="17248692" w14:textId="4A6DCA09"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t xml:space="preserve">One intervention that I adopted was having a meeting with the local community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gain their opinions on the issue and to get as much information as possible. This meeting would also allow the community to discuss their thoughts with each other and to support one another in coping with the antisocial behaviour that was occurring. This method showed me the importance of promoting community engagement when trying to resolve the issue; there was a very good response from the local public wanting to assist police and help to think of ideas of how to solve the problem. However, one disadvantage to this option is that some of the local community did not turn up; this type of event tends to entice confident and open individuals as a pose to shy and quiet members of the community therefore it is not a balanced response being fed back to police (Adamson et al</w:t>
      </w:r>
      <w:r w:rsidR="00785CDE">
        <w:rPr>
          <w:rFonts w:asciiTheme="minorHAnsi" w:hAnsiTheme="minorHAnsi" w:cstheme="minorHAnsi"/>
          <w:sz w:val="24"/>
          <w:szCs w:val="24"/>
        </w:rPr>
        <w:t>,</w:t>
      </w:r>
      <w:r w:rsidRPr="008046BA">
        <w:rPr>
          <w:rFonts w:asciiTheme="minorHAnsi" w:hAnsiTheme="minorHAnsi" w:cstheme="minorHAnsi"/>
          <w:sz w:val="24"/>
          <w:szCs w:val="24"/>
        </w:rPr>
        <w:t xml:space="preserve"> 2013). This method was successful in the beginning stages of the issue as it allowed the community to inform police on the full effects the antisocial behaviour was having on their lives as they were the people who were experiencing it every day. This intervention was not going to resolve the </w:t>
      </w:r>
      <w:proofErr w:type="gramStart"/>
      <w:r w:rsidRPr="008046BA">
        <w:rPr>
          <w:rFonts w:asciiTheme="minorHAnsi" w:hAnsiTheme="minorHAnsi" w:cstheme="minorHAnsi"/>
          <w:sz w:val="24"/>
          <w:szCs w:val="24"/>
        </w:rPr>
        <w:t>issue</w:t>
      </w:r>
      <w:proofErr w:type="gramEnd"/>
      <w:r w:rsidRPr="008046BA">
        <w:rPr>
          <w:rFonts w:asciiTheme="minorHAnsi" w:hAnsiTheme="minorHAnsi" w:cstheme="minorHAnsi"/>
          <w:sz w:val="24"/>
          <w:szCs w:val="24"/>
        </w:rPr>
        <w:t xml:space="preserve"> but it did provide a good basis for understanding the community and the problem at hand. According to BMG (2018) who researched into public perceptions of police in England and Wales, 42% of people included in the research believed that police were dealing with antisocial behavioural issues whilst 19% believed that police were not doing enough to tackle antisocial behaviour. Looking at this statistic, it was important for me to include the local community </w:t>
      </w:r>
      <w:proofErr w:type="gramStart"/>
      <w:r w:rsidRPr="008046BA">
        <w:rPr>
          <w:rFonts w:asciiTheme="minorHAnsi" w:hAnsiTheme="minorHAnsi" w:cstheme="minorHAnsi"/>
          <w:sz w:val="24"/>
          <w:szCs w:val="24"/>
        </w:rPr>
        <w:t>in order to</w:t>
      </w:r>
      <w:proofErr w:type="gramEnd"/>
      <w:r w:rsidRPr="008046BA">
        <w:rPr>
          <w:rFonts w:asciiTheme="minorHAnsi" w:hAnsiTheme="minorHAnsi" w:cstheme="minorHAnsi"/>
          <w:sz w:val="24"/>
          <w:szCs w:val="24"/>
        </w:rPr>
        <w:t xml:space="preserve"> show them that police were taking the situation seriously and working on a solution. </w:t>
      </w:r>
    </w:p>
    <w:p w14:paraId="6F4B5339" w14:textId="77777777" w:rsidR="008046BA" w:rsidRP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lastRenderedPageBreak/>
        <w:t xml:space="preserve">Another intervention I undertook in the first few days of joining the neighbourhood team was to visit the local schools; this allowed me to feedback to the school the issues that were occurring and get them on board with trying to tackle it. Partner agency work is an imperative aspect of community policing as working together can help combat the problem more effectively. Going into schools allowed the community to be involved in resolving the issue; the feedback I received from them was that this made them feel like valued members of the community and a sense of pride that they have improved the lives of the local community. According to The College of Policing (2017) working with partners is a fundamental way to tackle community issues; conducting research into community policing prior to tackling the problem was imperative in allowing me to understand how to effectively provide an inclusive approach. The use of social media was another intervention I adopted, however this one was not as successful as the other approaches. I completed multiple posts on Facebook and Twitter to try and encourage members of the community to inform police if they saw off road bike riders going into certain addresses in the local area. These young people lived in the local </w:t>
      </w:r>
      <w:proofErr w:type="gramStart"/>
      <w:r w:rsidRPr="008046BA">
        <w:rPr>
          <w:rFonts w:asciiTheme="minorHAnsi" w:hAnsiTheme="minorHAnsi" w:cstheme="minorHAnsi"/>
          <w:sz w:val="24"/>
          <w:szCs w:val="24"/>
        </w:rPr>
        <w:t>community</w:t>
      </w:r>
      <w:proofErr w:type="gramEnd"/>
      <w:r w:rsidRPr="008046BA">
        <w:rPr>
          <w:rFonts w:asciiTheme="minorHAnsi" w:hAnsiTheme="minorHAnsi" w:cstheme="minorHAnsi"/>
          <w:sz w:val="24"/>
          <w:szCs w:val="24"/>
        </w:rPr>
        <w:t xml:space="preserve"> and they were storing their bikes at their property, therefore, people must have been seeing which addresses they were attending with these bikes. I thought that if the public could assist us with this request, we could identify the individuals involved and attend their home addresses to talk to them about the antisocial behaviour. I was surprised that this did not work as the public seemed very adamant on action being taken, but it was not an effective outcome when looking back at the incident. According to </w:t>
      </w:r>
      <w:proofErr w:type="spellStart"/>
      <w:r w:rsidRPr="008046BA">
        <w:rPr>
          <w:rFonts w:asciiTheme="minorHAnsi" w:hAnsiTheme="minorHAnsi" w:cstheme="minorHAnsi"/>
          <w:sz w:val="24"/>
          <w:szCs w:val="24"/>
        </w:rPr>
        <w:t>Akhgar</w:t>
      </w:r>
      <w:proofErr w:type="spellEnd"/>
      <w:r w:rsidRPr="008046BA">
        <w:rPr>
          <w:rFonts w:asciiTheme="minorHAnsi" w:hAnsiTheme="minorHAnsi" w:cstheme="minorHAnsi"/>
          <w:sz w:val="24"/>
          <w:szCs w:val="24"/>
        </w:rPr>
        <w:t xml:space="preserve"> et al (2019) the most common way for people to receive news in the modern day is very social media; this has resulted in most police forces in England and Wales utilising social media as an effective way to communicate with local citizens and to prevent and solve crimes. </w:t>
      </w:r>
    </w:p>
    <w:p w14:paraId="37C496C9" w14:textId="77777777" w:rsidR="008046BA" w:rsidRDefault="008046BA" w:rsidP="008046BA">
      <w:pPr>
        <w:spacing w:line="480" w:lineRule="auto"/>
        <w:rPr>
          <w:rFonts w:asciiTheme="minorHAnsi" w:hAnsiTheme="minorHAnsi" w:cstheme="minorHAnsi"/>
          <w:sz w:val="24"/>
          <w:szCs w:val="24"/>
        </w:rPr>
      </w:pPr>
      <w:r w:rsidRPr="008046BA">
        <w:rPr>
          <w:rFonts w:asciiTheme="minorHAnsi" w:hAnsiTheme="minorHAnsi" w:cstheme="minorHAnsi"/>
          <w:sz w:val="24"/>
          <w:szCs w:val="24"/>
        </w:rPr>
        <w:lastRenderedPageBreak/>
        <w:t xml:space="preserve">To conclude this experience as a whole, I believe it was successful as the antisocial behaviour reduced massively from the </w:t>
      </w:r>
      <w:proofErr w:type="gramStart"/>
      <w:r w:rsidRPr="008046BA">
        <w:rPr>
          <w:rFonts w:asciiTheme="minorHAnsi" w:hAnsiTheme="minorHAnsi" w:cstheme="minorHAnsi"/>
          <w:sz w:val="24"/>
          <w:szCs w:val="24"/>
        </w:rPr>
        <w:t>time</w:t>
      </w:r>
      <w:proofErr w:type="gramEnd"/>
      <w:r w:rsidRPr="008046BA">
        <w:rPr>
          <w:rFonts w:asciiTheme="minorHAnsi" w:hAnsiTheme="minorHAnsi" w:cstheme="minorHAnsi"/>
          <w:sz w:val="24"/>
          <w:szCs w:val="24"/>
        </w:rPr>
        <w:t xml:space="preserve"> I joined the community policing team compared to when I left after three months. There was a much stronger relationship between the public and the police and I learnt how imperative it is to include local people in issues that affect them. </w:t>
      </w:r>
      <w:proofErr w:type="spellStart"/>
      <w:r w:rsidRPr="008046BA">
        <w:rPr>
          <w:rFonts w:asciiTheme="minorHAnsi" w:hAnsiTheme="minorHAnsi" w:cstheme="minorHAnsi"/>
          <w:sz w:val="24"/>
          <w:szCs w:val="24"/>
        </w:rPr>
        <w:t>Leventakis</w:t>
      </w:r>
      <w:proofErr w:type="spellEnd"/>
      <w:r w:rsidRPr="008046BA">
        <w:rPr>
          <w:rFonts w:asciiTheme="minorHAnsi" w:hAnsiTheme="minorHAnsi" w:cstheme="minorHAnsi"/>
          <w:sz w:val="24"/>
          <w:szCs w:val="24"/>
        </w:rPr>
        <w:t xml:space="preserve"> (2018) stated that the three elements of community policing are partnerships within the community, organisational transformation and problem solving. I believe that I used all three of these aspects whilst tackling the community problems which consequently resulted in the positive outcome. There are still some antisocial behaviour incidents reported by the local community, there are on average around 12 calls per month compared to 124 calls prior to be joining the department. </w:t>
      </w:r>
      <w:proofErr w:type="gramStart"/>
      <w:r w:rsidRPr="008046BA">
        <w:rPr>
          <w:rFonts w:asciiTheme="minorHAnsi" w:hAnsiTheme="minorHAnsi" w:cstheme="minorHAnsi"/>
          <w:sz w:val="24"/>
          <w:szCs w:val="24"/>
        </w:rPr>
        <w:t>So</w:t>
      </w:r>
      <w:proofErr w:type="gramEnd"/>
      <w:r w:rsidRPr="008046BA">
        <w:rPr>
          <w:rFonts w:asciiTheme="minorHAnsi" w:hAnsiTheme="minorHAnsi" w:cstheme="minorHAnsi"/>
          <w:sz w:val="24"/>
          <w:szCs w:val="24"/>
        </w:rPr>
        <w:t xml:space="preserve"> although antisocial behaviour is still present it has been reduced dramatically. The only difference I would change if I was to join the neighbourhood team in the future, would be to research into the demographic of the community before trying to develop interventions and solutions to problems. If it was not for my colleagues on the team who informed me of this information, it would have taken me a lot longer to combat the issue as I would have had to go through a lot more failed interventions before finding what works for the area. This would form part of my action plan for future incidents as it is the main general change that I would make. I would deal with a similar situation in nearly the same way as it was effective, however I would also communicate with partner agencies a lot sooner to discuss the issue and get them on board to assist police. </w:t>
      </w:r>
    </w:p>
    <w:p w14:paraId="22B4DAF8" w14:textId="77777777" w:rsidR="00890D32" w:rsidRDefault="00890D32" w:rsidP="008046BA">
      <w:pPr>
        <w:spacing w:line="480" w:lineRule="auto"/>
        <w:rPr>
          <w:rFonts w:asciiTheme="minorHAnsi" w:hAnsiTheme="minorHAnsi" w:cstheme="minorHAnsi"/>
          <w:sz w:val="24"/>
          <w:szCs w:val="24"/>
        </w:rPr>
      </w:pPr>
    </w:p>
    <w:p w14:paraId="24ACA1BB" w14:textId="4CD696CE" w:rsidR="00890D32" w:rsidRPr="008046BA" w:rsidRDefault="00890D32" w:rsidP="008046BA">
      <w:pPr>
        <w:spacing w:line="480" w:lineRule="auto"/>
        <w:rPr>
          <w:rFonts w:asciiTheme="minorHAnsi" w:hAnsiTheme="minorHAnsi" w:cstheme="minorHAnsi"/>
          <w:sz w:val="24"/>
          <w:szCs w:val="24"/>
        </w:rPr>
      </w:pPr>
      <w:r>
        <w:rPr>
          <w:rFonts w:asciiTheme="minorHAnsi" w:hAnsiTheme="minorHAnsi" w:cstheme="minorHAnsi"/>
          <w:sz w:val="24"/>
          <w:szCs w:val="24"/>
        </w:rPr>
        <w:t>Word count – 2,422</w:t>
      </w:r>
    </w:p>
    <w:p w14:paraId="3A908E1F" w14:textId="77777777" w:rsidR="008046BA" w:rsidRPr="00E676F7" w:rsidRDefault="008046BA"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2BDE232F" w14:textId="77777777" w:rsidR="008046BA" w:rsidRDefault="008046BA" w:rsidP="0FF883D4">
      <w:pPr>
        <w:ind w:right="237"/>
        <w:jc w:val="both"/>
        <w:rPr>
          <w:b/>
          <w:bCs/>
          <w:color w:val="000000" w:themeColor="text1"/>
          <w:sz w:val="24"/>
          <w:szCs w:val="24"/>
        </w:rPr>
      </w:pPr>
    </w:p>
    <w:p w14:paraId="7220A196" w14:textId="77777777" w:rsidR="008046BA" w:rsidRDefault="008046BA" w:rsidP="0FF883D4">
      <w:pPr>
        <w:ind w:right="237"/>
        <w:jc w:val="both"/>
        <w:rPr>
          <w:b/>
          <w:bCs/>
          <w:color w:val="000000" w:themeColor="text1"/>
          <w:sz w:val="24"/>
          <w:szCs w:val="24"/>
        </w:rPr>
      </w:pPr>
    </w:p>
    <w:p w14:paraId="080A8E62" w14:textId="77777777" w:rsidR="008046BA" w:rsidRDefault="008046BA" w:rsidP="0FF883D4">
      <w:pPr>
        <w:ind w:right="237"/>
        <w:jc w:val="both"/>
        <w:rPr>
          <w:b/>
          <w:bCs/>
          <w:color w:val="000000" w:themeColor="text1"/>
          <w:sz w:val="24"/>
          <w:szCs w:val="24"/>
        </w:rPr>
      </w:pPr>
    </w:p>
    <w:p w14:paraId="137AD2EE" w14:textId="77777777" w:rsidR="008046BA" w:rsidRDefault="008046BA" w:rsidP="0FF883D4">
      <w:pPr>
        <w:ind w:right="237"/>
        <w:jc w:val="both"/>
        <w:rPr>
          <w:b/>
          <w:bCs/>
          <w:color w:val="000000" w:themeColor="text1"/>
          <w:sz w:val="24"/>
          <w:szCs w:val="24"/>
        </w:rPr>
      </w:pPr>
    </w:p>
    <w:p w14:paraId="512BC6CC" w14:textId="77777777" w:rsidR="008046BA" w:rsidRDefault="008046BA" w:rsidP="0FF883D4">
      <w:pPr>
        <w:ind w:right="237"/>
        <w:jc w:val="both"/>
        <w:rPr>
          <w:b/>
          <w:bCs/>
          <w:color w:val="000000" w:themeColor="text1"/>
          <w:sz w:val="24"/>
          <w:szCs w:val="24"/>
        </w:rPr>
      </w:pPr>
    </w:p>
    <w:p w14:paraId="3331A7C5" w14:textId="77777777" w:rsidR="008046BA" w:rsidRDefault="008046BA" w:rsidP="0FF883D4">
      <w:pPr>
        <w:ind w:right="237"/>
        <w:jc w:val="both"/>
        <w:rPr>
          <w:b/>
          <w:bCs/>
          <w:color w:val="000000" w:themeColor="text1"/>
          <w:sz w:val="24"/>
          <w:szCs w:val="24"/>
        </w:rPr>
      </w:pPr>
    </w:p>
    <w:p w14:paraId="333613BE" w14:textId="77777777" w:rsidR="008046BA" w:rsidRDefault="008046BA" w:rsidP="0FF883D4">
      <w:pPr>
        <w:ind w:right="237"/>
        <w:jc w:val="both"/>
        <w:rPr>
          <w:b/>
          <w:bCs/>
          <w:color w:val="000000" w:themeColor="text1"/>
          <w:sz w:val="24"/>
          <w:szCs w:val="24"/>
        </w:rPr>
      </w:pPr>
    </w:p>
    <w:p w14:paraId="6A823D53" w14:textId="77777777" w:rsidR="008046BA" w:rsidRDefault="008046BA" w:rsidP="0FF883D4">
      <w:pPr>
        <w:ind w:right="237"/>
        <w:jc w:val="both"/>
        <w:rPr>
          <w:b/>
          <w:bCs/>
          <w:color w:val="000000" w:themeColor="text1"/>
          <w:sz w:val="24"/>
          <w:szCs w:val="24"/>
        </w:rPr>
      </w:pPr>
    </w:p>
    <w:p w14:paraId="024080E2" w14:textId="77777777" w:rsidR="008046BA" w:rsidRDefault="008046BA" w:rsidP="0FF883D4">
      <w:pPr>
        <w:ind w:right="237"/>
        <w:jc w:val="both"/>
        <w:rPr>
          <w:b/>
          <w:bCs/>
          <w:color w:val="000000" w:themeColor="text1"/>
          <w:sz w:val="24"/>
          <w:szCs w:val="24"/>
        </w:rPr>
      </w:pPr>
    </w:p>
    <w:p w14:paraId="48F73E16" w14:textId="77777777" w:rsidR="008046BA" w:rsidRDefault="008046BA" w:rsidP="0FF883D4">
      <w:pPr>
        <w:ind w:right="237"/>
        <w:jc w:val="both"/>
        <w:rPr>
          <w:b/>
          <w:bCs/>
          <w:color w:val="000000" w:themeColor="text1"/>
          <w:sz w:val="24"/>
          <w:szCs w:val="24"/>
        </w:rPr>
      </w:pPr>
    </w:p>
    <w:p w14:paraId="3852AC5D" w14:textId="583EFE3E" w:rsidR="0FF883D4" w:rsidRDefault="0FF883D4" w:rsidP="008046BA">
      <w:pPr>
        <w:ind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687F724B" w14:textId="77777777" w:rsidR="008046BA" w:rsidRDefault="008046BA" w:rsidP="0FF883D4">
      <w:pPr>
        <w:ind w:right="237"/>
        <w:jc w:val="both"/>
        <w:rPr>
          <w:color w:val="000000" w:themeColor="text1"/>
          <w:sz w:val="24"/>
          <w:szCs w:val="24"/>
        </w:rPr>
      </w:pPr>
    </w:p>
    <w:p w14:paraId="3A211BE3" w14:textId="77777777" w:rsidR="008046BA" w:rsidRDefault="008046BA" w:rsidP="0FF883D4">
      <w:pPr>
        <w:ind w:right="237"/>
        <w:jc w:val="both"/>
        <w:rPr>
          <w:color w:val="000000" w:themeColor="text1"/>
          <w:sz w:val="24"/>
          <w:szCs w:val="24"/>
        </w:rPr>
      </w:pPr>
    </w:p>
    <w:p w14:paraId="26AD814A" w14:textId="77777777" w:rsidR="008046BA" w:rsidRDefault="008046BA" w:rsidP="0FF883D4">
      <w:pPr>
        <w:ind w:right="237"/>
        <w:jc w:val="both"/>
        <w:rPr>
          <w:color w:val="000000" w:themeColor="text1"/>
          <w:sz w:val="24"/>
          <w:szCs w:val="24"/>
        </w:rPr>
      </w:pPr>
    </w:p>
    <w:p w14:paraId="34B5D21B" w14:textId="77777777" w:rsidR="008046BA" w:rsidRDefault="008046BA" w:rsidP="0FF883D4">
      <w:pPr>
        <w:ind w:right="237"/>
        <w:jc w:val="both"/>
        <w:rPr>
          <w:color w:val="000000" w:themeColor="text1"/>
          <w:sz w:val="24"/>
          <w:szCs w:val="24"/>
        </w:rPr>
      </w:pPr>
    </w:p>
    <w:p w14:paraId="3DF351E9" w14:textId="77777777" w:rsidR="008046BA" w:rsidRDefault="008046BA" w:rsidP="0FF883D4">
      <w:pPr>
        <w:ind w:right="237"/>
        <w:jc w:val="both"/>
        <w:rPr>
          <w:color w:val="000000" w:themeColor="text1"/>
          <w:sz w:val="24"/>
          <w:szCs w:val="24"/>
        </w:rPr>
      </w:pPr>
    </w:p>
    <w:p w14:paraId="46DC8591" w14:textId="77777777" w:rsidR="008046BA" w:rsidRDefault="008046BA" w:rsidP="0FF883D4">
      <w:pPr>
        <w:ind w:right="237"/>
        <w:jc w:val="both"/>
        <w:rPr>
          <w:color w:val="000000" w:themeColor="text1"/>
          <w:sz w:val="24"/>
          <w:szCs w:val="24"/>
        </w:rPr>
      </w:pPr>
    </w:p>
    <w:p w14:paraId="43E9D70A" w14:textId="77777777" w:rsidR="008046BA" w:rsidRDefault="008046BA" w:rsidP="0FF883D4">
      <w:pPr>
        <w:ind w:right="237"/>
        <w:jc w:val="both"/>
        <w:rPr>
          <w:color w:val="000000" w:themeColor="text1"/>
          <w:sz w:val="24"/>
          <w:szCs w:val="24"/>
        </w:rPr>
      </w:pPr>
    </w:p>
    <w:p w14:paraId="719AC3B6" w14:textId="77777777" w:rsidR="008046BA" w:rsidRDefault="008046BA" w:rsidP="0FF883D4">
      <w:pPr>
        <w:ind w:right="237"/>
        <w:jc w:val="both"/>
        <w:rPr>
          <w:color w:val="000000" w:themeColor="text1"/>
          <w:sz w:val="24"/>
          <w:szCs w:val="24"/>
        </w:rPr>
      </w:pPr>
    </w:p>
    <w:p w14:paraId="61684943" w14:textId="77777777" w:rsidR="008046BA" w:rsidRDefault="008046BA" w:rsidP="0FF883D4">
      <w:pPr>
        <w:ind w:right="237"/>
        <w:jc w:val="both"/>
        <w:rPr>
          <w:color w:val="000000" w:themeColor="text1"/>
          <w:sz w:val="24"/>
          <w:szCs w:val="24"/>
        </w:rPr>
      </w:pPr>
    </w:p>
    <w:p w14:paraId="4BE84E82" w14:textId="77777777" w:rsidR="008046BA" w:rsidRDefault="008046BA" w:rsidP="0FF883D4">
      <w:pPr>
        <w:ind w:right="237"/>
        <w:jc w:val="both"/>
        <w:rPr>
          <w:color w:val="000000" w:themeColor="text1"/>
          <w:sz w:val="24"/>
          <w:szCs w:val="24"/>
        </w:rPr>
      </w:pPr>
    </w:p>
    <w:p w14:paraId="0DC3CFBC" w14:textId="77777777" w:rsidR="008046BA" w:rsidRDefault="008046BA" w:rsidP="0FF883D4">
      <w:pPr>
        <w:ind w:right="237"/>
        <w:jc w:val="both"/>
        <w:rPr>
          <w:color w:val="000000" w:themeColor="text1"/>
          <w:sz w:val="24"/>
          <w:szCs w:val="24"/>
        </w:rPr>
      </w:pPr>
    </w:p>
    <w:p w14:paraId="57CB1D54" w14:textId="77777777" w:rsidR="008046BA" w:rsidRDefault="008046BA"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0F4FF093"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239D291" w:rsidR="0FF883D4" w:rsidRDefault="5CE196A1" w:rsidP="5CE196A1">
      <w:r w:rsidRPr="5CE196A1">
        <w:rPr>
          <w:rFonts w:eastAsia="Arial"/>
          <w:b/>
          <w:bCs/>
          <w:color w:val="000000" w:themeColor="text1"/>
          <w:sz w:val="24"/>
          <w:szCs w:val="24"/>
        </w:rPr>
        <w:t xml:space="preserve">Signed: </w:t>
      </w:r>
      <w:r w:rsidR="008046BA">
        <w:rPr>
          <w:rFonts w:eastAsia="Arial"/>
          <w:b/>
          <w:bCs/>
          <w:color w:val="000000" w:themeColor="text1"/>
          <w:sz w:val="24"/>
          <w:szCs w:val="24"/>
        </w:rPr>
        <w:t>Caitlin Selby</w:t>
      </w:r>
    </w:p>
    <w:p w14:paraId="563192E7" w14:textId="7A83C86F" w:rsidR="0FF883D4" w:rsidRDefault="5CE196A1" w:rsidP="5CE196A1">
      <w:r w:rsidRPr="5CE196A1">
        <w:rPr>
          <w:rFonts w:eastAsia="Arial"/>
          <w:b/>
          <w:bCs/>
          <w:color w:val="000000" w:themeColor="text1"/>
          <w:sz w:val="24"/>
          <w:szCs w:val="24"/>
        </w:rPr>
        <w:t xml:space="preserve"> </w:t>
      </w:r>
    </w:p>
    <w:p w14:paraId="482B2B3A" w14:textId="5935752E" w:rsidR="0FF883D4" w:rsidRPr="008046BA" w:rsidRDefault="5CE196A1" w:rsidP="008046BA">
      <w:pPr>
        <w:sectPr w:rsidR="0FF883D4" w:rsidRPr="008046BA"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8046BA">
        <w:t xml:space="preserve"> </w:t>
      </w:r>
      <w:r w:rsidR="008046BA">
        <w:rPr>
          <w:b/>
          <w:bCs/>
          <w:sz w:val="24"/>
          <w:szCs w:val="24"/>
          <w:lang w:eastAsia="zh-TW"/>
        </w:rPr>
        <w:t>18/07/2023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03AD82C" w14:textId="77777777" w:rsidR="00785CDE" w:rsidRDefault="00785CDE" w:rsidP="00EA28F1">
      <w:pPr>
        <w:keepNext/>
        <w:spacing w:before="240" w:after="60"/>
        <w:ind w:right="237"/>
        <w:jc w:val="both"/>
        <w:rPr>
          <w:sz w:val="24"/>
          <w:szCs w:val="24"/>
        </w:rPr>
      </w:pPr>
    </w:p>
    <w:p w14:paraId="0EFE18F9"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Adamson, D et al (2013) ‘A guide to Effective Community Engagement’. Available at: </w:t>
      </w:r>
      <w:hyperlink r:id="rId16" w:history="1">
        <w:r w:rsidRPr="008046BA">
          <w:rPr>
            <w:rStyle w:val="Hyperlink"/>
            <w:rFonts w:asciiTheme="minorHAnsi" w:hAnsiTheme="minorHAnsi" w:cstheme="minorHAnsi"/>
            <w:sz w:val="24"/>
            <w:szCs w:val="24"/>
          </w:rPr>
          <w:t>https://moodle.uwtsd.ac.uk/pluginfile.php/594120/mod_scorm/content/15/story_content/external_files/A%20Guide%20to%20Effective%20Community%20Engagement.pdf</w:t>
        </w:r>
      </w:hyperlink>
      <w:r w:rsidRPr="008046BA">
        <w:rPr>
          <w:rFonts w:asciiTheme="minorHAnsi" w:hAnsiTheme="minorHAnsi" w:cstheme="minorHAnsi"/>
          <w:sz w:val="24"/>
          <w:szCs w:val="24"/>
        </w:rPr>
        <w:t xml:space="preserve"> (Accessed on 02/07/2023).</w:t>
      </w:r>
    </w:p>
    <w:p w14:paraId="4510BEEE"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proofErr w:type="spellStart"/>
      <w:r w:rsidRPr="008046BA">
        <w:rPr>
          <w:rFonts w:asciiTheme="minorHAnsi" w:hAnsiTheme="minorHAnsi" w:cstheme="minorHAnsi"/>
          <w:sz w:val="24"/>
          <w:szCs w:val="24"/>
        </w:rPr>
        <w:t>Akhgar</w:t>
      </w:r>
      <w:proofErr w:type="spellEnd"/>
      <w:r w:rsidRPr="008046BA">
        <w:rPr>
          <w:rFonts w:asciiTheme="minorHAnsi" w:hAnsiTheme="minorHAnsi" w:cstheme="minorHAnsi"/>
          <w:sz w:val="24"/>
          <w:szCs w:val="24"/>
        </w:rPr>
        <w:t xml:space="preserve">, B et al (2019) ’Social Media Strategy in Policing’. Cultural Intelligence to Community Policing. Springer International Publishing AG, Cham. Available at: </w:t>
      </w:r>
      <w:hyperlink r:id="rId17" w:history="1">
        <w:r w:rsidRPr="008046BA">
          <w:rPr>
            <w:rStyle w:val="Hyperlink"/>
            <w:rFonts w:asciiTheme="minorHAnsi" w:hAnsiTheme="minorHAnsi" w:cstheme="minorHAnsi"/>
            <w:sz w:val="24"/>
            <w:szCs w:val="24"/>
          </w:rPr>
          <w:t>https://ebookcentral.proquest.com/lib/trinity/reader.action?docID=5940512</w:t>
        </w:r>
      </w:hyperlink>
      <w:r w:rsidRPr="008046BA">
        <w:rPr>
          <w:rFonts w:asciiTheme="minorHAnsi" w:hAnsiTheme="minorHAnsi" w:cstheme="minorHAnsi"/>
          <w:sz w:val="24"/>
          <w:szCs w:val="24"/>
        </w:rPr>
        <w:t xml:space="preserve"> (Accessed on 02/07/2023).</w:t>
      </w:r>
    </w:p>
    <w:p w14:paraId="2E798C53"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BMG (2018) ‘Public Perceptions of Policing in England and Wales 2018’. Available at: </w:t>
      </w:r>
      <w:hyperlink r:id="rId18" w:history="1">
        <w:r w:rsidRPr="008046BA">
          <w:rPr>
            <w:rStyle w:val="Hyperlink"/>
            <w:rFonts w:asciiTheme="minorHAnsi" w:hAnsiTheme="minorHAnsi" w:cstheme="minorHAnsi"/>
            <w:sz w:val="24"/>
            <w:szCs w:val="24"/>
          </w:rPr>
          <w:t>https://www.bmgresearch.co.uk/wp-content/uploads/2019/01/1578-HMICFRS-Public-Perceptions-of-Policing-2018_FINAL.pdf</w:t>
        </w:r>
      </w:hyperlink>
      <w:r w:rsidRPr="008046BA">
        <w:rPr>
          <w:rFonts w:asciiTheme="minorHAnsi" w:hAnsiTheme="minorHAnsi" w:cstheme="minorHAnsi"/>
          <w:sz w:val="24"/>
          <w:szCs w:val="24"/>
        </w:rPr>
        <w:t xml:space="preserve"> (Accessed on 02/07/2023).</w:t>
      </w:r>
    </w:p>
    <w:p w14:paraId="08091A28"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Cardiff and Vale Action for Mental Health (2021) ‘South Wales Police – Public protection department, mental health’, 26</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August. Available at: </w:t>
      </w:r>
      <w:hyperlink r:id="rId19" w:history="1">
        <w:r w:rsidRPr="008046BA">
          <w:rPr>
            <w:rStyle w:val="Hyperlink"/>
            <w:rFonts w:asciiTheme="minorHAnsi" w:hAnsiTheme="minorHAnsi" w:cstheme="minorHAnsi"/>
            <w:sz w:val="24"/>
            <w:szCs w:val="24"/>
          </w:rPr>
          <w:t>https://www.cavamh.org.uk/directories/south-wales-police-mental-health-unit/</w:t>
        </w:r>
      </w:hyperlink>
      <w:r w:rsidRPr="008046BA">
        <w:rPr>
          <w:rFonts w:asciiTheme="minorHAnsi" w:hAnsiTheme="minorHAnsi" w:cstheme="minorHAnsi"/>
          <w:sz w:val="24"/>
          <w:szCs w:val="24"/>
        </w:rPr>
        <w:t xml:space="preserve"> (Accessed on 10/06/2023).</w:t>
      </w:r>
    </w:p>
    <w:p w14:paraId="603D2761"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College of Policing (2013). ‘Risk Assessment’, 23</w:t>
      </w:r>
      <w:r w:rsidRPr="008046BA">
        <w:rPr>
          <w:rFonts w:asciiTheme="minorHAnsi" w:hAnsiTheme="minorHAnsi" w:cstheme="minorHAnsi"/>
          <w:sz w:val="24"/>
          <w:szCs w:val="24"/>
          <w:vertAlign w:val="superscript"/>
        </w:rPr>
        <w:t>rd</w:t>
      </w:r>
      <w:r w:rsidRPr="008046BA">
        <w:rPr>
          <w:rFonts w:asciiTheme="minorHAnsi" w:hAnsiTheme="minorHAnsi" w:cstheme="minorHAnsi"/>
          <w:sz w:val="24"/>
          <w:szCs w:val="24"/>
        </w:rPr>
        <w:t xml:space="preserve"> October. Available at: </w:t>
      </w:r>
      <w:hyperlink r:id="rId20" w:history="1">
        <w:r w:rsidRPr="008046BA">
          <w:rPr>
            <w:rStyle w:val="Hyperlink"/>
            <w:rFonts w:asciiTheme="minorHAnsi" w:hAnsiTheme="minorHAnsi" w:cstheme="minorHAnsi"/>
            <w:sz w:val="24"/>
            <w:szCs w:val="24"/>
          </w:rPr>
          <w:t>Risk assessment | College of Policing</w:t>
        </w:r>
      </w:hyperlink>
      <w:r w:rsidRPr="008046BA">
        <w:rPr>
          <w:rFonts w:asciiTheme="minorHAnsi" w:hAnsiTheme="minorHAnsi" w:cstheme="minorHAnsi"/>
          <w:sz w:val="24"/>
          <w:szCs w:val="24"/>
        </w:rPr>
        <w:t xml:space="preserve"> (Accessed on 10/06/2023). </w:t>
      </w:r>
    </w:p>
    <w:p w14:paraId="251C8C95"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lastRenderedPageBreak/>
        <w:t>College of Policing (2017) ‘Problem-orientated Policing’ (25</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May). Available at: </w:t>
      </w:r>
      <w:hyperlink r:id="rId21" w:history="1">
        <w:r w:rsidRPr="008046BA">
          <w:rPr>
            <w:rStyle w:val="Hyperlink"/>
            <w:rFonts w:asciiTheme="minorHAnsi" w:hAnsiTheme="minorHAnsi" w:cstheme="minorHAnsi"/>
            <w:sz w:val="24"/>
            <w:szCs w:val="24"/>
          </w:rPr>
          <w:t>https://www.college.police.uk/research/crime-reduction-toolkit/problem-oriented-policing</w:t>
        </w:r>
      </w:hyperlink>
      <w:r w:rsidRPr="008046BA">
        <w:rPr>
          <w:rFonts w:asciiTheme="minorHAnsi" w:hAnsiTheme="minorHAnsi" w:cstheme="minorHAnsi"/>
          <w:sz w:val="24"/>
          <w:szCs w:val="24"/>
        </w:rPr>
        <w:t xml:space="preserve"> (Accessed on 02/07/2023). </w:t>
      </w:r>
    </w:p>
    <w:p w14:paraId="5349E986"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College of Policing (2021) ‘Solving Problems’ (11</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January). Available at: </w:t>
      </w:r>
      <w:hyperlink r:id="rId22" w:history="1">
        <w:r w:rsidRPr="008046BA">
          <w:rPr>
            <w:rStyle w:val="Hyperlink"/>
            <w:rFonts w:asciiTheme="minorHAnsi" w:hAnsiTheme="minorHAnsi" w:cstheme="minorHAnsi"/>
            <w:sz w:val="24"/>
            <w:szCs w:val="24"/>
          </w:rPr>
          <w:t>https://www.college.police.uk/guidance/neighbourhood-policing/solving-problems</w:t>
        </w:r>
      </w:hyperlink>
      <w:r w:rsidRPr="008046BA">
        <w:rPr>
          <w:rFonts w:asciiTheme="minorHAnsi" w:hAnsiTheme="minorHAnsi" w:cstheme="minorHAnsi"/>
          <w:sz w:val="24"/>
          <w:szCs w:val="24"/>
        </w:rPr>
        <w:t xml:space="preserve"> (Accessed on 02/07/2023).</w:t>
      </w:r>
    </w:p>
    <w:p w14:paraId="559098C3"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Ford, K et al (2020). Understanding the outcome of police safeguarding notifications to social services in South Wales. The Police Journal, 93(2), 87–108. Available at: </w:t>
      </w:r>
      <w:hyperlink r:id="rId23" w:history="1">
        <w:r w:rsidRPr="008046BA">
          <w:rPr>
            <w:rStyle w:val="Hyperlink"/>
            <w:rFonts w:asciiTheme="minorHAnsi" w:hAnsiTheme="minorHAnsi" w:cstheme="minorHAnsi"/>
            <w:sz w:val="24"/>
            <w:szCs w:val="24"/>
          </w:rPr>
          <w:t>https://journals.sagepub.com/doi/full/10.1177/0032258X19836144</w:t>
        </w:r>
      </w:hyperlink>
      <w:r w:rsidRPr="008046BA">
        <w:rPr>
          <w:rFonts w:asciiTheme="minorHAnsi" w:hAnsiTheme="minorHAnsi" w:cstheme="minorHAnsi"/>
          <w:sz w:val="24"/>
          <w:szCs w:val="24"/>
        </w:rPr>
        <w:t xml:space="preserve"> (Accessed on 10/06/2023).</w:t>
      </w:r>
    </w:p>
    <w:p w14:paraId="27415DF0" w14:textId="77777777" w:rsidR="00785CDE" w:rsidRDefault="00785CDE" w:rsidP="008046BA">
      <w:pPr>
        <w:pStyle w:val="ListParagraph"/>
        <w:numPr>
          <w:ilvl w:val="0"/>
          <w:numId w:val="51"/>
        </w:numPr>
        <w:spacing w:line="480" w:lineRule="auto"/>
        <w:textAlignment w:val="auto"/>
        <w:rPr>
          <w:rFonts w:asciiTheme="minorHAnsi" w:hAnsiTheme="minorHAnsi" w:cstheme="minorHAnsi"/>
          <w:sz w:val="24"/>
          <w:szCs w:val="24"/>
        </w:rPr>
      </w:pPr>
      <w:proofErr w:type="spellStart"/>
      <w:r w:rsidRPr="008046BA">
        <w:rPr>
          <w:rFonts w:asciiTheme="minorHAnsi" w:hAnsiTheme="minorHAnsi" w:cstheme="minorHAnsi"/>
          <w:sz w:val="24"/>
          <w:szCs w:val="24"/>
        </w:rPr>
        <w:t>Fulambarker</w:t>
      </w:r>
      <w:proofErr w:type="spellEnd"/>
      <w:r w:rsidRPr="008046BA">
        <w:rPr>
          <w:rFonts w:asciiTheme="minorHAnsi" w:hAnsiTheme="minorHAnsi" w:cstheme="minorHAnsi"/>
          <w:sz w:val="24"/>
          <w:szCs w:val="24"/>
        </w:rPr>
        <w:t xml:space="preserve">, A. (2020). “Everybody Loses”: Understanding Police Roles and Perceptions of Domestic Violence Calls. Journal of Qualitative Criminal Justice &amp; Criminology. 8(3). Available at: </w:t>
      </w:r>
      <w:hyperlink r:id="rId24" w:history="1">
        <w:r w:rsidRPr="008046BA">
          <w:rPr>
            <w:rStyle w:val="Hyperlink"/>
            <w:rFonts w:asciiTheme="minorHAnsi" w:hAnsiTheme="minorHAnsi" w:cstheme="minorHAnsi"/>
            <w:sz w:val="24"/>
            <w:szCs w:val="24"/>
          </w:rPr>
          <w:t>https://www.qualitativecriminology.com/pub/v8i3p3/release/5</w:t>
        </w:r>
      </w:hyperlink>
      <w:r w:rsidRPr="008046BA">
        <w:rPr>
          <w:rFonts w:asciiTheme="minorHAnsi" w:hAnsiTheme="minorHAnsi" w:cstheme="minorHAnsi"/>
          <w:sz w:val="24"/>
          <w:szCs w:val="24"/>
        </w:rPr>
        <w:t xml:space="preserve"> (Accessed on 10/06/2023).</w:t>
      </w:r>
    </w:p>
    <w:p w14:paraId="11BD85A6"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Pr>
          <w:rFonts w:asciiTheme="minorHAnsi" w:hAnsiTheme="minorHAnsi" w:cstheme="minorHAnsi"/>
          <w:sz w:val="24"/>
          <w:szCs w:val="24"/>
        </w:rPr>
        <w:t>Government (2022) “Vulnerabilities: applying all our health”. March 29</w:t>
      </w:r>
      <w:r w:rsidRPr="001C6476">
        <w:rPr>
          <w:rFonts w:asciiTheme="minorHAnsi" w:hAnsiTheme="minorHAnsi" w:cstheme="minorHAnsi"/>
          <w:sz w:val="24"/>
          <w:szCs w:val="24"/>
          <w:vertAlign w:val="superscript"/>
        </w:rPr>
        <w:t>th</w:t>
      </w:r>
      <w:r>
        <w:rPr>
          <w:rFonts w:asciiTheme="minorHAnsi" w:hAnsiTheme="minorHAnsi" w:cstheme="minorHAnsi"/>
          <w:sz w:val="24"/>
          <w:szCs w:val="24"/>
        </w:rPr>
        <w:t xml:space="preserve">. Available at: </w:t>
      </w:r>
      <w:hyperlink r:id="rId25" w:history="1">
        <w:r w:rsidRPr="009C7731">
          <w:rPr>
            <w:rStyle w:val="Hyperlink"/>
            <w:rFonts w:asciiTheme="minorHAnsi" w:hAnsiTheme="minorHAnsi" w:cstheme="minorHAnsi"/>
            <w:sz w:val="24"/>
            <w:szCs w:val="24"/>
          </w:rPr>
          <w:t>https://www.gov.uk/government/publications/vulnerabilities-applying-all-our-health/vulnerabilities-applying-all-our-health</w:t>
        </w:r>
      </w:hyperlink>
      <w:r>
        <w:rPr>
          <w:rFonts w:asciiTheme="minorHAnsi" w:hAnsiTheme="minorHAnsi" w:cstheme="minorHAnsi"/>
          <w:sz w:val="24"/>
          <w:szCs w:val="24"/>
        </w:rPr>
        <w:t xml:space="preserve"> (Accessed on 10/06/2023).</w:t>
      </w:r>
    </w:p>
    <w:p w14:paraId="2EBCF365"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Her Majesty’s Inspectorate of Constabulary and Fire and Rescue Services (HMICFRS) (2019) ‘The police response to domestic abuse’. Available at: </w:t>
      </w:r>
      <w:hyperlink r:id="rId26" w:history="1">
        <w:r w:rsidRPr="008046BA">
          <w:rPr>
            <w:rStyle w:val="Hyperlink"/>
            <w:rFonts w:asciiTheme="minorHAnsi" w:hAnsiTheme="minorHAnsi" w:cstheme="minorHAnsi"/>
            <w:sz w:val="24"/>
            <w:szCs w:val="24"/>
          </w:rPr>
          <w:t>https://www.justiceinspectorates.gov.uk/hmicfrs/wp-content/uploads/the-police-response-to-domestic-abuse-an-update-report.pdf</w:t>
        </w:r>
      </w:hyperlink>
      <w:r w:rsidRPr="008046BA">
        <w:rPr>
          <w:rFonts w:asciiTheme="minorHAnsi" w:hAnsiTheme="minorHAnsi" w:cstheme="minorHAnsi"/>
          <w:sz w:val="24"/>
          <w:szCs w:val="24"/>
        </w:rPr>
        <w:t xml:space="preserve"> (Accessed on 10/06/2023).</w:t>
      </w:r>
    </w:p>
    <w:p w14:paraId="21D2251D"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HM Government (2022) ‘Tackling Domestic Abuse Plan’. Available at: </w:t>
      </w:r>
      <w:hyperlink r:id="rId27" w:history="1">
        <w:r w:rsidRPr="008046BA">
          <w:rPr>
            <w:rStyle w:val="Hyperlink"/>
            <w:rFonts w:asciiTheme="minorHAnsi" w:hAnsiTheme="minorHAnsi" w:cstheme="minorHAnsi"/>
            <w:sz w:val="24"/>
            <w:szCs w:val="24"/>
          </w:rPr>
          <w:t>https://assets.publishing.service.gov.uk/government/uploads/system/uploads/attac</w:t>
        </w:r>
        <w:r w:rsidRPr="008046BA">
          <w:rPr>
            <w:rStyle w:val="Hyperlink"/>
            <w:rFonts w:asciiTheme="minorHAnsi" w:hAnsiTheme="minorHAnsi" w:cstheme="minorHAnsi"/>
            <w:sz w:val="24"/>
            <w:szCs w:val="24"/>
          </w:rPr>
          <w:lastRenderedPageBreak/>
          <w:t>hment_data/file/1064427/E02735263_Tackling_Domestic_Abuse_CP_639_Accessible.pdf</w:t>
        </w:r>
      </w:hyperlink>
      <w:r w:rsidRPr="008046BA">
        <w:rPr>
          <w:rFonts w:asciiTheme="minorHAnsi" w:hAnsiTheme="minorHAnsi" w:cstheme="minorHAnsi"/>
          <w:sz w:val="24"/>
          <w:szCs w:val="24"/>
        </w:rPr>
        <w:t xml:space="preserve"> (Accessed on 10/06/2023).</w:t>
      </w:r>
    </w:p>
    <w:p w14:paraId="15E67E96"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Home Office (2012) ‘Definition of policing by consent’ (10</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December). Available at: </w:t>
      </w:r>
      <w:hyperlink r:id="rId28" w:history="1">
        <w:r w:rsidRPr="008046BA">
          <w:rPr>
            <w:rStyle w:val="Hyperlink"/>
            <w:rFonts w:asciiTheme="minorHAnsi" w:hAnsiTheme="minorHAnsi" w:cstheme="minorHAnsi"/>
            <w:sz w:val="24"/>
            <w:szCs w:val="24"/>
          </w:rPr>
          <w:t>https://www.gov.uk/government/publications/policing-by-consent/definition-of-policing-by-consent</w:t>
        </w:r>
      </w:hyperlink>
      <w:r w:rsidRPr="008046BA">
        <w:rPr>
          <w:rFonts w:asciiTheme="minorHAnsi" w:hAnsiTheme="minorHAnsi" w:cstheme="minorHAnsi"/>
          <w:sz w:val="24"/>
          <w:szCs w:val="24"/>
        </w:rPr>
        <w:t xml:space="preserve"> (Accessed on 02/07/2023).</w:t>
      </w:r>
    </w:p>
    <w:p w14:paraId="46930B0C"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Hopkinson, C (2020) ‘Gibbs Reflective Cycle’, 6</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January. Available at: </w:t>
      </w:r>
      <w:hyperlink r:id="rId29" w:history="1">
        <w:r w:rsidRPr="008046BA">
          <w:rPr>
            <w:rStyle w:val="Hyperlink"/>
            <w:rFonts w:asciiTheme="minorHAnsi" w:hAnsiTheme="minorHAnsi" w:cstheme="minorHAnsi"/>
            <w:sz w:val="24"/>
            <w:szCs w:val="24"/>
          </w:rPr>
          <w:t>https://www.routledge.com/blog/article/gibbs-reflective-cycle</w:t>
        </w:r>
      </w:hyperlink>
      <w:r w:rsidRPr="008046BA">
        <w:rPr>
          <w:rFonts w:asciiTheme="minorHAnsi" w:hAnsiTheme="minorHAnsi" w:cstheme="minorHAnsi"/>
          <w:sz w:val="24"/>
          <w:szCs w:val="24"/>
        </w:rPr>
        <w:t xml:space="preserve"> (Accessed on 10/06/2023).</w:t>
      </w:r>
    </w:p>
    <w:p w14:paraId="121B9AF0"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proofErr w:type="spellStart"/>
      <w:r w:rsidRPr="008046BA">
        <w:rPr>
          <w:rFonts w:asciiTheme="minorHAnsi" w:hAnsiTheme="minorHAnsi" w:cstheme="minorHAnsi"/>
          <w:sz w:val="24"/>
          <w:szCs w:val="24"/>
        </w:rPr>
        <w:t>Leventakis</w:t>
      </w:r>
      <w:proofErr w:type="spellEnd"/>
      <w:r w:rsidRPr="008046BA">
        <w:rPr>
          <w:rFonts w:asciiTheme="minorHAnsi" w:hAnsiTheme="minorHAnsi" w:cstheme="minorHAnsi"/>
          <w:sz w:val="24"/>
          <w:szCs w:val="24"/>
        </w:rPr>
        <w:t xml:space="preserve">, G (2018) ‘Community Orientated Policing and Technological Innovations’. M.R. </w:t>
      </w:r>
      <w:proofErr w:type="spellStart"/>
      <w:r w:rsidRPr="008046BA">
        <w:rPr>
          <w:rFonts w:asciiTheme="minorHAnsi" w:hAnsiTheme="minorHAnsi" w:cstheme="minorHAnsi"/>
          <w:sz w:val="24"/>
          <w:szCs w:val="24"/>
        </w:rPr>
        <w:t>Haberfeld</w:t>
      </w:r>
      <w:proofErr w:type="spellEnd"/>
      <w:r w:rsidRPr="008046BA">
        <w:rPr>
          <w:rFonts w:asciiTheme="minorHAnsi" w:hAnsiTheme="minorHAnsi" w:cstheme="minorHAnsi"/>
          <w:sz w:val="24"/>
          <w:szCs w:val="24"/>
        </w:rPr>
        <w:t xml:space="preserve">. Springer International Publishing, Greece. Available at: </w:t>
      </w:r>
      <w:hyperlink r:id="rId30" w:history="1">
        <w:r w:rsidRPr="008046BA">
          <w:rPr>
            <w:rStyle w:val="Hyperlink"/>
            <w:rFonts w:asciiTheme="minorHAnsi" w:hAnsiTheme="minorHAnsi" w:cstheme="minorHAnsi"/>
            <w:sz w:val="24"/>
            <w:szCs w:val="24"/>
          </w:rPr>
          <w:t>https://link.springer.com/content/pdf/10.1007/978-3-319-89294-8.pdf</w:t>
        </w:r>
      </w:hyperlink>
      <w:r w:rsidRPr="008046BA">
        <w:rPr>
          <w:rFonts w:asciiTheme="minorHAnsi" w:hAnsiTheme="minorHAnsi" w:cstheme="minorHAnsi"/>
          <w:sz w:val="24"/>
          <w:szCs w:val="24"/>
        </w:rPr>
        <w:t xml:space="preserve"> (Accessed on 02/07/2023).</w:t>
      </w:r>
    </w:p>
    <w:p w14:paraId="481398EB"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National Policing Improvement Agency (2017) ‘Cohesion Guide’. Available at: </w:t>
      </w:r>
      <w:hyperlink r:id="rId31" w:history="1">
        <w:r w:rsidRPr="008046BA">
          <w:rPr>
            <w:rStyle w:val="Hyperlink"/>
            <w:rFonts w:asciiTheme="minorHAnsi" w:hAnsiTheme="minorHAnsi" w:cstheme="minorHAnsi"/>
            <w:sz w:val="24"/>
            <w:szCs w:val="24"/>
          </w:rPr>
          <w:t>https://moodle.uwtsd.ac.uk/pluginfile.php/594120/mod_scorm/content/15/story_content/external_files/Cohesion%20Guide.pdf</w:t>
        </w:r>
      </w:hyperlink>
      <w:r w:rsidRPr="008046BA">
        <w:rPr>
          <w:rFonts w:asciiTheme="minorHAnsi" w:hAnsiTheme="minorHAnsi" w:cstheme="minorHAnsi"/>
          <w:sz w:val="24"/>
          <w:szCs w:val="24"/>
        </w:rPr>
        <w:t xml:space="preserve"> (Accessed on 02/07/2023).</w:t>
      </w:r>
    </w:p>
    <w:p w14:paraId="32DE3DE6"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Office for National Statistics (2022) ‘Domestic abuse in England and Wales overview: November 2022’, 25</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November. Available at: </w:t>
      </w:r>
      <w:hyperlink r:id="rId32" w:history="1">
        <w:r w:rsidRPr="008046BA">
          <w:rPr>
            <w:rStyle w:val="Hyperlink"/>
            <w:rFonts w:asciiTheme="minorHAnsi" w:hAnsiTheme="minorHAnsi" w:cstheme="minorHAnsi"/>
            <w:sz w:val="24"/>
            <w:szCs w:val="24"/>
          </w:rPr>
          <w:t>https://www.ons.gov.uk/peoplepopulationandcommunity/crimeandjustice/bulletins/domesticabuseinenglandandwalesoverview/november2022</w:t>
        </w:r>
      </w:hyperlink>
      <w:r w:rsidRPr="008046BA">
        <w:rPr>
          <w:rFonts w:asciiTheme="minorHAnsi" w:hAnsiTheme="minorHAnsi" w:cstheme="minorHAnsi"/>
          <w:sz w:val="24"/>
          <w:szCs w:val="24"/>
        </w:rPr>
        <w:t xml:space="preserve"> (Accessed on 10/06/2023).</w:t>
      </w:r>
    </w:p>
    <w:p w14:paraId="12F961D2"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South Wales Police (2015) ‘Vulnerable Adult Protection’, 20</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March. Available at: </w:t>
      </w:r>
      <w:hyperlink r:id="rId33" w:history="1">
        <w:r w:rsidRPr="008046BA">
          <w:rPr>
            <w:rStyle w:val="Hyperlink"/>
            <w:rFonts w:asciiTheme="minorHAnsi" w:hAnsiTheme="minorHAnsi" w:cstheme="minorHAnsi"/>
            <w:sz w:val="24"/>
            <w:szCs w:val="24"/>
          </w:rPr>
          <w:t>http://swplive.blob.core.windows.net/wordpress-uploads/Procedure80.pdf</w:t>
        </w:r>
      </w:hyperlink>
      <w:r w:rsidRPr="008046BA">
        <w:rPr>
          <w:rFonts w:asciiTheme="minorHAnsi" w:hAnsiTheme="minorHAnsi" w:cstheme="minorHAnsi"/>
          <w:sz w:val="24"/>
          <w:szCs w:val="24"/>
        </w:rPr>
        <w:t xml:space="preserve"> (Accessed on 10/06/2023).</w:t>
      </w:r>
    </w:p>
    <w:p w14:paraId="042A70C9"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lastRenderedPageBreak/>
        <w:t xml:space="preserve">South Wales Victim Focus (2023) ‘Domestic Abuse’. Available at: </w:t>
      </w:r>
      <w:hyperlink r:id="rId34" w:history="1">
        <w:r w:rsidRPr="008046BA">
          <w:rPr>
            <w:rStyle w:val="Hyperlink"/>
            <w:rFonts w:asciiTheme="minorHAnsi" w:hAnsiTheme="minorHAnsi" w:cstheme="minorHAnsi"/>
            <w:sz w:val="24"/>
            <w:szCs w:val="24"/>
          </w:rPr>
          <w:t>https://www.southwalesvictimfocus.org.uk/specialist-services/domestic-abuse/</w:t>
        </w:r>
      </w:hyperlink>
      <w:r w:rsidRPr="008046BA">
        <w:rPr>
          <w:rFonts w:asciiTheme="minorHAnsi" w:hAnsiTheme="minorHAnsi" w:cstheme="minorHAnsi"/>
          <w:sz w:val="24"/>
          <w:szCs w:val="24"/>
        </w:rPr>
        <w:t xml:space="preserve"> (Accessed on 10/06/2023).</w:t>
      </w:r>
    </w:p>
    <w:p w14:paraId="6B358B09"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Stephens, G (2022) ‘Modernising Neighbourhood Policing’. Available at: </w:t>
      </w:r>
      <w:hyperlink r:id="rId35" w:history="1">
        <w:r w:rsidRPr="008046BA">
          <w:rPr>
            <w:rStyle w:val="Hyperlink"/>
            <w:rFonts w:asciiTheme="minorHAnsi" w:hAnsiTheme="minorHAnsi" w:cstheme="minorHAnsi"/>
            <w:sz w:val="24"/>
            <w:szCs w:val="24"/>
          </w:rPr>
          <w:t>Neighbourhood policing | College of Policing</w:t>
        </w:r>
      </w:hyperlink>
      <w:r w:rsidRPr="008046BA">
        <w:rPr>
          <w:rFonts w:asciiTheme="minorHAnsi" w:hAnsiTheme="minorHAnsi" w:cstheme="minorHAnsi"/>
          <w:sz w:val="24"/>
          <w:szCs w:val="24"/>
        </w:rPr>
        <w:t xml:space="preserve"> (Accessed on 02/07/2023).</w:t>
      </w:r>
    </w:p>
    <w:p w14:paraId="0023C512"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University of Cumbria (2020) ‘Gibbs Reflective Cycle’. Available at: </w:t>
      </w:r>
      <w:hyperlink r:id="rId36" w:history="1">
        <w:r w:rsidRPr="008046BA">
          <w:rPr>
            <w:rStyle w:val="Hyperlink"/>
            <w:rFonts w:asciiTheme="minorHAnsi" w:hAnsiTheme="minorHAnsi" w:cstheme="minorHAnsi"/>
            <w:sz w:val="24"/>
            <w:szCs w:val="24"/>
          </w:rPr>
          <w:t>https://my.cumbria.ac.uk/media/MyCumbria/Documents/ReflectiveCycleGibbs.pdf</w:t>
        </w:r>
      </w:hyperlink>
      <w:r w:rsidRPr="008046BA">
        <w:rPr>
          <w:rFonts w:asciiTheme="minorHAnsi" w:hAnsiTheme="minorHAnsi" w:cstheme="minorHAnsi"/>
          <w:sz w:val="24"/>
          <w:szCs w:val="24"/>
        </w:rPr>
        <w:t xml:space="preserve"> (Accessed on 10/06/2023).</w:t>
      </w:r>
    </w:p>
    <w:p w14:paraId="774BED1F" w14:textId="77777777" w:rsidR="00785CDE" w:rsidRPr="008046BA" w:rsidRDefault="00785CDE" w:rsidP="008046BA">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University of Edinburgh (2020). ‘Gibbs Reflective Cycle’. Available at: </w:t>
      </w:r>
      <w:hyperlink r:id="rId37" w:history="1">
        <w:r w:rsidRPr="008046BA">
          <w:rPr>
            <w:rStyle w:val="Hyperlink"/>
            <w:rFonts w:asciiTheme="minorHAnsi" w:hAnsiTheme="minorHAnsi" w:cstheme="minorHAnsi"/>
            <w:sz w:val="24"/>
            <w:szCs w:val="24"/>
          </w:rPr>
          <w:t>Gibbs' Reflective Cycle | The University of Edinburgh</w:t>
        </w:r>
      </w:hyperlink>
      <w:r w:rsidRPr="008046BA">
        <w:rPr>
          <w:rFonts w:asciiTheme="minorHAnsi" w:hAnsiTheme="minorHAnsi" w:cstheme="minorHAnsi"/>
          <w:sz w:val="24"/>
          <w:szCs w:val="24"/>
        </w:rPr>
        <w:t xml:space="preserve"> (Accessed on 10/06/2023).</w:t>
      </w:r>
    </w:p>
    <w:p w14:paraId="36D4B733" w14:textId="77777777" w:rsidR="00785CDE" w:rsidRPr="008046BA" w:rsidRDefault="00785CDE" w:rsidP="008046BA">
      <w:pPr>
        <w:pStyle w:val="ListParagraph"/>
        <w:numPr>
          <w:ilvl w:val="0"/>
          <w:numId w:val="50"/>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University of Edinburgh (2020). ‘Gibbs Reflective Cycle’. Available at: </w:t>
      </w:r>
      <w:hyperlink r:id="rId38" w:history="1">
        <w:r w:rsidRPr="008046BA">
          <w:rPr>
            <w:rStyle w:val="Hyperlink"/>
            <w:rFonts w:asciiTheme="minorHAnsi" w:hAnsiTheme="minorHAnsi" w:cstheme="minorHAnsi"/>
            <w:sz w:val="24"/>
            <w:szCs w:val="24"/>
          </w:rPr>
          <w:t>Gibbs' Reflective Cycle | The University of Edinburgh</w:t>
        </w:r>
      </w:hyperlink>
      <w:r w:rsidRPr="008046BA">
        <w:rPr>
          <w:rFonts w:asciiTheme="minorHAnsi" w:hAnsiTheme="minorHAnsi" w:cstheme="minorHAnsi"/>
          <w:sz w:val="24"/>
          <w:szCs w:val="24"/>
        </w:rPr>
        <w:t xml:space="preserve"> (Accessed on 02/07/2023).</w:t>
      </w:r>
    </w:p>
    <w:p w14:paraId="1984E7D6" w14:textId="77777777" w:rsidR="00785CDE" w:rsidRPr="008046BA" w:rsidRDefault="00785CDE" w:rsidP="008046BA">
      <w:pPr>
        <w:pStyle w:val="ListParagraph"/>
        <w:numPr>
          <w:ilvl w:val="0"/>
          <w:numId w:val="50"/>
        </w:numPr>
        <w:overflowPunct/>
        <w:autoSpaceDE/>
        <w:autoSpaceDN/>
        <w:adjustRightInd/>
        <w:spacing w:after="160"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Weisburd, D et al (2008) ‘The effects of problem-oriented policing on crime and disorder’ (27</w:t>
      </w:r>
      <w:r w:rsidRPr="008046BA">
        <w:rPr>
          <w:rFonts w:asciiTheme="minorHAnsi" w:hAnsiTheme="minorHAnsi" w:cstheme="minorHAnsi"/>
          <w:sz w:val="24"/>
          <w:szCs w:val="24"/>
          <w:vertAlign w:val="superscript"/>
        </w:rPr>
        <w:t>th</w:t>
      </w:r>
      <w:r w:rsidRPr="008046BA">
        <w:rPr>
          <w:rFonts w:asciiTheme="minorHAnsi" w:hAnsiTheme="minorHAnsi" w:cstheme="minorHAnsi"/>
          <w:sz w:val="24"/>
          <w:szCs w:val="24"/>
        </w:rPr>
        <w:t xml:space="preserve"> October). Available at: </w:t>
      </w:r>
      <w:hyperlink r:id="rId39" w:history="1">
        <w:r w:rsidRPr="008046BA">
          <w:rPr>
            <w:rStyle w:val="Hyperlink"/>
            <w:rFonts w:asciiTheme="minorHAnsi" w:hAnsiTheme="minorHAnsi" w:cstheme="minorHAnsi"/>
            <w:sz w:val="24"/>
            <w:szCs w:val="24"/>
          </w:rPr>
          <w:t>https://library.college.police.uk/docs/Weisburd-Problem-oriented-policing-2008.pdf</w:t>
        </w:r>
      </w:hyperlink>
      <w:r w:rsidRPr="008046BA">
        <w:rPr>
          <w:rFonts w:asciiTheme="minorHAnsi" w:hAnsiTheme="minorHAnsi" w:cstheme="minorHAnsi"/>
          <w:sz w:val="24"/>
          <w:szCs w:val="24"/>
        </w:rPr>
        <w:t xml:space="preserve"> (Accessed on 02/07/2023).</w:t>
      </w:r>
    </w:p>
    <w:p w14:paraId="1ABEBB16" w14:textId="77777777" w:rsidR="00785CDE" w:rsidRPr="00785CDE" w:rsidRDefault="00785CDE" w:rsidP="00785CDE">
      <w:pPr>
        <w:pStyle w:val="ListParagraph"/>
        <w:numPr>
          <w:ilvl w:val="0"/>
          <w:numId w:val="51"/>
        </w:numPr>
        <w:spacing w:line="480" w:lineRule="auto"/>
        <w:textAlignment w:val="auto"/>
        <w:rPr>
          <w:rFonts w:asciiTheme="minorHAnsi" w:hAnsiTheme="minorHAnsi" w:cstheme="minorHAnsi"/>
          <w:sz w:val="24"/>
          <w:szCs w:val="24"/>
        </w:rPr>
      </w:pPr>
      <w:r w:rsidRPr="008046BA">
        <w:rPr>
          <w:rFonts w:asciiTheme="minorHAnsi" w:hAnsiTheme="minorHAnsi" w:cstheme="minorHAnsi"/>
          <w:sz w:val="24"/>
          <w:szCs w:val="24"/>
        </w:rPr>
        <w:t xml:space="preserve">Welsh Women’s Aid (2022) ‘Information and support’. Available at: </w:t>
      </w:r>
      <w:hyperlink r:id="rId40" w:history="1">
        <w:r w:rsidRPr="008046BA">
          <w:rPr>
            <w:rStyle w:val="Hyperlink"/>
            <w:rFonts w:asciiTheme="minorHAnsi" w:hAnsiTheme="minorHAnsi" w:cstheme="minorHAnsi"/>
            <w:sz w:val="24"/>
            <w:szCs w:val="24"/>
          </w:rPr>
          <w:t>https://welshwomensaid.org.uk/information-support/i-need-help/</w:t>
        </w:r>
      </w:hyperlink>
      <w:r w:rsidRPr="008046BA">
        <w:rPr>
          <w:rFonts w:asciiTheme="minorHAnsi" w:hAnsiTheme="minorHAnsi" w:cstheme="minorHAnsi"/>
          <w:sz w:val="24"/>
          <w:szCs w:val="24"/>
        </w:rPr>
        <w:t xml:space="preserve"> (Accessed on 10/06/2023).</w:t>
      </w:r>
    </w:p>
    <w:p w14:paraId="63126C22" w14:textId="77777777" w:rsidR="008046BA" w:rsidRDefault="008046BA" w:rsidP="00EA28F1">
      <w:pPr>
        <w:keepNext/>
        <w:spacing w:before="240" w:after="60"/>
        <w:ind w:right="237"/>
        <w:jc w:val="both"/>
      </w:pPr>
    </w:p>
    <w:sectPr w:rsidR="008046B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4644642"/>
    <w:lvl w:ilvl="0" w:tplc="C05ADC68">
      <w:start w:val="1"/>
      <w:numFmt w:val="decimal"/>
      <w:lvlText w:val="%1."/>
      <w:lvlJc w:val="left"/>
      <w:pPr>
        <w:ind w:left="720" w:hanging="360"/>
      </w:pPr>
    </w:lvl>
    <w:lvl w:ilvl="1" w:tplc="3F80725C">
      <w:start w:val="1"/>
      <w:numFmt w:val="lowerLetter"/>
      <w:lvlText w:val="%2."/>
      <w:lvlJc w:val="left"/>
      <w:pPr>
        <w:ind w:left="1440" w:hanging="360"/>
      </w:pPr>
    </w:lvl>
    <w:lvl w:ilvl="2" w:tplc="A10CF1DE">
      <w:start w:val="1"/>
      <w:numFmt w:val="lowerRoman"/>
      <w:lvlText w:val="%3."/>
      <w:lvlJc w:val="right"/>
      <w:pPr>
        <w:ind w:left="2160" w:hanging="180"/>
      </w:pPr>
    </w:lvl>
    <w:lvl w:ilvl="3" w:tplc="7C02CA0E">
      <w:start w:val="1"/>
      <w:numFmt w:val="decimal"/>
      <w:lvlText w:val="%4."/>
      <w:lvlJc w:val="left"/>
      <w:pPr>
        <w:ind w:left="2880" w:hanging="360"/>
      </w:pPr>
    </w:lvl>
    <w:lvl w:ilvl="4" w:tplc="2D662890">
      <w:start w:val="1"/>
      <w:numFmt w:val="lowerLetter"/>
      <w:lvlText w:val="%5."/>
      <w:lvlJc w:val="left"/>
      <w:pPr>
        <w:ind w:left="3600" w:hanging="360"/>
      </w:pPr>
    </w:lvl>
    <w:lvl w:ilvl="5" w:tplc="920C5838">
      <w:start w:val="1"/>
      <w:numFmt w:val="lowerRoman"/>
      <w:lvlText w:val="%6."/>
      <w:lvlJc w:val="right"/>
      <w:pPr>
        <w:ind w:left="4320" w:hanging="180"/>
      </w:pPr>
    </w:lvl>
    <w:lvl w:ilvl="6" w:tplc="E320DE16">
      <w:start w:val="1"/>
      <w:numFmt w:val="decimal"/>
      <w:lvlText w:val="%7."/>
      <w:lvlJc w:val="left"/>
      <w:pPr>
        <w:ind w:left="5040" w:hanging="360"/>
      </w:pPr>
    </w:lvl>
    <w:lvl w:ilvl="7" w:tplc="7CCACC1C">
      <w:start w:val="1"/>
      <w:numFmt w:val="lowerLetter"/>
      <w:lvlText w:val="%8."/>
      <w:lvlJc w:val="left"/>
      <w:pPr>
        <w:ind w:left="5760" w:hanging="360"/>
      </w:pPr>
    </w:lvl>
    <w:lvl w:ilvl="8" w:tplc="E850EB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007578"/>
    <w:multiLevelType w:val="hybridMultilevel"/>
    <w:tmpl w:val="9A64620E"/>
    <w:lvl w:ilvl="0" w:tplc="E0ACC3E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8E4A85"/>
    <w:multiLevelType w:val="hybridMultilevel"/>
    <w:tmpl w:val="3A8ED1BE"/>
    <w:lvl w:ilvl="0" w:tplc="5BFC385A">
      <w:start w:val="1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94CF194"/>
    <w:multiLevelType w:val="hybridMultilevel"/>
    <w:tmpl w:val="9F6A564C"/>
    <w:lvl w:ilvl="0" w:tplc="03BEE058">
      <w:start w:val="1"/>
      <w:numFmt w:val="decimal"/>
      <w:lvlText w:val="%1."/>
      <w:lvlJc w:val="left"/>
      <w:pPr>
        <w:ind w:left="720" w:hanging="360"/>
      </w:pPr>
    </w:lvl>
    <w:lvl w:ilvl="1" w:tplc="4798028A">
      <w:start w:val="1"/>
      <w:numFmt w:val="decimal"/>
      <w:lvlText w:val="%2."/>
      <w:lvlJc w:val="left"/>
      <w:pPr>
        <w:ind w:left="1440" w:hanging="360"/>
      </w:pPr>
    </w:lvl>
    <w:lvl w:ilvl="2" w:tplc="B0CCF7BC">
      <w:start w:val="1"/>
      <w:numFmt w:val="lowerRoman"/>
      <w:lvlText w:val="%3."/>
      <w:lvlJc w:val="right"/>
      <w:pPr>
        <w:ind w:left="2160" w:hanging="180"/>
      </w:pPr>
    </w:lvl>
    <w:lvl w:ilvl="3" w:tplc="97AC3E50">
      <w:start w:val="1"/>
      <w:numFmt w:val="decimal"/>
      <w:lvlText w:val="%4."/>
      <w:lvlJc w:val="left"/>
      <w:pPr>
        <w:ind w:left="2880" w:hanging="360"/>
      </w:pPr>
    </w:lvl>
    <w:lvl w:ilvl="4" w:tplc="F2A8D016">
      <w:start w:val="1"/>
      <w:numFmt w:val="lowerLetter"/>
      <w:lvlText w:val="%5."/>
      <w:lvlJc w:val="left"/>
      <w:pPr>
        <w:ind w:left="3600" w:hanging="360"/>
      </w:pPr>
    </w:lvl>
    <w:lvl w:ilvl="5" w:tplc="6D92E3AC">
      <w:start w:val="1"/>
      <w:numFmt w:val="lowerRoman"/>
      <w:lvlText w:val="%6."/>
      <w:lvlJc w:val="right"/>
      <w:pPr>
        <w:ind w:left="4320" w:hanging="180"/>
      </w:pPr>
    </w:lvl>
    <w:lvl w:ilvl="6" w:tplc="E8861498">
      <w:start w:val="1"/>
      <w:numFmt w:val="decimal"/>
      <w:lvlText w:val="%7."/>
      <w:lvlJc w:val="left"/>
      <w:pPr>
        <w:ind w:left="5040" w:hanging="360"/>
      </w:pPr>
    </w:lvl>
    <w:lvl w:ilvl="7" w:tplc="674C3452">
      <w:start w:val="1"/>
      <w:numFmt w:val="lowerLetter"/>
      <w:lvlText w:val="%8."/>
      <w:lvlJc w:val="left"/>
      <w:pPr>
        <w:ind w:left="5760" w:hanging="360"/>
      </w:pPr>
    </w:lvl>
    <w:lvl w:ilvl="8" w:tplc="AEF6896A">
      <w:start w:val="1"/>
      <w:numFmt w:val="lowerRoman"/>
      <w:lvlText w:val="%9."/>
      <w:lvlJc w:val="right"/>
      <w:pPr>
        <w:ind w:left="6480" w:hanging="180"/>
      </w:p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285138">
    <w:abstractNumId w:val="49"/>
  </w:num>
  <w:num w:numId="2" w16cid:durableId="2122645724">
    <w:abstractNumId w:val="10"/>
  </w:num>
  <w:num w:numId="3" w16cid:durableId="1866864319">
    <w:abstractNumId w:val="1"/>
    <w:lvlOverride w:ilvl="0">
      <w:lvl w:ilvl="0">
        <w:start w:val="1"/>
        <w:numFmt w:val="bullet"/>
        <w:lvlText w:val=""/>
        <w:lvlJc w:val="left"/>
        <w:pPr>
          <w:ind w:left="720" w:hanging="360"/>
        </w:pPr>
        <w:rPr>
          <w:rFonts w:ascii="Symbol" w:hAnsi="Symbol" w:hint="default"/>
        </w:rPr>
      </w:lvl>
    </w:lvlOverride>
  </w:num>
  <w:num w:numId="4" w16cid:durableId="1627420220">
    <w:abstractNumId w:val="22"/>
  </w:num>
  <w:num w:numId="5" w16cid:durableId="1493255521">
    <w:abstractNumId w:val="46"/>
  </w:num>
  <w:num w:numId="6" w16cid:durableId="1420637780">
    <w:abstractNumId w:val="48"/>
  </w:num>
  <w:num w:numId="7" w16cid:durableId="955453008">
    <w:abstractNumId w:val="36"/>
  </w:num>
  <w:num w:numId="8" w16cid:durableId="582839375">
    <w:abstractNumId w:val="34"/>
  </w:num>
  <w:num w:numId="9" w16cid:durableId="1829899475">
    <w:abstractNumId w:val="30"/>
  </w:num>
  <w:num w:numId="10" w16cid:durableId="205946188">
    <w:abstractNumId w:val="31"/>
  </w:num>
  <w:num w:numId="11" w16cid:durableId="629021996">
    <w:abstractNumId w:val="9"/>
  </w:num>
  <w:num w:numId="12" w16cid:durableId="594436663">
    <w:abstractNumId w:val="35"/>
  </w:num>
  <w:num w:numId="13" w16cid:durableId="605191431">
    <w:abstractNumId w:val="17"/>
  </w:num>
  <w:num w:numId="14" w16cid:durableId="754790687">
    <w:abstractNumId w:val="16"/>
  </w:num>
  <w:num w:numId="15" w16cid:durableId="761535755">
    <w:abstractNumId w:val="27"/>
  </w:num>
  <w:num w:numId="16" w16cid:durableId="1041248492">
    <w:abstractNumId w:val="7"/>
  </w:num>
  <w:num w:numId="17" w16cid:durableId="861285449">
    <w:abstractNumId w:val="25"/>
  </w:num>
  <w:num w:numId="18" w16cid:durableId="231474093">
    <w:abstractNumId w:val="15"/>
  </w:num>
  <w:num w:numId="19" w16cid:durableId="259065353">
    <w:abstractNumId w:val="13"/>
  </w:num>
  <w:num w:numId="20" w16cid:durableId="203445108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8493170">
    <w:abstractNumId w:val="23"/>
  </w:num>
  <w:num w:numId="22" w16cid:durableId="1530683874">
    <w:abstractNumId w:val="18"/>
  </w:num>
  <w:num w:numId="23" w16cid:durableId="866606670">
    <w:abstractNumId w:val="14"/>
  </w:num>
  <w:num w:numId="24" w16cid:durableId="120073978">
    <w:abstractNumId w:val="11"/>
  </w:num>
  <w:num w:numId="25" w16cid:durableId="1753312953">
    <w:abstractNumId w:val="28"/>
  </w:num>
  <w:num w:numId="26" w16cid:durableId="746416046">
    <w:abstractNumId w:val="19"/>
  </w:num>
  <w:num w:numId="27" w16cid:durableId="691612025">
    <w:abstractNumId w:val="42"/>
  </w:num>
  <w:num w:numId="28" w16cid:durableId="973564202">
    <w:abstractNumId w:val="37"/>
  </w:num>
  <w:num w:numId="29" w16cid:durableId="191266129">
    <w:abstractNumId w:val="41"/>
  </w:num>
  <w:num w:numId="30" w16cid:durableId="1950619991">
    <w:abstractNumId w:val="20"/>
  </w:num>
  <w:num w:numId="31" w16cid:durableId="1788696219">
    <w:abstractNumId w:val="44"/>
  </w:num>
  <w:num w:numId="32" w16cid:durableId="1038161570">
    <w:abstractNumId w:val="32"/>
  </w:num>
  <w:num w:numId="33" w16cid:durableId="2114858975">
    <w:abstractNumId w:val="12"/>
  </w:num>
  <w:num w:numId="34" w16cid:durableId="1019043809">
    <w:abstractNumId w:val="45"/>
  </w:num>
  <w:num w:numId="35" w16cid:durableId="947471407">
    <w:abstractNumId w:val="40"/>
  </w:num>
  <w:num w:numId="36" w16cid:durableId="540484184">
    <w:abstractNumId w:val="4"/>
  </w:num>
  <w:num w:numId="37" w16cid:durableId="726226791">
    <w:abstractNumId w:val="47"/>
  </w:num>
  <w:num w:numId="38" w16cid:durableId="1758938994">
    <w:abstractNumId w:val="43"/>
  </w:num>
  <w:num w:numId="39" w16cid:durableId="1039862014">
    <w:abstractNumId w:val="38"/>
  </w:num>
  <w:num w:numId="40" w16cid:durableId="1431044099">
    <w:abstractNumId w:val="39"/>
  </w:num>
  <w:num w:numId="41" w16cid:durableId="257296216">
    <w:abstractNumId w:val="3"/>
  </w:num>
  <w:num w:numId="42" w16cid:durableId="277875547">
    <w:abstractNumId w:val="5"/>
  </w:num>
  <w:num w:numId="43" w16cid:durableId="1502698565">
    <w:abstractNumId w:val="24"/>
  </w:num>
  <w:num w:numId="44" w16cid:durableId="1794866959">
    <w:abstractNumId w:val="6"/>
  </w:num>
  <w:num w:numId="45" w16cid:durableId="1401949811">
    <w:abstractNumId w:val="2"/>
  </w:num>
  <w:num w:numId="46" w16cid:durableId="1740327545">
    <w:abstractNumId w:val="0"/>
  </w:num>
  <w:num w:numId="47" w16cid:durableId="895238468">
    <w:abstractNumId w:val="21"/>
  </w:num>
  <w:num w:numId="48" w16cid:durableId="133447394">
    <w:abstractNumId w:val="29"/>
  </w:num>
  <w:num w:numId="49" w16cid:durableId="444271008">
    <w:abstractNumId w:val="50"/>
  </w:num>
  <w:num w:numId="50" w16cid:durableId="652804530">
    <w:abstractNumId w:val="33"/>
  </w:num>
  <w:num w:numId="51" w16cid:durableId="408310819">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476"/>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5CDE"/>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46BA"/>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0D32"/>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6516F"/>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185"/>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1C6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mgresearch.co.uk/wp-content/uploads/2019/01/1578-HMICFRS-Public-Perceptions-of-Policing-2018_FINAL.pdf" TargetMode="External"/><Relationship Id="rId26" Type="http://schemas.openxmlformats.org/officeDocument/2006/relationships/hyperlink" Target="https://www.justiceinspectorates.gov.uk/hmicfrs/wp-content/uploads/the-police-response-to-domestic-abuse-an-update-report.pdf" TargetMode="External"/><Relationship Id="rId39" Type="http://schemas.openxmlformats.org/officeDocument/2006/relationships/hyperlink" Target="https://library.college.police.uk/docs/Weisburd-Problem-oriented-policing-2008.pdf" TargetMode="External"/><Relationship Id="rId21" Type="http://schemas.openxmlformats.org/officeDocument/2006/relationships/hyperlink" Target="https://www.college.police.uk/research/crime-reduction-toolkit/problem-oriented-policing" TargetMode="External"/><Relationship Id="rId34" Type="http://schemas.openxmlformats.org/officeDocument/2006/relationships/hyperlink" Target="https://www.southwalesvictimfocus.org.uk/specialist-services/domestic-abus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moodle.uwtsd.ac.uk/pluginfile.php/594120/mod_scorm/content/15/story_content/external_files/A%20Guide%20to%20Effective%20Community%20Engagement.pdf" TargetMode="External"/><Relationship Id="rId20" Type="http://schemas.openxmlformats.org/officeDocument/2006/relationships/hyperlink" Target="https://www.college.police.uk/app/civil-emergencies/civil-contingencies/risk-assessment" TargetMode="External"/><Relationship Id="rId29" Type="http://schemas.openxmlformats.org/officeDocument/2006/relationships/hyperlink" Target="https://www.routledge.com/blog/article/gibbs-reflective-cycl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qualitativecriminology.com/pub/v8i3p3/release/5" TargetMode="External"/><Relationship Id="rId32" Type="http://schemas.openxmlformats.org/officeDocument/2006/relationships/hyperlink" Target="https://www.ons.gov.uk/peoplepopulationandcommunity/crimeandjustice/bulletins/domesticabuseinenglandandwalesoverview/november2022" TargetMode="External"/><Relationship Id="rId37" Type="http://schemas.openxmlformats.org/officeDocument/2006/relationships/hyperlink" Target="https://www.ed.ac.uk/reflection/reflectors-toolkit/reflecting-on-experience/gibbs-reflective-cycle" TargetMode="External"/><Relationship Id="rId40" Type="http://schemas.openxmlformats.org/officeDocument/2006/relationships/hyperlink" Target="https://welshwomensaid.org.uk/information-support/i-need-help/"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journals.sagepub.com/doi/full/10.1177/0032258X19836144" TargetMode="External"/><Relationship Id="rId28" Type="http://schemas.openxmlformats.org/officeDocument/2006/relationships/hyperlink" Target="https://www.gov.uk/government/publications/policing-by-consent/definition-of-policing-by-consent" TargetMode="External"/><Relationship Id="rId36" Type="http://schemas.openxmlformats.org/officeDocument/2006/relationships/hyperlink" Target="https://my.cumbria.ac.uk/media/MyCumbria/Documents/ReflectiveCycleGibbs.pdf" TargetMode="External"/><Relationship Id="rId10" Type="http://schemas.openxmlformats.org/officeDocument/2006/relationships/endnotes" Target="endnotes.xml"/><Relationship Id="rId19" Type="http://schemas.openxmlformats.org/officeDocument/2006/relationships/hyperlink" Target="https://www.cavamh.org.uk/directories/south-wales-police-mental-health-unit/" TargetMode="External"/><Relationship Id="rId31" Type="http://schemas.openxmlformats.org/officeDocument/2006/relationships/hyperlink" Target="https://moodle.uwtsd.ac.uk/pluginfile.php/594120/mod_scorm/content/15/story_content/external_files/Cohesion%20Guid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guidance/neighbourhood-policing/solving-problems" TargetMode="External"/><Relationship Id="rId27" Type="http://schemas.openxmlformats.org/officeDocument/2006/relationships/hyperlink" Target="https://assets.publishing.service.gov.uk/government/uploads/system/uploads/attachment_data/file/1064427/E02735263_Tackling_Domestic_Abuse_CP_639_Accessible.pdf" TargetMode="External"/><Relationship Id="rId30" Type="http://schemas.openxmlformats.org/officeDocument/2006/relationships/hyperlink" Target="https://link.springer.com/content/pdf/10.1007/978-3-319-89294-8.pdf" TargetMode="External"/><Relationship Id="rId35" Type="http://schemas.openxmlformats.org/officeDocument/2006/relationships/hyperlink" Target="https://www.college.police.uk/guidance/neighbourhood-policing/foreword"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ebookcentral.proquest.com/lib/trinity/reader.action?docID=5940512" TargetMode="External"/><Relationship Id="rId25" Type="http://schemas.openxmlformats.org/officeDocument/2006/relationships/hyperlink" Target="https://www.gov.uk/government/publications/vulnerabilities-applying-all-our-health/vulnerabilities-applying-all-our-health" TargetMode="External"/><Relationship Id="rId33" Type="http://schemas.openxmlformats.org/officeDocument/2006/relationships/hyperlink" Target="http://swplive.blob.core.windows.net/wordpress-uploads/Procedure80.pdf" TargetMode="External"/><Relationship Id="rId38"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32</Pages>
  <Words>7216</Words>
  <Characters>41137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Selby,Caitlin swp8143</cp:lastModifiedBy>
  <cp:revision>4</cp:revision>
  <cp:lastPrinted>2014-08-26T08:55:00Z</cp:lastPrinted>
  <dcterms:created xsi:type="dcterms:W3CDTF">2023-07-20T15:48:00Z</dcterms:created>
  <dcterms:modified xsi:type="dcterms:W3CDTF">2023-08-07T16:37:00Z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2023-07-20T15:48:24Z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26988389-ef22-4350-9d9e-fa193e20a19b</vt:lpwstr>
  </property>
  <property fmtid="{D5CDD505-2E9C-101B-9397-08002B2CF9AE}" pid="9" name="MSIP_Label_66cf8fe5-b7b7-4df7-b38d-1c61ac2f6639_ContentBits">
    <vt:lpwstr>0</vt:lpwstr>
  </property>
</Properties>
</file>