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5658" w:rsidRDefault="00CF5658">
      <w:r>
        <w:t>Course 02/20</w:t>
      </w:r>
    </w:p>
    <w:p w:rsidR="00DB4C32" w:rsidRDefault="00CF5658">
      <w:r>
        <w:t>EXAM 2</w:t>
      </w:r>
    </w:p>
    <w:p w:rsidR="00CF5658" w:rsidRDefault="00CF5658">
      <w:r>
        <w:t>Gwent</w:t>
      </w:r>
    </w:p>
    <w:p w:rsidR="00CF5658" w:rsidRDefault="00CF5658">
      <w:r>
        <w:t>Leah Powell (PC 2174)</w:t>
      </w:r>
    </w:p>
    <w:p w:rsidR="00CF5658" w:rsidRDefault="00B441B8">
      <w:r>
        <w:t>Student number</w:t>
      </w:r>
      <w:r w:rsidR="00CF5658">
        <w:t>: 1920878</w:t>
      </w:r>
    </w:p>
    <w:p w:rsidR="00CF5658" w:rsidRDefault="00CF5658">
      <w:r>
        <w:t>407204</w:t>
      </w:r>
    </w:p>
    <w:p w:rsidR="00CF5658" w:rsidRDefault="00CF5658"/>
    <w:p w:rsidR="00CE70FF" w:rsidRDefault="00CE70FF">
      <w:r>
        <w:t xml:space="preserve">Q.1 </w:t>
      </w:r>
    </w:p>
    <w:p w:rsidR="00CE70FF" w:rsidRDefault="00C00972">
      <w:r>
        <w:t>Section 163 of the Road Traffic Act 1988 gives a Police Constable in full uniform the power to stop any vehicle. They do not need any reason to believe an offence has been committed.</w:t>
      </w:r>
    </w:p>
    <w:p w:rsidR="00CE70FF" w:rsidRDefault="00CE70FF"/>
    <w:p w:rsidR="00CE70FF" w:rsidRDefault="00CE70FF">
      <w:r>
        <w:t>Q.2</w:t>
      </w:r>
    </w:p>
    <w:p w:rsidR="00CE70FF" w:rsidRDefault="00C00972">
      <w:r>
        <w:t>Section 6(4) of the Road Traffic Act 1988 gives a police constable the power to require a person to provide/undertake a preliminary test if they have been in charge of a mechanically propelled vehicle on a road or other public place and committed a moving traffic offence.</w:t>
      </w:r>
    </w:p>
    <w:p w:rsidR="00CE70FF" w:rsidRDefault="00CE70FF"/>
    <w:p w:rsidR="00CE70FF" w:rsidRDefault="00CE70FF">
      <w:r>
        <w:t>Q.3</w:t>
      </w:r>
    </w:p>
    <w:p w:rsidR="00CF5658" w:rsidRDefault="00C00972">
      <w:r>
        <w:t xml:space="preserve"> A person commits this offence if he/she drives a mechanically propelled vehicle without due care and attention or reasonable consideration for others on a road or other public place.</w:t>
      </w:r>
    </w:p>
    <w:p w:rsidR="00C00972" w:rsidRDefault="00C00972"/>
    <w:p w:rsidR="00C00972" w:rsidRDefault="00C00972">
      <w:r>
        <w:t>Q.4</w:t>
      </w:r>
    </w:p>
    <w:p w:rsidR="00C00972" w:rsidRDefault="00C00972">
      <w:r>
        <w:t xml:space="preserve">Many criminals and crimes may use mechanically propelled vehicles to facilitate the crimes that they commit, for example a drug dealer may need to transport drugs/ vehicles </w:t>
      </w:r>
      <w:proofErr w:type="gramStart"/>
      <w:r>
        <w:t>may also be used</w:t>
      </w:r>
      <w:proofErr w:type="gramEnd"/>
      <w:r>
        <w:t xml:space="preserve"> for human trafficking and CSE offences. The police may use ANPR to track certain vehicles used in association with suspected crimes or criminal activity.</w:t>
      </w:r>
    </w:p>
    <w:p w:rsidR="00C00972" w:rsidRDefault="00C00972"/>
    <w:p w:rsidR="00CF5658" w:rsidRDefault="00CF5658"/>
    <w:p w:rsidR="00CF5658" w:rsidRDefault="00C00972">
      <w:r>
        <w:t>Q.5</w:t>
      </w:r>
    </w:p>
    <w:p w:rsidR="00C00972" w:rsidRDefault="00976A3A">
      <w:r>
        <w:t xml:space="preserve">Section 165A of the Road Traffic Act 1988 provides a Police Constable in uniform with the power to seize a mechanically propelled vehicle being driven on a road or other public place without the necessary insurance or the driver does not hold a driving licence in accordance with the </w:t>
      </w:r>
      <w:proofErr w:type="gramStart"/>
      <w:r>
        <w:t>vehicle which</w:t>
      </w:r>
      <w:proofErr w:type="gramEnd"/>
      <w:r>
        <w:t xml:space="preserve"> is being driven.</w:t>
      </w:r>
    </w:p>
    <w:p w:rsidR="00C00972" w:rsidRDefault="00C00972"/>
    <w:p w:rsidR="00976A3A" w:rsidRDefault="00976A3A"/>
    <w:p w:rsidR="00976A3A" w:rsidRDefault="00976A3A">
      <w:r>
        <w:lastRenderedPageBreak/>
        <w:t>Q.6</w:t>
      </w:r>
    </w:p>
    <w:p w:rsidR="003B4573" w:rsidRDefault="003B4573">
      <w:r>
        <w:t xml:space="preserve">Section 170 (1) of the Road Traffic Act 1988 is a reportable collision/accident.  The old term accident is used within this </w:t>
      </w:r>
      <w:proofErr w:type="gramStart"/>
      <w:r>
        <w:t>definition,</w:t>
      </w:r>
      <w:proofErr w:type="gramEnd"/>
      <w:r>
        <w:t xml:space="preserve"> however we now use the term collision.</w:t>
      </w:r>
    </w:p>
    <w:p w:rsidR="009B66A5" w:rsidRDefault="009B66A5">
      <w:r>
        <w:t xml:space="preserve">Definition: </w:t>
      </w:r>
    </w:p>
    <w:p w:rsidR="003B4573" w:rsidRDefault="003B4573">
      <w:r>
        <w:t>“If, owing to the presence of a mechanically propelled vehicle on a road or other public place an accident occurs whereby:</w:t>
      </w:r>
    </w:p>
    <w:p w:rsidR="003B4573" w:rsidRDefault="003B4573" w:rsidP="003B4573">
      <w:pPr>
        <w:pStyle w:val="ListParagraph"/>
        <w:numPr>
          <w:ilvl w:val="0"/>
          <w:numId w:val="1"/>
        </w:numPr>
      </w:pPr>
      <w:r>
        <w:t>Personal Injury is caused to a person other than the driver of that MPV</w:t>
      </w:r>
    </w:p>
    <w:p w:rsidR="003B4573" w:rsidRDefault="003B4573" w:rsidP="003B4573">
      <w:pPr>
        <w:pStyle w:val="ListParagraph"/>
        <w:numPr>
          <w:ilvl w:val="0"/>
          <w:numId w:val="1"/>
        </w:numPr>
      </w:pPr>
      <w:r>
        <w:t>Damage is caused to a vehicle other than that MPV or trailer drawn by it</w:t>
      </w:r>
    </w:p>
    <w:p w:rsidR="003B4573" w:rsidRDefault="003B4573" w:rsidP="003B4573">
      <w:pPr>
        <w:pStyle w:val="ListParagraph"/>
        <w:numPr>
          <w:ilvl w:val="0"/>
          <w:numId w:val="1"/>
        </w:numPr>
      </w:pPr>
      <w:r>
        <w:t>Damage is caused to an animal not in that MPV or trailer drawn by it</w:t>
      </w:r>
    </w:p>
    <w:p w:rsidR="003B4573" w:rsidRDefault="003B4573" w:rsidP="003B4573">
      <w:pPr>
        <w:pStyle w:val="ListParagraph"/>
        <w:numPr>
          <w:ilvl w:val="0"/>
          <w:numId w:val="1"/>
        </w:numPr>
      </w:pPr>
      <w:r>
        <w:t>Damage is caused to any property fixed to, constructed on or any land adjacent to the road.</w:t>
      </w:r>
    </w:p>
    <w:p w:rsidR="009B66A5" w:rsidRDefault="009B66A5" w:rsidP="009B66A5"/>
    <w:p w:rsidR="009B66A5" w:rsidRDefault="009B66A5" w:rsidP="009B66A5">
      <w:r>
        <w:t>Q.7</w:t>
      </w:r>
    </w:p>
    <w:p w:rsidR="009B66A5" w:rsidRDefault="009B66A5" w:rsidP="009B66A5">
      <w:r>
        <w:t>The role of a Family Lia</w:t>
      </w:r>
      <w:r w:rsidR="003722EA">
        <w:t>i</w:t>
      </w:r>
      <w:r>
        <w:t>son Officer.</w:t>
      </w:r>
    </w:p>
    <w:p w:rsidR="003722EA" w:rsidRDefault="003722EA" w:rsidP="009B66A5"/>
    <w:p w:rsidR="003722EA" w:rsidRDefault="003722EA" w:rsidP="009B66A5">
      <w:r>
        <w:t xml:space="preserve">The FLO is a key role in </w:t>
      </w:r>
      <w:proofErr w:type="gramStart"/>
      <w:r>
        <w:t>incidents which</w:t>
      </w:r>
      <w:proofErr w:type="gramEnd"/>
      <w:r>
        <w:t xml:space="preserve"> there has been a death or serious injury/risk to life.</w:t>
      </w:r>
    </w:p>
    <w:p w:rsidR="003722EA" w:rsidRDefault="003722EA" w:rsidP="009B66A5">
      <w:r>
        <w:t xml:space="preserve">They help with identifying the deceased and will notify the family / next of kin in a timely manner to ensure they do not find out from other sources first. They provide a single point of contact for the family/next of kin. They provide the family/next of kin with a support pack (BRAKE) which signposts to sources of support. They listen to the needs of the family and take witness </w:t>
      </w:r>
      <w:proofErr w:type="gramStart"/>
      <w:r>
        <w:t>statements which</w:t>
      </w:r>
      <w:proofErr w:type="gramEnd"/>
      <w:r>
        <w:t xml:space="preserve"> are key to the investigation of the incident. They may assist with scene visits for the family/next of kin if this is appropriate. </w:t>
      </w:r>
    </w:p>
    <w:p w:rsidR="003722EA" w:rsidRDefault="003722EA" w:rsidP="009B66A5"/>
    <w:p w:rsidR="003722EA" w:rsidRDefault="003722EA" w:rsidP="009B66A5">
      <w:r>
        <w:t>Q.8</w:t>
      </w:r>
    </w:p>
    <w:p w:rsidR="003722EA" w:rsidRDefault="003722EA" w:rsidP="009B66A5">
      <w:r>
        <w:t xml:space="preserve">A </w:t>
      </w:r>
      <w:proofErr w:type="gramStart"/>
      <w:r>
        <w:t>drivers</w:t>
      </w:r>
      <w:proofErr w:type="gramEnd"/>
      <w:r>
        <w:t xml:space="preserve"> responsibility when involved in a reportable road traffic collision is to stop and provide their details to anyone that requests them. They should consider all persons involved and call for emergency health care if required by any injured parties.</w:t>
      </w:r>
    </w:p>
    <w:p w:rsidR="003722EA" w:rsidRDefault="003722EA" w:rsidP="009B66A5">
      <w:r>
        <w:t xml:space="preserve">If there is </w:t>
      </w:r>
      <w:proofErr w:type="gramStart"/>
      <w:r>
        <w:t>no-one</w:t>
      </w:r>
      <w:proofErr w:type="gramEnd"/>
      <w:r>
        <w:t xml:space="preserve"> else at the scene they should report to the police at the </w:t>
      </w:r>
      <w:r w:rsidR="00B91AFD">
        <w:t>police station as soon as practicable but most definitely within 24 hours.</w:t>
      </w:r>
    </w:p>
    <w:p w:rsidR="00B91AFD" w:rsidRDefault="00B91AFD" w:rsidP="009B66A5">
      <w:r>
        <w:t>They will be required to produce documents such as driving licence, insurance, mot certificate and may be required to undertake a preliminary test such as a breath test.</w:t>
      </w:r>
    </w:p>
    <w:p w:rsidR="00B91AFD" w:rsidRDefault="00B91AFD" w:rsidP="009B66A5"/>
    <w:p w:rsidR="003722EA" w:rsidRDefault="003722EA" w:rsidP="009B66A5"/>
    <w:p w:rsidR="009B66A5" w:rsidRDefault="00B91AFD" w:rsidP="009B66A5">
      <w:r>
        <w:t>Q.9</w:t>
      </w:r>
    </w:p>
    <w:p w:rsidR="00B91AFD" w:rsidRDefault="00B91AFD" w:rsidP="009B66A5">
      <w:r>
        <w:t xml:space="preserve">Section 6E of the Road Traffic Act 1988 is a Power of Entry in relation to offences of driving whilst over the prescribed limit.  For this section, you must have reasonable belief that the suspect is inside the property. There must be reasonable belief that they have been involved in a reportable RTC for this section to apply. You are able to use reasonable force to enter the property in relation to </w:t>
      </w:r>
      <w:r>
        <w:lastRenderedPageBreak/>
        <w:t>requesting a preliminary breath test and to arrest if the suspect does not comply with the test (under Section 6D).</w:t>
      </w:r>
    </w:p>
    <w:p w:rsidR="003B4573" w:rsidRDefault="003B4573"/>
    <w:p w:rsidR="003B4573" w:rsidRDefault="003B4573"/>
    <w:p w:rsidR="003B4573" w:rsidRDefault="00B91AFD">
      <w:r>
        <w:t>Q.10</w:t>
      </w:r>
    </w:p>
    <w:p w:rsidR="00B91AFD" w:rsidRDefault="008F147E">
      <w:r>
        <w:t>Section 1 – Death by Dangerous Driving – Road Traffic Act 1988</w:t>
      </w:r>
    </w:p>
    <w:p w:rsidR="008F147E" w:rsidRDefault="008F147E">
      <w:r>
        <w:t>A person commits this offence if the</w:t>
      </w:r>
      <w:r w:rsidR="00E768DD">
        <w:t>y</w:t>
      </w:r>
      <w:r>
        <w:t xml:space="preserve"> cause the death of another </w:t>
      </w:r>
      <w:r w:rsidR="00E768DD">
        <w:t xml:space="preserve">person </w:t>
      </w:r>
      <w:r>
        <w:t>by driving a mechanically propelled vehicle dangerously on a road or other public place.</w:t>
      </w:r>
    </w:p>
    <w:p w:rsidR="00E768DD" w:rsidRDefault="00E768DD"/>
    <w:p w:rsidR="00E768DD" w:rsidRDefault="00E768DD">
      <w:r>
        <w:t>Q.11</w:t>
      </w:r>
    </w:p>
    <w:p w:rsidR="00E768DD" w:rsidRDefault="00E768DD">
      <w:r>
        <w:t>Limits:</w:t>
      </w:r>
    </w:p>
    <w:p w:rsidR="00E768DD" w:rsidRDefault="00E768DD">
      <w:r>
        <w:t>Breath; 35 micrograms per 100 of breath</w:t>
      </w:r>
    </w:p>
    <w:p w:rsidR="00E768DD" w:rsidRDefault="00E768DD">
      <w:r>
        <w:t>Blood: 80 milligrams of alcohol per 100 of blood</w:t>
      </w:r>
    </w:p>
    <w:p w:rsidR="00E768DD" w:rsidRDefault="00E768DD">
      <w:r>
        <w:t>Urine: 107 milligrams of alcohol per 100 of urine</w:t>
      </w:r>
    </w:p>
    <w:p w:rsidR="00E768DD" w:rsidRDefault="00E768DD"/>
    <w:p w:rsidR="00E768DD" w:rsidRDefault="00E768DD">
      <w:r>
        <w:t>Q.12</w:t>
      </w:r>
    </w:p>
    <w:p w:rsidR="00E768DD" w:rsidRDefault="00E768DD">
      <w:r>
        <w:t>Parent/guardian can be present if the suspect is under 18.</w:t>
      </w:r>
    </w:p>
    <w:p w:rsidR="00E768DD" w:rsidRDefault="00E768DD">
      <w:r>
        <w:t>Appropriate adult can be present if there is no parent or guardian available and the suspect under 18 or considered to be vulnerable.</w:t>
      </w:r>
    </w:p>
    <w:p w:rsidR="00E768DD" w:rsidRDefault="00E768DD">
      <w:r>
        <w:t>A solicitor can be present if the suspect requests one, a solicitor will provide legal advice and act in the best interests of the suspect.</w:t>
      </w:r>
    </w:p>
    <w:p w:rsidR="00E768DD" w:rsidRDefault="00E768DD">
      <w:r>
        <w:t xml:space="preserve"> Mental Health Practitioner /Nurse could be present if the suspect has mental health concerns to ensure that the interview can continue by monitoring the welfare of the suspect.</w:t>
      </w:r>
    </w:p>
    <w:p w:rsidR="00E768DD" w:rsidRDefault="007B0283">
      <w:proofErr w:type="gramStart"/>
      <w:r>
        <w:t>The interview may be overseen</w:t>
      </w:r>
      <w:r w:rsidR="00E768DD">
        <w:t xml:space="preserve"> by an inspector outside the interview room</w:t>
      </w:r>
      <w:proofErr w:type="gramEnd"/>
      <w:r w:rsidR="00E768DD">
        <w:t>, this may be more likely in high profile cases to ensure that all questions have been asked / covered.</w:t>
      </w:r>
    </w:p>
    <w:p w:rsidR="00E768DD" w:rsidRDefault="00E768DD"/>
    <w:p w:rsidR="00C609EA" w:rsidRDefault="00C609EA"/>
    <w:p w:rsidR="00C609EA" w:rsidRDefault="00C609EA"/>
    <w:p w:rsidR="00C609EA" w:rsidRDefault="00C609EA"/>
    <w:p w:rsidR="00C609EA" w:rsidRDefault="00C609EA"/>
    <w:p w:rsidR="00C609EA" w:rsidRDefault="00C609EA"/>
    <w:p w:rsidR="00C609EA" w:rsidRDefault="00C609EA"/>
    <w:p w:rsidR="00C609EA" w:rsidRDefault="00C609EA"/>
    <w:p w:rsidR="00E768DD" w:rsidRDefault="00E768DD">
      <w:r>
        <w:lastRenderedPageBreak/>
        <w:t>Q.13</w:t>
      </w:r>
    </w:p>
    <w:p w:rsidR="00E768DD" w:rsidRDefault="00C609EA">
      <w:r>
        <w:t>The national police interviewing model (PEACE) in accordance with PACE 1984 (Code C).</w:t>
      </w:r>
      <w:r w:rsidR="007B0283">
        <w:t xml:space="preserve"> PEACE was brought in as a tool to ensure that police interviewing processes are fair in accordance with HRA 1998 </w:t>
      </w:r>
      <w:proofErr w:type="gramStart"/>
      <w:r w:rsidR="007B0283">
        <w:t>( Article</w:t>
      </w:r>
      <w:proofErr w:type="gramEnd"/>
      <w:r w:rsidR="007B0283">
        <w:t xml:space="preserve"> 6 – the right to a fair trial). It provides an interviewing process that is not oppressive and provides the suspect to give reasonable explanations.  </w:t>
      </w:r>
    </w:p>
    <w:p w:rsidR="00C609EA" w:rsidRDefault="00C609EA"/>
    <w:p w:rsidR="00C609EA" w:rsidRDefault="00C609EA">
      <w:r>
        <w:t>P –Preparation and Planning</w:t>
      </w:r>
      <w:r w:rsidR="007B0283">
        <w:t xml:space="preserve"> </w:t>
      </w:r>
    </w:p>
    <w:p w:rsidR="007B0283" w:rsidRDefault="007B0283">
      <w:r>
        <w:t xml:space="preserve">Prior to an interview, Police Officers should take the time to look over the offence, points to prove and any evidence. They should prepare questions and any gaps in evidence that needs to </w:t>
      </w:r>
      <w:proofErr w:type="gramStart"/>
      <w:r>
        <w:t>be accounted for</w:t>
      </w:r>
      <w:proofErr w:type="gramEnd"/>
      <w:r>
        <w:t>.</w:t>
      </w:r>
    </w:p>
    <w:p w:rsidR="007B0283" w:rsidRDefault="007B0283"/>
    <w:p w:rsidR="00C609EA" w:rsidRDefault="00C609EA">
      <w:r>
        <w:t>E – Engage and Explain</w:t>
      </w:r>
    </w:p>
    <w:p w:rsidR="007B0283" w:rsidRDefault="007B0283">
      <w:r>
        <w:t>This part of the model focusses on building rapport with the suspect and explaining to them the process of the interview.</w:t>
      </w:r>
    </w:p>
    <w:p w:rsidR="007B0283" w:rsidRDefault="007B0283"/>
    <w:p w:rsidR="00C609EA" w:rsidRDefault="00C609EA">
      <w:r>
        <w:t>A – Account, Clarify and Challenge</w:t>
      </w:r>
    </w:p>
    <w:p w:rsidR="007B0283" w:rsidRDefault="007B0283">
      <w:r>
        <w:t xml:space="preserve">The suspect </w:t>
      </w:r>
      <w:proofErr w:type="gramStart"/>
      <w:r>
        <w:t>is given chance to give a free recall</w:t>
      </w:r>
      <w:proofErr w:type="gramEnd"/>
      <w:r>
        <w:t xml:space="preserve"> of the incident with their version of events.  The Officer will then consider the police agenda and ask questions as appropriate to clarify points made or gaps in evidence.  At this stage depending on the </w:t>
      </w:r>
      <w:proofErr w:type="gramStart"/>
      <w:r>
        <w:t>suspects</w:t>
      </w:r>
      <w:proofErr w:type="gramEnd"/>
      <w:r>
        <w:t xml:space="preserve"> plea, the Officer may challenge the suspect or apply special warnings if evidence places the suspect at the scene or if they have objects, marks or substances on or in their possession.</w:t>
      </w:r>
    </w:p>
    <w:p w:rsidR="007B0283" w:rsidRDefault="007B0283"/>
    <w:p w:rsidR="00C609EA" w:rsidRDefault="00C609EA">
      <w:r>
        <w:t>C – Closure</w:t>
      </w:r>
    </w:p>
    <w:p w:rsidR="007B0283" w:rsidRDefault="009B0B01">
      <w:r>
        <w:t>This part offers clear closure to the suspect that they have finished the interview and the recording has ended.</w:t>
      </w:r>
    </w:p>
    <w:p w:rsidR="007B0283" w:rsidRDefault="007B0283"/>
    <w:p w:rsidR="00C609EA" w:rsidRDefault="00C609EA">
      <w:r>
        <w:t xml:space="preserve">E </w:t>
      </w:r>
      <w:r w:rsidR="009B0B01">
        <w:t>–</w:t>
      </w:r>
      <w:r>
        <w:t xml:space="preserve"> Evaluation</w:t>
      </w:r>
    </w:p>
    <w:p w:rsidR="009B0B01" w:rsidRDefault="009B0B01">
      <w:r>
        <w:t>It is important to evaluate yourself for your continued professional development as it identifies areas in which you perform well or areas in which you need further training.</w:t>
      </w:r>
    </w:p>
    <w:p w:rsidR="009B0B01" w:rsidRDefault="009B0B01"/>
    <w:p w:rsidR="00C609EA" w:rsidRDefault="00C609EA"/>
    <w:p w:rsidR="00E768DD" w:rsidRDefault="00E768DD"/>
    <w:p w:rsidR="00E768DD" w:rsidRDefault="009B0B01">
      <w:r>
        <w:t>Q.14</w:t>
      </w:r>
    </w:p>
    <w:p w:rsidR="00B21A9D" w:rsidRDefault="00B21A9D">
      <w:r>
        <w:t>A person (A) repeatedly or continuously engages in behaviour, which is controlling or coercive and causes serious harm to (B), and (A) knows or ought to know that this behaviour would cause serious harm.</w:t>
      </w:r>
    </w:p>
    <w:p w:rsidR="00B21A9D" w:rsidRDefault="00B21A9D">
      <w:r>
        <w:lastRenderedPageBreak/>
        <w:t xml:space="preserve">Q.15 </w:t>
      </w:r>
    </w:p>
    <w:p w:rsidR="00B21A9D" w:rsidRDefault="00B21A9D">
      <w:r>
        <w:t xml:space="preserve">Previously in cases of Domestic Abuse, cases were hard to prove and perhaps only brought to trial if there was obvious evidence of offences being committed </w:t>
      </w:r>
      <w:proofErr w:type="spellStart"/>
      <w:r>
        <w:t>i.e</w:t>
      </w:r>
      <w:proofErr w:type="spellEnd"/>
      <w:r>
        <w:t xml:space="preserve"> ABH, GBH etc.  This legislation has been a breakthrough in terms of moving forward as it is possible to arrest and convict for the controlling and coercive behaviour perhaps precedes domestic abuse and serious threats to life.  This can incorporate </w:t>
      </w:r>
      <w:r w:rsidR="00403B86">
        <w:t>assaults, humiliation, threats</w:t>
      </w:r>
      <w:r w:rsidR="000D20A0">
        <w:t xml:space="preserve"> and violence.</w:t>
      </w:r>
      <w:bookmarkStart w:id="0" w:name="_GoBack"/>
      <w:bookmarkEnd w:id="0"/>
    </w:p>
    <w:p w:rsidR="00403B86" w:rsidRDefault="00403B86"/>
    <w:p w:rsidR="00403B86" w:rsidRDefault="00403B86"/>
    <w:p w:rsidR="00403B86" w:rsidRDefault="00403B86">
      <w:r>
        <w:t>Q.16</w:t>
      </w:r>
    </w:p>
    <w:p w:rsidR="00403B86" w:rsidRDefault="00403B86">
      <w:r>
        <w:t>Section 46 of the Children Act 1989</w:t>
      </w:r>
    </w:p>
    <w:p w:rsidR="00403B86" w:rsidRDefault="00403B86">
      <w:r>
        <w:t xml:space="preserve">Provides a police constable with the power to remove a child under 18 years old to a place of safety if they believe they are at significant risk of harm.  </w:t>
      </w:r>
    </w:p>
    <w:p w:rsidR="00403B86" w:rsidRDefault="00403B86">
      <w:r>
        <w:t>It is best practice to inform your inspector if you are going to apply this section and you would need to liaise with social services (EDT) duty team to ensure an adequate place for the child as it is last resort to take them to a police station.</w:t>
      </w:r>
    </w:p>
    <w:p w:rsidR="00403B86" w:rsidRDefault="00403B86"/>
    <w:p w:rsidR="00E16DCA" w:rsidRDefault="00403B86">
      <w:proofErr w:type="gramStart"/>
      <w:r>
        <w:t xml:space="preserve">A Police Constable needs to consider the meaning of </w:t>
      </w:r>
      <w:r w:rsidRPr="00403B86">
        <w:rPr>
          <w:i/>
        </w:rPr>
        <w:t>significant risk</w:t>
      </w:r>
      <w:r>
        <w:t>, this could mean such things as the child needs immediate medical attention which is not being fulfilled, there is no food in the house, there are no adequate sleeping arrangements, there is no heating, there is no parent/guardian present at the home, the child has injuries which the parents/guardians cannot reasonably account for etc.</w:t>
      </w:r>
      <w:proofErr w:type="gramEnd"/>
    </w:p>
    <w:p w:rsidR="00403B86" w:rsidRDefault="00403B86"/>
    <w:p w:rsidR="00403B86" w:rsidRDefault="00403B86"/>
    <w:p w:rsidR="00E768DD" w:rsidRDefault="00E05A55">
      <w:r>
        <w:t>Q.17</w:t>
      </w:r>
    </w:p>
    <w:p w:rsidR="00E05A55" w:rsidRDefault="00E05A55">
      <w:r>
        <w:t>Child Cruelty – Section 1 –</w:t>
      </w:r>
      <w:r w:rsidR="00671EB8">
        <w:t xml:space="preserve"> Children</w:t>
      </w:r>
      <w:r>
        <w:t xml:space="preserve"> and Young Persons Act 1933</w:t>
      </w:r>
    </w:p>
    <w:p w:rsidR="00E05A55" w:rsidRDefault="00E05A55"/>
    <w:p w:rsidR="00E16DCA" w:rsidRDefault="00E16DCA">
      <w:r>
        <w:t>A person over the age of 16</w:t>
      </w:r>
    </w:p>
    <w:p w:rsidR="00E16DCA" w:rsidRDefault="00E16DCA">
      <w:r>
        <w:t xml:space="preserve">Who has responsibility for a </w:t>
      </w:r>
      <w:proofErr w:type="gramStart"/>
      <w:r>
        <w:t>child</w:t>
      </w:r>
      <w:proofErr w:type="gramEnd"/>
    </w:p>
    <w:p w:rsidR="00E05A55" w:rsidRDefault="00E05A55">
      <w:r>
        <w:t>Causes or incites harm</w:t>
      </w:r>
      <w:r w:rsidR="00671EB8">
        <w:t xml:space="preserve"> </w:t>
      </w:r>
      <w:r w:rsidR="00205F22">
        <w:t xml:space="preserve">to a child </w:t>
      </w:r>
    </w:p>
    <w:p w:rsidR="00D338CE" w:rsidRDefault="00D338CE">
      <w:proofErr w:type="gramStart"/>
      <w:r>
        <w:t>Or</w:t>
      </w:r>
      <w:proofErr w:type="gramEnd"/>
      <w:r>
        <w:t xml:space="preserve"> Fails to meet their basic needs </w:t>
      </w:r>
    </w:p>
    <w:p w:rsidR="00671EB8" w:rsidRDefault="00671EB8">
      <w:r>
        <w:t xml:space="preserve">Which </w:t>
      </w:r>
      <w:r w:rsidR="000807E5">
        <w:t xml:space="preserve">is likely </w:t>
      </w:r>
      <w:proofErr w:type="gramStart"/>
      <w:r w:rsidR="000807E5">
        <w:t xml:space="preserve">to significantly </w:t>
      </w:r>
      <w:r>
        <w:t>affect</w:t>
      </w:r>
      <w:proofErr w:type="gramEnd"/>
      <w:r>
        <w:t xml:space="preserve"> their</w:t>
      </w:r>
      <w:r w:rsidR="000807E5">
        <w:t xml:space="preserve"> outcomes</w:t>
      </w:r>
    </w:p>
    <w:p w:rsidR="00671EB8" w:rsidRDefault="00671EB8"/>
    <w:p w:rsidR="00671EB8" w:rsidRDefault="00671EB8"/>
    <w:p w:rsidR="00E05A55" w:rsidRDefault="00E05A55">
      <w:r>
        <w:t>Physical</w:t>
      </w:r>
      <w:r w:rsidR="00671EB8">
        <w:t xml:space="preserve">, emotional, sexual or psychological </w:t>
      </w:r>
    </w:p>
    <w:p w:rsidR="00E16DCA" w:rsidRDefault="00E16DCA"/>
    <w:p w:rsidR="00E768DD" w:rsidRDefault="00E768DD"/>
    <w:p w:rsidR="008F147E" w:rsidRDefault="008F147E"/>
    <w:p w:rsidR="0084232A" w:rsidRDefault="0084232A" w:rsidP="0084232A">
      <w:pPr>
        <w:rPr>
          <w:rFonts w:ascii="Calibri" w:eastAsia="Calibri" w:hAnsi="Calibri" w:cs="Times New Roman"/>
          <w:color w:val="000000"/>
        </w:rPr>
      </w:pPr>
      <w:r w:rsidRPr="0084232A">
        <w:rPr>
          <w:rFonts w:ascii="Calibri" w:eastAsia="Calibri" w:hAnsi="Calibri" w:cs="Times New Roman"/>
          <w:color w:val="000000"/>
        </w:rPr>
        <w:t xml:space="preserve">Q 18. Explain the risk identification, assessment and management model that </w:t>
      </w:r>
      <w:proofErr w:type="gramStart"/>
      <w:r w:rsidRPr="0084232A">
        <w:rPr>
          <w:rFonts w:ascii="Calibri" w:eastAsia="Calibri" w:hAnsi="Calibri" w:cs="Times New Roman"/>
          <w:color w:val="000000"/>
        </w:rPr>
        <w:t>should be used</w:t>
      </w:r>
      <w:proofErr w:type="gramEnd"/>
      <w:r w:rsidRPr="0084232A">
        <w:rPr>
          <w:rFonts w:ascii="Calibri" w:eastAsia="Calibri" w:hAnsi="Calibri" w:cs="Times New Roman"/>
          <w:color w:val="000000"/>
        </w:rPr>
        <w:t xml:space="preserve"> </w:t>
      </w:r>
      <w:r>
        <w:rPr>
          <w:rFonts w:ascii="Calibri" w:eastAsia="Calibri" w:hAnsi="Calibri" w:cs="Times New Roman"/>
          <w:color w:val="000000"/>
        </w:rPr>
        <w:t xml:space="preserve">when dealing with such matters </w:t>
      </w:r>
    </w:p>
    <w:p w:rsidR="0084232A" w:rsidRPr="0084232A" w:rsidRDefault="0084232A" w:rsidP="0084232A">
      <w:pPr>
        <w:rPr>
          <w:rFonts w:ascii="Calibri" w:eastAsia="Calibri" w:hAnsi="Calibri" w:cs="Times New Roman"/>
          <w:b/>
          <w:bCs/>
        </w:rPr>
      </w:pPr>
    </w:p>
    <w:p w:rsidR="0084232A" w:rsidRPr="0084232A" w:rsidRDefault="0084232A" w:rsidP="0084232A">
      <w:pPr>
        <w:rPr>
          <w:rFonts w:ascii="Calibri" w:eastAsia="Calibri" w:hAnsi="Calibri" w:cs="Times New Roman"/>
        </w:rPr>
      </w:pPr>
      <w:r>
        <w:rPr>
          <w:rFonts w:ascii="Calibri" w:eastAsia="Calibri" w:hAnsi="Calibri" w:cs="Times New Roman"/>
        </w:rPr>
        <w:t xml:space="preserve">Police officers will complete a PPN (Public Protection Notice) when dealing with these </w:t>
      </w:r>
      <w:proofErr w:type="gramStart"/>
      <w:r>
        <w:rPr>
          <w:rFonts w:ascii="Calibri" w:eastAsia="Calibri" w:hAnsi="Calibri" w:cs="Times New Roman"/>
        </w:rPr>
        <w:t>matters,</w:t>
      </w:r>
      <w:proofErr w:type="gramEnd"/>
      <w:r>
        <w:rPr>
          <w:rFonts w:ascii="Calibri" w:eastAsia="Calibri" w:hAnsi="Calibri" w:cs="Times New Roman"/>
        </w:rPr>
        <w:t xml:space="preserve"> this will be referred on to relevant </w:t>
      </w:r>
      <w:r w:rsidR="00E16DCA">
        <w:rPr>
          <w:rFonts w:ascii="Calibri" w:eastAsia="Calibri" w:hAnsi="Calibri" w:cs="Times New Roman"/>
        </w:rPr>
        <w:t>agencies</w:t>
      </w:r>
      <w:r>
        <w:rPr>
          <w:rFonts w:ascii="Calibri" w:eastAsia="Calibri" w:hAnsi="Calibri" w:cs="Times New Roman"/>
        </w:rPr>
        <w:t>.</w:t>
      </w:r>
    </w:p>
    <w:p w:rsidR="0084232A" w:rsidRPr="0084232A" w:rsidRDefault="0084232A" w:rsidP="0084232A">
      <w:pPr>
        <w:rPr>
          <w:rFonts w:ascii="Calibri" w:eastAsia="Calibri" w:hAnsi="Calibri" w:cs="Times New Roman"/>
          <w:b/>
        </w:rPr>
      </w:pPr>
    </w:p>
    <w:p w:rsidR="00E16DCA" w:rsidRDefault="0084232A" w:rsidP="0084232A">
      <w:pPr>
        <w:rPr>
          <w:rFonts w:ascii="Calibri" w:eastAsia="Calibri" w:hAnsi="Calibri" w:cs="Times New Roman"/>
        </w:rPr>
      </w:pPr>
      <w:r w:rsidRPr="0084232A">
        <w:rPr>
          <w:rFonts w:ascii="Calibri" w:eastAsia="Calibri" w:hAnsi="Calibri" w:cs="Times New Roman"/>
        </w:rPr>
        <w:t xml:space="preserve">Q 19. Outline the requirements of the </w:t>
      </w:r>
      <w:r w:rsidRPr="0084232A">
        <w:rPr>
          <w:rFonts w:ascii="Calibri" w:eastAsia="Calibri" w:hAnsi="Calibri" w:cs="Times New Roman"/>
          <w:i/>
          <w:iCs/>
        </w:rPr>
        <w:t>Public Protection Notification</w:t>
      </w:r>
      <w:r w:rsidRPr="0084232A">
        <w:rPr>
          <w:rFonts w:ascii="Calibri" w:eastAsia="Calibri" w:hAnsi="Calibri" w:cs="Times New Roman"/>
        </w:rPr>
        <w:t xml:space="preserve"> (PPN) process</w:t>
      </w:r>
      <w:r w:rsidR="00E16DCA">
        <w:rPr>
          <w:rFonts w:ascii="Calibri" w:eastAsia="Calibri" w:hAnsi="Calibri" w:cs="Times New Roman"/>
        </w:rPr>
        <w:t>.</w:t>
      </w:r>
    </w:p>
    <w:p w:rsidR="0084232A" w:rsidRDefault="0084232A" w:rsidP="0084232A">
      <w:pPr>
        <w:rPr>
          <w:rFonts w:ascii="Calibri" w:eastAsia="Calibri" w:hAnsi="Calibri" w:cs="Times New Roman"/>
        </w:rPr>
      </w:pPr>
      <w:r w:rsidRPr="0084232A">
        <w:rPr>
          <w:rFonts w:ascii="Calibri" w:eastAsia="Calibri" w:hAnsi="Calibri" w:cs="Times New Roman"/>
        </w:rPr>
        <w:t xml:space="preserve"> </w:t>
      </w:r>
    </w:p>
    <w:p w:rsidR="00E16DCA" w:rsidRDefault="00E16DCA" w:rsidP="0084232A">
      <w:pPr>
        <w:rPr>
          <w:rFonts w:ascii="Calibri" w:eastAsia="Calibri" w:hAnsi="Calibri" w:cs="Times New Roman"/>
        </w:rPr>
      </w:pPr>
      <w:r>
        <w:rPr>
          <w:rFonts w:ascii="Calibri" w:eastAsia="Calibri" w:hAnsi="Calibri" w:cs="Times New Roman"/>
        </w:rPr>
        <w:t>If a member of the public</w:t>
      </w:r>
      <w:r w:rsidR="0084232A">
        <w:rPr>
          <w:rFonts w:ascii="Calibri" w:eastAsia="Calibri" w:hAnsi="Calibri" w:cs="Times New Roman"/>
        </w:rPr>
        <w:t xml:space="preserve"> is at risk of harm, </w:t>
      </w:r>
      <w:proofErr w:type="gramStart"/>
      <w:r w:rsidR="0084232A">
        <w:rPr>
          <w:rFonts w:ascii="Calibri" w:eastAsia="Calibri" w:hAnsi="Calibri" w:cs="Times New Roman"/>
        </w:rPr>
        <w:t>whether this is a child or vulnerable adult we need to assess if this is an immediate risk</w:t>
      </w:r>
      <w:proofErr w:type="gramEnd"/>
      <w:r w:rsidR="0084232A">
        <w:rPr>
          <w:rFonts w:ascii="Calibri" w:eastAsia="Calibri" w:hAnsi="Calibri" w:cs="Times New Roman"/>
        </w:rPr>
        <w:t xml:space="preserve"> and act accordingly. </w:t>
      </w:r>
    </w:p>
    <w:p w:rsidR="0084232A" w:rsidRPr="0084232A" w:rsidRDefault="0084232A" w:rsidP="0084232A">
      <w:pPr>
        <w:rPr>
          <w:rFonts w:ascii="Calibri" w:eastAsia="Calibri" w:hAnsi="Calibri" w:cs="Times New Roman"/>
        </w:rPr>
      </w:pPr>
      <w:r>
        <w:rPr>
          <w:rFonts w:ascii="Calibri" w:eastAsia="Calibri" w:hAnsi="Calibri" w:cs="Times New Roman"/>
        </w:rPr>
        <w:t>We do not need consent to complete a PPN as we have a duty to protect the public.</w:t>
      </w:r>
    </w:p>
    <w:p w:rsidR="0084232A" w:rsidRPr="0084232A" w:rsidRDefault="0084232A" w:rsidP="0084232A">
      <w:pPr>
        <w:rPr>
          <w:rFonts w:ascii="Calibri" w:eastAsia="Calibri" w:hAnsi="Calibri" w:cs="Times New Roman"/>
          <w:b/>
        </w:rPr>
      </w:pPr>
    </w:p>
    <w:p w:rsidR="0084232A" w:rsidRPr="0084232A" w:rsidRDefault="0084232A" w:rsidP="0084232A">
      <w:pPr>
        <w:rPr>
          <w:rFonts w:ascii="Calibri" w:eastAsia="Calibri" w:hAnsi="Calibri" w:cs="Times New Roman"/>
          <w:b/>
        </w:rPr>
      </w:pPr>
    </w:p>
    <w:p w:rsidR="0084232A" w:rsidRDefault="0084232A" w:rsidP="0084232A">
      <w:pPr>
        <w:rPr>
          <w:rFonts w:ascii="Calibri" w:eastAsia="Calibri" w:hAnsi="Calibri" w:cs="Times New Roman"/>
        </w:rPr>
      </w:pPr>
      <w:r w:rsidRPr="0084232A">
        <w:rPr>
          <w:rFonts w:ascii="Calibri" w:eastAsia="Calibri" w:hAnsi="Calibri" w:cs="Times New Roman"/>
        </w:rPr>
        <w:t xml:space="preserve">Q 20. In cases where there is violence or threat of violence towards the victim, the offender should be arrested and where possible charged with an offence. Where this is not </w:t>
      </w:r>
      <w:proofErr w:type="gramStart"/>
      <w:r w:rsidRPr="0084232A">
        <w:rPr>
          <w:rFonts w:ascii="Calibri" w:eastAsia="Calibri" w:hAnsi="Calibri" w:cs="Times New Roman"/>
        </w:rPr>
        <w:t>possible</w:t>
      </w:r>
      <w:proofErr w:type="gramEnd"/>
      <w:r w:rsidRPr="0084232A">
        <w:rPr>
          <w:rFonts w:ascii="Calibri" w:eastAsia="Calibri" w:hAnsi="Calibri" w:cs="Times New Roman"/>
        </w:rPr>
        <w:t xml:space="preserve"> an investigating officer can apply for a DVPN. </w:t>
      </w:r>
    </w:p>
    <w:p w:rsidR="00B34D79" w:rsidRDefault="00B34D79" w:rsidP="0084232A">
      <w:pPr>
        <w:rPr>
          <w:rFonts w:ascii="Calibri" w:eastAsia="Calibri" w:hAnsi="Calibri" w:cs="Times New Roman"/>
          <w:bCs/>
        </w:rPr>
      </w:pPr>
    </w:p>
    <w:p w:rsidR="0084232A" w:rsidRDefault="0084232A" w:rsidP="0084232A">
      <w:pPr>
        <w:rPr>
          <w:rFonts w:ascii="Calibri" w:eastAsia="Calibri" w:hAnsi="Calibri" w:cs="Times New Roman"/>
          <w:bCs/>
        </w:rPr>
      </w:pPr>
      <w:r>
        <w:rPr>
          <w:rFonts w:ascii="Calibri" w:eastAsia="Calibri" w:hAnsi="Calibri" w:cs="Times New Roman"/>
          <w:bCs/>
        </w:rPr>
        <w:t xml:space="preserve">The </w:t>
      </w:r>
      <w:proofErr w:type="gramStart"/>
      <w:r>
        <w:rPr>
          <w:rFonts w:ascii="Calibri" w:eastAsia="Calibri" w:hAnsi="Calibri" w:cs="Times New Roman"/>
          <w:bCs/>
        </w:rPr>
        <w:t>DVPN (Domestic Violence Protection Notice) is served by the police</w:t>
      </w:r>
      <w:proofErr w:type="gramEnd"/>
      <w:r>
        <w:rPr>
          <w:rFonts w:ascii="Calibri" w:eastAsia="Calibri" w:hAnsi="Calibri" w:cs="Times New Roman"/>
          <w:bCs/>
        </w:rPr>
        <w:t xml:space="preserve">.  Any officer can apply one but you </w:t>
      </w:r>
      <w:r w:rsidR="00A81CE3">
        <w:rPr>
          <w:rFonts w:ascii="Calibri" w:eastAsia="Calibri" w:hAnsi="Calibri" w:cs="Times New Roman"/>
          <w:bCs/>
        </w:rPr>
        <w:t>would need an I</w:t>
      </w:r>
      <w:r>
        <w:rPr>
          <w:rFonts w:ascii="Calibri" w:eastAsia="Calibri" w:hAnsi="Calibri" w:cs="Times New Roman"/>
          <w:bCs/>
        </w:rPr>
        <w:t>nspectors authority before serving it.</w:t>
      </w:r>
    </w:p>
    <w:p w:rsidR="009D3F4F" w:rsidRDefault="009D3F4F" w:rsidP="0084232A">
      <w:pPr>
        <w:rPr>
          <w:rFonts w:ascii="Calibri" w:eastAsia="Calibri" w:hAnsi="Calibri" w:cs="Times New Roman"/>
          <w:bCs/>
        </w:rPr>
      </w:pPr>
      <w:r>
        <w:rPr>
          <w:rFonts w:ascii="Calibri" w:eastAsia="Calibri" w:hAnsi="Calibri" w:cs="Times New Roman"/>
          <w:bCs/>
        </w:rPr>
        <w:t xml:space="preserve">The DVPN is for victims of domestic abuse and are to protect them from further abuse and harassment from the suspect whilst the investigation </w:t>
      </w:r>
      <w:proofErr w:type="gramStart"/>
      <w:r>
        <w:rPr>
          <w:rFonts w:ascii="Calibri" w:eastAsia="Calibri" w:hAnsi="Calibri" w:cs="Times New Roman"/>
          <w:bCs/>
        </w:rPr>
        <w:t>is carried out</w:t>
      </w:r>
      <w:proofErr w:type="gramEnd"/>
      <w:r>
        <w:rPr>
          <w:rFonts w:ascii="Calibri" w:eastAsia="Calibri" w:hAnsi="Calibri" w:cs="Times New Roman"/>
          <w:bCs/>
        </w:rPr>
        <w:t>.</w:t>
      </w:r>
    </w:p>
    <w:p w:rsidR="00AC79BD" w:rsidRDefault="00AC79BD" w:rsidP="0084232A">
      <w:pPr>
        <w:rPr>
          <w:rFonts w:ascii="Calibri" w:eastAsia="Calibri" w:hAnsi="Calibri" w:cs="Times New Roman"/>
          <w:bCs/>
        </w:rPr>
      </w:pPr>
      <w:r>
        <w:rPr>
          <w:rFonts w:ascii="Calibri" w:eastAsia="Calibri" w:hAnsi="Calibri" w:cs="Times New Roman"/>
          <w:bCs/>
        </w:rPr>
        <w:t xml:space="preserve">The DVPN is a notice to the suspect that sets out certain conditions, such as they are not allowed to contact the victim or go to the </w:t>
      </w:r>
      <w:proofErr w:type="gramStart"/>
      <w:r>
        <w:rPr>
          <w:rFonts w:ascii="Calibri" w:eastAsia="Calibri" w:hAnsi="Calibri" w:cs="Times New Roman"/>
          <w:bCs/>
        </w:rPr>
        <w:t>victims</w:t>
      </w:r>
      <w:proofErr w:type="gramEnd"/>
      <w:r>
        <w:rPr>
          <w:rFonts w:ascii="Calibri" w:eastAsia="Calibri" w:hAnsi="Calibri" w:cs="Times New Roman"/>
          <w:bCs/>
        </w:rPr>
        <w:t xml:space="preserve"> property for 48 hours.  </w:t>
      </w:r>
    </w:p>
    <w:p w:rsidR="00AC79BD" w:rsidRDefault="00AC79BD" w:rsidP="0084232A">
      <w:pPr>
        <w:rPr>
          <w:rFonts w:ascii="Calibri" w:eastAsia="Calibri" w:hAnsi="Calibri" w:cs="Times New Roman"/>
          <w:bCs/>
        </w:rPr>
      </w:pPr>
      <w:r>
        <w:rPr>
          <w:rFonts w:ascii="Calibri" w:eastAsia="Calibri" w:hAnsi="Calibri" w:cs="Times New Roman"/>
          <w:bCs/>
        </w:rPr>
        <w:t>During this time</w:t>
      </w:r>
      <w:r w:rsidR="009D3F4F">
        <w:rPr>
          <w:rFonts w:ascii="Calibri" w:eastAsia="Calibri" w:hAnsi="Calibri" w:cs="Times New Roman"/>
          <w:bCs/>
        </w:rPr>
        <w:t>,</w:t>
      </w:r>
      <w:r>
        <w:rPr>
          <w:rFonts w:ascii="Calibri" w:eastAsia="Calibri" w:hAnsi="Calibri" w:cs="Times New Roman"/>
          <w:bCs/>
        </w:rPr>
        <w:t xml:space="preserve"> the police can apply </w:t>
      </w:r>
      <w:r w:rsidR="009D3F4F">
        <w:rPr>
          <w:rFonts w:ascii="Calibri" w:eastAsia="Calibri" w:hAnsi="Calibri" w:cs="Times New Roman"/>
          <w:bCs/>
        </w:rPr>
        <w:t xml:space="preserve">to the courts </w:t>
      </w:r>
      <w:r>
        <w:rPr>
          <w:rFonts w:ascii="Calibri" w:eastAsia="Calibri" w:hAnsi="Calibri" w:cs="Times New Roman"/>
          <w:bCs/>
        </w:rPr>
        <w:t>for a DVPO (Domestic Violence Protection Order) which lengthens these conditions.</w:t>
      </w:r>
    </w:p>
    <w:p w:rsidR="0084232A" w:rsidRDefault="00AC79BD" w:rsidP="0084232A">
      <w:pPr>
        <w:rPr>
          <w:rFonts w:ascii="Calibri" w:eastAsia="Calibri" w:hAnsi="Calibri" w:cs="Times New Roman"/>
          <w:bCs/>
        </w:rPr>
      </w:pPr>
      <w:r>
        <w:rPr>
          <w:rFonts w:ascii="Calibri" w:eastAsia="Calibri" w:hAnsi="Calibri" w:cs="Times New Roman"/>
          <w:bCs/>
        </w:rPr>
        <w:t xml:space="preserve">Breach of </w:t>
      </w:r>
      <w:r w:rsidR="009D3F4F">
        <w:rPr>
          <w:rFonts w:ascii="Calibri" w:eastAsia="Calibri" w:hAnsi="Calibri" w:cs="Times New Roman"/>
          <w:bCs/>
        </w:rPr>
        <w:t xml:space="preserve">the DVPN </w:t>
      </w:r>
      <w:r>
        <w:rPr>
          <w:rFonts w:ascii="Calibri" w:eastAsia="Calibri" w:hAnsi="Calibri" w:cs="Times New Roman"/>
          <w:bCs/>
        </w:rPr>
        <w:t>will result in further arrest.</w:t>
      </w:r>
    </w:p>
    <w:p w:rsidR="0084232A" w:rsidRDefault="0084232A" w:rsidP="0084232A">
      <w:pPr>
        <w:rPr>
          <w:rFonts w:ascii="Calibri" w:eastAsia="Calibri" w:hAnsi="Calibri" w:cs="Times New Roman"/>
          <w:bCs/>
        </w:rPr>
      </w:pPr>
    </w:p>
    <w:p w:rsidR="0084232A" w:rsidRDefault="0084232A" w:rsidP="0084232A">
      <w:pPr>
        <w:rPr>
          <w:rFonts w:ascii="Calibri" w:eastAsia="Calibri" w:hAnsi="Calibri" w:cs="Times New Roman"/>
          <w:bCs/>
        </w:rPr>
      </w:pPr>
    </w:p>
    <w:p w:rsidR="0084232A" w:rsidRDefault="0084232A" w:rsidP="0084232A">
      <w:pPr>
        <w:rPr>
          <w:rFonts w:ascii="Calibri" w:eastAsia="Calibri" w:hAnsi="Calibri" w:cs="Times New Roman"/>
          <w:bCs/>
        </w:rPr>
      </w:pPr>
    </w:p>
    <w:p w:rsidR="0084232A" w:rsidRPr="0084232A" w:rsidRDefault="0084232A" w:rsidP="0084232A">
      <w:pPr>
        <w:rPr>
          <w:rFonts w:ascii="Calibri" w:eastAsia="Calibri" w:hAnsi="Calibri" w:cs="Times New Roman"/>
          <w:color w:val="0070C0"/>
          <w:sz w:val="16"/>
          <w:szCs w:val="16"/>
        </w:rPr>
      </w:pPr>
    </w:p>
    <w:p w:rsidR="0084232A" w:rsidRDefault="00AC79BD" w:rsidP="0084232A">
      <w:pPr>
        <w:rPr>
          <w:rFonts w:ascii="Calibri" w:eastAsia="Calibri" w:hAnsi="Calibri" w:cs="Times New Roman"/>
          <w:bCs/>
          <w:color w:val="0070C0"/>
          <w:sz w:val="16"/>
          <w:szCs w:val="16"/>
        </w:rPr>
      </w:pPr>
      <w:r>
        <w:rPr>
          <w:rFonts w:ascii="Calibri" w:eastAsia="Calibri" w:hAnsi="Calibri" w:cs="Times New Roman"/>
          <w:bCs/>
          <w:color w:val="000000"/>
        </w:rPr>
        <w:t>Q21</w:t>
      </w:r>
      <w:r w:rsidR="0084232A" w:rsidRPr="0084232A">
        <w:rPr>
          <w:rFonts w:ascii="Calibri" w:eastAsia="Calibri" w:hAnsi="Calibri" w:cs="Times New Roman"/>
          <w:bCs/>
          <w:color w:val="000000"/>
        </w:rPr>
        <w:t xml:space="preserve">. Explain what is meant by ‘Child Sexual Exploitation’ </w:t>
      </w:r>
      <w:r w:rsidR="0084232A" w:rsidRPr="0084232A">
        <w:rPr>
          <w:rFonts w:ascii="Calibri" w:eastAsia="Calibri" w:hAnsi="Calibri" w:cs="Times New Roman"/>
          <w:color w:val="000000"/>
        </w:rPr>
        <w:t>(10 Marks)</w:t>
      </w:r>
      <w:r w:rsidR="0084232A" w:rsidRPr="0084232A">
        <w:rPr>
          <w:rFonts w:ascii="Calibri" w:eastAsia="Calibri" w:hAnsi="Calibri" w:cs="Times New Roman"/>
          <w:bCs/>
          <w:color w:val="000000"/>
        </w:rPr>
        <w:t xml:space="preserve"> </w:t>
      </w:r>
      <w:r w:rsidR="0084232A" w:rsidRPr="0084232A">
        <w:rPr>
          <w:rFonts w:ascii="Calibri" w:eastAsia="Calibri" w:hAnsi="Calibri" w:cs="Times New Roman"/>
          <w:bCs/>
          <w:color w:val="0070C0"/>
          <w:sz w:val="16"/>
          <w:szCs w:val="16"/>
        </w:rPr>
        <w:t>Public Protection</w:t>
      </w:r>
    </w:p>
    <w:p w:rsidR="00AC79BD" w:rsidRDefault="00AC79BD" w:rsidP="0084232A">
      <w:pPr>
        <w:rPr>
          <w:rFonts w:ascii="Calibri" w:eastAsia="Calibri" w:hAnsi="Calibri" w:cs="Times New Roman"/>
          <w:bCs/>
          <w:color w:val="0070C0"/>
          <w:sz w:val="16"/>
          <w:szCs w:val="16"/>
        </w:rPr>
      </w:pPr>
    </w:p>
    <w:p w:rsidR="00AC79BD" w:rsidRDefault="00AC79BD" w:rsidP="0084232A">
      <w:pPr>
        <w:rPr>
          <w:rFonts w:ascii="Calibri" w:eastAsia="Calibri" w:hAnsi="Calibri" w:cs="Times New Roman"/>
          <w:bCs/>
        </w:rPr>
      </w:pPr>
      <w:r>
        <w:rPr>
          <w:rFonts w:ascii="Calibri" w:eastAsia="Calibri" w:hAnsi="Calibri" w:cs="Times New Roman"/>
          <w:bCs/>
        </w:rPr>
        <w:lastRenderedPageBreak/>
        <w:t>A child is under the age of 18</w:t>
      </w:r>
    </w:p>
    <w:p w:rsidR="00AC79BD" w:rsidRDefault="00AC79BD" w:rsidP="0084232A">
      <w:pPr>
        <w:rPr>
          <w:rFonts w:ascii="Calibri" w:eastAsia="Calibri" w:hAnsi="Calibri" w:cs="Times New Roman"/>
          <w:bCs/>
        </w:rPr>
      </w:pPr>
    </w:p>
    <w:p w:rsidR="00AC79BD" w:rsidRDefault="006B42BE" w:rsidP="0084232A">
      <w:pPr>
        <w:rPr>
          <w:rFonts w:ascii="Calibri" w:eastAsia="Calibri" w:hAnsi="Calibri" w:cs="Times New Roman"/>
          <w:bCs/>
        </w:rPr>
      </w:pPr>
      <w:r>
        <w:rPr>
          <w:rFonts w:ascii="Calibri" w:eastAsia="Calibri" w:hAnsi="Calibri" w:cs="Times New Roman"/>
          <w:bCs/>
        </w:rPr>
        <w:t>Sexual is anything that by its nature considered sexual</w:t>
      </w:r>
      <w:r w:rsidR="00B34D79">
        <w:rPr>
          <w:rFonts w:ascii="Calibri" w:eastAsia="Calibri" w:hAnsi="Calibri" w:cs="Times New Roman"/>
          <w:bCs/>
        </w:rPr>
        <w:t>.</w:t>
      </w:r>
    </w:p>
    <w:p w:rsidR="006B42BE" w:rsidRDefault="006B42BE" w:rsidP="0084232A">
      <w:pPr>
        <w:rPr>
          <w:rFonts w:ascii="Calibri" w:eastAsia="Calibri" w:hAnsi="Calibri" w:cs="Times New Roman"/>
          <w:bCs/>
        </w:rPr>
      </w:pPr>
    </w:p>
    <w:p w:rsidR="006B42BE" w:rsidRDefault="006B42BE" w:rsidP="0084232A">
      <w:pPr>
        <w:rPr>
          <w:rFonts w:ascii="Calibri" w:eastAsia="Calibri" w:hAnsi="Calibri" w:cs="Times New Roman"/>
          <w:bCs/>
        </w:rPr>
      </w:pPr>
      <w:r>
        <w:rPr>
          <w:rFonts w:ascii="Calibri" w:eastAsia="Calibri" w:hAnsi="Calibri" w:cs="Times New Roman"/>
          <w:bCs/>
        </w:rPr>
        <w:t>Exploitation is for gain, whether financially or for sexual gratification.</w:t>
      </w:r>
    </w:p>
    <w:p w:rsidR="006100A7" w:rsidRDefault="006100A7" w:rsidP="0084232A">
      <w:pPr>
        <w:rPr>
          <w:rFonts w:ascii="Calibri" w:eastAsia="Calibri" w:hAnsi="Calibri" w:cs="Times New Roman"/>
          <w:bCs/>
        </w:rPr>
      </w:pPr>
    </w:p>
    <w:p w:rsidR="006100A7" w:rsidRDefault="006100A7" w:rsidP="0084232A">
      <w:pPr>
        <w:rPr>
          <w:rFonts w:ascii="Calibri" w:eastAsia="Calibri" w:hAnsi="Calibri" w:cs="Times New Roman"/>
          <w:bCs/>
        </w:rPr>
      </w:pPr>
      <w:r>
        <w:rPr>
          <w:rFonts w:ascii="Calibri" w:eastAsia="Calibri" w:hAnsi="Calibri" w:cs="Times New Roman"/>
          <w:bCs/>
        </w:rPr>
        <w:t>The child is coerced, groomed and does not or cannot consent under these circumstances.</w:t>
      </w:r>
    </w:p>
    <w:p w:rsidR="00B34D79" w:rsidRPr="00AC79BD" w:rsidRDefault="00B34D79" w:rsidP="0084232A">
      <w:pPr>
        <w:rPr>
          <w:rFonts w:ascii="Calibri" w:eastAsia="Calibri" w:hAnsi="Calibri" w:cs="Times New Roman"/>
          <w:bCs/>
        </w:rPr>
      </w:pPr>
      <w:r>
        <w:rPr>
          <w:rFonts w:ascii="Calibri" w:eastAsia="Calibri" w:hAnsi="Calibri" w:cs="Times New Roman"/>
          <w:bCs/>
        </w:rPr>
        <w:t>Children vulnerable to CSE could be children in the care system, children living in poverty, children who have experienced other adverse childhood experiences.</w:t>
      </w:r>
    </w:p>
    <w:p w:rsidR="00AC79BD" w:rsidRPr="0084232A" w:rsidRDefault="00AC79BD" w:rsidP="0084232A">
      <w:pPr>
        <w:rPr>
          <w:rFonts w:ascii="Calibri" w:eastAsia="Calibri" w:hAnsi="Calibri" w:cs="Times New Roman"/>
          <w:bCs/>
        </w:rPr>
      </w:pPr>
    </w:p>
    <w:p w:rsidR="0084232A" w:rsidRPr="0084232A" w:rsidRDefault="0084232A" w:rsidP="0084232A">
      <w:pPr>
        <w:rPr>
          <w:rFonts w:ascii="Calibri" w:eastAsia="Calibri" w:hAnsi="Calibri" w:cs="Times New Roman"/>
          <w:b/>
        </w:rPr>
      </w:pPr>
    </w:p>
    <w:p w:rsidR="0084232A" w:rsidRPr="0084232A" w:rsidRDefault="0084232A" w:rsidP="0084232A">
      <w:pPr>
        <w:contextualSpacing/>
        <w:rPr>
          <w:rFonts w:ascii="Calibri" w:eastAsia="Calibri" w:hAnsi="Calibri" w:cs="Times New Roman"/>
        </w:rPr>
      </w:pPr>
    </w:p>
    <w:p w:rsidR="0084232A" w:rsidRPr="0084232A" w:rsidRDefault="0084232A" w:rsidP="0084232A">
      <w:pPr>
        <w:rPr>
          <w:rFonts w:ascii="Calibri" w:eastAsia="Calibri" w:hAnsi="Calibri" w:cs="Times New Roman"/>
          <w:b/>
          <w:bCs/>
          <w:color w:val="0070C0"/>
          <w:sz w:val="16"/>
          <w:szCs w:val="16"/>
        </w:rPr>
      </w:pPr>
      <w:r w:rsidRPr="0084232A">
        <w:rPr>
          <w:rFonts w:ascii="Calibri" w:eastAsia="Calibri" w:hAnsi="Calibri" w:cs="Times New Roman"/>
        </w:rPr>
        <w:t xml:space="preserve">Q 22. </w:t>
      </w:r>
      <w:r w:rsidRPr="0084232A">
        <w:rPr>
          <w:rFonts w:ascii="Calibri" w:eastAsia="Calibri" w:hAnsi="Calibri" w:cs="Times New Roman"/>
          <w:bCs/>
          <w:lang w:val="en"/>
        </w:rPr>
        <w:t>One of the preventative schemes available is the ‘</w:t>
      </w:r>
      <w:r w:rsidRPr="0084232A">
        <w:rPr>
          <w:rFonts w:ascii="Calibri" w:eastAsia="Calibri" w:hAnsi="Calibri" w:cs="Times New Roman"/>
          <w:bCs/>
        </w:rPr>
        <w:t xml:space="preserve">Child Sexual Offender Disclosure Scheme’ (CSODS), sometimes referred to as </w:t>
      </w:r>
      <w:r w:rsidRPr="0084232A">
        <w:rPr>
          <w:rFonts w:ascii="Calibri" w:eastAsia="Calibri" w:hAnsi="Calibri" w:cs="Times New Roman"/>
          <w:bCs/>
          <w:i/>
          <w:iCs/>
        </w:rPr>
        <w:t>‘Sarah’s Law’</w:t>
      </w:r>
      <w:r w:rsidRPr="0084232A">
        <w:rPr>
          <w:rFonts w:ascii="Calibri" w:eastAsia="Calibri" w:hAnsi="Calibri" w:cs="Times New Roman"/>
          <w:bCs/>
        </w:rPr>
        <w:t xml:space="preserve">. Describe this scheme </w:t>
      </w:r>
      <w:r w:rsidRPr="0084232A">
        <w:rPr>
          <w:rFonts w:ascii="Calibri" w:eastAsia="Calibri" w:hAnsi="Calibri" w:cs="Times New Roman"/>
        </w:rPr>
        <w:t>(6 Marks)</w:t>
      </w:r>
      <w:r w:rsidRPr="0084232A">
        <w:rPr>
          <w:rFonts w:ascii="Calibri" w:eastAsia="Calibri" w:hAnsi="Calibri" w:cs="Times New Roman"/>
          <w:bCs/>
        </w:rPr>
        <w:t xml:space="preserve"> </w:t>
      </w:r>
      <w:r w:rsidRPr="0084232A">
        <w:rPr>
          <w:rFonts w:ascii="Calibri" w:eastAsia="Calibri" w:hAnsi="Calibri" w:cs="Times New Roman"/>
          <w:bCs/>
          <w:color w:val="0070C0"/>
          <w:sz w:val="16"/>
          <w:szCs w:val="16"/>
        </w:rPr>
        <w:t>Public Protection</w:t>
      </w:r>
    </w:p>
    <w:p w:rsidR="0084232A" w:rsidRDefault="0084232A" w:rsidP="0084232A">
      <w:pPr>
        <w:spacing w:after="0"/>
        <w:rPr>
          <w:rFonts w:ascii="Calibri" w:eastAsia="Calibri" w:hAnsi="Calibri" w:cs="Times New Roman"/>
          <w:color w:val="FF0000"/>
        </w:rPr>
      </w:pPr>
    </w:p>
    <w:p w:rsidR="006100A7" w:rsidRPr="006100A7" w:rsidRDefault="006100A7" w:rsidP="0084232A">
      <w:pPr>
        <w:spacing w:after="0"/>
        <w:rPr>
          <w:rFonts w:ascii="Calibri" w:eastAsia="Calibri" w:hAnsi="Calibri" w:cs="Times New Roman"/>
        </w:rPr>
      </w:pPr>
      <w:proofErr w:type="gramStart"/>
      <w:r>
        <w:rPr>
          <w:rFonts w:ascii="Calibri" w:eastAsia="Calibri" w:hAnsi="Calibri" w:cs="Times New Roman"/>
        </w:rPr>
        <w:t>This scheme was brought in after the murder of Sarah Payne by a known sex offender (Roy Whiting)</w:t>
      </w:r>
      <w:proofErr w:type="gramEnd"/>
      <w:r>
        <w:rPr>
          <w:rFonts w:ascii="Calibri" w:eastAsia="Calibri" w:hAnsi="Calibri" w:cs="Times New Roman"/>
        </w:rPr>
        <w:t xml:space="preserve">.  This scheme offers people the right to request information in relation to people who have access to children.  It is a </w:t>
      </w:r>
      <w:proofErr w:type="gramStart"/>
      <w:r>
        <w:rPr>
          <w:rFonts w:ascii="Calibri" w:eastAsia="Calibri" w:hAnsi="Calibri" w:cs="Times New Roman"/>
        </w:rPr>
        <w:t>6 stage</w:t>
      </w:r>
      <w:proofErr w:type="gramEnd"/>
      <w:r>
        <w:rPr>
          <w:rFonts w:ascii="Calibri" w:eastAsia="Calibri" w:hAnsi="Calibri" w:cs="Times New Roman"/>
        </w:rPr>
        <w:t xml:space="preserve"> process which starts with a person applying to the scheme and the police will assess if there is an immediate risk to the child.  The information </w:t>
      </w:r>
      <w:proofErr w:type="gramStart"/>
      <w:r>
        <w:rPr>
          <w:rFonts w:ascii="Calibri" w:eastAsia="Calibri" w:hAnsi="Calibri" w:cs="Times New Roman"/>
        </w:rPr>
        <w:t>may not be disclosed</w:t>
      </w:r>
      <w:proofErr w:type="gramEnd"/>
      <w:r>
        <w:rPr>
          <w:rFonts w:ascii="Calibri" w:eastAsia="Calibri" w:hAnsi="Calibri" w:cs="Times New Roman"/>
        </w:rPr>
        <w:t xml:space="preserve"> to the person who asked for it but to the child’s parents/ carers. It </w:t>
      </w:r>
      <w:proofErr w:type="gramStart"/>
      <w:r>
        <w:rPr>
          <w:rFonts w:ascii="Calibri" w:eastAsia="Calibri" w:hAnsi="Calibri" w:cs="Times New Roman"/>
        </w:rPr>
        <w:t>is used</w:t>
      </w:r>
      <w:proofErr w:type="gramEnd"/>
      <w:r>
        <w:rPr>
          <w:rFonts w:ascii="Calibri" w:eastAsia="Calibri" w:hAnsi="Calibri" w:cs="Times New Roman"/>
        </w:rPr>
        <w:t xml:space="preserve"> to protect children.</w:t>
      </w:r>
    </w:p>
    <w:p w:rsidR="006100A7" w:rsidRPr="0084232A" w:rsidRDefault="006100A7" w:rsidP="0084232A">
      <w:pPr>
        <w:spacing w:after="0"/>
        <w:rPr>
          <w:rFonts w:ascii="Calibri" w:eastAsia="Calibri" w:hAnsi="Calibri" w:cs="Times New Roman"/>
          <w:color w:val="FF0000"/>
        </w:rPr>
      </w:pPr>
    </w:p>
    <w:p w:rsidR="0084232A" w:rsidRPr="0084232A" w:rsidRDefault="0084232A" w:rsidP="0084232A">
      <w:pPr>
        <w:spacing w:after="0"/>
        <w:rPr>
          <w:rFonts w:ascii="Calibri" w:eastAsia="Calibri" w:hAnsi="Calibri" w:cs="Times New Roman"/>
          <w:color w:val="FF0000"/>
        </w:rPr>
      </w:pPr>
    </w:p>
    <w:p w:rsidR="0084232A" w:rsidRPr="0084232A" w:rsidRDefault="0084232A" w:rsidP="0084232A">
      <w:pPr>
        <w:spacing w:after="0"/>
        <w:rPr>
          <w:rFonts w:ascii="Calibri" w:eastAsia="Calibri" w:hAnsi="Calibri" w:cs="Times New Roman"/>
          <w:b/>
        </w:rPr>
      </w:pPr>
    </w:p>
    <w:p w:rsidR="0084232A" w:rsidRPr="0084232A" w:rsidRDefault="0084232A" w:rsidP="0084232A">
      <w:pPr>
        <w:spacing w:after="0"/>
        <w:rPr>
          <w:rFonts w:ascii="Calibri" w:eastAsia="Calibri" w:hAnsi="Calibri" w:cs="Times New Roman"/>
          <w:b/>
        </w:rPr>
      </w:pPr>
    </w:p>
    <w:p w:rsidR="0084232A" w:rsidRDefault="0084232A" w:rsidP="0084232A">
      <w:pPr>
        <w:spacing w:after="0"/>
        <w:rPr>
          <w:rFonts w:ascii="Calibri" w:eastAsia="Calibri" w:hAnsi="Calibri" w:cs="Times New Roman"/>
        </w:rPr>
      </w:pPr>
      <w:r w:rsidRPr="0084232A">
        <w:rPr>
          <w:rFonts w:ascii="Calibri" w:eastAsia="Calibri" w:hAnsi="Calibri" w:cs="Times New Roman"/>
        </w:rPr>
        <w:t xml:space="preserve">Q 23. With regard to the matter of a victim’s consent in a case of rape, outline the evidential presumptions that a court can make under Section 75 (a) &amp; (b). </w:t>
      </w:r>
      <w:proofErr w:type="gramStart"/>
      <w:r w:rsidR="006100A7">
        <w:rPr>
          <w:rFonts w:ascii="Calibri" w:eastAsia="Calibri" w:hAnsi="Calibri" w:cs="Times New Roman"/>
        </w:rPr>
        <w:t>of</w:t>
      </w:r>
      <w:proofErr w:type="gramEnd"/>
      <w:r w:rsidR="006100A7">
        <w:rPr>
          <w:rFonts w:ascii="Calibri" w:eastAsia="Calibri" w:hAnsi="Calibri" w:cs="Times New Roman"/>
        </w:rPr>
        <w:t xml:space="preserve"> the Sexual Offences Act 2003</w:t>
      </w:r>
    </w:p>
    <w:p w:rsidR="006100A7" w:rsidRDefault="006100A7" w:rsidP="0084232A">
      <w:pPr>
        <w:spacing w:after="0"/>
        <w:rPr>
          <w:rFonts w:ascii="Calibri" w:eastAsia="Calibri" w:hAnsi="Calibri" w:cs="Times New Roman"/>
        </w:rPr>
      </w:pPr>
    </w:p>
    <w:p w:rsidR="006100A7" w:rsidRDefault="006100A7" w:rsidP="006100A7">
      <w:pPr>
        <w:pStyle w:val="ListParagraph"/>
        <w:numPr>
          <w:ilvl w:val="0"/>
          <w:numId w:val="2"/>
        </w:numPr>
        <w:spacing w:after="0"/>
        <w:rPr>
          <w:rFonts w:ascii="Calibri" w:eastAsia="Calibri" w:hAnsi="Calibri" w:cs="Times New Roman"/>
        </w:rPr>
      </w:pPr>
      <w:r w:rsidRPr="006100A7">
        <w:rPr>
          <w:rFonts w:ascii="Calibri" w:eastAsia="Calibri" w:hAnsi="Calibri" w:cs="Times New Roman"/>
        </w:rPr>
        <w:t>The offence was committed</w:t>
      </w:r>
    </w:p>
    <w:p w:rsidR="006100A7" w:rsidRDefault="00B34D79" w:rsidP="006100A7">
      <w:pPr>
        <w:pStyle w:val="ListParagraph"/>
        <w:numPr>
          <w:ilvl w:val="0"/>
          <w:numId w:val="2"/>
        </w:numPr>
        <w:spacing w:after="0"/>
        <w:rPr>
          <w:rFonts w:ascii="Calibri" w:eastAsia="Calibri" w:hAnsi="Calibri" w:cs="Times New Roman"/>
        </w:rPr>
      </w:pPr>
      <w:r>
        <w:rPr>
          <w:rFonts w:ascii="Calibri" w:eastAsia="Calibri" w:hAnsi="Calibri" w:cs="Times New Roman"/>
        </w:rPr>
        <w:t>The victim did not consent</w:t>
      </w:r>
    </w:p>
    <w:p w:rsidR="00B34D79" w:rsidRDefault="00B34D79" w:rsidP="006100A7">
      <w:pPr>
        <w:pStyle w:val="ListParagraph"/>
        <w:numPr>
          <w:ilvl w:val="0"/>
          <w:numId w:val="2"/>
        </w:numPr>
        <w:spacing w:after="0"/>
        <w:rPr>
          <w:rFonts w:ascii="Calibri" w:eastAsia="Calibri" w:hAnsi="Calibri" w:cs="Times New Roman"/>
        </w:rPr>
      </w:pPr>
      <w:r>
        <w:rPr>
          <w:rFonts w:ascii="Calibri" w:eastAsia="Calibri" w:hAnsi="Calibri" w:cs="Times New Roman"/>
        </w:rPr>
        <w:t>There is evidence of assault</w:t>
      </w:r>
    </w:p>
    <w:p w:rsidR="00B34D79" w:rsidRPr="006100A7" w:rsidRDefault="00B34D79" w:rsidP="006100A7">
      <w:pPr>
        <w:pStyle w:val="ListParagraph"/>
        <w:numPr>
          <w:ilvl w:val="0"/>
          <w:numId w:val="2"/>
        </w:numPr>
        <w:spacing w:after="0"/>
        <w:rPr>
          <w:rFonts w:ascii="Calibri" w:eastAsia="Calibri" w:hAnsi="Calibri" w:cs="Times New Roman"/>
        </w:rPr>
      </w:pPr>
    </w:p>
    <w:p w:rsidR="0084232A" w:rsidRPr="0084232A" w:rsidRDefault="0084232A" w:rsidP="0084232A">
      <w:pPr>
        <w:spacing w:after="0"/>
        <w:rPr>
          <w:rFonts w:ascii="Calibri" w:eastAsia="Calibri" w:hAnsi="Calibri" w:cs="Times New Roman"/>
          <w:b/>
        </w:rPr>
      </w:pPr>
    </w:p>
    <w:p w:rsidR="0084232A" w:rsidRPr="0084232A" w:rsidRDefault="0084232A" w:rsidP="0084232A">
      <w:pPr>
        <w:spacing w:after="0"/>
        <w:rPr>
          <w:rFonts w:ascii="Calibri" w:eastAsia="Calibri" w:hAnsi="Calibri" w:cs="Times New Roman"/>
          <w:b/>
        </w:rPr>
      </w:pPr>
    </w:p>
    <w:p w:rsidR="0084232A" w:rsidRPr="0084232A" w:rsidRDefault="0084232A" w:rsidP="0084232A">
      <w:pPr>
        <w:spacing w:after="0"/>
        <w:rPr>
          <w:rFonts w:ascii="Calibri" w:eastAsia="Calibri" w:hAnsi="Calibri" w:cs="Times New Roman"/>
          <w:b/>
        </w:rPr>
      </w:pPr>
    </w:p>
    <w:p w:rsidR="0084232A" w:rsidRDefault="0084232A" w:rsidP="0084232A">
      <w:pPr>
        <w:spacing w:line="360" w:lineRule="auto"/>
        <w:rPr>
          <w:rFonts w:ascii="Calibri" w:eastAsia="Calibri" w:hAnsi="Calibri" w:cs="Times New Roman"/>
          <w:lang w:val="en-US"/>
        </w:rPr>
      </w:pPr>
      <w:r w:rsidRPr="0084232A">
        <w:rPr>
          <w:rFonts w:ascii="Calibri" w:eastAsia="Calibri" w:hAnsi="Calibri" w:cs="Times New Roman"/>
          <w:bCs/>
          <w:color w:val="000000"/>
        </w:rPr>
        <w:t xml:space="preserve">Q 24. </w:t>
      </w:r>
      <w:proofErr w:type="gramStart"/>
      <w:r w:rsidRPr="0084232A">
        <w:rPr>
          <w:rFonts w:ascii="Calibri" w:eastAsia="Calibri" w:hAnsi="Calibri" w:cs="Times New Roman"/>
          <w:bCs/>
          <w:lang w:val="en-US"/>
        </w:rPr>
        <w:t>Ideally</w:t>
      </w:r>
      <w:proofErr w:type="gramEnd"/>
      <w:r w:rsidRPr="0084232A">
        <w:rPr>
          <w:rFonts w:ascii="Calibri" w:eastAsia="Calibri" w:hAnsi="Calibri" w:cs="Times New Roman"/>
          <w:bCs/>
          <w:lang w:val="en-US"/>
        </w:rPr>
        <w:t xml:space="preserve"> any well conducted police investigation will result in the case being heard in a court of law. British justice employs an ‘adversarial system’ governed by the procedural code (rules of criminal procedure). List the ‘overriding objectives’ of the procedural code regarding justice being done in court </w:t>
      </w:r>
    </w:p>
    <w:p w:rsidR="006100A7" w:rsidRPr="00B34D79" w:rsidRDefault="00B34D79" w:rsidP="0084232A">
      <w:pPr>
        <w:spacing w:line="360" w:lineRule="auto"/>
        <w:rPr>
          <w:rFonts w:ascii="Calibri" w:eastAsia="Calibri" w:hAnsi="Calibri" w:cs="Times New Roman"/>
          <w:bCs/>
          <w:lang w:val="en-US"/>
        </w:rPr>
      </w:pPr>
      <w:r>
        <w:rPr>
          <w:rFonts w:ascii="Calibri" w:eastAsia="Calibri" w:hAnsi="Calibri" w:cs="Times New Roman"/>
          <w:bCs/>
          <w:lang w:val="en-US"/>
        </w:rPr>
        <w:t>The Criminal Procedure Rules 2015 advise the court procedure.</w:t>
      </w:r>
    </w:p>
    <w:p w:rsidR="00B34D79" w:rsidRDefault="00B34D79" w:rsidP="0084232A">
      <w:pPr>
        <w:spacing w:line="360" w:lineRule="auto"/>
        <w:rPr>
          <w:rFonts w:ascii="Calibri" w:eastAsia="Calibri" w:hAnsi="Calibri" w:cs="Times New Roman"/>
          <w:bCs/>
          <w:lang w:val="en-US"/>
        </w:rPr>
      </w:pPr>
    </w:p>
    <w:p w:rsidR="00965432" w:rsidRPr="0084232A" w:rsidRDefault="00B34D79" w:rsidP="0084232A">
      <w:pPr>
        <w:spacing w:line="360" w:lineRule="auto"/>
        <w:rPr>
          <w:rFonts w:ascii="Calibri" w:eastAsia="Calibri" w:hAnsi="Calibri" w:cs="Times New Roman"/>
          <w:bCs/>
          <w:lang w:val="en-US"/>
        </w:rPr>
      </w:pPr>
      <w:r w:rsidRPr="00B34D79">
        <w:rPr>
          <w:rFonts w:ascii="Calibri" w:eastAsia="Calibri" w:hAnsi="Calibri" w:cs="Times New Roman"/>
          <w:bCs/>
          <w:lang w:val="en-US"/>
        </w:rPr>
        <w:t xml:space="preserve">Article </w:t>
      </w:r>
      <w:proofErr w:type="gramStart"/>
      <w:r w:rsidRPr="00B34D79">
        <w:rPr>
          <w:rFonts w:ascii="Calibri" w:eastAsia="Calibri" w:hAnsi="Calibri" w:cs="Times New Roman"/>
          <w:bCs/>
          <w:lang w:val="en-US"/>
        </w:rPr>
        <w:t>6</w:t>
      </w:r>
      <w:proofErr w:type="gramEnd"/>
      <w:r w:rsidRPr="00B34D79">
        <w:rPr>
          <w:rFonts w:ascii="Calibri" w:eastAsia="Calibri" w:hAnsi="Calibri" w:cs="Times New Roman"/>
          <w:bCs/>
          <w:lang w:val="en-US"/>
        </w:rPr>
        <w:t xml:space="preserve"> – the right to a fair trial</w:t>
      </w:r>
    </w:p>
    <w:p w:rsidR="0084232A" w:rsidRPr="0084232A" w:rsidRDefault="0084232A" w:rsidP="0084232A">
      <w:pPr>
        <w:contextualSpacing/>
        <w:rPr>
          <w:rFonts w:ascii="Calibri" w:eastAsia="Calibri" w:hAnsi="Calibri" w:cs="Times New Roman"/>
          <w:b/>
          <w:bCs/>
          <w:color w:val="FF0000"/>
        </w:rPr>
      </w:pPr>
    </w:p>
    <w:p w:rsidR="0084232A" w:rsidRPr="0084232A" w:rsidRDefault="0084232A" w:rsidP="0084232A">
      <w:pPr>
        <w:rPr>
          <w:rFonts w:ascii="Calibri" w:eastAsia="Calibri" w:hAnsi="Calibri" w:cs="Times New Roman"/>
          <w:b/>
          <w:bCs/>
          <w:color w:val="FF0000"/>
        </w:rPr>
      </w:pPr>
    </w:p>
    <w:p w:rsidR="0084232A" w:rsidRPr="0084232A" w:rsidRDefault="0084232A" w:rsidP="0084232A">
      <w:pPr>
        <w:spacing w:after="0"/>
        <w:rPr>
          <w:rFonts w:ascii="Calibri" w:eastAsia="Calibri" w:hAnsi="Calibri" w:cs="Times New Roman"/>
          <w:bCs/>
          <w:color w:val="0070C0"/>
          <w:sz w:val="16"/>
          <w:szCs w:val="16"/>
        </w:rPr>
      </w:pPr>
      <w:r w:rsidRPr="0084232A">
        <w:rPr>
          <w:rFonts w:ascii="Calibri" w:eastAsia="Calibri" w:hAnsi="Calibri" w:cs="Times New Roman"/>
          <w:bCs/>
          <w:color w:val="000000"/>
        </w:rPr>
        <w:t xml:space="preserve">Q 25.  In most </w:t>
      </w:r>
      <w:proofErr w:type="gramStart"/>
      <w:r w:rsidRPr="0084232A">
        <w:rPr>
          <w:rFonts w:ascii="Calibri" w:eastAsia="Calibri" w:hAnsi="Calibri" w:cs="Times New Roman"/>
          <w:bCs/>
          <w:color w:val="000000"/>
        </w:rPr>
        <w:t>cases</w:t>
      </w:r>
      <w:proofErr w:type="gramEnd"/>
      <w:r w:rsidRPr="0084232A">
        <w:rPr>
          <w:rFonts w:ascii="Calibri" w:eastAsia="Calibri" w:hAnsi="Calibri" w:cs="Times New Roman"/>
          <w:bCs/>
          <w:color w:val="000000"/>
        </w:rPr>
        <w:t xml:space="preserve"> the Crown Prosecution Service (CPS) prosecutors may only </w:t>
      </w:r>
      <w:r w:rsidRPr="0084232A">
        <w:rPr>
          <w:rFonts w:ascii="Calibri" w:eastAsia="Calibri" w:hAnsi="Calibri" w:cs="Times New Roman"/>
          <w:bCs/>
          <w:color w:val="000000"/>
          <w:lang w:val="en"/>
        </w:rPr>
        <w:t>start, or continue, a prosecution when the case has passed both stages of the ‘Full C</w:t>
      </w:r>
      <w:r w:rsidR="006100A7">
        <w:rPr>
          <w:rFonts w:ascii="Calibri" w:eastAsia="Calibri" w:hAnsi="Calibri" w:cs="Times New Roman"/>
          <w:bCs/>
          <w:color w:val="000000"/>
          <w:lang w:val="en"/>
        </w:rPr>
        <w:t>ode Test’. Explain this process.</w:t>
      </w:r>
      <w:r w:rsidRPr="0084232A">
        <w:rPr>
          <w:rFonts w:ascii="Calibri" w:eastAsia="Calibri" w:hAnsi="Calibri" w:cs="Times New Roman"/>
          <w:bCs/>
          <w:color w:val="0070C0"/>
          <w:sz w:val="16"/>
          <w:szCs w:val="16"/>
        </w:rPr>
        <w:t xml:space="preserve"> </w:t>
      </w:r>
    </w:p>
    <w:p w:rsidR="008F147E" w:rsidRDefault="008F147E"/>
    <w:p w:rsidR="00976A3A" w:rsidRDefault="006100A7">
      <w:r>
        <w:t xml:space="preserve">This process has </w:t>
      </w:r>
      <w:proofErr w:type="gramStart"/>
      <w:r>
        <w:t>2</w:t>
      </w:r>
      <w:proofErr w:type="gramEnd"/>
      <w:r>
        <w:t xml:space="preserve"> stages</w:t>
      </w:r>
    </w:p>
    <w:p w:rsidR="006100A7" w:rsidRDefault="006100A7" w:rsidP="006100A7">
      <w:pPr>
        <w:pStyle w:val="ListParagraph"/>
        <w:numPr>
          <w:ilvl w:val="0"/>
          <w:numId w:val="3"/>
        </w:numPr>
      </w:pPr>
      <w:r>
        <w:t>The evidential stage – this considers whether there is sufficient evidence for a realistic prospect of conviction.</w:t>
      </w:r>
    </w:p>
    <w:p w:rsidR="006100A7" w:rsidRDefault="006100A7" w:rsidP="006100A7">
      <w:pPr>
        <w:pStyle w:val="ListParagraph"/>
        <w:numPr>
          <w:ilvl w:val="0"/>
          <w:numId w:val="3"/>
        </w:numPr>
      </w:pPr>
      <w:r>
        <w:t>The public interest stage – this considers whether it is in the public interest to pursue a conviction and will consider things such as the defendant’s age.</w:t>
      </w:r>
    </w:p>
    <w:p w:rsidR="006100A7" w:rsidRDefault="006100A7" w:rsidP="006100A7">
      <w:pPr>
        <w:pStyle w:val="ListParagraph"/>
      </w:pPr>
    </w:p>
    <w:p w:rsidR="006100A7" w:rsidRDefault="006100A7"/>
    <w:p w:rsidR="006100A7" w:rsidRDefault="006100A7"/>
    <w:p w:rsidR="006100A7" w:rsidRDefault="006100A7"/>
    <w:p w:rsidR="006100A7" w:rsidRDefault="006100A7"/>
    <w:p w:rsidR="006100A7" w:rsidRDefault="006100A7"/>
    <w:sectPr w:rsidR="006100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B35B9E"/>
    <w:multiLevelType w:val="hybridMultilevel"/>
    <w:tmpl w:val="47AE60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DD13F4"/>
    <w:multiLevelType w:val="hybridMultilevel"/>
    <w:tmpl w:val="BABC6C5A"/>
    <w:lvl w:ilvl="0" w:tplc="8C946E44">
      <w:start w:val="1"/>
      <w:numFmt w:val="decimal"/>
      <w:lvlText w:val="%1."/>
      <w:lvlJc w:val="left"/>
      <w:pPr>
        <w:ind w:left="720" w:hanging="360"/>
      </w:pPr>
      <w:rPr>
        <w:rFonts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F215AC"/>
    <w:multiLevelType w:val="hybridMultilevel"/>
    <w:tmpl w:val="F244B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5658"/>
    <w:rsid w:val="000807E5"/>
    <w:rsid w:val="000D20A0"/>
    <w:rsid w:val="00205F22"/>
    <w:rsid w:val="003722EA"/>
    <w:rsid w:val="003A1B8B"/>
    <w:rsid w:val="003B4573"/>
    <w:rsid w:val="00403B86"/>
    <w:rsid w:val="006100A7"/>
    <w:rsid w:val="00671EB8"/>
    <w:rsid w:val="006B42BE"/>
    <w:rsid w:val="00762A10"/>
    <w:rsid w:val="007B0283"/>
    <w:rsid w:val="0084232A"/>
    <w:rsid w:val="008F147E"/>
    <w:rsid w:val="00965432"/>
    <w:rsid w:val="00976A3A"/>
    <w:rsid w:val="009B0B01"/>
    <w:rsid w:val="009B66A5"/>
    <w:rsid w:val="009D3F4F"/>
    <w:rsid w:val="00A81CE3"/>
    <w:rsid w:val="00AC79BD"/>
    <w:rsid w:val="00B21A9D"/>
    <w:rsid w:val="00B34D79"/>
    <w:rsid w:val="00B441B8"/>
    <w:rsid w:val="00B91AFD"/>
    <w:rsid w:val="00C00972"/>
    <w:rsid w:val="00C609EA"/>
    <w:rsid w:val="00CE70FF"/>
    <w:rsid w:val="00CF5658"/>
    <w:rsid w:val="00D338CE"/>
    <w:rsid w:val="00DB4C32"/>
    <w:rsid w:val="00E05A55"/>
    <w:rsid w:val="00E16DCA"/>
    <w:rsid w:val="00E76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F2EE8"/>
  <w15:chartTrackingRefBased/>
  <w15:docId w15:val="{C81343E5-2029-413F-9D31-AC20883C5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45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8</Pages>
  <Words>1818</Words>
  <Characters>10367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 Leah</dc:creator>
  <cp:keywords/>
  <dc:description/>
  <cp:lastModifiedBy>Powell, Leah</cp:lastModifiedBy>
  <cp:revision>21</cp:revision>
  <dcterms:created xsi:type="dcterms:W3CDTF">2020-08-17T11:34:00Z</dcterms:created>
  <dcterms:modified xsi:type="dcterms:W3CDTF">2020-08-17T14:00:00Z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