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Arial" w:hAnsi="Arial" w:cs="Arial" w:eastAsia="Arial"/>
          <w:color w:val="auto"/>
          <w:spacing w:val="0"/>
          <w:position w:val="0"/>
          <w:sz w:val="36"/>
          <w:shd w:fill="auto" w:val="clear"/>
        </w:rPr>
      </w:pPr>
      <w:r>
        <w:rPr>
          <w:rFonts w:ascii="Arial" w:hAnsi="Arial" w:cs="Arial" w:eastAsia="Arial"/>
          <w:color w:val="auto"/>
          <w:spacing w:val="0"/>
          <w:position w:val="0"/>
          <w:sz w:val="36"/>
          <w:shd w:fill="auto" w:val="clear"/>
        </w:rPr>
        <w:t xml:space="preserve">Towards a Greener Future: The role of waste management and recycling programs in sustainable hospitality</w:t>
      </w:r>
    </w:p>
    <w:p>
      <w:pPr>
        <w:spacing w:before="0" w:after="160" w:line="360"/>
        <w:ind w:right="0" w:left="0" w:firstLine="0"/>
        <w:jc w:val="both"/>
        <w:rPr>
          <w:rFonts w:ascii="Arial" w:hAnsi="Arial" w:cs="Arial" w:eastAsia="Arial"/>
          <w:color w:val="156082"/>
          <w:spacing w:val="0"/>
          <w:position w:val="0"/>
          <w:sz w:val="28"/>
          <w:shd w:fill="auto" w:val="clear"/>
        </w:rPr>
      </w:pPr>
      <w:r>
        <w:rPr>
          <w:rFonts w:ascii="Arial" w:hAnsi="Arial" w:cs="Arial" w:eastAsia="Arial"/>
          <w:color w:val="155F81"/>
          <w:spacing w:val="0"/>
          <w:position w:val="0"/>
          <w:sz w:val="28"/>
          <w:shd w:fill="auto" w:val="clear"/>
        </w:rPr>
        <w:t xml:space="preserve">Abstract </w:t>
      </w:r>
    </w:p>
    <w:p>
      <w:pPr>
        <w:spacing w:before="0" w:after="160" w:line="360"/>
        <w:ind w:right="0" w:left="0" w:firstLine="0"/>
        <w:jc w:val="both"/>
        <w:rPr>
          <w:rFonts w:ascii="Arial" w:hAnsi="Arial" w:cs="Arial" w:eastAsia="Arial"/>
          <w:color w:val="156082"/>
          <w:spacing w:val="0"/>
          <w:position w:val="0"/>
          <w:sz w:val="24"/>
          <w:shd w:fill="auto" w:val="clear"/>
        </w:rPr>
      </w:pPr>
      <w:r>
        <w:rPr>
          <w:rFonts w:ascii="Arial" w:hAnsi="Arial" w:cs="Arial" w:eastAsia="Arial"/>
          <w:color w:val="156082"/>
          <w:spacing w:val="0"/>
          <w:position w:val="0"/>
          <w:sz w:val="24"/>
          <w:shd w:fill="auto" w:val="clear"/>
        </w:rPr>
        <w:t xml:space="preserve">Purpose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paper aimed to examine the response and adaptation of the hotel sector to waste management and recycling. Furthermore, it delves into the reasons why this matter should be of utmost importance to organisations and scrutinises the feasibility of adopting ecologically conscious practices. This effort seeks to provide a clear understanding of the importance of sustainability, its core concepts and how it relates to the hotel industry.</w:t>
      </w:r>
    </w:p>
    <w:p>
      <w:pPr>
        <w:spacing w:before="0" w:after="160" w:line="360"/>
        <w:ind w:right="0" w:left="0" w:firstLine="0"/>
        <w:jc w:val="both"/>
        <w:rPr>
          <w:rFonts w:ascii="Arial" w:hAnsi="Arial" w:cs="Arial" w:eastAsia="Arial"/>
          <w:color w:val="156082"/>
          <w:spacing w:val="0"/>
          <w:position w:val="0"/>
          <w:sz w:val="24"/>
          <w:shd w:fill="auto" w:val="clear"/>
        </w:rPr>
      </w:pPr>
      <w:r>
        <w:rPr>
          <w:rFonts w:ascii="Arial" w:hAnsi="Arial" w:cs="Arial" w:eastAsia="Arial"/>
          <w:color w:val="156082"/>
          <w:spacing w:val="0"/>
          <w:position w:val="0"/>
          <w:sz w:val="24"/>
          <w:shd w:fill="auto" w:val="clear"/>
        </w:rPr>
        <w:t xml:space="preserve">Methodology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primary objective of this literature study is to examine the impact of advancements in waste management and recycling regarding the hospitality business. The examination will analyse the actual effects of waste reduction and provide a comprehensive overview of the industry based on the most recent research. Subsequently, a PESTLE analysis will assess external factors and any potential risks or challenges that might impact the implementation of waste management in the hotel industry. This initiative will showcase exemplary hotel examples from the industry that demonstrate their effective waste management and recycling practices. Finally, this research will provide suggestions that hotels may apply to be successful and environmentally conscious. </w:t>
      </w:r>
    </w:p>
    <w:p>
      <w:pPr>
        <w:spacing w:before="0" w:after="160" w:line="360"/>
        <w:ind w:right="0" w:left="0" w:firstLine="0"/>
        <w:jc w:val="both"/>
        <w:rPr>
          <w:rFonts w:ascii="Arial" w:hAnsi="Arial" w:cs="Arial" w:eastAsia="Arial"/>
          <w:color w:val="156082"/>
          <w:spacing w:val="0"/>
          <w:position w:val="0"/>
          <w:sz w:val="24"/>
          <w:shd w:fill="auto" w:val="clear"/>
        </w:rPr>
      </w:pPr>
      <w:r>
        <w:rPr>
          <w:rFonts w:ascii="Arial" w:hAnsi="Arial" w:cs="Arial" w:eastAsia="Arial"/>
          <w:color w:val="156082"/>
          <w:spacing w:val="0"/>
          <w:position w:val="0"/>
          <w:sz w:val="24"/>
          <w:shd w:fill="auto" w:val="clear"/>
        </w:rPr>
        <w:t xml:space="preserve">Findings</w:t>
      </w:r>
    </w:p>
    <w:p>
      <w:pPr>
        <w:spacing w:before="0" w:after="160" w:line="360"/>
        <w:ind w:right="0" w:left="0" w:firstLine="0"/>
        <w:jc w:val="both"/>
        <w:rPr>
          <w:rFonts w:ascii="Arial" w:hAnsi="Arial" w:cs="Arial" w:eastAsia="Arial"/>
          <w:color w:val="155F81"/>
          <w:spacing w:val="0"/>
          <w:position w:val="0"/>
          <w:sz w:val="28"/>
          <w:shd w:fill="auto" w:val="clear"/>
        </w:rPr>
      </w:pPr>
      <w:r>
        <w:rPr>
          <w:rFonts w:ascii="Arial" w:hAnsi="Arial" w:cs="Arial" w:eastAsia="Arial"/>
          <w:color w:val="auto"/>
          <w:spacing w:val="0"/>
          <w:position w:val="0"/>
          <w:sz w:val="24"/>
          <w:shd w:fill="auto" w:val="clear"/>
        </w:rPr>
        <w:t xml:space="preserve">There is a growing worldwide need for a shift towards ecologically advantageous acts and policies. This is motivated by increasing concerns over climate change, biodiversity depletion and pollution. The issue of waste management is particularly prominent in the hotel business on a global scale. The main reasons driving the current trend are customer preferences for convenience, a plentiful food supply and the decreasing cost of food as a consumer commodity. Hotels must engage in development and investment to meet social and governmental norms and environmental awareness standards to reach a more environmentally friendly and improved future.</w:t>
      </w:r>
    </w:p>
    <w:p>
      <w:pPr>
        <w:spacing w:before="0" w:after="160" w:line="360"/>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0" w:after="160" w:line="360"/>
        <w:ind w:right="0" w:left="0" w:firstLine="0"/>
        <w:jc w:val="left"/>
        <w:rPr>
          <w:rFonts w:ascii="Aptos" w:hAnsi="Aptos" w:cs="Aptos" w:eastAsia="Aptos"/>
          <w:color w:val="auto"/>
          <w:spacing w:val="0"/>
          <w:position w:val="0"/>
          <w:sz w:val="24"/>
          <w:shd w:fill="auto" w:val="clear"/>
        </w:rPr>
      </w:pPr>
    </w:p>
    <w:p>
      <w:pPr>
        <w:spacing w:before="0" w:after="160" w:line="360"/>
        <w:ind w:right="0" w:left="0" w:firstLine="0"/>
        <w:jc w:val="both"/>
        <w:rPr>
          <w:rFonts w:ascii="Arial" w:hAnsi="Arial" w:cs="Arial" w:eastAsia="Arial"/>
          <w:color w:val="155F81"/>
          <w:spacing w:val="0"/>
          <w:position w:val="0"/>
          <w:sz w:val="28"/>
          <w:shd w:fill="auto" w:val="clear"/>
        </w:rPr>
      </w:pPr>
      <w:r>
        <w:rPr>
          <w:rFonts w:ascii="Arial" w:hAnsi="Arial" w:cs="Arial" w:eastAsia="Arial"/>
          <w:color w:val="155F81"/>
          <w:spacing w:val="0"/>
          <w:position w:val="0"/>
          <w:sz w:val="28"/>
          <w:shd w:fill="auto" w:val="clear"/>
        </w:rPr>
        <w:t xml:space="preserve">Introduction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paper aims to focus on how the hospitality industry is responding and adapting to waste management and recycling. It also explores why this issue should be a primary concern for companies and examines the potential for implementing environmentally friendly procedures. This initiative is focused on clarifying the significance of sustainability, its fundamental principles and its correlation within the hotel sector.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 has been a global transition towards environmentally friendly practices and policies in response to growing worries about climate change, biodiversity decline and pollution (Mollenkamp, 2023).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 are numerous options available instead of discarding a completed product, including borrowing, reutilizing, mending or recycling.  In order to optimise the use of current resources and reduce wastage, it is essential to ensure that objects and materials are utilised to their fullest extent of longevity (Kjellberg, 2022).</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According to the research report from Spherical Insight (2024), the worldwide food waste reduction market is projected to exceed USD 133.70 billion by 2033. This growth is anticipated to occur at a compound annual growth rate (CAGR) of 5.89% from 2023 to 2033.</w:t>
      </w:r>
    </w:p>
    <w:p>
      <w:pPr>
        <w:spacing w:before="0" w:after="160" w:line="279"/>
        <w:ind w:right="0" w:left="0" w:firstLine="0"/>
        <w:jc w:val="both"/>
        <w:rPr>
          <w:rFonts w:ascii="Arial" w:hAnsi="Arial" w:cs="Arial" w:eastAsia="Arial"/>
          <w:color w:val="auto"/>
          <w:spacing w:val="0"/>
          <w:position w:val="0"/>
          <w:sz w:val="24"/>
          <w:shd w:fill="auto" w:val="clear"/>
        </w:rPr>
      </w:pPr>
      <w:r>
        <w:object w:dxaOrig="8605" w:dyaOrig="5021">
          <v:rect xmlns:o="urn:schemas-microsoft-com:office:office" xmlns:v="urn:schemas-microsoft-com:vml" id="rectole0000000000" style="width:430.250000pt;height:251.0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279"/>
        <w:ind w:right="0" w:left="0" w:firstLine="0"/>
        <w:jc w:val="righ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(Spherical Insight, 2024)</w:t>
      </w:r>
    </w:p>
    <w:p>
      <w:pPr>
        <w:spacing w:before="0" w:after="160" w:line="279"/>
        <w:ind w:right="0" w:left="0" w:firstLine="0"/>
        <w:jc w:val="right"/>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hotel industry has a significant issue with the wasting of food and beverages. Implementing measures to prevent food waste and enhance energy efficiency may result in reduced operational expenses (Belton, 2022). Numerous lodging businesses have started the practice of composting biodegradable waste. However, there is an urgent need for more advanced techniques and systems to meet the increasing demand (Zhu-Bandelier, 2021).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155F81"/>
          <w:spacing w:val="0"/>
          <w:position w:val="0"/>
          <w:sz w:val="28"/>
          <w:shd w:fill="auto" w:val="clear"/>
        </w:rPr>
        <w:t xml:space="preserve">Overview of literature</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increase in food waste worldwide cannot only be attributed to the expanding global population. It is primarily influenced by variables such as customer demands for convenience, excessive food production and the declining cost of food as a consumer commodity (Närvänen et al., 2020).</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As the global population and economic well-being increase, the problem of food waste is also growing. Likewise, many food-related firms choose to discard surplus food rather than managing it appropriately and ensuring its consumption at some point along the supply chain, since it is more cost-effective. Food waste is occurring throughout the whole food supply chain, starting with agricultural production and extending to home or hospitality consumption, due to the collective influence of economic, financial, cultural and moral issues. According to the FAO (2011), over 30% of the global food production intended for human consumption is lost or wasted, which corresponds to approximately 1.3 billion metric tonnes annually. Simultaneously, a vast number of individuals are facing immense challenges in obtaining sufficient nourishment for their survival. The global population suffering from malnutrition has been steadily rising. Global hunger affected around 720 to 811 million individuals in the year 2020. The surplus of food produced could be used to mitigate global food crises (FAO, 2021).</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Food waste is a significant sustainability issue since it has enormous implications for company profits, public health and the environment (Wang et al. 2017). The potential impact of this might lead to an annual economic loss of about $2.6 trillion. Furthermore, the act of discarding food incurs an environmental expense of around $700 billion per year, along with an estimated social expense of $900 billion on an annual basis (FAO, 2014). Moreover, it has harmful effects on the environment as a result of the release of carbon dioxide and methane, both of which are greenhouse gases that contribute to the phenomenon of global warming. Food scraps emissions might potentially have negative impacts on human health, both directly and indirectly (Boliko, 2019).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hotel industry generates a significant quantity of food waste annually. Based on data from the Waste and Resources Action Programme, the hotel business in the UK generates 1.1 million tonnes of food waste each year, which represents around 11.6% of the total 9.5 million tonnes of food waste produced in the nation (Parry et al. 2020). According to research conducted by Murphy (2021), the main reasons for food waste in hotels in the UK include preparation (45%), spoiling (21%) and client leftovers (34%).</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conventional techniques of managing food waste mostly concentrate on supplying animals, fermentation in anaerobic conditions, composting, energy recuperation and disposal in landfills, with less attention given to preventing food waste. These activities exert significant influences on the environment. Landfill-generated methane emissions contributed to 3% of the total greenhouse gas (GHG) emissions, as reported by Vahk (2020). </w:t>
      </w:r>
    </w:p>
    <w:p>
      <w:pPr>
        <w:spacing w:before="0" w:after="160" w:line="279"/>
        <w:ind w:right="0" w:left="0" w:firstLine="0"/>
        <w:jc w:val="both"/>
        <w:rPr>
          <w:rFonts w:ascii="Aptos" w:hAnsi="Aptos" w:cs="Aptos" w:eastAsia="Aptos"/>
          <w:color w:val="auto"/>
          <w:spacing w:val="0"/>
          <w:position w:val="0"/>
          <w:sz w:val="24"/>
          <w:shd w:fill="auto" w:val="clear"/>
        </w:rPr>
      </w:pPr>
      <w:r>
        <w:rPr>
          <w:rFonts w:ascii="Arial" w:hAnsi="Arial" w:cs="Arial" w:eastAsia="Arial"/>
          <w:color w:val="auto"/>
          <w:spacing w:val="0"/>
          <w:position w:val="0"/>
          <w:sz w:val="24"/>
          <w:shd w:fill="auto" w:val="clear"/>
        </w:rPr>
        <w:t xml:space="preserve">It is essential to greatly decrease the quantity of waste by following a hierarchy that includes prevention, reduction, recycling and reuse. To address this issue, it is most advisable to take measures to avoid and minimise the occurrence of excessive food waste. Furthermore, the integration of economic interests with reduced environmental consequences may be achieved via efficient food waste management, resulting in cost savings. This creates motivations for hotel enterprises to make alterations. Additionally, using incentives to encourage hotels to modify their attitude towards food waste might enhance their social standing and enhance the image of the industry among the general public. Businesses must balance the requirement for profitability with the need to minimize their environmental footprint (Claydon, 2011). </w:t>
      </w:r>
    </w:p>
    <w:p>
      <w:pPr>
        <w:spacing w:before="0" w:after="160" w:line="279"/>
        <w:ind w:right="0" w:left="0" w:firstLine="0"/>
        <w:jc w:val="both"/>
        <w:rPr>
          <w:rFonts w:ascii="Arial" w:hAnsi="Arial" w:cs="Arial" w:eastAsia="Arial"/>
          <w:color w:val="156082"/>
          <w:spacing w:val="0"/>
          <w:position w:val="0"/>
          <w:sz w:val="28"/>
          <w:shd w:fill="auto" w:val="clear"/>
        </w:rPr>
      </w:pPr>
      <w:r>
        <w:rPr>
          <w:rFonts w:ascii="Arial" w:hAnsi="Arial" w:cs="Arial" w:eastAsia="Arial"/>
          <w:color w:val="156082"/>
          <w:spacing w:val="0"/>
          <w:position w:val="0"/>
          <w:sz w:val="28"/>
          <w:shd w:fill="auto" w:val="clear"/>
        </w:rPr>
        <w:t xml:space="preserve">Application to the Hotel and Hospitality Sector</w:t>
      </w:r>
    </w:p>
    <w:p>
      <w:pPr>
        <w:spacing w:before="0" w:after="160" w:line="279"/>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following article provides a detailed study of the effects and influencing factors of external aspects related to waste reduction and recycling within the hospitality sector, using the PESTLE analytical methodology. </w:t>
      </w:r>
    </w:p>
    <w:p>
      <w:pPr>
        <w:spacing w:before="0" w:after="160" w:line="279"/>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It is a commonly used strategy framework used to evaluate the business environment. This tool helps companies in devising strategies and tackling various issues faced in their operational endeavors (Peterdy, 2023).</w:t>
      </w:r>
    </w:p>
    <w:p>
      <w:pPr>
        <w:spacing w:before="0" w:after="160" w:line="279"/>
        <w:ind w:right="0" w:left="0" w:firstLine="0"/>
        <w:jc w:val="both"/>
        <w:rPr>
          <w:rFonts w:ascii="Arial" w:hAnsi="Arial" w:cs="Arial" w:eastAsia="Arial"/>
          <w:color w:val="000000"/>
          <w:spacing w:val="0"/>
          <w:position w:val="0"/>
          <w:sz w:val="24"/>
          <w:shd w:fill="auto" w:val="clear"/>
        </w:rPr>
      </w:pPr>
      <w:r>
        <w:rPr>
          <w:rFonts w:ascii="Arial" w:hAnsi="Arial" w:cs="Arial" w:eastAsia="Arial"/>
          <w:color w:val="155F81"/>
          <w:spacing w:val="0"/>
          <w:position w:val="0"/>
          <w:sz w:val="24"/>
          <w:shd w:fill="auto" w:val="clear"/>
        </w:rPr>
        <w:t xml:space="preserve">Political factors</w:t>
      </w:r>
    </w:p>
    <w:p>
      <w:pPr>
        <w:spacing w:before="0" w:after="160" w:line="279"/>
        <w:ind w:right="0" w:left="0" w:firstLine="0"/>
        <w:jc w:val="both"/>
        <w:rPr>
          <w:rFonts w:ascii="Aptos" w:hAnsi="Aptos" w:cs="Aptos" w:eastAsia="Aptos"/>
          <w:color w:val="auto"/>
          <w:spacing w:val="0"/>
          <w:position w:val="0"/>
          <w:sz w:val="24"/>
          <w:shd w:fill="auto" w:val="clear"/>
        </w:rPr>
      </w:pPr>
      <w:r>
        <w:rPr>
          <w:rFonts w:ascii="Arial" w:hAnsi="Arial" w:cs="Arial" w:eastAsia="Arial"/>
          <w:color w:val="auto"/>
          <w:spacing w:val="0"/>
          <w:position w:val="0"/>
          <w:sz w:val="24"/>
          <w:shd w:fill="auto" w:val="clear"/>
        </w:rPr>
        <w:t xml:space="preserve">Political implications include several elements, including tax policies, environmental laws, limitations on trade, tariffs and the degree of political stability. These criteria determine the level of impact that a government can have on the hospitality industry and its sustainable practices, specifically in relation to waste reduction and recycling (Pathak, 2020).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 are extensive regulatory frameworks in place by governments across the globe that control the food industry. This encompasses the hygiene of commercial kitchens, the regulations for storing and shipping products and even the criteria for employees in the food industry. Undoubtedly, this fact positions the food business as one of the most heavily regulated industries (Makos, 2024).</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the 1970s, the European Union included the principles that would later become the waste management hierarchy into its waste disposal legislation. Since then, the framework has gained widespread recognition and influence across the world. The United States Environmental Protection Agency has created a new food recyclable waste hierarchy that aligns closely with the previous waste hierarchy idea, acknowledging the significance of environmental sustainability in the food industry (EPA, 2024). The main objectives of the EPA are to provide education to hotel businesses and individuals on strategies to prevent food waste and to provide a sustainable framework for managing food waste in relation to the environment, economy and society (Papargyropoulou et al. 2014). The three pillars upon which the strategy of the EPA rests are disposal, reduction and prevention. Minimising food waste is the optimal and suitable approach for the hotel industry.</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 are several government rules that pertain to the hotel industry in the UK. These are just a few:</w:t>
      </w:r>
    </w:p>
    <w:p>
      <w:pPr>
        <w:numPr>
          <w:ilvl w:val="0"/>
          <w:numId w:val="8"/>
        </w:numPr>
        <w:spacing w:before="0" w:after="160" w:line="27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Reaching zero net carbon emissions within the hotel sector by 2025.</w:t>
      </w:r>
    </w:p>
    <w:p>
      <w:pPr>
        <w:spacing w:before="0" w:after="160" w:line="279"/>
        <w:ind w:right="0" w:left="720" w:firstLine="0"/>
        <w:jc w:val="both"/>
        <w:rPr>
          <w:rFonts w:ascii="Arial" w:hAnsi="Arial" w:cs="Arial" w:eastAsia="Arial"/>
          <w:color w:val="auto"/>
          <w:spacing w:val="0"/>
          <w:position w:val="0"/>
          <w:sz w:val="24"/>
          <w:shd w:fill="auto" w:val="clear"/>
        </w:rPr>
      </w:pPr>
    </w:p>
    <w:p>
      <w:pPr>
        <w:numPr>
          <w:ilvl w:val="0"/>
          <w:numId w:val="10"/>
        </w:numPr>
        <w:spacing w:before="0" w:after="160" w:line="27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British Environment Act of 2021 sets a goal to completely eradicate the disposal of food waste in landfills by the year 2030. The UK government will cut per-capita food waste by 50% by 2030.  </w:t>
      </w:r>
    </w:p>
    <w:p>
      <w:pPr>
        <w:spacing w:before="0" w:after="160" w:line="279"/>
        <w:ind w:right="0" w:left="0" w:firstLine="0"/>
        <w:jc w:val="both"/>
        <w:rPr>
          <w:rFonts w:ascii="Arial" w:hAnsi="Arial" w:cs="Arial" w:eastAsia="Arial"/>
          <w:color w:val="auto"/>
          <w:spacing w:val="0"/>
          <w:position w:val="0"/>
          <w:sz w:val="24"/>
          <w:shd w:fill="auto" w:val="clear"/>
        </w:rPr>
      </w:pPr>
    </w:p>
    <w:p>
      <w:pPr>
        <w:numPr>
          <w:ilvl w:val="0"/>
          <w:numId w:val="12"/>
        </w:numPr>
        <w:spacing w:before="0" w:after="160" w:line="279"/>
        <w:ind w:right="0" w:left="720" w:hanging="360"/>
        <w:jc w:val="both"/>
        <w:rPr>
          <w:rFonts w:ascii="Aptos" w:hAnsi="Aptos" w:cs="Aptos" w:eastAsia="Aptos"/>
          <w:color w:val="auto"/>
          <w:spacing w:val="0"/>
          <w:position w:val="0"/>
          <w:sz w:val="24"/>
          <w:shd w:fill="auto" w:val="clear"/>
        </w:rPr>
      </w:pPr>
      <w:r>
        <w:rPr>
          <w:rFonts w:ascii="Arial" w:hAnsi="Arial" w:cs="Arial" w:eastAsia="Arial"/>
          <w:color w:val="auto"/>
          <w:spacing w:val="0"/>
          <w:position w:val="0"/>
          <w:sz w:val="24"/>
          <w:shd w:fill="auto" w:val="clear"/>
        </w:rPr>
        <w:t xml:space="preserve"> 73% of hospitality firms have shown their endorsement for legislation that would require big and medium-sized enterprises to disclose their food waste.</w:t>
      </w:r>
    </w:p>
    <w:p>
      <w:pPr>
        <w:spacing w:before="0" w:after="160" w:line="279"/>
        <w:ind w:right="0" w:left="720" w:firstLine="0"/>
        <w:jc w:val="right"/>
        <w:rPr>
          <w:rFonts w:ascii="Aptos" w:hAnsi="Aptos" w:cs="Aptos" w:eastAsia="Aptos"/>
          <w:color w:val="auto"/>
          <w:spacing w:val="0"/>
          <w:position w:val="0"/>
          <w:sz w:val="24"/>
          <w:shd w:fill="auto" w:val="clear"/>
        </w:rPr>
      </w:pPr>
      <w:r>
        <w:rPr>
          <w:rFonts w:ascii="Arial" w:hAnsi="Arial" w:cs="Arial" w:eastAsia="Arial"/>
          <w:color w:val="auto"/>
          <w:spacing w:val="0"/>
          <w:position w:val="0"/>
          <w:sz w:val="24"/>
          <w:shd w:fill="auto" w:val="clear"/>
        </w:rPr>
        <w:t xml:space="preserve">(Growyze, 2024) </w:t>
      </w:r>
    </w:p>
    <w:p>
      <w:pPr>
        <w:spacing w:before="0" w:after="160" w:line="279"/>
        <w:ind w:right="0" w:left="0" w:firstLine="0"/>
        <w:jc w:val="both"/>
        <w:rPr>
          <w:rFonts w:ascii="Arial" w:hAnsi="Arial" w:cs="Arial" w:eastAsia="Arial"/>
          <w:color w:val="156082"/>
          <w:spacing w:val="0"/>
          <w:position w:val="0"/>
          <w:sz w:val="24"/>
          <w:shd w:fill="auto" w:val="clear"/>
        </w:rPr>
      </w:pPr>
      <w:r>
        <w:rPr>
          <w:rFonts w:ascii="Arial" w:hAnsi="Arial" w:cs="Arial" w:eastAsia="Arial"/>
          <w:color w:val="156082"/>
          <w:spacing w:val="0"/>
          <w:position w:val="0"/>
          <w:sz w:val="24"/>
          <w:shd w:fill="auto" w:val="clear"/>
        </w:rPr>
        <w:t xml:space="preserve">Economic factors</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ongoing conflict between Russia and Ukraine has an enormous impact the economics of the hotel industry as well. The escalating energy costs and elevated fuel expenditures provide more challenges for the hotel sector. Given the present inflation, businesses need to augment their revenue by raising prices to achieve their objective. </w:t>
      </w:r>
      <w:r>
        <w:rPr>
          <w:rFonts w:ascii="Arial" w:hAnsi="Arial" w:cs="Arial" w:eastAsia="Arial"/>
          <w:b/>
          <w:color w:val="auto"/>
          <w:spacing w:val="0"/>
          <w:position w:val="0"/>
          <w:sz w:val="24"/>
          <w:shd w:fill="auto" w:val="clear"/>
        </w:rPr>
        <w:t xml:space="preserve">Due to increased costs, many people are unable to afford hotel services as a result of the crisis, which affects both individuals and their families (NIESR, 2022). </w:t>
      </w:r>
      <w:r>
        <w:rPr>
          <w:rFonts w:ascii="Arial" w:hAnsi="Arial" w:cs="Arial" w:eastAsia="Arial"/>
          <w:color w:val="auto"/>
          <w:spacing w:val="0"/>
          <w:position w:val="0"/>
          <w:sz w:val="24"/>
          <w:shd w:fill="auto" w:val="clear"/>
        </w:rPr>
        <w:t xml:space="preserve">To achieve economic sustainability, hotel projects must create income, provide advantages to employees and appropriately include ecosystem services while doing cost-benefit assessments. Companies may have favorable effects because of their environmental sustainability initiatives. Businesses may achieve cost savings and reduce their resource extraction needs by recycling valued commodities (Allen, 2022).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prime illustration of this is Marriott International. The hotel firm created the Marriott 360 programme, which offers a comprehensive perspective of their sustainability initiatives, as well as their future goals and benchmarks (Marriott International, 2019). Their sustainability strategy is extensive, encompassing goals such as reducing food waste by 50% by 2025, achieving 100% recognition for ecological friendliness across their entire portfolio, ethically sourcing 95% of their top ten priority categories and decreasing landfill waste by 45%. The Marriott demonstrates its dedication to ecological sustainability via practices like composting food scraps, converting all waste oil into biofuel and only sourcing eggs from cage-free hens. The hotel operator offers packaged lunches in biodegradable packaging, uses tables without cloth and places water stations on various conference floors for meetings (NorthStar meetings group, 2022).</w:t>
      </w:r>
    </w:p>
    <w:p>
      <w:pPr>
        <w:spacing w:before="0" w:after="160" w:line="279"/>
        <w:ind w:right="0" w:left="0" w:firstLine="0"/>
        <w:jc w:val="both"/>
        <w:rPr>
          <w:rFonts w:ascii="Arial" w:hAnsi="Arial" w:cs="Arial" w:eastAsia="Arial"/>
          <w:color w:val="156082"/>
          <w:spacing w:val="0"/>
          <w:position w:val="0"/>
          <w:sz w:val="24"/>
          <w:shd w:fill="auto" w:val="clear"/>
        </w:rPr>
      </w:pPr>
      <w:r>
        <w:rPr>
          <w:rFonts w:ascii="Arial" w:hAnsi="Arial" w:cs="Arial" w:eastAsia="Arial"/>
          <w:color w:val="156082"/>
          <w:spacing w:val="0"/>
          <w:position w:val="0"/>
          <w:sz w:val="24"/>
          <w:shd w:fill="auto" w:val="clear"/>
        </w:rPr>
        <w:t xml:space="preserve">Social factors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Equitable opportunity and respectful attitude towards persons are essential elements of the social aspect of sustainability. Inclusive development approaches include several endeavors, including improving access to high-quality healthcare and education, tackling gender disparities and safeguarding fundamental human rights (Emerick, 2023).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critical undertaking for hotels, it is important to inform all members of the organisation, including executives, chefs and workers, that reducing food waste is a collective responsibility rather than the responsibility of a single group. All personnel of hotels should get comprehensive training on food waste management. Individuals in different departments should be aware that the organisation places a high importance on these issues (Barr, et al. 2007).</w:t>
      </w:r>
    </w:p>
    <w:p>
      <w:pPr>
        <w:spacing w:before="0" w:after="160" w:line="279"/>
        <w:ind w:right="0" w:left="0" w:firstLine="0"/>
        <w:jc w:val="both"/>
        <w:rPr>
          <w:rFonts w:ascii="Aptos" w:hAnsi="Aptos" w:cs="Aptos" w:eastAsia="Aptos"/>
          <w:color w:val="auto"/>
          <w:spacing w:val="0"/>
          <w:position w:val="0"/>
          <w:sz w:val="24"/>
          <w:shd w:fill="auto" w:val="clear"/>
        </w:rPr>
      </w:pPr>
      <w:r>
        <w:rPr>
          <w:rFonts w:ascii="Arial" w:hAnsi="Arial" w:cs="Arial" w:eastAsia="Arial"/>
          <w:color w:val="auto"/>
          <w:spacing w:val="0"/>
          <w:position w:val="0"/>
          <w:sz w:val="24"/>
          <w:shd w:fill="auto" w:val="clear"/>
        </w:rPr>
        <w:t xml:space="preserve">Marriott International ensures that each paid employee will have a 15-minute training session daily. The training emphasises crucial competencies and areas of knowledge, such as kitchen abilities, waste management and sustainable practices, which staff members must comprehend in order to proficiently carry out their responsibilities (HM Staff, 2010).</w:t>
      </w:r>
    </w:p>
    <w:p>
      <w:pPr>
        <w:spacing w:before="0" w:after="160" w:line="279"/>
        <w:ind w:right="0" w:left="0" w:firstLine="0"/>
        <w:jc w:val="both"/>
        <w:rPr>
          <w:rFonts w:ascii="Arial" w:hAnsi="Arial" w:cs="Arial" w:eastAsia="Arial"/>
          <w:color w:val="156082"/>
          <w:spacing w:val="0"/>
          <w:position w:val="0"/>
          <w:sz w:val="24"/>
          <w:shd w:fill="auto" w:val="clear"/>
        </w:rPr>
      </w:pPr>
      <w:r>
        <w:rPr>
          <w:rFonts w:ascii="Arial" w:hAnsi="Arial" w:cs="Arial" w:eastAsia="Arial"/>
          <w:color w:val="156082"/>
          <w:spacing w:val="0"/>
          <w:position w:val="0"/>
          <w:sz w:val="24"/>
          <w:shd w:fill="auto" w:val="clear"/>
        </w:rPr>
        <w:t xml:space="preserve">Technological factors</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Hospitality technology encompasses advancements that streamline corporate operations, enhance staff well-being and tailor hotel experiences to individual guests. Firms primarily use new technology to fulfil consumer requests and provide an excellent customer experience (Mouratidis, 2021).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Global food production and distribution practices might be radically altered by the advent of artificial intelligence (AI). According to research out of the McKinsey Global Institute, there are three main ways in which artificial intelligence (AI) may affect the shift to a circular food system. Sustainable and locally grown food procurement, the elimination of unnecessary food waste and the development of healthier food items are all part of these domains (Silberg and Manyika, 2019). From the perspective of the hotel business, AI as an appliance could be a very beneficial investment. It enables them to minimise operational inefficiencies and mitigate the usage of hazardous chemicals. Integrating artificial intelligence into hotel operations has significant promise for addressing food waste, advancing the circular economy and enhancing sustainability. Hotel enterprises may enhance their operations, streamline decision-making processes and promote the creation of inventive approaches to address urgent challenges in the global food chain (Yigitcanlar and Cugurullo, 2020).</w:t>
      </w:r>
    </w:p>
    <w:p>
      <w:pPr>
        <w:spacing w:before="0" w:after="160" w:line="279"/>
        <w:ind w:right="0" w:left="0" w:firstLine="0"/>
        <w:jc w:val="both"/>
        <w:rPr>
          <w:rFonts w:ascii="Arial" w:hAnsi="Arial" w:cs="Arial" w:eastAsia="Arial"/>
          <w:color w:val="156082"/>
          <w:spacing w:val="0"/>
          <w:position w:val="0"/>
          <w:sz w:val="24"/>
          <w:shd w:fill="auto" w:val="clear"/>
        </w:rPr>
      </w:pPr>
      <w:r>
        <w:rPr>
          <w:rFonts w:ascii="Arial" w:hAnsi="Arial" w:cs="Arial" w:eastAsia="Arial"/>
          <w:color w:val="156082"/>
          <w:spacing w:val="0"/>
          <w:position w:val="0"/>
          <w:sz w:val="24"/>
          <w:shd w:fill="auto" w:val="clear"/>
        </w:rPr>
        <w:t xml:space="preserve">Legal factors</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operational dynamics of a hotel are greatly impacted by the laws and regulations of the country in which it is located. To prevent government interference and engagement from non-governmental groups in its business activities, hotel businesses must comply with staff rules, customer legislation and other legal frameworks (MBA Skool Team, 2023).</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UK government has been slow in establishing effective regulation measures to reduce food waste in the hotel business. Waste reduction strategies have mostly concentrated on tackling garbage produced by individuals. Presently, hotel firms in the UK must ensure that food waste in restaurants and hotels is properly and hygienically disposed of, with no risk of cross-contamination during food preparation. Nevertheless, there are currently no obligatory regulations in place that require them to recycle the food waste. The government also levies an environmental charge on firms to encourage them to adopt more ecologically sustainable practices. However, there is a possibility of imminent change, with the potential implementation of more stringent laws in 2024. It is probable that this will include making separate food waste collection obligatory, aiming for a recycling rate of 75% by 2030 (Edwards-Buarque, 2022). </w:t>
      </w:r>
    </w:p>
    <w:p>
      <w:pPr>
        <w:spacing w:before="0" w:after="160" w:line="279"/>
        <w:ind w:right="0" w:left="0" w:firstLine="0"/>
        <w:jc w:val="both"/>
        <w:rPr>
          <w:rFonts w:ascii="Arial" w:hAnsi="Arial" w:cs="Arial" w:eastAsia="Arial"/>
          <w:color w:val="156082"/>
          <w:spacing w:val="0"/>
          <w:position w:val="0"/>
          <w:sz w:val="24"/>
          <w:shd w:fill="auto" w:val="clear"/>
        </w:rPr>
      </w:pPr>
      <w:r>
        <w:rPr>
          <w:rFonts w:ascii="Arial" w:hAnsi="Arial" w:cs="Arial" w:eastAsia="Arial"/>
          <w:color w:val="156082"/>
          <w:spacing w:val="0"/>
          <w:position w:val="0"/>
          <w:sz w:val="24"/>
          <w:shd w:fill="auto" w:val="clear"/>
        </w:rPr>
        <w:t xml:space="preserve">Environmental factors</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environmental consequences of food waste and insufficient recycling might be considerable. Hotels that dispose of food also waste the natural resources used in its creation, such as electricity, fuel and freshwater. Water is necessary for every phase of the food production process. Considering the impending water shortage in many countries, which might make them uninhabitable in a few decades, it is essential to prioritise the global conservation of freshwater.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When hotels let food to decomposed in landfills, it emits methane, a very potent greenhouse gas that is 25 times more powerful than carbon dioxide. Methane, once generated, persists in the natural environment for a period of 12 years and acts as a greenhouse gas by soaking up and retaining solar radiation. It constitutes 20% of the overall global greenhouse gas emissions. Hoteliers need to establish a proficient and meticulously organised system for managing food waste, as it would significantly reduce global greenhouse gas emissions by 11% (Lewis, 2022).</w:t>
      </w:r>
    </w:p>
    <w:p>
      <w:pPr>
        <w:spacing w:before="0" w:after="160" w:line="279"/>
        <w:ind w:right="0" w:left="0" w:firstLine="0"/>
        <w:jc w:val="both"/>
        <w:rPr>
          <w:rFonts w:ascii="Aptos" w:hAnsi="Aptos" w:cs="Aptos" w:eastAsia="Aptos"/>
          <w:color w:val="auto"/>
          <w:spacing w:val="0"/>
          <w:position w:val="0"/>
          <w:sz w:val="24"/>
          <w:shd w:fill="auto" w:val="clear"/>
        </w:rPr>
      </w:pPr>
      <w:r>
        <w:rPr>
          <w:rFonts w:ascii="Arial" w:hAnsi="Arial" w:cs="Arial" w:eastAsia="Arial"/>
          <w:color w:val="auto"/>
          <w:spacing w:val="0"/>
          <w:position w:val="0"/>
          <w:sz w:val="24"/>
          <w:shd w:fill="auto" w:val="clear"/>
        </w:rPr>
        <w:t xml:space="preserve">Hilton is enhancing its commitment to environmental, social and political obligations in order to safeguard its locations and promote sustainable growth on a global scale. The corporation unveiled its 2030 objectives as part of its ESG strategy. </w:t>
      </w:r>
    </w:p>
    <w:p>
      <w:pPr>
        <w:spacing w:before="0" w:after="160" w:line="279"/>
        <w:ind w:right="0" w:left="0" w:firstLine="0"/>
        <w:jc w:val="both"/>
        <w:rPr>
          <w:rFonts w:ascii="Aptos" w:hAnsi="Aptos" w:cs="Aptos" w:eastAsia="Aptos"/>
          <w:color w:val="auto"/>
          <w:spacing w:val="0"/>
          <w:position w:val="0"/>
          <w:sz w:val="24"/>
          <w:shd w:fill="auto" w:val="clear"/>
        </w:rPr>
      </w:pPr>
      <w:r>
        <w:rPr>
          <w:rFonts w:ascii="Arial" w:hAnsi="Arial" w:cs="Arial" w:eastAsia="Arial"/>
          <w:color w:val="auto"/>
          <w:spacing w:val="0"/>
          <w:position w:val="0"/>
          <w:sz w:val="24"/>
          <w:shd w:fill="auto" w:val="clear"/>
        </w:rPr>
        <w:t xml:space="preserve">Some examples: </w:t>
      </w:r>
    </w:p>
    <w:p>
      <w:pPr>
        <w:numPr>
          <w:ilvl w:val="0"/>
          <w:numId w:val="15"/>
        </w:numPr>
        <w:spacing w:before="0" w:after="160" w:line="27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Reduce emissions intensity by 75% to lower greenhouse gas emissions.</w:t>
      </w:r>
    </w:p>
    <w:p>
      <w:pPr>
        <w:numPr>
          <w:ilvl w:val="0"/>
          <w:numId w:val="15"/>
        </w:numPr>
        <w:spacing w:before="0" w:after="160" w:line="27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Revolutionising the $10.5 trillion real estate sector by using carbon absorption, smart buildings, storing energy and green energy technologies to significantly reduce greenhouse gas emissions.</w:t>
      </w:r>
    </w:p>
    <w:p>
      <w:pPr>
        <w:spacing w:before="0" w:after="160" w:line="279"/>
        <w:ind w:right="0" w:left="720" w:firstLine="0"/>
        <w:jc w:val="both"/>
        <w:rPr>
          <w:rFonts w:ascii="Arial" w:hAnsi="Arial" w:cs="Arial" w:eastAsia="Arial"/>
          <w:color w:val="auto"/>
          <w:spacing w:val="0"/>
          <w:position w:val="0"/>
          <w:sz w:val="24"/>
          <w:shd w:fill="auto" w:val="clear"/>
        </w:rPr>
      </w:pPr>
    </w:p>
    <w:p>
      <w:pPr>
        <w:numPr>
          <w:ilvl w:val="0"/>
          <w:numId w:val="17"/>
        </w:numPr>
        <w:spacing w:before="0" w:after="160" w:line="27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Keep world temperatures below 1.5 degrees Celsius above pre-industrial levels.</w:t>
      </w:r>
    </w:p>
    <w:p>
      <w:pPr>
        <w:spacing w:before="0" w:after="160" w:line="279"/>
        <w:ind w:right="0" w:left="720" w:firstLine="0"/>
        <w:jc w:val="both"/>
        <w:rPr>
          <w:rFonts w:ascii="Arial" w:hAnsi="Arial" w:cs="Arial" w:eastAsia="Arial"/>
          <w:color w:val="auto"/>
          <w:spacing w:val="0"/>
          <w:position w:val="0"/>
          <w:sz w:val="24"/>
          <w:shd w:fill="auto" w:val="clear"/>
        </w:rPr>
      </w:pPr>
    </w:p>
    <w:p>
      <w:pPr>
        <w:spacing w:before="0" w:after="160" w:line="279"/>
        <w:ind w:right="0" w:left="720" w:firstLine="0"/>
        <w:jc w:val="righ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(Otley, 2022)</w:t>
      </w:r>
    </w:p>
    <w:p>
      <w:pPr>
        <w:spacing w:before="0" w:after="160" w:line="279"/>
        <w:ind w:right="0" w:left="72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156082"/>
          <w:spacing w:val="0"/>
          <w:position w:val="0"/>
          <w:sz w:val="24"/>
          <w:shd w:fill="auto" w:val="clear"/>
        </w:rPr>
      </w:pPr>
    </w:p>
    <w:p>
      <w:pPr>
        <w:spacing w:before="0" w:after="160" w:line="279"/>
        <w:ind w:right="0" w:left="0" w:firstLine="0"/>
        <w:jc w:val="both"/>
        <w:rPr>
          <w:rFonts w:ascii="Arial" w:hAnsi="Arial" w:cs="Arial" w:eastAsia="Arial"/>
          <w:color w:val="156082"/>
          <w:spacing w:val="0"/>
          <w:position w:val="0"/>
          <w:sz w:val="28"/>
          <w:shd w:fill="auto" w:val="clear"/>
        </w:rPr>
      </w:pPr>
      <w:r>
        <w:rPr>
          <w:rFonts w:ascii="Arial" w:hAnsi="Arial" w:cs="Arial" w:eastAsia="Arial"/>
          <w:color w:val="156082"/>
          <w:spacing w:val="0"/>
          <w:position w:val="0"/>
          <w:sz w:val="28"/>
          <w:shd w:fill="auto" w:val="clear"/>
        </w:rPr>
        <w:t xml:space="preserve">Evaluate future policy and management options for waste reduction</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hospitality sector is under pressure to strike the correct equilibrium between making environmentally conscientious choices, minimising expenses and ensuring a smooth and enjoyable experience for visitors. To accomplish this objective, a diverse array of strategies must be used, such as the introduction of refillable dispensers to minimise packing, the implementation of improved management practices for single-use plastics and the reduction of food waste. To effectively manage this field, it is necessary to implement infrastructure and workflow modifications as part of a comprehensive hotel waste management strategy, to achieve a substantial environmental influence. The efficacy of such programmes is also contingent upon the active endorsement and engagement of hotel guests, since they play a crucial role in the recycling and reduction of hotel garbage production (Ahmed, 2023).</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order to bolster their waste management efforts, minimise their ecological impact and showcase a dedication to sustainability, hotels should:</w:t>
      </w:r>
    </w:p>
    <w:p>
      <w:pPr>
        <w:numPr>
          <w:ilvl w:val="0"/>
          <w:numId w:val="22"/>
        </w:numPr>
        <w:spacing w:before="0" w:after="160" w:line="27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Guest rooms, public spaces and back-of-house facilities should have recyclable, organic, and non-recyclable containers. All containers should be accessible to visitors and personnel.</w:t>
      </w:r>
    </w:p>
    <w:p>
      <w:pPr>
        <w:numPr>
          <w:ilvl w:val="0"/>
          <w:numId w:val="22"/>
        </w:numPr>
        <w:spacing w:before="0" w:after="160" w:line="27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Promote active involvement of visitors in recycling initiatives.</w:t>
      </w:r>
    </w:p>
    <w:p>
      <w:pPr>
        <w:numPr>
          <w:ilvl w:val="0"/>
          <w:numId w:val="22"/>
        </w:numPr>
        <w:spacing w:before="0" w:after="160" w:line="27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Collaborate with nearby facilities or waste management businesses to ensure the appropriate handling and treatment of recyclable materials.</w:t>
      </w:r>
    </w:p>
    <w:p>
      <w:pPr>
        <w:numPr>
          <w:ilvl w:val="0"/>
          <w:numId w:val="22"/>
        </w:numPr>
        <w:spacing w:before="0" w:after="160" w:line="27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Establish systems for the composting of organic waste. Donating the compost to nearby farms or community gardens is another option, as is using it for landscaping.</w:t>
      </w:r>
    </w:p>
    <w:p>
      <w:pPr>
        <w:numPr>
          <w:ilvl w:val="0"/>
          <w:numId w:val="22"/>
        </w:numPr>
        <w:spacing w:before="0" w:after="160" w:line="27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Establish control over portions, food scheduling and inventory control. Local charities and shelters might get excess food.</w:t>
      </w:r>
    </w:p>
    <w:p>
      <w:pPr>
        <w:numPr>
          <w:ilvl w:val="0"/>
          <w:numId w:val="22"/>
        </w:numPr>
        <w:spacing w:before="0" w:after="160" w:line="27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Offer eco-friendly toiletry dispensers that can be refilled with organic products, as well as reusable water bottles. </w:t>
      </w:r>
    </w:p>
    <w:p>
      <w:pPr>
        <w:numPr>
          <w:ilvl w:val="0"/>
          <w:numId w:val="22"/>
        </w:numPr>
        <w:spacing w:before="0" w:after="160" w:line="27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Perform periodic waste audits to evaluate waste production, identify areas for improvement and monitor advancements towards waste reduction objectives.</w:t>
      </w:r>
    </w:p>
    <w:p>
      <w:pPr>
        <w:numPr>
          <w:ilvl w:val="0"/>
          <w:numId w:val="22"/>
        </w:numPr>
        <w:spacing w:before="0" w:after="160" w:line="27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Select providers and goods that prioritise sustainability.</w:t>
      </w:r>
    </w:p>
    <w:p>
      <w:pPr>
        <w:numPr>
          <w:ilvl w:val="0"/>
          <w:numId w:val="22"/>
        </w:numPr>
        <w:spacing w:before="0" w:after="160" w:line="279"/>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Investigate waste-to-energy solutions for the conversion of non-recyclable garbage into usable energy. </w:t>
      </w:r>
    </w:p>
    <w:p>
      <w:pPr>
        <w:spacing w:before="0" w:after="160" w:line="279"/>
        <w:ind w:right="0" w:left="720" w:firstLine="0"/>
        <w:jc w:val="righ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(Cvent, 2024) </w:t>
      </w:r>
    </w:p>
    <w:p>
      <w:pPr>
        <w:spacing w:before="0" w:after="160" w:line="279"/>
        <w:ind w:right="0" w:left="720" w:firstLine="0"/>
        <w:jc w:val="both"/>
        <w:rPr>
          <w:rFonts w:ascii="Arial" w:hAnsi="Arial" w:cs="Arial" w:eastAsia="Arial"/>
          <w:color w:val="auto"/>
          <w:spacing w:val="0"/>
          <w:position w:val="0"/>
          <w:sz w:val="24"/>
          <w:shd w:fill="auto" w:val="clear"/>
        </w:rPr>
      </w:pPr>
    </w:p>
    <w:p>
      <w:pPr>
        <w:spacing w:before="0" w:after="160" w:line="279"/>
        <w:ind w:right="0" w:left="720" w:firstLine="0"/>
        <w:jc w:val="both"/>
        <w:rPr>
          <w:rFonts w:ascii="Arial" w:hAnsi="Arial" w:cs="Arial" w:eastAsia="Arial"/>
          <w:color w:val="156082"/>
          <w:spacing w:val="0"/>
          <w:position w:val="0"/>
          <w:sz w:val="28"/>
          <w:shd w:fill="auto" w:val="clear"/>
        </w:rPr>
      </w:pPr>
      <w:r>
        <w:rPr>
          <w:rFonts w:ascii="Arial" w:hAnsi="Arial" w:cs="Arial" w:eastAsia="Arial"/>
          <w:color w:val="156082"/>
          <w:spacing w:val="0"/>
          <w:position w:val="0"/>
          <w:sz w:val="28"/>
          <w:shd w:fill="auto" w:val="clear"/>
        </w:rPr>
        <w:t xml:space="preserve">Conclusion</w:t>
      </w:r>
    </w:p>
    <w:p>
      <w:pPr>
        <w:spacing w:before="0" w:after="160" w:line="279"/>
        <w:ind w:right="0" w:left="720" w:firstLine="0"/>
        <w:jc w:val="both"/>
        <w:rPr>
          <w:rFonts w:ascii="Arial" w:hAnsi="Arial" w:cs="Arial" w:eastAsia="Arial"/>
          <w:color w:val="156082"/>
          <w:spacing w:val="0"/>
          <w:position w:val="0"/>
          <w:sz w:val="28"/>
          <w:shd w:fill="auto" w:val="clear"/>
        </w:rPr>
      </w:pPr>
    </w:p>
    <w:p>
      <w:pPr>
        <w:spacing w:before="0" w:after="160" w:line="279"/>
        <w:ind w:right="0" w:left="72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Summarising what has been said, there is an increasing global demand for a transition towards environmentally beneficial actions and policies. This is driven by rising worries about climate change, biodiversity decline and pollution. The increasing worldwide problem of waste management is especially pronounced within the hotel industry. The primary factors contributing to this phenomenon are customer demands for convenience, an abundance of food supply and the declining cost of food as a consumer commodity. The PESTLE analytical approach has been used to comprehensively assess all aspects and effects that influence external variables related to waste reduction and recycling. The effort sought to highlight the significance and efficiency of waste reduction in the hotel business by presenting successful examples from the hospitality industry. This paper, with future recommendations, tried to create a positive hotel image that can meet the future requirements of sustainability and the needs of environmentally conscious guests. </w:t>
      </w: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0" w:after="160" w:line="279"/>
        <w:ind w:right="0" w:left="0" w:firstLine="0"/>
        <w:jc w:val="left"/>
        <w:rPr>
          <w:rFonts w:ascii="Aptos" w:hAnsi="Aptos" w:cs="Aptos" w:eastAsia="Aptos"/>
          <w:color w:val="auto"/>
          <w:spacing w:val="0"/>
          <w:position w:val="0"/>
          <w:sz w:val="24"/>
          <w:shd w:fill="auto" w:val="clear"/>
        </w:rPr>
      </w:pPr>
    </w:p>
    <w:p>
      <w:pPr>
        <w:spacing w:before="0" w:after="160" w:line="279"/>
        <w:ind w:right="0" w:left="720" w:firstLine="0"/>
        <w:jc w:val="both"/>
        <w:rPr>
          <w:rFonts w:ascii="Arial" w:hAnsi="Arial" w:cs="Arial" w:eastAsia="Arial"/>
          <w:color w:val="156082"/>
          <w:spacing w:val="0"/>
          <w:position w:val="0"/>
          <w:sz w:val="28"/>
          <w:shd w:fill="auto" w:val="clear"/>
        </w:rPr>
      </w:pPr>
      <w:r>
        <w:rPr>
          <w:rFonts w:ascii="Arial" w:hAnsi="Arial" w:cs="Arial" w:eastAsia="Arial"/>
          <w:color w:val="156082"/>
          <w:spacing w:val="0"/>
          <w:position w:val="0"/>
          <w:sz w:val="28"/>
          <w:shd w:fill="auto" w:val="clear"/>
        </w:rPr>
        <w:t xml:space="preserve">Reference list </w:t>
      </w:r>
    </w:p>
    <w:p>
      <w:pPr>
        <w:spacing w:before="0" w:after="160" w:line="279"/>
        <w:ind w:right="0" w:left="720" w:firstLine="0"/>
        <w:jc w:val="both"/>
        <w:rPr>
          <w:rFonts w:ascii="Arial" w:hAnsi="Arial" w:cs="Arial" w:eastAsia="Arial"/>
          <w:color w:val="156082"/>
          <w:spacing w:val="0"/>
          <w:position w:val="0"/>
          <w:sz w:val="28"/>
          <w:shd w:fill="auto" w:val="clear"/>
        </w:rPr>
      </w:pPr>
    </w:p>
    <w:p>
      <w:pPr>
        <w:spacing w:before="0" w:after="160" w:line="279"/>
        <w:ind w:right="0" w:left="720" w:firstLine="0"/>
        <w:jc w:val="both"/>
        <w:rPr>
          <w:rFonts w:ascii="Arial" w:hAnsi="Arial" w:cs="Arial" w:eastAsia="Arial"/>
          <w:color w:val="156082"/>
          <w:spacing w:val="0"/>
          <w:position w:val="0"/>
          <w:sz w:val="28"/>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Mollenkamp, D. T. (2023) </w:t>
      </w:r>
      <w:r>
        <w:rPr>
          <w:rFonts w:ascii="Arial" w:hAnsi="Arial" w:cs="Arial" w:eastAsia="Arial"/>
          <w:i/>
          <w:color w:val="auto"/>
          <w:spacing w:val="0"/>
          <w:position w:val="0"/>
          <w:sz w:val="24"/>
          <w:shd w:fill="auto" w:val="clear"/>
        </w:rPr>
        <w:t xml:space="preserve">What is Sustainability? How Sustainabilities Work, Benefits, and Example </w:t>
      </w:r>
      <w:r>
        <w:rPr>
          <w:rFonts w:ascii="Arial" w:hAnsi="Arial" w:cs="Arial" w:eastAsia="Arial"/>
          <w:color w:val="auto"/>
          <w:spacing w:val="0"/>
          <w:position w:val="0"/>
          <w:sz w:val="24"/>
          <w:shd w:fill="auto" w:val="clear"/>
        </w:rPr>
        <w:t xml:space="preserve">[online]. Available at: </w:t>
      </w:r>
      <w:hyperlink xmlns:r="http://schemas.openxmlformats.org/officeDocument/2006/relationships" r:id="docRId2">
        <w:r>
          <w:rPr>
            <w:rFonts w:ascii="Arial" w:hAnsi="Arial" w:cs="Arial" w:eastAsia="Arial"/>
            <w:color w:val="0563C1"/>
            <w:spacing w:val="0"/>
            <w:position w:val="0"/>
            <w:sz w:val="24"/>
            <w:u w:val="single"/>
            <w:shd w:fill="auto" w:val="clear"/>
          </w:rPr>
          <w:t xml:space="preserve">https://www.investopedia.com/terms/s/sustainability.as</w:t>
        </w:r>
      </w:hyperlink>
      <w:r>
        <w:rPr>
          <w:rFonts w:ascii="Arial" w:hAnsi="Arial" w:cs="Arial" w:eastAsia="Arial"/>
          <w:color w:val="auto"/>
          <w:spacing w:val="0"/>
          <w:position w:val="0"/>
          <w:sz w:val="24"/>
          <w:shd w:fill="auto" w:val="clear"/>
        </w:rPr>
        <w:t xml:space="preserve"> (Accessed: 2 May 2024).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Kjellberg, S. (2022) </w:t>
      </w:r>
      <w:r>
        <w:rPr>
          <w:rFonts w:ascii="Arial" w:hAnsi="Arial" w:cs="Arial" w:eastAsia="Arial"/>
          <w:i/>
          <w:color w:val="auto"/>
          <w:spacing w:val="0"/>
          <w:position w:val="0"/>
          <w:sz w:val="24"/>
          <w:shd w:fill="auto" w:val="clear"/>
        </w:rPr>
        <w:t xml:space="preserve">Traceability: Supporting sustainability and the European Green Deal</w:t>
      </w:r>
      <w:r>
        <w:rPr>
          <w:rFonts w:ascii="Arial" w:hAnsi="Arial" w:cs="Arial" w:eastAsia="Arial"/>
          <w:color w:val="auto"/>
          <w:spacing w:val="0"/>
          <w:position w:val="0"/>
          <w:sz w:val="24"/>
          <w:shd w:fill="auto" w:val="clear"/>
        </w:rPr>
        <w:t xml:space="preserve"> [blog]. Available at: </w:t>
      </w:r>
      <w:hyperlink xmlns:r="http://schemas.openxmlformats.org/officeDocument/2006/relationships" r:id="docRId3">
        <w:r>
          <w:rPr>
            <w:rFonts w:ascii="Arial" w:hAnsi="Arial" w:cs="Arial" w:eastAsia="Arial"/>
            <w:color w:val="0000FF"/>
            <w:spacing w:val="0"/>
            <w:position w:val="0"/>
            <w:sz w:val="24"/>
            <w:u w:val="single"/>
            <w:shd w:fill="auto" w:val="clear"/>
          </w:rPr>
          <w:t xml:space="preserve">https://kezzler.com/blog/traceability-technology-supporting-sustainability-and-the-european-green-deal/?gclid=CjwKCAjw67ajBhAVEiwA2g_jEK5ZQ4YYUpUOazJ4wueSJtVMJNF48587MVFXGGv6teHI2J1MqfYXkxoCNloQAvD_BwE</w:t>
        </w:r>
      </w:hyperlink>
      <w:r>
        <w:rPr>
          <w:rFonts w:ascii="Arial" w:hAnsi="Arial" w:cs="Arial" w:eastAsia="Arial"/>
          <w:color w:val="auto"/>
          <w:spacing w:val="0"/>
          <w:position w:val="0"/>
          <w:sz w:val="24"/>
          <w:shd w:fill="auto" w:val="clear"/>
        </w:rPr>
        <w:t xml:space="preserve">  (Accessed: 2 May 2024).</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Spherical Insight (2024) </w:t>
      </w:r>
      <w:r>
        <w:rPr>
          <w:rFonts w:ascii="Arial" w:hAnsi="Arial" w:cs="Arial" w:eastAsia="Arial"/>
          <w:i/>
          <w:color w:val="auto"/>
          <w:spacing w:val="0"/>
          <w:position w:val="0"/>
          <w:sz w:val="24"/>
          <w:shd w:fill="auto" w:val="clear"/>
        </w:rPr>
        <w:t xml:space="preserve">Global Food Waste Management Market Insights Forecasts to 2033. </w:t>
      </w:r>
      <w:r>
        <w:rPr>
          <w:rFonts w:ascii="Arial" w:hAnsi="Arial" w:cs="Arial" w:eastAsia="Arial"/>
          <w:color w:val="auto"/>
          <w:spacing w:val="0"/>
          <w:position w:val="0"/>
          <w:sz w:val="24"/>
          <w:shd w:fill="auto" w:val="clear"/>
        </w:rPr>
        <w:t xml:space="preserve">[online]. Available at: </w:t>
      </w:r>
      <w:hyperlink xmlns:r="http://schemas.openxmlformats.org/officeDocument/2006/relationships" r:id="docRId4">
        <w:r>
          <w:rPr>
            <w:rFonts w:ascii="Arial" w:hAnsi="Arial" w:cs="Arial" w:eastAsia="Arial"/>
            <w:color w:val="0563C1"/>
            <w:spacing w:val="0"/>
            <w:position w:val="0"/>
            <w:sz w:val="24"/>
            <w:u w:val="single"/>
            <w:shd w:fill="auto" w:val="clear"/>
          </w:rPr>
          <w:t xml:space="preserve">https://www.sphericalinsights.com/reports/food-waste-management-marke</w:t>
        </w:r>
      </w:hyperlink>
      <w:r>
        <w:rPr>
          <w:rFonts w:ascii="Arial" w:hAnsi="Arial" w:cs="Arial" w:eastAsia="Arial"/>
          <w:color w:val="auto"/>
          <w:spacing w:val="0"/>
          <w:position w:val="0"/>
          <w:sz w:val="24"/>
          <w:shd w:fill="auto" w:val="clear"/>
        </w:rPr>
        <w:t xml:space="preserve"> (Accessed: 3 May 2024).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Belton, A. (2022) </w:t>
      </w:r>
      <w:r>
        <w:rPr>
          <w:rFonts w:ascii="Arial" w:hAnsi="Arial" w:cs="Arial" w:eastAsia="Arial"/>
          <w:i/>
          <w:color w:val="auto"/>
          <w:spacing w:val="0"/>
          <w:position w:val="0"/>
          <w:sz w:val="24"/>
          <w:shd w:fill="auto" w:val="clear"/>
        </w:rPr>
        <w:t xml:space="preserve">What Cop27 means for hotels and hospitality in 2023 </w:t>
      </w:r>
      <w:r>
        <w:rPr>
          <w:rFonts w:ascii="Arial" w:hAnsi="Arial" w:cs="Arial" w:eastAsia="Arial"/>
          <w:color w:val="auto"/>
          <w:spacing w:val="0"/>
          <w:position w:val="0"/>
          <w:sz w:val="24"/>
          <w:shd w:fill="auto" w:val="clear"/>
        </w:rPr>
        <w:t xml:space="preserve">[online]. Available at: </w:t>
      </w:r>
      <w:hyperlink xmlns:r="http://schemas.openxmlformats.org/officeDocument/2006/relationships" r:id="docRId5">
        <w:r>
          <w:rPr>
            <w:rFonts w:ascii="Arial" w:hAnsi="Arial" w:cs="Arial" w:eastAsia="Arial"/>
            <w:color w:val="0000FF"/>
            <w:spacing w:val="0"/>
            <w:position w:val="0"/>
            <w:sz w:val="24"/>
            <w:u w:val="single"/>
            <w:shd w:fill="auto" w:val="clear"/>
          </w:rPr>
          <w:t xml:space="preserve">https://www.hospitalitynet.org/opinion/4113923.html</w:t>
        </w:r>
      </w:hyperlink>
      <w:r>
        <w:rPr>
          <w:rFonts w:ascii="Arial" w:hAnsi="Arial" w:cs="Arial" w:eastAsia="Arial"/>
          <w:color w:val="auto"/>
          <w:spacing w:val="0"/>
          <w:position w:val="0"/>
          <w:sz w:val="24"/>
          <w:shd w:fill="auto" w:val="clear"/>
        </w:rPr>
        <w:t xml:space="preserve"> (Accessed: 3 May 2024).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Zhu-Bandelier, S. (2021) </w:t>
      </w:r>
      <w:r>
        <w:rPr>
          <w:rFonts w:ascii="Arial" w:hAnsi="Arial" w:cs="Arial" w:eastAsia="Arial"/>
          <w:i/>
          <w:color w:val="auto"/>
          <w:spacing w:val="0"/>
          <w:position w:val="0"/>
          <w:sz w:val="24"/>
          <w:shd w:fill="auto" w:val="clear"/>
        </w:rPr>
        <w:t xml:space="preserve">6 keyways a circular economy can benefit the hospitality industry </w:t>
      </w:r>
      <w:r>
        <w:rPr>
          <w:rFonts w:ascii="Arial" w:hAnsi="Arial" w:cs="Arial" w:eastAsia="Arial"/>
          <w:color w:val="auto"/>
          <w:spacing w:val="0"/>
          <w:position w:val="0"/>
          <w:sz w:val="24"/>
          <w:shd w:fill="auto" w:val="clear"/>
        </w:rPr>
        <w:t xml:space="preserve">[online].</w:t>
      </w:r>
      <w:r>
        <w:rPr>
          <w:rFonts w:ascii="Arial" w:hAnsi="Arial" w:cs="Arial" w:eastAsia="Arial"/>
          <w:i/>
          <w:color w:val="auto"/>
          <w:spacing w:val="0"/>
          <w:position w:val="0"/>
          <w:sz w:val="24"/>
          <w:shd w:fill="auto" w:val="clear"/>
        </w:rPr>
        <w:t xml:space="preserve"> </w:t>
      </w:r>
      <w:r>
        <w:rPr>
          <w:rFonts w:ascii="Arial" w:hAnsi="Arial" w:cs="Arial" w:eastAsia="Arial"/>
          <w:color w:val="auto"/>
          <w:spacing w:val="0"/>
          <w:position w:val="0"/>
          <w:sz w:val="24"/>
          <w:shd w:fill="auto" w:val="clear"/>
        </w:rPr>
        <w:t xml:space="preserve">Available at: </w:t>
      </w:r>
      <w:hyperlink xmlns:r="http://schemas.openxmlformats.org/officeDocument/2006/relationships" r:id="docRId6">
        <w:r>
          <w:rPr>
            <w:rFonts w:ascii="Arial" w:hAnsi="Arial" w:cs="Arial" w:eastAsia="Arial"/>
            <w:color w:val="0563C1"/>
            <w:spacing w:val="0"/>
            <w:position w:val="0"/>
            <w:sz w:val="24"/>
            <w:u w:val="single"/>
            <w:shd w:fill="auto" w:val="clear"/>
          </w:rPr>
          <w:t xml:space="preserve">https://ceoworld.biz/2021/04/08/6-key-ways-a-circular-economy-can-benefit-the-hospitality-industry</w:t>
        </w:r>
      </w:hyperlink>
      <w:r>
        <w:rPr>
          <w:rFonts w:ascii="Arial" w:hAnsi="Arial" w:cs="Arial" w:eastAsia="Arial"/>
          <w:color w:val="auto"/>
          <w:spacing w:val="0"/>
          <w:position w:val="0"/>
          <w:sz w:val="24"/>
          <w:shd w:fill="auto" w:val="clear"/>
        </w:rPr>
        <w:t xml:space="preserve"> (Accessed: 3 May 2024).</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Närvänen E. et al. `Switzerland: 2020. Food Waste Management` </w:t>
      </w:r>
      <w:r>
        <w:rPr>
          <w:rFonts w:ascii="Arial" w:hAnsi="Arial" w:cs="Arial" w:eastAsia="Arial"/>
          <w:i/>
          <w:color w:val="auto"/>
          <w:spacing w:val="0"/>
          <w:position w:val="0"/>
          <w:sz w:val="24"/>
          <w:shd w:fill="auto" w:val="clear"/>
        </w:rPr>
        <w:t xml:space="preserve">Solving the Wicked Problem.</w:t>
      </w:r>
      <w:r>
        <w:rPr>
          <w:rFonts w:ascii="Arial" w:hAnsi="Arial" w:cs="Arial" w:eastAsia="Arial"/>
          <w:color w:val="auto"/>
          <w:spacing w:val="0"/>
          <w:position w:val="0"/>
          <w:sz w:val="24"/>
          <w:shd w:fill="auto" w:val="clear"/>
        </w:rPr>
        <w:t xml:space="preserve"> </w:t>
      </w:r>
      <w:hyperlink xmlns:r="http://schemas.openxmlformats.org/officeDocument/2006/relationships" r:id="docRId7">
        <w:r>
          <w:rPr>
            <w:rFonts w:ascii="Arial" w:hAnsi="Arial" w:cs="Arial" w:eastAsia="Arial"/>
            <w:color w:val="0000FF"/>
            <w:spacing w:val="0"/>
            <w:position w:val="0"/>
            <w:sz w:val="24"/>
            <w:u w:val="single"/>
            <w:shd w:fill="auto" w:val="clear"/>
          </w:rPr>
          <w:t xml:space="preserve">https://link.springer.com/book/10.1007/978-3-030-20561-4</w:t>
        </w:r>
      </w:hyperlink>
      <w:r>
        <w:rPr>
          <w:rFonts w:ascii="Arial" w:hAnsi="Arial" w:cs="Arial" w:eastAsia="Arial"/>
          <w:color w:val="auto"/>
          <w:spacing w:val="0"/>
          <w:position w:val="0"/>
          <w:sz w:val="24"/>
          <w:shd w:fill="auto" w:val="clear"/>
        </w:rPr>
        <w:t xml:space="preserve"> (Accessed: 4 May 2024).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FAO (2011) </w:t>
      </w:r>
      <w:r>
        <w:rPr>
          <w:rFonts w:ascii="Arial" w:hAnsi="Arial" w:cs="Arial" w:eastAsia="Arial"/>
          <w:i/>
          <w:color w:val="auto"/>
          <w:spacing w:val="0"/>
          <w:position w:val="0"/>
          <w:sz w:val="24"/>
          <w:shd w:fill="auto" w:val="clear"/>
        </w:rPr>
        <w:t xml:space="preserve">Global Food Losses and Food Waste</w:t>
      </w:r>
      <w:r>
        <w:rPr>
          <w:rFonts w:ascii="Arial" w:hAnsi="Arial" w:cs="Arial" w:eastAsia="Arial"/>
          <w:i/>
          <w:color w:val="auto"/>
          <w:spacing w:val="0"/>
          <w:position w:val="0"/>
          <w:sz w:val="24"/>
          <w:shd w:fill="auto" w:val="clear"/>
        </w:rPr>
        <w:t xml:space="preserve">—</w:t>
      </w:r>
      <w:r>
        <w:rPr>
          <w:rFonts w:ascii="Arial" w:hAnsi="Arial" w:cs="Arial" w:eastAsia="Arial"/>
          <w:i/>
          <w:color w:val="auto"/>
          <w:spacing w:val="0"/>
          <w:position w:val="0"/>
          <w:sz w:val="24"/>
          <w:shd w:fill="auto" w:val="clear"/>
        </w:rPr>
        <w:t xml:space="preserve">Extent, Causes and Prevention</w:t>
      </w:r>
      <w:r>
        <w:rPr>
          <w:rFonts w:ascii="Arial" w:hAnsi="Arial" w:cs="Arial" w:eastAsia="Arial"/>
          <w:color w:val="auto"/>
          <w:spacing w:val="0"/>
          <w:position w:val="0"/>
          <w:sz w:val="24"/>
          <w:shd w:fill="auto" w:val="clear"/>
        </w:rPr>
        <w:t xml:space="preserve">. [online]. Available at: </w:t>
      </w:r>
      <w:hyperlink xmlns:r="http://schemas.openxmlformats.org/officeDocument/2006/relationships" r:id="docRId8">
        <w:r>
          <w:rPr>
            <w:rFonts w:ascii="Arial" w:hAnsi="Arial" w:cs="Arial" w:eastAsia="Arial"/>
            <w:color w:val="0000FF"/>
            <w:spacing w:val="0"/>
            <w:position w:val="0"/>
            <w:sz w:val="24"/>
            <w:u w:val="single"/>
            <w:shd w:fill="auto" w:val="clear"/>
          </w:rPr>
          <w:t xml:space="preserve">http://www.fao.org/3/a-i2697e.pdf</w:t>
        </w:r>
      </w:hyperlink>
      <w:r>
        <w:rPr>
          <w:rFonts w:ascii="Arial" w:hAnsi="Arial" w:cs="Arial" w:eastAsia="Arial"/>
          <w:color w:val="auto"/>
          <w:spacing w:val="0"/>
          <w:position w:val="0"/>
          <w:sz w:val="24"/>
          <w:shd w:fill="auto" w:val="clear"/>
        </w:rPr>
        <w:t xml:space="preserve"> (Accessed: 4 Ma 2024).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FAO (2021) </w:t>
      </w:r>
      <w:r>
        <w:rPr>
          <w:rFonts w:ascii="Arial" w:hAnsi="Arial" w:cs="Arial" w:eastAsia="Arial"/>
          <w:i/>
          <w:color w:val="auto"/>
          <w:spacing w:val="0"/>
          <w:position w:val="0"/>
          <w:sz w:val="24"/>
          <w:shd w:fill="auto" w:val="clear"/>
        </w:rPr>
        <w:t xml:space="preserve">The State of Food Security and Nutrition in the World 2021. </w:t>
      </w:r>
      <w:r>
        <w:rPr>
          <w:rFonts w:ascii="Arial" w:hAnsi="Arial" w:cs="Arial" w:eastAsia="Arial"/>
          <w:color w:val="auto"/>
          <w:spacing w:val="0"/>
          <w:position w:val="0"/>
          <w:sz w:val="24"/>
          <w:shd w:fill="auto" w:val="clear"/>
        </w:rPr>
        <w:t xml:space="preserve">Available at:   </w:t>
      </w:r>
      <w:hyperlink xmlns:r="http://schemas.openxmlformats.org/officeDocument/2006/relationships" r:id="docRId9">
        <w:r>
          <w:rPr>
            <w:rFonts w:ascii="Arial" w:hAnsi="Arial" w:cs="Arial" w:eastAsia="Arial"/>
            <w:color w:val="0000FF"/>
            <w:spacing w:val="0"/>
            <w:position w:val="0"/>
            <w:sz w:val="24"/>
            <w:u w:val="single"/>
            <w:shd w:fill="auto" w:val="clear"/>
          </w:rPr>
          <w:t xml:space="preserve">http://www.fao.org/state-of-food-security-nutrition</w:t>
        </w:r>
      </w:hyperlink>
      <w:r>
        <w:rPr>
          <w:rFonts w:ascii="Arial" w:hAnsi="Arial" w:cs="Arial" w:eastAsia="Arial"/>
          <w:color w:val="auto"/>
          <w:spacing w:val="0"/>
          <w:position w:val="0"/>
          <w:sz w:val="24"/>
          <w:shd w:fill="auto" w:val="clear"/>
        </w:rPr>
        <w:t xml:space="preserve"> (Accessed: 5 May 2024). </w:t>
      </w:r>
    </w:p>
    <w:p>
      <w:pPr>
        <w:spacing w:before="0" w:after="160" w:line="279"/>
        <w:ind w:right="0" w:left="0" w:firstLine="0"/>
        <w:jc w:val="both"/>
        <w:rPr>
          <w:rFonts w:ascii="Arial" w:hAnsi="Arial" w:cs="Arial" w:eastAsia="Arial"/>
          <w:color w:val="1F1F1F"/>
          <w:spacing w:val="0"/>
          <w:position w:val="0"/>
          <w:sz w:val="24"/>
          <w:u w:val="single"/>
          <w:shd w:fill="auto" w:val="clear"/>
        </w:rPr>
      </w:pPr>
      <w:r>
        <w:rPr>
          <w:rFonts w:ascii="Arial" w:hAnsi="Arial" w:cs="Arial" w:eastAsia="Arial"/>
          <w:color w:val="auto"/>
          <w:spacing w:val="0"/>
          <w:position w:val="0"/>
          <w:sz w:val="24"/>
          <w:shd w:fill="auto" w:val="clear"/>
        </w:rPr>
        <w:t xml:space="preserve">Wang, L.-e. et al. (2017) `The weight of unfinished plate: a survey-based characterization of restaurant food waste in Chinese cities`, </w:t>
      </w:r>
      <w:r>
        <w:rPr>
          <w:rFonts w:ascii="Arial" w:hAnsi="Arial" w:cs="Arial" w:eastAsia="Arial"/>
          <w:i/>
          <w:color w:val="auto"/>
          <w:spacing w:val="0"/>
          <w:position w:val="0"/>
          <w:sz w:val="24"/>
          <w:shd w:fill="auto" w:val="clear"/>
        </w:rPr>
        <w:t xml:space="preserve">Waste Management</w:t>
      </w:r>
      <w:r>
        <w:rPr>
          <w:rFonts w:ascii="Arial" w:hAnsi="Arial" w:cs="Arial" w:eastAsia="Arial"/>
          <w:color w:val="auto"/>
          <w:spacing w:val="0"/>
          <w:position w:val="0"/>
          <w:sz w:val="24"/>
          <w:shd w:fill="auto" w:val="clear"/>
        </w:rPr>
        <w:t xml:space="preserve">, 2017;66, pp. 3</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12. DOI: </w:t>
      </w:r>
      <w:hyperlink xmlns:r="http://schemas.openxmlformats.org/officeDocument/2006/relationships" r:id="docRId10">
        <w:r>
          <w:rPr>
            <w:rFonts w:ascii="Arial" w:hAnsi="Arial" w:cs="Arial" w:eastAsia="Arial"/>
            <w:color w:val="0000FF"/>
            <w:spacing w:val="0"/>
            <w:position w:val="0"/>
            <w:sz w:val="24"/>
            <w:u w:val="single"/>
            <w:shd w:fill="auto" w:val="clear"/>
          </w:rPr>
          <w:t xml:space="preserve">https://doi.org/10.1016/j.wasman.2017.04.007</w:t>
        </w:r>
      </w:hyperlink>
      <w:r>
        <w:rPr>
          <w:rFonts w:ascii="Arial" w:hAnsi="Arial" w:cs="Arial" w:eastAsia="Arial"/>
          <w:color w:val="1F1F1F"/>
          <w:spacing w:val="0"/>
          <w:position w:val="0"/>
          <w:sz w:val="24"/>
          <w:u w:val="single"/>
          <w:shd w:fill="auto" w:val="clear"/>
        </w:rPr>
        <w:t xml:space="preserve"> </w:t>
      </w:r>
    </w:p>
    <w:p>
      <w:pPr>
        <w:spacing w:before="0" w:after="160" w:line="279"/>
        <w:ind w:right="0" w:left="0" w:firstLine="0"/>
        <w:jc w:val="both"/>
        <w:rPr>
          <w:rFonts w:ascii="Arial" w:hAnsi="Arial" w:cs="Arial" w:eastAsia="Arial"/>
          <w:color w:val="1F1F1F"/>
          <w:spacing w:val="0"/>
          <w:position w:val="0"/>
          <w:sz w:val="24"/>
          <w:u w:val="single"/>
          <w:shd w:fill="auto" w:val="clear"/>
        </w:rPr>
      </w:pPr>
      <w:r>
        <w:rPr>
          <w:rFonts w:ascii="Arial" w:hAnsi="Arial" w:cs="Arial" w:eastAsia="Arial"/>
          <w:color w:val="1F1F1F"/>
          <w:spacing w:val="0"/>
          <w:position w:val="0"/>
          <w:sz w:val="24"/>
          <w:u w:val="single"/>
          <w:shd w:fill="auto" w:val="clear"/>
        </w:rPr>
        <w:t xml:space="preserve">FAO (2014) `Food Wastage Footprint Full-Cost Accounting`, </w:t>
      </w:r>
      <w:r>
        <w:rPr>
          <w:rFonts w:ascii="Arial" w:hAnsi="Arial" w:cs="Arial" w:eastAsia="Arial"/>
          <w:i/>
          <w:color w:val="1F1F1F"/>
          <w:spacing w:val="0"/>
          <w:position w:val="0"/>
          <w:sz w:val="24"/>
          <w:u w:val="single"/>
          <w:shd w:fill="auto" w:val="clear"/>
        </w:rPr>
        <w:t xml:space="preserve">Final Report</w:t>
      </w:r>
      <w:r>
        <w:rPr>
          <w:rFonts w:ascii="Arial" w:hAnsi="Arial" w:cs="Arial" w:eastAsia="Arial"/>
          <w:color w:val="1F1F1F"/>
          <w:spacing w:val="0"/>
          <w:position w:val="0"/>
          <w:sz w:val="24"/>
          <w:u w:val="single"/>
          <w:shd w:fill="auto" w:val="clear"/>
        </w:rPr>
        <w:t xml:space="preserve">  </w:t>
      </w:r>
      <w:hyperlink xmlns:r="http://schemas.openxmlformats.org/officeDocument/2006/relationships" r:id="docRId11">
        <w:r>
          <w:rPr>
            <w:rFonts w:ascii="Arial" w:hAnsi="Arial" w:cs="Arial" w:eastAsia="Arial"/>
            <w:color w:val="0000FF"/>
            <w:spacing w:val="0"/>
            <w:position w:val="0"/>
            <w:sz w:val="24"/>
            <w:u w:val="single"/>
            <w:shd w:fill="auto" w:val="clear"/>
          </w:rPr>
          <w:t xml:space="preserve">http://www.fao.org/publications/card/en/c/5e7c4154-2b97-4ea5-83a7-be9604925a24/</w:t>
        </w:r>
      </w:hyperlink>
      <w:r>
        <w:rPr>
          <w:rFonts w:ascii="Arial" w:hAnsi="Arial" w:cs="Arial" w:eastAsia="Arial"/>
          <w:color w:val="1F1F1F"/>
          <w:spacing w:val="0"/>
          <w:position w:val="0"/>
          <w:sz w:val="24"/>
          <w:u w:val="single"/>
          <w:shd w:fill="auto" w:val="clear"/>
        </w:rPr>
        <w:t xml:space="preserve"> (Accessed: 6 May 2024). </w:t>
      </w:r>
    </w:p>
    <w:p>
      <w:pPr>
        <w:spacing w:before="0" w:after="160" w:line="279"/>
        <w:ind w:right="0" w:left="0" w:firstLine="0"/>
        <w:jc w:val="both"/>
        <w:rPr>
          <w:rFonts w:ascii="Arial" w:hAnsi="Arial" w:cs="Arial" w:eastAsia="Arial"/>
          <w:i/>
          <w:color w:val="1F1F1F"/>
          <w:spacing w:val="0"/>
          <w:position w:val="0"/>
          <w:sz w:val="24"/>
          <w:u w:val="single"/>
          <w:shd w:fill="auto" w:val="clear"/>
        </w:rPr>
      </w:pPr>
      <w:r>
        <w:rPr>
          <w:rFonts w:ascii="Arial" w:hAnsi="Arial" w:cs="Arial" w:eastAsia="Arial"/>
          <w:color w:val="1F1F1F"/>
          <w:spacing w:val="0"/>
          <w:position w:val="0"/>
          <w:sz w:val="24"/>
          <w:u w:val="single"/>
          <w:shd w:fill="auto" w:val="clear"/>
        </w:rPr>
        <w:t xml:space="preserve">Boliko, C. M. (2019) `Journal of Nutritional Science and Vitaminology` </w:t>
      </w:r>
      <w:r>
        <w:rPr>
          <w:rFonts w:ascii="Arial" w:hAnsi="Arial" w:cs="Arial" w:eastAsia="Arial"/>
          <w:i/>
          <w:color w:val="1F1F1F"/>
          <w:spacing w:val="0"/>
          <w:position w:val="0"/>
          <w:sz w:val="24"/>
          <w:u w:val="single"/>
          <w:shd w:fill="auto" w:val="clear"/>
        </w:rPr>
        <w:t xml:space="preserve">FAO and the Situation of Food Security and Nutrition in the World </w:t>
      </w:r>
      <w:r>
        <w:rPr>
          <w:rFonts w:ascii="Arial" w:hAnsi="Arial" w:cs="Arial" w:eastAsia="Arial"/>
          <w:color w:val="1F1F1F"/>
          <w:spacing w:val="0"/>
          <w:position w:val="0"/>
          <w:sz w:val="24"/>
          <w:u w:val="single"/>
          <w:shd w:fill="auto" w:val="clear"/>
        </w:rPr>
        <w:t xml:space="preserve">2019; 65, pp. S4-S8. DOI: </w:t>
      </w:r>
      <w:hyperlink xmlns:r="http://schemas.openxmlformats.org/officeDocument/2006/relationships" r:id="docRId12">
        <w:r>
          <w:rPr>
            <w:rFonts w:ascii="Arial" w:hAnsi="Arial" w:cs="Arial" w:eastAsia="Arial"/>
            <w:color w:val="0000FF"/>
            <w:spacing w:val="0"/>
            <w:position w:val="0"/>
            <w:sz w:val="24"/>
            <w:u w:val="single"/>
            <w:shd w:fill="auto" w:val="clear"/>
          </w:rPr>
          <w:t xml:space="preserve">https://doi.org/10.3177/jnsv.65.S4</w:t>
        </w:r>
      </w:hyperlink>
      <w:r>
        <w:rPr>
          <w:rFonts w:ascii="Arial" w:hAnsi="Arial" w:cs="Arial" w:eastAsia="Arial"/>
          <w:color w:val="1F1F1F"/>
          <w:spacing w:val="0"/>
          <w:position w:val="0"/>
          <w:sz w:val="24"/>
          <w:u w:val="single"/>
          <w:shd w:fill="auto" w:val="clear"/>
        </w:rPr>
        <w:t xml:space="preserve"> </w:t>
      </w:r>
    </w:p>
    <w:p>
      <w:pPr>
        <w:spacing w:before="0" w:after="160" w:line="279"/>
        <w:ind w:right="0" w:left="0" w:firstLine="0"/>
        <w:jc w:val="both"/>
        <w:rPr>
          <w:rFonts w:ascii="Arial" w:hAnsi="Arial" w:cs="Arial" w:eastAsia="Arial"/>
          <w:i/>
          <w:color w:val="auto"/>
          <w:spacing w:val="0"/>
          <w:position w:val="0"/>
          <w:sz w:val="24"/>
          <w:shd w:fill="auto" w:val="clear"/>
        </w:rPr>
      </w:pPr>
      <w:r>
        <w:rPr>
          <w:rFonts w:ascii="Arial" w:hAnsi="Arial" w:cs="Arial" w:eastAsia="Arial"/>
          <w:color w:val="1F1F1F"/>
          <w:spacing w:val="0"/>
          <w:position w:val="0"/>
          <w:sz w:val="24"/>
          <w:u w:val="single"/>
          <w:shd w:fill="auto" w:val="clear"/>
        </w:rPr>
        <w:t xml:space="preserve">Parry, A. et al. (2020) </w:t>
      </w:r>
      <w:r>
        <w:rPr>
          <w:rFonts w:ascii="Arial" w:hAnsi="Arial" w:cs="Arial" w:eastAsia="Arial"/>
          <w:i/>
          <w:color w:val="auto"/>
          <w:spacing w:val="0"/>
          <w:position w:val="0"/>
          <w:sz w:val="24"/>
          <w:shd w:fill="auto" w:val="clear"/>
        </w:rPr>
        <w:t xml:space="preserve">UK progress against Courtauld 2025 targets and UN Sustainable Development Goal 12.3 </w:t>
      </w:r>
      <w:r>
        <w:rPr>
          <w:rFonts w:ascii="Arial" w:hAnsi="Arial" w:cs="Arial" w:eastAsia="Arial"/>
          <w:color w:val="auto"/>
          <w:spacing w:val="0"/>
          <w:position w:val="0"/>
          <w:sz w:val="24"/>
          <w:shd w:fill="auto" w:val="clear"/>
        </w:rPr>
        <w:t xml:space="preserve">[online]. Available at: </w:t>
      </w:r>
      <w:hyperlink xmlns:r="http://schemas.openxmlformats.org/officeDocument/2006/relationships" r:id="docRId13">
        <w:r>
          <w:rPr>
            <w:rFonts w:ascii="Arial" w:hAnsi="Arial" w:cs="Arial" w:eastAsia="Arial"/>
            <w:color w:val="0000FF"/>
            <w:spacing w:val="0"/>
            <w:position w:val="0"/>
            <w:sz w:val="24"/>
            <w:u w:val="single"/>
            <w:shd w:fill="auto" w:val="clear"/>
          </w:rPr>
          <w:t xml:space="preserve">https://www.wrap.ngo/sites/default/files/2020-09/UK-progress-against-Courtauld-2025-targets-and-UN-SDG-123.pdf</w:t>
        </w:r>
      </w:hyperlink>
      <w:r>
        <w:rPr>
          <w:rFonts w:ascii="Arial" w:hAnsi="Arial" w:cs="Arial" w:eastAsia="Arial"/>
          <w:color w:val="auto"/>
          <w:spacing w:val="0"/>
          <w:position w:val="0"/>
          <w:sz w:val="24"/>
          <w:shd w:fill="auto" w:val="clear"/>
        </w:rPr>
        <w:t xml:space="preserve">  (Accessed: 6 May 2024).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Murphy, N. (2021) </w:t>
      </w:r>
      <w:r>
        <w:rPr>
          <w:rFonts w:ascii="Arial" w:hAnsi="Arial" w:cs="Arial" w:eastAsia="Arial"/>
          <w:i/>
          <w:color w:val="auto"/>
          <w:spacing w:val="0"/>
          <w:position w:val="0"/>
          <w:sz w:val="24"/>
          <w:shd w:fill="auto" w:val="clear"/>
        </w:rPr>
        <w:t xml:space="preserve">How to Reduce and Manage Food Waste in your Restaurant </w:t>
      </w:r>
      <w:r>
        <w:rPr>
          <w:rFonts w:ascii="Arial" w:hAnsi="Arial" w:cs="Arial" w:eastAsia="Arial"/>
          <w:color w:val="auto"/>
          <w:spacing w:val="0"/>
          <w:position w:val="0"/>
          <w:sz w:val="24"/>
          <w:shd w:fill="auto" w:val="clear"/>
        </w:rPr>
        <w:t xml:space="preserve">[online]. Available at: </w:t>
      </w:r>
      <w:hyperlink xmlns:r="http://schemas.openxmlformats.org/officeDocument/2006/relationships" r:id="docRId14">
        <w:r>
          <w:rPr>
            <w:rFonts w:ascii="Arial" w:hAnsi="Arial" w:cs="Arial" w:eastAsia="Arial"/>
            <w:color w:val="0563C1"/>
            <w:spacing w:val="0"/>
            <w:position w:val="0"/>
            <w:sz w:val="24"/>
            <w:u w:val="single"/>
            <w:shd w:fill="auto" w:val="clear"/>
          </w:rPr>
          <w:t xml:space="preserve">https://cpdonline.co.uk/knowledge-base/food-hygiene/how-to-reduce-and-manage-food-waste-in-your-restaurant/#:~:text=Restaurants%20in%20the%20UK%20produce,the%20population%20of%20the%20UK</w:t>
        </w:r>
      </w:hyperlink>
      <w:r>
        <w:rPr>
          <w:rFonts w:ascii="Arial" w:hAnsi="Arial" w:cs="Arial" w:eastAsia="Arial"/>
          <w:color w:val="auto"/>
          <w:spacing w:val="0"/>
          <w:position w:val="0"/>
          <w:sz w:val="24"/>
          <w:shd w:fill="auto" w:val="clear"/>
        </w:rPr>
        <w:t xml:space="preserve"> (Accessed: 7 May 2024).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Vahk, J. (2020) </w:t>
      </w:r>
      <w:r>
        <w:rPr>
          <w:rFonts w:ascii="Arial" w:hAnsi="Arial" w:cs="Arial" w:eastAsia="Arial"/>
          <w:i/>
          <w:color w:val="auto"/>
          <w:spacing w:val="0"/>
          <w:position w:val="0"/>
          <w:sz w:val="24"/>
          <w:shd w:fill="auto" w:val="clear"/>
        </w:rPr>
        <w:t xml:space="preserve">Landfill emission reductions only tell half the story as GHG emissions from Waste-to-Energy incineration double </w:t>
      </w:r>
      <w:r>
        <w:rPr>
          <w:rFonts w:ascii="Arial" w:hAnsi="Arial" w:cs="Arial" w:eastAsia="Arial"/>
          <w:color w:val="auto"/>
          <w:spacing w:val="0"/>
          <w:position w:val="0"/>
          <w:sz w:val="24"/>
          <w:shd w:fill="auto" w:val="clear"/>
        </w:rPr>
        <w:t xml:space="preserve">[online]. Available at: </w:t>
      </w:r>
      <w:hyperlink xmlns:r="http://schemas.openxmlformats.org/officeDocument/2006/relationships" r:id="docRId15">
        <w:r>
          <w:rPr>
            <w:rFonts w:ascii="Arial" w:hAnsi="Arial" w:cs="Arial" w:eastAsia="Arial"/>
            <w:color w:val="0000FF"/>
            <w:spacing w:val="0"/>
            <w:position w:val="0"/>
            <w:sz w:val="24"/>
            <w:u w:val="single"/>
            <w:shd w:fill="auto" w:val="clear"/>
          </w:rPr>
          <w:t xml:space="preserve">https://zerowasteeurope.eu/wp-content/uploads/2020/11/Landfill-emission-reductions-only-tell-half-the-story-as-GHG-emissions-from-waste-to-energy-incineration-double.pdf</w:t>
        </w:r>
      </w:hyperlink>
      <w:r>
        <w:rPr>
          <w:rFonts w:ascii="Arial" w:hAnsi="Arial" w:cs="Arial" w:eastAsia="Arial"/>
          <w:color w:val="auto"/>
          <w:spacing w:val="0"/>
          <w:position w:val="0"/>
          <w:sz w:val="24"/>
          <w:shd w:fill="auto" w:val="clear"/>
        </w:rPr>
        <w:t xml:space="preserve"> (Accessed: 7 May 2024).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Claydon, J. (2011) "A new direction for CSR: the shortcomings of previous CSR models and the rationale for a new model", </w:t>
      </w:r>
      <w:r>
        <w:rPr>
          <w:rFonts w:ascii="Arial" w:hAnsi="Arial" w:cs="Arial" w:eastAsia="Arial"/>
          <w:i/>
          <w:color w:val="auto"/>
          <w:spacing w:val="0"/>
          <w:position w:val="0"/>
          <w:sz w:val="24"/>
          <w:shd w:fill="auto" w:val="clear"/>
        </w:rPr>
        <w:t xml:space="preserve">Social Responsibility Journal</w:t>
      </w:r>
      <w:r>
        <w:rPr>
          <w:rFonts w:ascii="Arial" w:hAnsi="Arial" w:cs="Arial" w:eastAsia="Arial"/>
          <w:color w:val="auto"/>
          <w:spacing w:val="0"/>
          <w:position w:val="0"/>
          <w:sz w:val="24"/>
          <w:shd w:fill="auto" w:val="clear"/>
        </w:rPr>
        <w:t xml:space="preserve">, Vol. 7 No. 3, pp. 405-420. </w:t>
      </w:r>
      <w:hyperlink xmlns:r="http://schemas.openxmlformats.org/officeDocument/2006/relationships" r:id="docRId16">
        <w:r>
          <w:rPr>
            <w:rFonts w:ascii="Arial" w:hAnsi="Arial" w:cs="Arial" w:eastAsia="Arial"/>
            <w:color w:val="0000FF"/>
            <w:spacing w:val="0"/>
            <w:position w:val="0"/>
            <w:sz w:val="24"/>
            <w:u w:val="single"/>
            <w:shd w:fill="auto" w:val="clear"/>
          </w:rPr>
          <w:t xml:space="preserve">https://doi.org/10.1108/17471111111154545</w:t>
        </w:r>
      </w:hyperlink>
      <w:r>
        <w:rPr>
          <w:rFonts w:ascii="Arial" w:hAnsi="Arial" w:cs="Arial" w:eastAsia="Arial"/>
          <w:color w:val="auto"/>
          <w:spacing w:val="0"/>
          <w:position w:val="0"/>
          <w:sz w:val="24"/>
          <w:shd w:fill="auto" w:val="clear"/>
        </w:rPr>
        <w:t xml:space="preserve">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Peterdy, K. (2023) PESTEL Analysis [online]. Available at: </w:t>
      </w:r>
      <w:hyperlink xmlns:r="http://schemas.openxmlformats.org/officeDocument/2006/relationships" r:id="docRId17">
        <w:r>
          <w:rPr>
            <w:rFonts w:ascii="Arial" w:hAnsi="Arial" w:cs="Arial" w:eastAsia="Arial"/>
            <w:color w:val="0000FF"/>
            <w:spacing w:val="0"/>
            <w:position w:val="0"/>
            <w:sz w:val="24"/>
            <w:u w:val="single"/>
            <w:shd w:fill="auto" w:val="clear"/>
          </w:rPr>
          <w:t xml:space="preserve">https://corporatefinanceinstitute.com/resources/management/pestel-analysis/</w:t>
        </w:r>
      </w:hyperlink>
      <w:r>
        <w:rPr>
          <w:rFonts w:ascii="Arial" w:hAnsi="Arial" w:cs="Arial" w:eastAsia="Arial"/>
          <w:color w:val="auto"/>
          <w:spacing w:val="0"/>
          <w:position w:val="0"/>
          <w:sz w:val="24"/>
          <w:shd w:fill="auto" w:val="clear"/>
        </w:rPr>
        <w:t xml:space="preserve">  (Accessed: 7 May 2024).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Pathak, R. (2020) </w:t>
      </w:r>
      <w:r>
        <w:rPr>
          <w:rFonts w:ascii="Arial" w:hAnsi="Arial" w:cs="Arial" w:eastAsia="Arial"/>
          <w:i/>
          <w:color w:val="auto"/>
          <w:spacing w:val="0"/>
          <w:position w:val="0"/>
          <w:sz w:val="24"/>
          <w:shd w:fill="auto" w:val="clear"/>
        </w:rPr>
        <w:t xml:space="preserve">What is PESTLE Analysis? Everything you need to know about it</w:t>
      </w:r>
      <w:r>
        <w:rPr>
          <w:rFonts w:ascii="Arial" w:hAnsi="Arial" w:cs="Arial" w:eastAsia="Arial"/>
          <w:color w:val="auto"/>
          <w:spacing w:val="0"/>
          <w:position w:val="0"/>
          <w:sz w:val="24"/>
          <w:shd w:fill="auto" w:val="clear"/>
        </w:rPr>
        <w:t xml:space="preserve"> [blog]. Available at: </w:t>
      </w:r>
      <w:hyperlink xmlns:r="http://schemas.openxmlformats.org/officeDocument/2006/relationships" r:id="docRId18">
        <w:r>
          <w:rPr>
            <w:rFonts w:ascii="Arial" w:hAnsi="Arial" w:cs="Arial" w:eastAsia="Arial"/>
            <w:color w:val="0000FF"/>
            <w:spacing w:val="0"/>
            <w:position w:val="0"/>
            <w:sz w:val="24"/>
            <w:u w:val="single"/>
            <w:shd w:fill="auto" w:val="clear"/>
          </w:rPr>
          <w:t xml:space="preserve">https://analyticssteps.com/blogs/what-pestle-analysis</w:t>
        </w:r>
      </w:hyperlink>
      <w:r>
        <w:rPr>
          <w:rFonts w:ascii="Arial" w:hAnsi="Arial" w:cs="Arial" w:eastAsia="Arial"/>
          <w:color w:val="auto"/>
          <w:spacing w:val="0"/>
          <w:position w:val="0"/>
          <w:sz w:val="24"/>
          <w:shd w:fill="auto" w:val="clear"/>
        </w:rPr>
        <w:t xml:space="preserve">  (Accessed: 7 May 2024).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Makos, J. (2024) </w:t>
      </w:r>
      <w:r>
        <w:rPr>
          <w:rFonts w:ascii="Arial" w:hAnsi="Arial" w:cs="Arial" w:eastAsia="Arial"/>
          <w:i/>
          <w:color w:val="auto"/>
          <w:spacing w:val="0"/>
          <w:position w:val="0"/>
          <w:sz w:val="24"/>
          <w:shd w:fill="auto" w:val="clear"/>
        </w:rPr>
        <w:t xml:space="preserve">PESTLE Analysis of the Food Industry (with Example) </w:t>
      </w:r>
      <w:r>
        <w:rPr>
          <w:rFonts w:ascii="Arial" w:hAnsi="Arial" w:cs="Arial" w:eastAsia="Arial"/>
          <w:color w:val="auto"/>
          <w:spacing w:val="0"/>
          <w:position w:val="0"/>
          <w:sz w:val="24"/>
          <w:shd w:fill="auto" w:val="clear"/>
        </w:rPr>
        <w:t xml:space="preserve">[online]. Available at: </w:t>
      </w:r>
      <w:hyperlink xmlns:r="http://schemas.openxmlformats.org/officeDocument/2006/relationships" r:id="docRId19">
        <w:r>
          <w:rPr>
            <w:rFonts w:ascii="Arial" w:hAnsi="Arial" w:cs="Arial" w:eastAsia="Arial"/>
            <w:color w:val="0000FF"/>
            <w:spacing w:val="0"/>
            <w:position w:val="0"/>
            <w:sz w:val="24"/>
            <w:u w:val="single"/>
            <w:shd w:fill="auto" w:val="clear"/>
          </w:rPr>
          <w:t xml:space="preserve">https://pestleanalysis.com/pestle-analysis-of-the-food-industry/</w:t>
        </w:r>
      </w:hyperlink>
      <w:r>
        <w:rPr>
          <w:rFonts w:ascii="Arial" w:hAnsi="Arial" w:cs="Arial" w:eastAsia="Arial"/>
          <w:color w:val="auto"/>
          <w:spacing w:val="0"/>
          <w:position w:val="0"/>
          <w:sz w:val="24"/>
          <w:shd w:fill="auto" w:val="clear"/>
        </w:rPr>
        <w:t xml:space="preserve"> (Accessed:  8 May 2024).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EPA (2024) </w:t>
      </w:r>
      <w:r>
        <w:rPr>
          <w:rFonts w:ascii="Arial" w:hAnsi="Arial" w:cs="Arial" w:eastAsia="Arial"/>
          <w:i/>
          <w:color w:val="auto"/>
          <w:spacing w:val="0"/>
          <w:position w:val="0"/>
          <w:sz w:val="24"/>
          <w:shd w:fill="auto" w:val="clear"/>
        </w:rPr>
        <w:t xml:space="preserve">Wasted Food Scale </w:t>
      </w:r>
      <w:r>
        <w:rPr>
          <w:rFonts w:ascii="Arial" w:hAnsi="Arial" w:cs="Arial" w:eastAsia="Arial"/>
          <w:color w:val="auto"/>
          <w:spacing w:val="0"/>
          <w:position w:val="0"/>
          <w:sz w:val="24"/>
          <w:shd w:fill="auto" w:val="clear"/>
        </w:rPr>
        <w:t xml:space="preserve">[online]. Available at: </w:t>
      </w:r>
      <w:hyperlink xmlns:r="http://schemas.openxmlformats.org/officeDocument/2006/relationships" r:id="docRId20">
        <w:r>
          <w:rPr>
            <w:rFonts w:ascii="Arial" w:hAnsi="Arial" w:cs="Arial" w:eastAsia="Arial"/>
            <w:color w:val="0000FF"/>
            <w:spacing w:val="0"/>
            <w:position w:val="0"/>
            <w:sz w:val="24"/>
            <w:u w:val="single"/>
            <w:shd w:fill="auto" w:val="clear"/>
          </w:rPr>
          <w:t xml:space="preserve">https://www.epa.gov/sustainable-management-food/wasted-food-scale</w:t>
        </w:r>
      </w:hyperlink>
      <w:r>
        <w:rPr>
          <w:rFonts w:ascii="Arial" w:hAnsi="Arial" w:cs="Arial" w:eastAsia="Arial"/>
          <w:color w:val="auto"/>
          <w:spacing w:val="0"/>
          <w:position w:val="0"/>
          <w:sz w:val="24"/>
          <w:shd w:fill="auto" w:val="clear"/>
        </w:rPr>
        <w:t xml:space="preserve"> (Accessed: 8 May 2024).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Papargyropoulou E. et al. (2014) </w:t>
      </w:r>
      <w:r>
        <w:rPr>
          <w:rFonts w:ascii="Arial" w:hAnsi="Arial" w:cs="Arial" w:eastAsia="Arial"/>
          <w:i/>
          <w:color w:val="auto"/>
          <w:spacing w:val="0"/>
          <w:position w:val="0"/>
          <w:sz w:val="24"/>
          <w:shd w:fill="auto" w:val="clear"/>
        </w:rPr>
        <w:t xml:space="preserve">The food waste hierarchy as a framework for the management of food surplus and food waste</w:t>
      </w:r>
      <w:r>
        <w:rPr>
          <w:rFonts w:ascii="Arial" w:hAnsi="Arial" w:cs="Arial" w:eastAsia="Arial"/>
          <w:color w:val="auto"/>
          <w:spacing w:val="0"/>
          <w:position w:val="0"/>
          <w:sz w:val="24"/>
          <w:shd w:fill="auto" w:val="clear"/>
        </w:rPr>
        <w:t xml:space="preserve">. J. Clean. Prod. 2014;76, pp.106</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115. </w:t>
      </w:r>
      <w:hyperlink xmlns:r="http://schemas.openxmlformats.org/officeDocument/2006/relationships" r:id="docRId21">
        <w:r>
          <w:rPr>
            <w:rFonts w:ascii="Arial" w:hAnsi="Arial" w:cs="Arial" w:eastAsia="Arial"/>
            <w:color w:val="0000FF"/>
            <w:spacing w:val="0"/>
            <w:position w:val="0"/>
            <w:sz w:val="24"/>
            <w:u w:val="single"/>
            <w:shd w:fill="auto" w:val="clear"/>
          </w:rPr>
          <w:t xml:space="preserve">https://doi.org/10.1016/j.jclepro.2014.04.020</w:t>
        </w:r>
      </w:hyperlink>
      <w:r>
        <w:rPr>
          <w:rFonts w:ascii="Arial" w:hAnsi="Arial" w:cs="Arial" w:eastAsia="Arial"/>
          <w:color w:val="auto"/>
          <w:spacing w:val="0"/>
          <w:position w:val="0"/>
          <w:sz w:val="24"/>
          <w:shd w:fill="auto" w:val="clear"/>
        </w:rPr>
        <w:t xml:space="preserve">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Growyze (2024) </w:t>
      </w:r>
      <w:r>
        <w:rPr>
          <w:rFonts w:ascii="Arial" w:hAnsi="Arial" w:cs="Arial" w:eastAsia="Arial"/>
          <w:i/>
          <w:color w:val="auto"/>
          <w:spacing w:val="0"/>
          <w:position w:val="0"/>
          <w:sz w:val="24"/>
          <w:shd w:fill="auto" w:val="clear"/>
        </w:rPr>
        <w:t xml:space="preserve">21 Key Statistics on Sustainability and Food Waste for UK Businesses </w:t>
      </w:r>
      <w:r>
        <w:rPr>
          <w:rFonts w:ascii="Arial" w:hAnsi="Arial" w:cs="Arial" w:eastAsia="Arial"/>
          <w:color w:val="auto"/>
          <w:spacing w:val="0"/>
          <w:position w:val="0"/>
          <w:sz w:val="24"/>
          <w:shd w:fill="auto" w:val="clear"/>
        </w:rPr>
        <w:t xml:space="preserve">[blog]. Available at: </w:t>
      </w:r>
      <w:hyperlink xmlns:r="http://schemas.openxmlformats.org/officeDocument/2006/relationships" r:id="docRId22">
        <w:r>
          <w:rPr>
            <w:rFonts w:ascii="Arial" w:hAnsi="Arial" w:cs="Arial" w:eastAsia="Arial"/>
            <w:color w:val="0000FF"/>
            <w:spacing w:val="0"/>
            <w:position w:val="0"/>
            <w:sz w:val="24"/>
            <w:u w:val="single"/>
            <w:shd w:fill="auto" w:val="clear"/>
          </w:rPr>
          <w:t xml:space="preserve">https://www.growyze.com/blog/21-key-statistics-on-sustainability-and-food-waste-for-uk-businesses</w:t>
        </w:r>
      </w:hyperlink>
      <w:r>
        <w:rPr>
          <w:rFonts w:ascii="Arial" w:hAnsi="Arial" w:cs="Arial" w:eastAsia="Arial"/>
          <w:color w:val="auto"/>
          <w:spacing w:val="0"/>
          <w:position w:val="0"/>
          <w:sz w:val="24"/>
          <w:shd w:fill="auto" w:val="clear"/>
        </w:rPr>
        <w:t xml:space="preserve"> (Accessed: 9 May 2024).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NIESR (2022) </w:t>
      </w:r>
      <w:r>
        <w:rPr>
          <w:rFonts w:ascii="Arial" w:hAnsi="Arial" w:cs="Arial" w:eastAsia="Arial"/>
          <w:i/>
          <w:color w:val="auto"/>
          <w:spacing w:val="0"/>
          <w:position w:val="0"/>
          <w:sz w:val="24"/>
          <w:shd w:fill="auto" w:val="clear"/>
        </w:rPr>
        <w:t xml:space="preserve">The Economic Consequences of the Ukraine War for UK Household Incomes</w:t>
      </w:r>
      <w:r>
        <w:rPr>
          <w:rFonts w:ascii="Arial" w:hAnsi="Arial" w:cs="Arial" w:eastAsia="Arial"/>
          <w:color w:val="auto"/>
          <w:spacing w:val="0"/>
          <w:position w:val="0"/>
          <w:sz w:val="24"/>
          <w:shd w:fill="auto" w:val="clear"/>
        </w:rPr>
        <w:t xml:space="preserve"> [online]. Available at: </w:t>
      </w:r>
      <w:hyperlink xmlns:r="http://schemas.openxmlformats.org/officeDocument/2006/relationships" r:id="docRId23">
        <w:r>
          <w:rPr>
            <w:rFonts w:ascii="Arial" w:hAnsi="Arial" w:cs="Arial" w:eastAsia="Arial"/>
            <w:color w:val="0000FF"/>
            <w:spacing w:val="0"/>
            <w:position w:val="0"/>
            <w:sz w:val="24"/>
            <w:u w:val="single"/>
            <w:shd w:fill="auto" w:val="clear"/>
          </w:rPr>
          <w:t xml:space="preserve">https://www.niesr.ac.uk/publications/economic-consequences-ukraine-war-uk-household-incomes?type=uk-economic-outlook-box-analysis</w:t>
        </w:r>
      </w:hyperlink>
      <w:r>
        <w:rPr>
          <w:rFonts w:ascii="Arial" w:hAnsi="Arial" w:cs="Arial" w:eastAsia="Arial"/>
          <w:color w:val="auto"/>
          <w:spacing w:val="0"/>
          <w:position w:val="0"/>
          <w:sz w:val="24"/>
          <w:shd w:fill="auto" w:val="clear"/>
        </w:rPr>
        <w:t xml:space="preserve"> (Accessed: 9 May 2024).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Allen, L. (2022) </w:t>
      </w:r>
      <w:r>
        <w:rPr>
          <w:rFonts w:ascii="Arial" w:hAnsi="Arial" w:cs="Arial" w:eastAsia="Arial"/>
          <w:i/>
          <w:color w:val="auto"/>
          <w:spacing w:val="0"/>
          <w:position w:val="0"/>
          <w:sz w:val="24"/>
          <w:shd w:fill="auto" w:val="clear"/>
        </w:rPr>
        <w:t xml:space="preserve">What Are the Three Pillars of Sustainability?</w:t>
      </w:r>
      <w:r>
        <w:rPr>
          <w:rFonts w:ascii="Arial" w:hAnsi="Arial" w:cs="Arial" w:eastAsia="Arial"/>
          <w:color w:val="auto"/>
          <w:spacing w:val="0"/>
          <w:position w:val="0"/>
          <w:sz w:val="24"/>
          <w:shd w:fill="auto" w:val="clear"/>
        </w:rPr>
        <w:t xml:space="preserve"> [blog]. Available at: </w:t>
      </w:r>
      <w:hyperlink xmlns:r="http://schemas.openxmlformats.org/officeDocument/2006/relationships" r:id="docRId24">
        <w:r>
          <w:rPr>
            <w:rFonts w:ascii="Arial" w:hAnsi="Arial" w:cs="Arial" w:eastAsia="Arial"/>
            <w:color w:val="0000FF"/>
            <w:spacing w:val="0"/>
            <w:position w:val="0"/>
            <w:sz w:val="24"/>
            <w:u w:val="single"/>
            <w:shd w:fill="auto" w:val="clear"/>
          </w:rPr>
          <w:t xml:space="preserve">https://www.treehugger.com/what-are-the-three-pillars-of-sustainability-5189295</w:t>
        </w:r>
      </w:hyperlink>
      <w:r>
        <w:rPr>
          <w:rFonts w:ascii="Arial" w:hAnsi="Arial" w:cs="Arial" w:eastAsia="Arial"/>
          <w:color w:val="auto"/>
          <w:spacing w:val="0"/>
          <w:position w:val="0"/>
          <w:sz w:val="24"/>
          <w:shd w:fill="auto" w:val="clear"/>
        </w:rPr>
        <w:t xml:space="preserve">  (Accessed: 9 May 2024).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Marriott International (2019) </w:t>
      </w:r>
      <w:r>
        <w:rPr>
          <w:rFonts w:ascii="Arial" w:hAnsi="Arial" w:cs="Arial" w:eastAsia="Arial"/>
          <w:i/>
          <w:color w:val="auto"/>
          <w:spacing w:val="0"/>
          <w:position w:val="0"/>
          <w:sz w:val="24"/>
          <w:shd w:fill="auto" w:val="clear"/>
        </w:rPr>
        <w:t xml:space="preserve">Serve360 </w:t>
      </w:r>
      <w:r>
        <w:rPr>
          <w:rFonts w:ascii="Arial" w:hAnsi="Arial" w:cs="Arial" w:eastAsia="Arial"/>
          <w:color w:val="auto"/>
          <w:spacing w:val="0"/>
          <w:position w:val="0"/>
          <w:sz w:val="24"/>
          <w:shd w:fill="auto" w:val="clear"/>
        </w:rPr>
        <w:t xml:space="preserve">[online]. Available at: </w:t>
      </w:r>
      <w:hyperlink xmlns:r="http://schemas.openxmlformats.org/officeDocument/2006/relationships" r:id="docRId25">
        <w:r>
          <w:rPr>
            <w:rFonts w:ascii="Arial" w:hAnsi="Arial" w:cs="Arial" w:eastAsia="Arial"/>
            <w:color w:val="0000FF"/>
            <w:spacing w:val="0"/>
            <w:position w:val="0"/>
            <w:sz w:val="24"/>
            <w:u w:val="single"/>
            <w:shd w:fill="auto" w:val="clear"/>
          </w:rPr>
          <w:t xml:space="preserve">https://serve360.marriott.com/</w:t>
        </w:r>
      </w:hyperlink>
      <w:r>
        <w:rPr>
          <w:rFonts w:ascii="Arial" w:hAnsi="Arial" w:cs="Arial" w:eastAsia="Arial"/>
          <w:color w:val="auto"/>
          <w:spacing w:val="0"/>
          <w:position w:val="0"/>
          <w:sz w:val="24"/>
          <w:shd w:fill="auto" w:val="clear"/>
        </w:rPr>
        <w:t xml:space="preserve"> (Accessed: 9 May 2024).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NorthStar meetings group (2022) </w:t>
      </w:r>
      <w:r>
        <w:rPr>
          <w:rFonts w:ascii="Arial" w:hAnsi="Arial" w:cs="Arial" w:eastAsia="Arial"/>
          <w:i/>
          <w:color w:val="auto"/>
          <w:spacing w:val="0"/>
          <w:position w:val="0"/>
          <w:sz w:val="24"/>
          <w:shd w:fill="auto" w:val="clear"/>
        </w:rPr>
        <w:t xml:space="preserve">How Marriott Is Expanding Its Sustainable Practices for Events. </w:t>
      </w:r>
      <w:r>
        <w:rPr>
          <w:rFonts w:ascii="Arial" w:hAnsi="Arial" w:cs="Arial" w:eastAsia="Arial"/>
          <w:color w:val="auto"/>
          <w:spacing w:val="0"/>
          <w:position w:val="0"/>
          <w:sz w:val="24"/>
          <w:shd w:fill="auto" w:val="clear"/>
        </w:rPr>
        <w:t xml:space="preserve">[online]. Available at: </w:t>
      </w:r>
      <w:hyperlink xmlns:r="http://schemas.openxmlformats.org/officeDocument/2006/relationships" r:id="docRId26">
        <w:r>
          <w:rPr>
            <w:rFonts w:ascii="Arial" w:hAnsi="Arial" w:cs="Arial" w:eastAsia="Arial"/>
            <w:color w:val="0000FF"/>
            <w:spacing w:val="0"/>
            <w:position w:val="0"/>
            <w:sz w:val="24"/>
            <w:u w:val="single"/>
            <w:shd w:fill="auto" w:val="clear"/>
          </w:rPr>
          <w:t xml:space="preserve">https://www.northstarmeetingsgroup.com/News/Hotels-and-Resorts/marriott-international-sustainability</w:t>
        </w:r>
      </w:hyperlink>
      <w:r>
        <w:rPr>
          <w:rFonts w:ascii="Arial" w:hAnsi="Arial" w:cs="Arial" w:eastAsia="Arial"/>
          <w:color w:val="auto"/>
          <w:spacing w:val="0"/>
          <w:position w:val="0"/>
          <w:sz w:val="24"/>
          <w:shd w:fill="auto" w:val="clear"/>
        </w:rPr>
        <w:t xml:space="preserve">  (Accessed: 10 May 2024).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Emerick, D. (2023) </w:t>
      </w:r>
      <w:r>
        <w:rPr>
          <w:rFonts w:ascii="Arial" w:hAnsi="Arial" w:cs="Arial" w:eastAsia="Arial"/>
          <w:i/>
          <w:color w:val="auto"/>
          <w:spacing w:val="0"/>
          <w:position w:val="0"/>
          <w:sz w:val="24"/>
          <w:shd w:fill="auto" w:val="clear"/>
        </w:rPr>
        <w:t xml:space="preserve">What Are The 3 Pillars of Sustainability?</w:t>
      </w:r>
      <w:r>
        <w:rPr>
          <w:rFonts w:ascii="Arial" w:hAnsi="Arial" w:cs="Arial" w:eastAsia="Arial"/>
          <w:color w:val="auto"/>
          <w:spacing w:val="0"/>
          <w:position w:val="0"/>
          <w:sz w:val="24"/>
          <w:shd w:fill="auto" w:val="clear"/>
        </w:rPr>
        <w:t xml:space="preserve"> [blog]. Available at: </w:t>
      </w:r>
      <w:hyperlink xmlns:r="http://schemas.openxmlformats.org/officeDocument/2006/relationships" r:id="docRId27">
        <w:r>
          <w:rPr>
            <w:rFonts w:ascii="Arial" w:hAnsi="Arial" w:cs="Arial" w:eastAsia="Arial"/>
            <w:color w:val="0000FF"/>
            <w:spacing w:val="0"/>
            <w:position w:val="0"/>
            <w:sz w:val="24"/>
            <w:u w:val="single"/>
            <w:shd w:fill="auto" w:val="clear"/>
          </w:rPr>
          <w:t xml:space="preserve">https://wearesololiving.com/3-pillars-of-sustainability/</w:t>
        </w:r>
      </w:hyperlink>
      <w:r>
        <w:rPr>
          <w:rFonts w:ascii="Arial" w:hAnsi="Arial" w:cs="Arial" w:eastAsia="Arial"/>
          <w:color w:val="auto"/>
          <w:spacing w:val="0"/>
          <w:position w:val="0"/>
          <w:sz w:val="24"/>
          <w:shd w:fill="auto" w:val="clear"/>
        </w:rPr>
        <w:t xml:space="preserve"> (Accessed: 10 May 2024).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Barr, S. et al. (2007) `Factors influencing environmental attitudes and behaviors` </w:t>
      </w:r>
      <w:r>
        <w:rPr>
          <w:rFonts w:ascii="Arial" w:hAnsi="Arial" w:cs="Arial" w:eastAsia="Arial"/>
          <w:i/>
          <w:color w:val="auto"/>
          <w:spacing w:val="0"/>
          <w:position w:val="0"/>
          <w:sz w:val="24"/>
          <w:shd w:fill="auto" w:val="clear"/>
        </w:rPr>
        <w:t xml:space="preserve">Environ. Behav.</w:t>
      </w:r>
      <w:r>
        <w:rPr>
          <w:rFonts w:ascii="Arial" w:hAnsi="Arial" w:cs="Arial" w:eastAsia="Arial"/>
          <w:color w:val="auto"/>
          <w:spacing w:val="0"/>
          <w:position w:val="0"/>
          <w:sz w:val="24"/>
          <w:shd w:fill="auto" w:val="clear"/>
        </w:rPr>
        <w:t xml:space="preserve"> 39, pp. 435</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473. </w:t>
      </w:r>
      <w:hyperlink xmlns:r="http://schemas.openxmlformats.org/officeDocument/2006/relationships" r:id="docRId28">
        <w:r>
          <w:rPr>
            <w:rFonts w:ascii="Arial" w:hAnsi="Arial" w:cs="Arial" w:eastAsia="Arial"/>
            <w:color w:val="0000FF"/>
            <w:spacing w:val="0"/>
            <w:position w:val="0"/>
            <w:sz w:val="24"/>
            <w:u w:val="single"/>
            <w:shd w:fill="auto" w:val="clear"/>
          </w:rPr>
          <w:t xml:space="preserve">https://doi.org/10.1177/0013916505283421</w:t>
        </w:r>
      </w:hyperlink>
      <w:r>
        <w:rPr>
          <w:rFonts w:ascii="Arial" w:hAnsi="Arial" w:cs="Arial" w:eastAsia="Arial"/>
          <w:color w:val="auto"/>
          <w:spacing w:val="0"/>
          <w:position w:val="0"/>
          <w:sz w:val="24"/>
          <w:shd w:fill="auto" w:val="clear"/>
        </w:rPr>
        <w:t xml:space="preserve">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HM Staff (2010) </w:t>
      </w:r>
      <w:r>
        <w:rPr>
          <w:rFonts w:ascii="Arial" w:hAnsi="Arial" w:cs="Arial" w:eastAsia="Arial"/>
          <w:i/>
          <w:color w:val="auto"/>
          <w:spacing w:val="0"/>
          <w:position w:val="0"/>
          <w:sz w:val="24"/>
          <w:shd w:fill="auto" w:val="clear"/>
        </w:rPr>
        <w:t xml:space="preserve">HR: Marriott employee training and development program</w:t>
      </w:r>
      <w:r>
        <w:rPr>
          <w:rFonts w:ascii="Arial" w:hAnsi="Arial" w:cs="Arial" w:eastAsia="Arial"/>
          <w:color w:val="auto"/>
          <w:spacing w:val="0"/>
          <w:position w:val="0"/>
          <w:sz w:val="24"/>
          <w:shd w:fill="auto" w:val="clear"/>
        </w:rPr>
        <w:t xml:space="preserve"> [online]. Available at: </w:t>
      </w:r>
      <w:hyperlink xmlns:r="http://schemas.openxmlformats.org/officeDocument/2006/relationships" r:id="docRId29">
        <w:r>
          <w:rPr>
            <w:rFonts w:ascii="Arial" w:hAnsi="Arial" w:cs="Arial" w:eastAsia="Arial"/>
            <w:color w:val="0000FF"/>
            <w:spacing w:val="0"/>
            <w:position w:val="0"/>
            <w:sz w:val="24"/>
            <w:u w:val="single"/>
            <w:shd w:fill="auto" w:val="clear"/>
          </w:rPr>
          <w:t xml:space="preserve">https://www.hotelmanagement.net/human-resources/hr-marriott-employee-training-and-development-program</w:t>
        </w:r>
      </w:hyperlink>
      <w:r>
        <w:rPr>
          <w:rFonts w:ascii="Arial" w:hAnsi="Arial" w:cs="Arial" w:eastAsia="Arial"/>
          <w:color w:val="auto"/>
          <w:spacing w:val="0"/>
          <w:position w:val="0"/>
          <w:sz w:val="24"/>
          <w:shd w:fill="auto" w:val="clear"/>
        </w:rPr>
        <w:t xml:space="preserve">  (Accessed: 11 May 2024).</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Mouratidis, G. (2021) </w:t>
      </w:r>
      <w:r>
        <w:rPr>
          <w:rFonts w:ascii="Arial" w:hAnsi="Arial" w:cs="Arial" w:eastAsia="Arial"/>
          <w:i/>
          <w:color w:val="auto"/>
          <w:spacing w:val="0"/>
          <w:position w:val="0"/>
          <w:sz w:val="24"/>
          <w:shd w:fill="auto" w:val="clear"/>
        </w:rPr>
        <w:t xml:space="preserve">20 TECHNOLOGY TRENDS IN THE HOSPITALITY INDUSTRY</w:t>
      </w:r>
      <w:r>
        <w:rPr>
          <w:rFonts w:ascii="Arial" w:hAnsi="Arial" w:cs="Arial" w:eastAsia="Arial"/>
          <w:color w:val="auto"/>
          <w:spacing w:val="0"/>
          <w:position w:val="0"/>
          <w:sz w:val="24"/>
          <w:shd w:fill="auto" w:val="clear"/>
        </w:rPr>
        <w:t xml:space="preserve"> [blog]. Available at: </w:t>
      </w:r>
      <w:hyperlink xmlns:r="http://schemas.openxmlformats.org/officeDocument/2006/relationships" r:id="docRId30">
        <w:r>
          <w:rPr>
            <w:rFonts w:ascii="Arial" w:hAnsi="Arial" w:cs="Arial" w:eastAsia="Arial"/>
            <w:color w:val="0000FF"/>
            <w:spacing w:val="0"/>
            <w:position w:val="0"/>
            <w:sz w:val="24"/>
            <w:u w:val="single"/>
            <w:shd w:fill="auto" w:val="clear"/>
          </w:rPr>
          <w:t xml:space="preserve">https://stasher.com/blog/technology-in-the-hospitality-industry/</w:t>
        </w:r>
      </w:hyperlink>
      <w:r>
        <w:rPr>
          <w:rFonts w:ascii="Arial" w:hAnsi="Arial" w:cs="Arial" w:eastAsia="Arial"/>
          <w:color w:val="auto"/>
          <w:spacing w:val="0"/>
          <w:position w:val="0"/>
          <w:sz w:val="24"/>
          <w:shd w:fill="auto" w:val="clear"/>
        </w:rPr>
        <w:t xml:space="preserve">   (Accessed: 11 May 2024).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Silberg, J. and Manyika, J. (2019) Notes from the AI frontier: Tackling bias in AI (and in humans) Available at: </w:t>
      </w:r>
      <w:hyperlink xmlns:r="http://schemas.openxmlformats.org/officeDocument/2006/relationships" r:id="docRId31">
        <w:r>
          <w:rPr>
            <w:rFonts w:ascii="Arial" w:hAnsi="Arial" w:cs="Arial" w:eastAsia="Arial"/>
            <w:color w:val="0000FF"/>
            <w:spacing w:val="0"/>
            <w:position w:val="0"/>
            <w:sz w:val="24"/>
            <w:u w:val="single"/>
            <w:shd w:fill="auto" w:val="clear"/>
          </w:rPr>
          <w:t xml:space="preserve">https://www.mckinsey.com/~/media/McKinsey/Featured%20Insights/Artificial%20Intelligence/Tackling%20bias%20in%20artificial%20intelligence%20and%20in%20humans/MGI-Tackling-bias-in-AI-June-2019.pdf</w:t>
        </w:r>
      </w:hyperlink>
      <w:r>
        <w:rPr>
          <w:rFonts w:ascii="Arial" w:hAnsi="Arial" w:cs="Arial" w:eastAsia="Arial"/>
          <w:color w:val="auto"/>
          <w:spacing w:val="0"/>
          <w:position w:val="0"/>
          <w:sz w:val="24"/>
          <w:shd w:fill="auto" w:val="clear"/>
        </w:rPr>
        <w:t xml:space="preserve"> (Accessed: 12 May 2024). </w:t>
      </w:r>
    </w:p>
    <w:p>
      <w:pPr>
        <w:spacing w:before="0" w:after="160" w:line="279"/>
        <w:ind w:right="0" w:left="0" w:firstLine="0"/>
        <w:jc w:val="both"/>
        <w:rPr>
          <w:rFonts w:ascii="Arial" w:hAnsi="Arial" w:cs="Arial" w:eastAsia="Arial"/>
          <w:i/>
          <w:color w:val="auto"/>
          <w:spacing w:val="0"/>
          <w:position w:val="0"/>
          <w:sz w:val="24"/>
          <w:shd w:fill="auto" w:val="clear"/>
        </w:rPr>
      </w:pPr>
      <w:r>
        <w:rPr>
          <w:rFonts w:ascii="Arial" w:hAnsi="Arial" w:cs="Arial" w:eastAsia="Arial"/>
          <w:color w:val="auto"/>
          <w:spacing w:val="0"/>
          <w:position w:val="0"/>
          <w:sz w:val="24"/>
          <w:shd w:fill="auto" w:val="clear"/>
        </w:rPr>
        <w:t xml:space="preserve">Yigitcanlar, T. and Cugurullo, F. (2020) `The Sustainability of Artificial Intelligence: An Urbanistic Viewpoint from the Lens of Smart and Sustainable Cities</w:t>
      </w:r>
      <w:r>
        <w:rPr>
          <w:rFonts w:ascii="Arial" w:hAnsi="Arial" w:cs="Arial" w:eastAsia="Arial"/>
          <w:i/>
          <w:color w:val="auto"/>
          <w:spacing w:val="0"/>
          <w:position w:val="0"/>
          <w:sz w:val="24"/>
          <w:shd w:fill="auto" w:val="clear"/>
        </w:rPr>
        <w:t xml:space="preserve">` Sustainability 2020 12, 8548. </w:t>
      </w:r>
      <w:hyperlink xmlns:r="http://schemas.openxmlformats.org/officeDocument/2006/relationships" r:id="docRId32">
        <w:r>
          <w:rPr>
            <w:rFonts w:ascii="Arial" w:hAnsi="Arial" w:cs="Arial" w:eastAsia="Arial"/>
            <w:i/>
            <w:color w:val="0000FF"/>
            <w:spacing w:val="0"/>
            <w:position w:val="0"/>
            <w:sz w:val="24"/>
            <w:u w:val="single"/>
            <w:shd w:fill="auto" w:val="clear"/>
          </w:rPr>
          <w:t xml:space="preserve">https://doi.org/10.3390/su12208548</w:t>
        </w:r>
      </w:hyperlink>
      <w:r>
        <w:rPr>
          <w:rFonts w:ascii="Arial" w:hAnsi="Arial" w:cs="Arial" w:eastAsia="Arial"/>
          <w:i/>
          <w:color w:val="auto"/>
          <w:spacing w:val="0"/>
          <w:position w:val="0"/>
          <w:sz w:val="24"/>
          <w:shd w:fill="auto" w:val="clear"/>
        </w:rPr>
        <w:t xml:space="preserve"> </w:t>
      </w:r>
    </w:p>
    <w:p>
      <w:pPr>
        <w:spacing w:before="0" w:after="160" w:line="279"/>
        <w:ind w:right="0" w:left="0" w:firstLine="0"/>
        <w:jc w:val="both"/>
        <w:rPr>
          <w:rFonts w:ascii="Arial" w:hAnsi="Arial" w:cs="Arial" w:eastAsia="Arial"/>
          <w:i/>
          <w:color w:val="auto"/>
          <w:spacing w:val="0"/>
          <w:position w:val="0"/>
          <w:sz w:val="24"/>
          <w:shd w:fill="auto" w:val="clear"/>
        </w:rPr>
      </w:pPr>
      <w:r>
        <w:rPr>
          <w:rFonts w:ascii="Arial" w:hAnsi="Arial" w:cs="Arial" w:eastAsia="Arial"/>
          <w:color w:val="auto"/>
          <w:spacing w:val="0"/>
          <w:position w:val="0"/>
          <w:sz w:val="24"/>
          <w:shd w:fill="auto" w:val="clear"/>
        </w:rPr>
        <w:t xml:space="preserve">MBA Skool Team (2023)</w:t>
      </w:r>
      <w:r>
        <w:rPr>
          <w:rFonts w:ascii="Arial" w:hAnsi="Arial" w:cs="Arial" w:eastAsia="Arial"/>
          <w:i/>
          <w:color w:val="auto"/>
          <w:spacing w:val="0"/>
          <w:position w:val="0"/>
          <w:sz w:val="24"/>
          <w:shd w:fill="auto" w:val="clear"/>
        </w:rPr>
        <w:t xml:space="preserve"> Hilton PESTLE Analysis </w:t>
      </w:r>
      <w:r>
        <w:rPr>
          <w:rFonts w:ascii="Arial" w:hAnsi="Arial" w:cs="Arial" w:eastAsia="Arial"/>
          <w:color w:val="auto"/>
          <w:spacing w:val="0"/>
          <w:position w:val="0"/>
          <w:sz w:val="24"/>
          <w:shd w:fill="auto" w:val="clear"/>
        </w:rPr>
        <w:t xml:space="preserve">[online]. Available at:</w:t>
      </w:r>
      <w:r>
        <w:rPr>
          <w:rFonts w:ascii="Arial" w:hAnsi="Arial" w:cs="Arial" w:eastAsia="Arial"/>
          <w:i/>
          <w:color w:val="auto"/>
          <w:spacing w:val="0"/>
          <w:position w:val="0"/>
          <w:sz w:val="24"/>
          <w:shd w:fill="auto" w:val="clear"/>
        </w:rPr>
        <w:t xml:space="preserve"> </w:t>
      </w:r>
      <w:hyperlink xmlns:r="http://schemas.openxmlformats.org/officeDocument/2006/relationships" r:id="docRId33">
        <w:r>
          <w:rPr>
            <w:rFonts w:ascii="Arial" w:hAnsi="Arial" w:cs="Arial" w:eastAsia="Arial"/>
            <w:i/>
            <w:color w:val="0000FF"/>
            <w:spacing w:val="0"/>
            <w:position w:val="0"/>
            <w:sz w:val="24"/>
            <w:u w:val="single"/>
            <w:shd w:fill="auto" w:val="clear"/>
          </w:rPr>
          <w:t xml:space="preserve">https://www.mbaskool.com/pestle-analysis/companies/18162-hilton.html</w:t>
        </w:r>
      </w:hyperlink>
      <w:r>
        <w:rPr>
          <w:rFonts w:ascii="Arial" w:hAnsi="Arial" w:cs="Arial" w:eastAsia="Arial"/>
          <w:i/>
          <w:color w:val="auto"/>
          <w:spacing w:val="0"/>
          <w:position w:val="0"/>
          <w:sz w:val="24"/>
          <w:shd w:fill="auto" w:val="clear"/>
        </w:rPr>
        <w:t xml:space="preserve"> (Accessed:12 May 2024).  </w:t>
      </w:r>
    </w:p>
    <w:p>
      <w:pPr>
        <w:spacing w:before="0" w:after="160" w:line="279"/>
        <w:ind w:right="0" w:left="0" w:firstLine="0"/>
        <w:jc w:val="both"/>
        <w:rPr>
          <w:rFonts w:ascii="Arial" w:hAnsi="Arial" w:cs="Arial" w:eastAsia="Arial"/>
          <w:i/>
          <w:color w:val="auto"/>
          <w:spacing w:val="0"/>
          <w:position w:val="0"/>
          <w:sz w:val="24"/>
          <w:shd w:fill="auto" w:val="clear"/>
        </w:rPr>
      </w:pPr>
      <w:r>
        <w:rPr>
          <w:rFonts w:ascii="Arial" w:hAnsi="Arial" w:cs="Arial" w:eastAsia="Arial"/>
          <w:color w:val="auto"/>
          <w:spacing w:val="0"/>
          <w:position w:val="0"/>
          <w:sz w:val="24"/>
          <w:shd w:fill="auto" w:val="clear"/>
        </w:rPr>
        <w:t xml:space="preserve">Edwards-Buarque, K. (2022) </w:t>
      </w:r>
      <w:r>
        <w:rPr>
          <w:rFonts w:ascii="Arial" w:hAnsi="Arial" w:cs="Arial" w:eastAsia="Arial"/>
          <w:i/>
          <w:color w:val="auto"/>
          <w:spacing w:val="0"/>
          <w:position w:val="0"/>
          <w:sz w:val="24"/>
          <w:shd w:fill="auto" w:val="clear"/>
        </w:rPr>
        <w:t xml:space="preserve">Sustainability: reducing food waste in hotels and restaurants </w:t>
      </w:r>
      <w:r>
        <w:rPr>
          <w:rFonts w:ascii="Arial" w:hAnsi="Arial" w:cs="Arial" w:eastAsia="Arial"/>
          <w:color w:val="auto"/>
          <w:spacing w:val="0"/>
          <w:position w:val="0"/>
          <w:sz w:val="24"/>
          <w:shd w:fill="auto" w:val="clear"/>
        </w:rPr>
        <w:t xml:space="preserve">[online]. Available at: </w:t>
      </w:r>
      <w:hyperlink xmlns:r="http://schemas.openxmlformats.org/officeDocument/2006/relationships" r:id="docRId34">
        <w:r>
          <w:rPr>
            <w:rFonts w:ascii="Arial" w:hAnsi="Arial" w:cs="Arial" w:eastAsia="Arial"/>
            <w:color w:val="0000FF"/>
            <w:spacing w:val="0"/>
            <w:position w:val="0"/>
            <w:sz w:val="24"/>
            <w:u w:val="single"/>
            <w:shd w:fill="auto" w:val="clear"/>
          </w:rPr>
          <w:t xml:space="preserve">https://mapal-os.com/en/sop/sustainability-reducing-food-waste-hotels-restaurants</w:t>
        </w:r>
      </w:hyperlink>
      <w:r>
        <w:rPr>
          <w:rFonts w:ascii="Arial" w:hAnsi="Arial" w:cs="Arial" w:eastAsia="Arial"/>
          <w:color w:val="auto"/>
          <w:spacing w:val="0"/>
          <w:position w:val="0"/>
          <w:sz w:val="24"/>
          <w:shd w:fill="auto" w:val="clear"/>
        </w:rPr>
        <w:t xml:space="preserve"> (Accessed: 13 May 2024). </w:t>
      </w:r>
    </w:p>
    <w:p>
      <w:pPr>
        <w:spacing w:before="0" w:after="160" w:line="279"/>
        <w:ind w:right="0" w:left="0" w:firstLine="0"/>
        <w:jc w:val="both"/>
        <w:rPr>
          <w:rFonts w:ascii="Arial" w:hAnsi="Arial" w:cs="Arial" w:eastAsia="Arial"/>
          <w:i/>
          <w:color w:val="auto"/>
          <w:spacing w:val="0"/>
          <w:position w:val="0"/>
          <w:sz w:val="24"/>
          <w:shd w:fill="auto" w:val="clear"/>
        </w:rPr>
      </w:pPr>
      <w:r>
        <w:rPr>
          <w:rFonts w:ascii="Arial" w:hAnsi="Arial" w:cs="Arial" w:eastAsia="Arial"/>
          <w:color w:val="auto"/>
          <w:spacing w:val="0"/>
          <w:position w:val="0"/>
          <w:sz w:val="24"/>
          <w:shd w:fill="auto" w:val="clear"/>
        </w:rPr>
        <w:t xml:space="preserve">Lewis, J. (2022) </w:t>
      </w:r>
      <w:r>
        <w:rPr>
          <w:rFonts w:ascii="Arial" w:hAnsi="Arial" w:cs="Arial" w:eastAsia="Arial"/>
          <w:i/>
          <w:color w:val="auto"/>
          <w:spacing w:val="0"/>
          <w:position w:val="0"/>
          <w:sz w:val="24"/>
          <w:shd w:fill="auto" w:val="clear"/>
        </w:rPr>
        <w:t xml:space="preserve">How Does Food Waste Affect the Environment? </w:t>
      </w:r>
      <w:r>
        <w:rPr>
          <w:rFonts w:ascii="Arial" w:hAnsi="Arial" w:cs="Arial" w:eastAsia="Arial"/>
          <w:color w:val="auto"/>
          <w:spacing w:val="0"/>
          <w:position w:val="0"/>
          <w:sz w:val="24"/>
          <w:shd w:fill="auto" w:val="clear"/>
        </w:rPr>
        <w:t xml:space="preserve">[online]. Available at: </w:t>
      </w:r>
      <w:hyperlink xmlns:r="http://schemas.openxmlformats.org/officeDocument/2006/relationships" r:id="docRId35">
        <w:r>
          <w:rPr>
            <w:rFonts w:ascii="Arial" w:hAnsi="Arial" w:cs="Arial" w:eastAsia="Arial"/>
            <w:color w:val="0000FF"/>
            <w:spacing w:val="0"/>
            <w:position w:val="0"/>
            <w:sz w:val="24"/>
            <w:u w:val="single"/>
            <w:shd w:fill="auto" w:val="clear"/>
          </w:rPr>
          <w:t xml:space="preserve">https://earth.org/how-does-food-waste-affect-the-environment/</w:t>
        </w:r>
      </w:hyperlink>
      <w:r>
        <w:rPr>
          <w:rFonts w:ascii="Arial" w:hAnsi="Arial" w:cs="Arial" w:eastAsia="Arial"/>
          <w:color w:val="auto"/>
          <w:spacing w:val="0"/>
          <w:position w:val="0"/>
          <w:sz w:val="24"/>
          <w:shd w:fill="auto" w:val="clear"/>
        </w:rPr>
        <w:t xml:space="preserve"> (Accessed: 13 May 2024).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Otley, T. (2022) </w:t>
      </w:r>
      <w:r>
        <w:rPr>
          <w:rFonts w:ascii="Arial" w:hAnsi="Arial" w:cs="Arial" w:eastAsia="Arial"/>
          <w:i/>
          <w:color w:val="auto"/>
          <w:spacing w:val="0"/>
          <w:position w:val="0"/>
          <w:sz w:val="24"/>
          <w:shd w:fill="auto" w:val="clear"/>
        </w:rPr>
        <w:t xml:space="preserve">How sustainable is Hilton? </w:t>
      </w:r>
      <w:r>
        <w:rPr>
          <w:rFonts w:ascii="Arial" w:hAnsi="Arial" w:cs="Arial" w:eastAsia="Arial"/>
          <w:color w:val="auto"/>
          <w:spacing w:val="0"/>
          <w:position w:val="0"/>
          <w:sz w:val="24"/>
          <w:shd w:fill="auto" w:val="clear"/>
        </w:rPr>
        <w:t xml:space="preserve">[online]. Available at: </w:t>
      </w:r>
      <w:hyperlink xmlns:r="http://schemas.openxmlformats.org/officeDocument/2006/relationships" r:id="docRId36">
        <w:r>
          <w:rPr>
            <w:rFonts w:ascii="Arial" w:hAnsi="Arial" w:cs="Arial" w:eastAsia="Arial"/>
            <w:color w:val="0000FF"/>
            <w:spacing w:val="0"/>
            <w:position w:val="0"/>
            <w:sz w:val="24"/>
            <w:u w:val="single"/>
            <w:shd w:fill="auto" w:val="clear"/>
          </w:rPr>
          <w:t xml:space="preserve">https://www.businesstraveller.com/features/how-sustainable-is-hilton/</w:t>
        </w:r>
      </w:hyperlink>
      <w:r>
        <w:rPr>
          <w:rFonts w:ascii="Arial" w:hAnsi="Arial" w:cs="Arial" w:eastAsia="Arial"/>
          <w:color w:val="auto"/>
          <w:spacing w:val="0"/>
          <w:position w:val="0"/>
          <w:sz w:val="24"/>
          <w:shd w:fill="auto" w:val="clear"/>
        </w:rPr>
        <w:t xml:space="preserve"> (Accessed: 14 May 2024).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Ahmed, N. (2023) </w:t>
      </w:r>
      <w:r>
        <w:rPr>
          <w:rFonts w:ascii="Arial" w:hAnsi="Arial" w:cs="Arial" w:eastAsia="Arial"/>
          <w:i/>
          <w:color w:val="auto"/>
          <w:spacing w:val="0"/>
          <w:position w:val="0"/>
          <w:sz w:val="24"/>
          <w:shd w:fill="auto" w:val="clear"/>
        </w:rPr>
        <w:t xml:space="preserve">Food Sustainability in the Hospitality Industry: Shaping the Future of Our Planet through Conscious Dining </w:t>
      </w:r>
      <w:r>
        <w:rPr>
          <w:rFonts w:ascii="Arial" w:hAnsi="Arial" w:cs="Arial" w:eastAsia="Arial"/>
          <w:color w:val="auto"/>
          <w:spacing w:val="0"/>
          <w:position w:val="0"/>
          <w:sz w:val="24"/>
          <w:shd w:fill="auto" w:val="clear"/>
        </w:rPr>
        <w:t xml:space="preserve">[online]. Available at: </w:t>
      </w:r>
      <w:hyperlink xmlns:r="http://schemas.openxmlformats.org/officeDocument/2006/relationships" r:id="docRId37">
        <w:r>
          <w:rPr>
            <w:rFonts w:ascii="Arial" w:hAnsi="Arial" w:cs="Arial" w:eastAsia="Arial"/>
            <w:color w:val="0000FF"/>
            <w:spacing w:val="0"/>
            <w:position w:val="0"/>
            <w:sz w:val="24"/>
            <w:u w:val="single"/>
            <w:shd w:fill="auto" w:val="clear"/>
          </w:rPr>
          <w:t xml:space="preserve">https://www.linkedin.com/pulse/food-sustainability-hospitality-industry-shaping-our-ahmed-gradei</w:t>
        </w:r>
      </w:hyperlink>
      <w:r>
        <w:rPr>
          <w:rFonts w:ascii="Arial" w:hAnsi="Arial" w:cs="Arial" w:eastAsia="Arial"/>
          <w:color w:val="auto"/>
          <w:spacing w:val="0"/>
          <w:position w:val="0"/>
          <w:sz w:val="24"/>
          <w:shd w:fill="auto" w:val="clear"/>
        </w:rPr>
        <w:t xml:space="preserve"> (Accessed: 14 May 2024). </w:t>
      </w:r>
      <w:r>
        <w:rPr>
          <w:rFonts w:ascii="Arial" w:hAnsi="Arial" w:cs="Arial" w:eastAsia="Arial"/>
          <w:i/>
          <w:color w:val="auto"/>
          <w:spacing w:val="0"/>
          <w:position w:val="0"/>
          <w:sz w:val="24"/>
          <w:shd w:fill="auto" w:val="clear"/>
        </w:rPr>
        <w:t xml:space="preserve"> </w:t>
      </w:r>
    </w:p>
    <w:p>
      <w:pPr>
        <w:spacing w:before="0" w:after="160" w:line="279"/>
        <w:ind w:right="0" w:left="0" w:firstLine="0"/>
        <w:jc w:val="both"/>
        <w:rPr>
          <w:rFonts w:ascii="Arial" w:hAnsi="Arial" w:cs="Arial" w:eastAsia="Arial"/>
          <w:color w:val="auto"/>
          <w:spacing w:val="0"/>
          <w:position w:val="0"/>
          <w:sz w:val="24"/>
          <w:shd w:fill="auto" w:val="clear"/>
          <w:vertAlign w:val="superscript"/>
        </w:rPr>
      </w:pPr>
      <w:r>
        <w:rPr>
          <w:rFonts w:ascii="Arial" w:hAnsi="Arial" w:cs="Arial" w:eastAsia="Arial"/>
          <w:color w:val="auto"/>
          <w:spacing w:val="0"/>
          <w:position w:val="0"/>
          <w:sz w:val="24"/>
          <w:shd w:fill="auto" w:val="clear"/>
        </w:rPr>
        <w:t xml:space="preserve">Cvent (2024) </w:t>
      </w:r>
      <w:r>
        <w:rPr>
          <w:rFonts w:ascii="Arial" w:hAnsi="Arial" w:cs="Arial" w:eastAsia="Arial"/>
          <w:i/>
          <w:color w:val="auto"/>
          <w:spacing w:val="0"/>
          <w:position w:val="0"/>
          <w:sz w:val="24"/>
          <w:shd w:fill="auto" w:val="clear"/>
        </w:rPr>
        <w:t xml:space="preserve">Sustainable Hotel Ideas: 25 Ways to Go Green </w:t>
      </w:r>
      <w:r>
        <w:rPr>
          <w:rFonts w:ascii="Arial" w:hAnsi="Arial" w:cs="Arial" w:eastAsia="Arial"/>
          <w:color w:val="auto"/>
          <w:spacing w:val="0"/>
          <w:position w:val="0"/>
          <w:sz w:val="24"/>
          <w:shd w:fill="auto" w:val="clear"/>
        </w:rPr>
        <w:t xml:space="preserve">[blog]. Available at: </w:t>
      </w:r>
      <w:hyperlink xmlns:r="http://schemas.openxmlformats.org/officeDocument/2006/relationships" r:id="docRId38">
        <w:r>
          <w:rPr>
            <w:rFonts w:ascii="Arial" w:hAnsi="Arial" w:cs="Arial" w:eastAsia="Arial"/>
            <w:color w:val="0000FF"/>
            <w:spacing w:val="0"/>
            <w:position w:val="0"/>
            <w:sz w:val="24"/>
            <w:u w:val="single"/>
            <w:shd w:fill="auto" w:val="clear"/>
          </w:rPr>
          <w:t xml:space="preserve">https://www.cvent.com/uk/blog/hospitality/eco-friendly-hotel-ideas</w:t>
        </w:r>
      </w:hyperlink>
      <w:r>
        <w:rPr>
          <w:rFonts w:ascii="Arial" w:hAnsi="Arial" w:cs="Arial" w:eastAsia="Arial"/>
          <w:color w:val="auto"/>
          <w:spacing w:val="0"/>
          <w:position w:val="0"/>
          <w:sz w:val="24"/>
          <w:shd w:fill="auto" w:val="clear"/>
        </w:rPr>
        <w:t xml:space="preserve"> (Accessed: 15 May 2024).</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i/>
          <w:color w:val="auto"/>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1F1F1F"/>
          <w:spacing w:val="0"/>
          <w:position w:val="0"/>
          <w:sz w:val="24"/>
          <w:u w:val="single"/>
          <w:shd w:fill="auto" w:val="clear"/>
        </w:rPr>
      </w:pPr>
    </w:p>
    <w:p>
      <w:pPr>
        <w:spacing w:before="0" w:after="160" w:line="279"/>
        <w:ind w:right="0" w:left="0" w:firstLine="0"/>
        <w:jc w:val="both"/>
        <w:rPr>
          <w:rFonts w:ascii="Arial" w:hAnsi="Arial" w:cs="Arial" w:eastAsia="Arial"/>
          <w:color w:val="1F1F1F"/>
          <w:spacing w:val="0"/>
          <w:position w:val="0"/>
          <w:sz w:val="24"/>
          <w:u w:val="single"/>
          <w:shd w:fill="auto" w:val="clear"/>
        </w:rPr>
      </w:pPr>
    </w:p>
    <w:p>
      <w:pPr>
        <w:spacing w:before="0" w:after="160" w:line="279"/>
        <w:ind w:right="0" w:left="0" w:firstLine="0"/>
        <w:jc w:val="both"/>
        <w:rPr>
          <w:rFonts w:ascii="Arial" w:hAnsi="Arial" w:cs="Arial" w:eastAsia="Arial"/>
          <w:color w:val="1F1F1F"/>
          <w:spacing w:val="0"/>
          <w:position w:val="0"/>
          <w:sz w:val="24"/>
          <w:u w:val="single"/>
          <w:shd w:fill="auto" w:val="clear"/>
        </w:rPr>
      </w:pPr>
    </w:p>
    <w:p>
      <w:pPr>
        <w:spacing w:before="0" w:after="160" w:line="279"/>
        <w:ind w:right="0" w:left="0" w:firstLine="0"/>
        <w:jc w:val="both"/>
        <w:rPr>
          <w:rFonts w:ascii="Arial" w:hAnsi="Arial" w:cs="Arial" w:eastAsia="Arial"/>
          <w:color w:val="1F1F1F"/>
          <w:spacing w:val="0"/>
          <w:position w:val="0"/>
          <w:sz w:val="24"/>
          <w:u w:val="single"/>
          <w:shd w:fill="auto" w:val="clear"/>
        </w:rPr>
      </w:pPr>
    </w:p>
    <w:p>
      <w:pPr>
        <w:spacing w:before="0" w:after="160" w:line="279"/>
        <w:ind w:right="0" w:left="0" w:firstLine="0"/>
        <w:jc w:val="both"/>
        <w:rPr>
          <w:rFonts w:ascii="Arial" w:hAnsi="Arial" w:cs="Arial" w:eastAsia="Arial"/>
          <w:color w:val="1F1F1F"/>
          <w:spacing w:val="0"/>
          <w:position w:val="0"/>
          <w:sz w:val="24"/>
          <w:u w:val="single"/>
          <w:shd w:fill="auto" w:val="clear"/>
        </w:rPr>
      </w:pPr>
      <w:r>
        <w:rPr>
          <w:rFonts w:ascii="Arial" w:hAnsi="Arial" w:cs="Arial" w:eastAsia="Arial"/>
          <w:color w:val="1F1F1F"/>
          <w:spacing w:val="0"/>
          <w:position w:val="0"/>
          <w:sz w:val="24"/>
          <w:u w:val="single"/>
          <w:shd w:fill="auto" w:val="clear"/>
        </w:rPr>
        <w:t xml:space="preserve"> </w:t>
      </w:r>
    </w:p>
    <w:p>
      <w:pPr>
        <w:spacing w:before="0" w:after="160" w:line="279"/>
        <w:ind w:right="0" w:left="0" w:firstLine="0"/>
        <w:jc w:val="both"/>
        <w:rPr>
          <w:rFonts w:ascii="Arial" w:hAnsi="Arial" w:cs="Arial" w:eastAsia="Arial"/>
          <w:color w:val="1F1F1F"/>
          <w:spacing w:val="0"/>
          <w:position w:val="0"/>
          <w:sz w:val="24"/>
          <w:u w:val="single"/>
          <w:shd w:fill="auto" w:val="clear"/>
        </w:rPr>
      </w:pPr>
    </w:p>
    <w:p>
      <w:pPr>
        <w:spacing w:before="0" w:after="160" w:line="279"/>
        <w:ind w:right="0" w:left="0" w:firstLine="0"/>
        <w:jc w:val="both"/>
        <w:rPr>
          <w:rFonts w:ascii="Arial" w:hAnsi="Arial" w:cs="Arial" w:eastAsia="Arial"/>
          <w:color w:val="1F1F1F"/>
          <w:spacing w:val="0"/>
          <w:position w:val="0"/>
          <w:sz w:val="24"/>
          <w:u w:val="single"/>
          <w:shd w:fill="auto" w:val="clear"/>
        </w:rPr>
      </w:pPr>
    </w:p>
    <w:p>
      <w:pPr>
        <w:spacing w:before="0" w:after="160" w:line="279"/>
        <w:ind w:right="0" w:left="0" w:firstLine="0"/>
        <w:jc w:val="both"/>
        <w:rPr>
          <w:rFonts w:ascii="Arial" w:hAnsi="Arial" w:cs="Arial" w:eastAsia="Arial"/>
          <w:color w:val="1F1F1F"/>
          <w:spacing w:val="0"/>
          <w:position w:val="0"/>
          <w:sz w:val="21"/>
          <w:u w:val="single"/>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720" w:firstLine="0"/>
        <w:jc w:val="both"/>
        <w:rPr>
          <w:rFonts w:ascii="Arial" w:hAnsi="Arial" w:cs="Arial" w:eastAsia="Arial"/>
          <w:color w:val="156082"/>
          <w:spacing w:val="0"/>
          <w:position w:val="0"/>
          <w:sz w:val="28"/>
          <w:shd w:fill="auto" w:val="clear"/>
        </w:rPr>
      </w:pPr>
    </w:p>
    <w:p>
      <w:pPr>
        <w:spacing w:before="0" w:after="160" w:line="279"/>
        <w:ind w:right="0" w:left="720" w:firstLine="0"/>
        <w:jc w:val="both"/>
        <w:rPr>
          <w:rFonts w:ascii="Arial" w:hAnsi="Arial" w:cs="Arial" w:eastAsia="Arial"/>
          <w:color w:val="156082"/>
          <w:spacing w:val="0"/>
          <w:position w:val="0"/>
          <w:sz w:val="28"/>
          <w:shd w:fill="auto" w:val="clear"/>
        </w:rPr>
      </w:pPr>
    </w:p>
    <w:p>
      <w:pPr>
        <w:spacing w:before="0" w:after="160" w:line="279"/>
        <w:ind w:right="0" w:left="720" w:firstLine="0"/>
        <w:jc w:val="both"/>
        <w:rPr>
          <w:rFonts w:ascii="Arial" w:hAnsi="Arial" w:cs="Arial" w:eastAsia="Arial"/>
          <w:color w:val="156082"/>
          <w:spacing w:val="0"/>
          <w:position w:val="0"/>
          <w:sz w:val="28"/>
          <w:shd w:fill="auto" w:val="clear"/>
        </w:rPr>
      </w:pPr>
    </w:p>
    <w:p>
      <w:pPr>
        <w:spacing w:before="0" w:after="160" w:line="279"/>
        <w:ind w:right="0" w:left="720" w:firstLine="0"/>
        <w:jc w:val="both"/>
        <w:rPr>
          <w:rFonts w:ascii="Arial" w:hAnsi="Arial" w:cs="Arial" w:eastAsia="Arial"/>
          <w:color w:val="156082"/>
          <w:spacing w:val="0"/>
          <w:position w:val="0"/>
          <w:sz w:val="28"/>
          <w:shd w:fill="auto" w:val="clear"/>
        </w:rPr>
      </w:pPr>
    </w:p>
    <w:p>
      <w:pPr>
        <w:spacing w:before="0" w:after="160" w:line="279"/>
        <w:ind w:right="0" w:left="720" w:firstLine="0"/>
        <w:jc w:val="both"/>
        <w:rPr>
          <w:rFonts w:ascii="Arial" w:hAnsi="Arial" w:cs="Arial" w:eastAsia="Arial"/>
          <w:color w:val="156082"/>
          <w:spacing w:val="0"/>
          <w:position w:val="0"/>
          <w:sz w:val="28"/>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156082"/>
          <w:spacing w:val="0"/>
          <w:position w:val="0"/>
          <w:sz w:val="28"/>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156082"/>
          <w:spacing w:val="0"/>
          <w:position w:val="0"/>
          <w:sz w:val="24"/>
          <w:shd w:fill="auto" w:val="clear"/>
        </w:rPr>
      </w:pPr>
    </w:p>
    <w:p>
      <w:pPr>
        <w:spacing w:before="0" w:after="160" w:line="279"/>
        <w:ind w:right="0" w:left="0" w:firstLine="0"/>
        <w:jc w:val="both"/>
        <w:rPr>
          <w:rFonts w:ascii="Aptos" w:hAnsi="Aptos" w:cs="Aptos" w:eastAsia="Aptos"/>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79"/>
        <w:ind w:right="0" w:left="0" w:firstLine="0"/>
        <w:jc w:val="both"/>
        <w:rPr>
          <w:rFonts w:ascii="Aptos" w:hAnsi="Aptos" w:cs="Aptos" w:eastAsia="Aptos"/>
          <w:color w:val="auto"/>
          <w:spacing w:val="0"/>
          <w:position w:val="0"/>
          <w:sz w:val="24"/>
          <w:shd w:fill="auto" w:val="clear"/>
        </w:rPr>
      </w:pPr>
    </w:p>
    <w:p>
      <w:pPr>
        <w:spacing w:before="0" w:after="160" w:line="279"/>
        <w:ind w:right="0" w:left="0" w:firstLine="0"/>
        <w:jc w:val="both"/>
        <w:rPr>
          <w:rFonts w:ascii="Aptos" w:hAnsi="Aptos" w:cs="Aptos" w:eastAsia="Aptos"/>
          <w:color w:val="auto"/>
          <w:spacing w:val="0"/>
          <w:position w:val="0"/>
          <w:sz w:val="24"/>
          <w:shd w:fill="auto" w:val="clear"/>
        </w:rPr>
      </w:pPr>
    </w:p>
    <w:p>
      <w:pPr>
        <w:spacing w:before="0" w:after="160" w:line="279"/>
        <w:ind w:right="0" w:left="0" w:firstLine="0"/>
        <w:jc w:val="both"/>
        <w:rPr>
          <w:rFonts w:ascii="Arial" w:hAnsi="Arial" w:cs="Arial" w:eastAsia="Arial"/>
          <w:color w:val="156082"/>
          <w:spacing w:val="0"/>
          <w:position w:val="0"/>
          <w:sz w:val="24"/>
          <w:shd w:fill="auto" w:val="clear"/>
        </w:rPr>
      </w:pPr>
    </w:p>
    <w:p>
      <w:pPr>
        <w:spacing w:before="0" w:after="160" w:line="279"/>
        <w:ind w:right="0" w:left="0" w:firstLine="0"/>
        <w:jc w:val="both"/>
        <w:rPr>
          <w:rFonts w:ascii="Arial" w:hAnsi="Arial" w:cs="Arial" w:eastAsia="Arial"/>
          <w:color w:val="156082"/>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156082"/>
          <w:spacing w:val="0"/>
          <w:position w:val="0"/>
          <w:sz w:val="24"/>
          <w:shd w:fill="auto" w:val="clear"/>
        </w:rPr>
      </w:pPr>
    </w:p>
    <w:p>
      <w:pPr>
        <w:spacing w:before="0" w:after="160" w:line="279"/>
        <w:ind w:right="0" w:left="0" w:firstLine="0"/>
        <w:jc w:val="both"/>
        <w:rPr>
          <w:rFonts w:ascii="Aptos" w:hAnsi="Aptos" w:cs="Aptos" w:eastAsia="Aptos"/>
          <w:color w:val="auto"/>
          <w:spacing w:val="0"/>
          <w:position w:val="0"/>
          <w:sz w:val="24"/>
          <w:shd w:fill="auto" w:val="clear"/>
        </w:rPr>
      </w:pPr>
    </w:p>
    <w:p>
      <w:pPr>
        <w:spacing w:before="0" w:after="160" w:line="279"/>
        <w:ind w:right="0" w:left="0" w:firstLine="0"/>
        <w:jc w:val="both"/>
        <w:rPr>
          <w:rFonts w:ascii="Aptos" w:hAnsi="Aptos" w:cs="Aptos" w:eastAsia="Aptos"/>
          <w:color w:val="auto"/>
          <w:spacing w:val="0"/>
          <w:position w:val="0"/>
          <w:sz w:val="24"/>
          <w:shd w:fill="auto" w:val="clear"/>
        </w:rPr>
      </w:pPr>
    </w:p>
    <w:p>
      <w:pPr>
        <w:spacing w:before="0" w:after="160" w:line="279"/>
        <w:ind w:right="0" w:left="0" w:firstLine="0"/>
        <w:jc w:val="both"/>
        <w:rPr>
          <w:rFonts w:ascii="Aptos" w:hAnsi="Aptos" w:cs="Aptos" w:eastAsia="Aptos"/>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79"/>
        <w:ind w:right="0" w:left="0" w:firstLine="0"/>
        <w:jc w:val="both"/>
        <w:rPr>
          <w:rFonts w:ascii="Aptos" w:hAnsi="Aptos" w:cs="Aptos" w:eastAsia="Aptos"/>
          <w:color w:val="auto"/>
          <w:spacing w:val="0"/>
          <w:position w:val="0"/>
          <w:sz w:val="24"/>
          <w:shd w:fill="auto" w:val="clear"/>
        </w:rPr>
      </w:pPr>
    </w:p>
    <w:p>
      <w:pPr>
        <w:spacing w:before="0" w:after="160" w:line="279"/>
        <w:ind w:right="0" w:left="0" w:firstLine="0"/>
        <w:jc w:val="both"/>
        <w:rPr>
          <w:rFonts w:ascii="Arial" w:hAnsi="Arial" w:cs="Arial" w:eastAsia="Arial"/>
          <w:color w:val="156082"/>
          <w:spacing w:val="0"/>
          <w:position w:val="0"/>
          <w:sz w:val="24"/>
          <w:shd w:fill="auto" w:val="clear"/>
        </w:rPr>
      </w:pPr>
    </w:p>
    <w:p>
      <w:pPr>
        <w:spacing w:before="0" w:after="160" w:line="279"/>
        <w:ind w:right="0" w:left="0" w:firstLine="0"/>
        <w:jc w:val="both"/>
        <w:rPr>
          <w:rFonts w:ascii="Aptos" w:hAnsi="Aptos" w:cs="Aptos" w:eastAsia="Aptos"/>
          <w:color w:val="auto"/>
          <w:spacing w:val="0"/>
          <w:position w:val="0"/>
          <w:sz w:val="24"/>
          <w:shd w:fill="auto" w:val="clear"/>
        </w:rPr>
      </w:pPr>
    </w:p>
    <w:p>
      <w:pPr>
        <w:spacing w:before="0" w:after="160" w:line="279"/>
        <w:ind w:right="0" w:left="0" w:firstLine="0"/>
        <w:jc w:val="both"/>
        <w:rPr>
          <w:rFonts w:ascii="Aptos" w:hAnsi="Aptos" w:cs="Aptos" w:eastAsia="Aptos"/>
          <w:color w:val="auto"/>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79"/>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279"/>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ptos" w:hAnsi="Aptos" w:cs="Aptos" w:eastAsia="Aptos"/>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156082"/>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num w:numId="8">
    <w:abstractNumId w:val="30"/>
  </w:num>
  <w:num w:numId="10">
    <w:abstractNumId w:val="24"/>
  </w:num>
  <w:num w:numId="12">
    <w:abstractNumId w:val="18"/>
  </w:num>
  <w:num w:numId="15">
    <w:abstractNumId w:val="12"/>
  </w:num>
  <w:num w:numId="17">
    <w:abstractNumId w:val="6"/>
  </w:num>
  <w:num w:numId="22">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link.springer.com/book/10.1007/978-3-030-20561-4" Id="docRId7" Type="http://schemas.openxmlformats.org/officeDocument/2006/relationships/hyperlink" /><Relationship TargetMode="External" Target="https://cpdonline.co.uk/knowledge-base/food-hygiene/how-to-reduce-and-manage-food-waste-in-your-restaurant/" Id="docRId14" Type="http://schemas.openxmlformats.org/officeDocument/2006/relationships/hyperlink" /><Relationship TargetMode="External" Target="https://mapal-os.com/en/sop/sustainability-reducing-food-waste-hotels-restaurants" Id="docRId34" Type="http://schemas.openxmlformats.org/officeDocument/2006/relationships/hyperlink" /><Relationship TargetMode="External" Target="https://www.growyze.com/blog/21-key-statistics-on-sustainability-and-food-waste-for-uk-businesses" Id="docRId22" Type="http://schemas.openxmlformats.org/officeDocument/2006/relationships/hyperlink" /><Relationship TargetMode="External" Target="http://www.fao.org/state-of-food-security-nutrition" Id="docRId9" Type="http://schemas.openxmlformats.org/officeDocument/2006/relationships/hyperlink" /><Relationship Target="embeddings/oleObject0.bin" Id="docRId0" Type="http://schemas.openxmlformats.org/officeDocument/2006/relationships/oleObject" /><Relationship TargetMode="External" Target="https://doi.org/10.3177/jnsv.65.S4" Id="docRId12" Type="http://schemas.openxmlformats.org/officeDocument/2006/relationships/hyperlink" /><Relationship TargetMode="External" Target="https://doi.org/10.1016/j.jclepro.2014.04.020" Id="docRId21" Type="http://schemas.openxmlformats.org/officeDocument/2006/relationships/hyperlink" /><Relationship TargetMode="External" Target="https://www.hotelmanagement.net/human-resources/hr-marriott-employee-training-and-development-program" Id="docRId29" Type="http://schemas.openxmlformats.org/officeDocument/2006/relationships/hyperlink" /><Relationship TargetMode="External" Target="https://www.businesstraveller.com/features/how-sustainable-is-hilton/" Id="docRId36" Type="http://schemas.openxmlformats.org/officeDocument/2006/relationships/hyperlink" /><Relationship TargetMode="External" Target="http://www.fao.org/3/a-i2697e.pdf" Id="docRId8" Type="http://schemas.openxmlformats.org/officeDocument/2006/relationships/hyperlink" /><Relationship TargetMode="External" Target="https://www.wrap.ngo/sites/default/files/2020-09/UK-progress-against-Courtauld-2025-targets-and-UN-SDG-123.pdf" Id="docRId13" Type="http://schemas.openxmlformats.org/officeDocument/2006/relationships/hyperlink" /><Relationship TargetMode="External" Target="https://www.epa.gov/sustainable-management-food/wasted-food-scale" Id="docRId20" Type="http://schemas.openxmlformats.org/officeDocument/2006/relationships/hyperlink" /><Relationship TargetMode="External" Target="https://doi.org/10.1177/0013916505283421" Id="docRId28" Type="http://schemas.openxmlformats.org/officeDocument/2006/relationships/hyperlink" /><Relationship TargetMode="External" Target="https://kezzler.com/blog/traceability-technology-supporting-sustainability-and-the-european-green-deal/?gclid=CjwKCAjw67ajBhAVEiwA2g_jEK5ZQ4YYUpUOazJ4wueSJtVMJNF48587MVFXGGv6teHI2J1MqfYXkxoCNloQAvD_BwE" Id="docRId3" Type="http://schemas.openxmlformats.org/officeDocument/2006/relationships/hyperlink" /><Relationship TargetMode="External" Target="https://www.linkedin.com/pulse/food-sustainability-hospitality-industry-shaping-our-ahmed-gradei" Id="docRId37" Type="http://schemas.openxmlformats.org/officeDocument/2006/relationships/hyperlink" /><Relationship Target="styles.xml" Id="docRId40" Type="http://schemas.openxmlformats.org/officeDocument/2006/relationships/styles" /><Relationship TargetMode="External" Target="https://doi.org/10.1016/j.wasman.2017.04.007" Id="docRId10" Type="http://schemas.openxmlformats.org/officeDocument/2006/relationships/hyperlink" /><Relationship TargetMode="External" Target="https://analyticssteps.com/blogs/what-pestle-analysis" Id="docRId18" Type="http://schemas.openxmlformats.org/officeDocument/2006/relationships/hyperlink" /><Relationship TargetMode="External" Target="https://www.investopedia.com/terms/s/sustainability.asp" Id="docRId2" Type="http://schemas.openxmlformats.org/officeDocument/2006/relationships/hyperlink" /><Relationship TargetMode="External" Target="https://wearesololiving.com/3-pillars-of-sustainability/" Id="docRId27" Type="http://schemas.openxmlformats.org/officeDocument/2006/relationships/hyperlink" /><Relationship TargetMode="External" Target="https://stasher.com/blog/technology-in-the-hospitality-industry/" Id="docRId30" Type="http://schemas.openxmlformats.org/officeDocument/2006/relationships/hyperlink" /><Relationship TargetMode="External" Target="https://www.cvent.com/uk/blog/hospitality/eco-friendly-hotel-ideas" Id="docRId38" Type="http://schemas.openxmlformats.org/officeDocument/2006/relationships/hyperlink" /><Relationship TargetMode="External" Target="http://www.fao.org/publications/card/en/c/5e7c4154-2b97-4ea5-83a7-be9604925a24/" Id="docRId11" Type="http://schemas.openxmlformats.org/officeDocument/2006/relationships/hyperlink" /><Relationship TargetMode="External" Target="https://pestleanalysis.com/pestle-analysis-of-the-food-industry/" Id="docRId19" Type="http://schemas.openxmlformats.org/officeDocument/2006/relationships/hyperlink" /><Relationship TargetMode="External" Target="https://www.northstarmeetingsgroup.com/News/Hotels-and-Resorts/marriott-international-sustainability" Id="docRId26" Type="http://schemas.openxmlformats.org/officeDocument/2006/relationships/hyperlink" /><Relationship TargetMode="External" Target="https://www.mckinsey.com/~/media/McKinsey/Featured%20Insights/Artificial%20Intelligence/Tackling%20bias%20in%20artificial%20intelligence%20and%20in%20humans/MGI-Tackling-bias-in-AI-June-2019.pdf" Id="docRId31" Type="http://schemas.openxmlformats.org/officeDocument/2006/relationships/hyperlink" /><Relationship Target="numbering.xml" Id="docRId39" Type="http://schemas.openxmlformats.org/officeDocument/2006/relationships/numbering" /><Relationship TargetMode="External" Target="https://www.hospitalitynet.org/opinion/4113923.html" Id="docRId5" Type="http://schemas.openxmlformats.org/officeDocument/2006/relationships/hyperlink" /><Relationship TargetMode="External" Target="https://doi.org/10.1108/17471111111154545" Id="docRId16" Type="http://schemas.openxmlformats.org/officeDocument/2006/relationships/hyperlink" /><Relationship TargetMode="External" Target="https://serve360.marriott.com/" Id="docRId25" Type="http://schemas.openxmlformats.org/officeDocument/2006/relationships/hyperlink" /><Relationship TargetMode="External" Target="https://doi.org/10.3390/su12208548" Id="docRId32" Type="http://schemas.openxmlformats.org/officeDocument/2006/relationships/hyperlink" /><Relationship TargetMode="External" Target="https://www.sphericalinsights.com/reports/food-waste-management-market" Id="docRId4" Type="http://schemas.openxmlformats.org/officeDocument/2006/relationships/hyperlink" /><Relationship TargetMode="External" Target="https://corporatefinanceinstitute.com/resources/management/pestel-analysis/" Id="docRId17" Type="http://schemas.openxmlformats.org/officeDocument/2006/relationships/hyperlink" /><Relationship TargetMode="External" Target="https://www.treehugger.com/what-are-the-three-pillars-of-sustainability-5189295" Id="docRId24" Type="http://schemas.openxmlformats.org/officeDocument/2006/relationships/hyperlink" /><Relationship TargetMode="External" Target="https://www.mbaskool.com/pestle-analysis/companies/18162-hilton.html" Id="docRId33" Type="http://schemas.openxmlformats.org/officeDocument/2006/relationships/hyperlink" /><Relationship TargetMode="External" Target="https://www.niesr.ac.uk/publications/economic-consequences-ukraine-war-uk-household-incomes?type=uk-economic-outlook-box-analysis" Id="docRId23" Type="http://schemas.openxmlformats.org/officeDocument/2006/relationships/hyperlink" /><Relationship TargetMode="External" Target="https://ceoworld.biz/2021/04/08/6-key-ways-a-circular-economy-can-benefit-the-hospitality-industry/" Id="docRId6" Type="http://schemas.openxmlformats.org/officeDocument/2006/relationships/hyperlink" /><Relationship Target="media/image0.wmf" Id="docRId1" Type="http://schemas.openxmlformats.org/officeDocument/2006/relationships/image" /><Relationship TargetMode="External" Target="https://zerowasteeurope.eu/wp-content/uploads/2020/11/Landfill-emission-reductions-only-tell-half-the-story-as-GHG-emissions-from-waste-to-energy-incineration-double.pdf" Id="docRId15" Type="http://schemas.openxmlformats.org/officeDocument/2006/relationships/hyperlink" /><Relationship TargetMode="External" Target="https://earth.org/how-does-food-waste-affect-the-environment/" Id="docRId35" Type="http://schemas.openxmlformats.org/officeDocument/2006/relationships/hyperlink" /></Relationships>
</file>