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Основний текст"/>
        <w:jc w:val="center"/>
        <w:rPr>
          <w:sz w:val="52"/>
          <w:szCs w:val="52"/>
        </w:rPr>
      </w:pPr>
      <w:r>
        <w:rPr>
          <w:sz w:val="52"/>
          <w:szCs w:val="52"/>
        </w:rPr>
        <w:drawing xmlns:a="http://schemas.openxmlformats.org/drawingml/2006/main">
          <wp:inline distT="0" distB="0" distL="0" distR="0">
            <wp:extent cx="2895599" cy="960374"/>
            <wp:effectExtent l="0" t="0" r="0" b="0"/>
            <wp:docPr id="1073741825"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TextDescription automatically generated" descr="TextDescription automatically generated"/>
                    <pic:cNvPicPr>
                      <a:picLocks noChangeAspect="1"/>
                    </pic:cNvPicPr>
                  </pic:nvPicPr>
                  <pic:blipFill>
                    <a:blip r:embed="rId4">
                      <a:extLst/>
                    </a:blip>
                    <a:stretch>
                      <a:fillRect/>
                    </a:stretch>
                  </pic:blipFill>
                  <pic:spPr>
                    <a:xfrm>
                      <a:off x="0" y="0"/>
                      <a:ext cx="2895599" cy="960374"/>
                    </a:xfrm>
                    <a:prstGeom prst="rect">
                      <a:avLst/>
                    </a:prstGeom>
                    <a:ln w="12700" cap="flat">
                      <a:noFill/>
                      <a:miter lim="400000"/>
                    </a:ln>
                    <a:effectLst/>
                  </pic:spPr>
                </pic:pic>
              </a:graphicData>
            </a:graphic>
          </wp:inline>
        </w:drawing>
      </w:r>
    </w:p>
    <w:p>
      <w:pPr>
        <w:pStyle w:val="Основний текст"/>
        <w:jc w:val="center"/>
        <w:rPr>
          <w:outline w:val="0"/>
          <w:color w:val="ff0000"/>
          <w:u w:color="ff0000"/>
          <w14:textFill>
            <w14:solidFill>
              <w14:srgbClr w14:val="FF0000"/>
            </w14:solidFill>
          </w14:textFill>
        </w:rPr>
      </w:pPr>
    </w:p>
    <w:p>
      <w:pPr>
        <w:pStyle w:val="Основний текст"/>
        <w:rPr>
          <w:outline w:val="0"/>
          <w:color w:val="ff0000"/>
          <w:u w:color="ff0000"/>
          <w14:textFill>
            <w14:solidFill>
              <w14:srgbClr w14:val="FF0000"/>
            </w14:solidFill>
          </w14:textFill>
        </w:rPr>
      </w:pPr>
    </w:p>
    <w:p>
      <w:pPr>
        <w:pStyle w:val="Основний текст"/>
        <w:rPr>
          <w:outline w:val="0"/>
          <w:color w:val="ff0000"/>
          <w:u w:color="ff0000"/>
          <w14:textFill>
            <w14:solidFill>
              <w14:srgbClr w14:val="FF0000"/>
            </w14:solidFill>
          </w14:textFill>
        </w:rPr>
      </w:pPr>
    </w:p>
    <w:p>
      <w:pPr>
        <w:pStyle w:val="Основний текст"/>
        <w:rPr>
          <w:outline w:val="0"/>
          <w:color w:val="ff0000"/>
          <w:u w:color="ff0000"/>
          <w14:textFill>
            <w14:solidFill>
              <w14:srgbClr w14:val="FF0000"/>
            </w14:solidFill>
          </w14:textFill>
        </w:rPr>
      </w:pPr>
    </w:p>
    <w:p>
      <w:pPr>
        <w:pStyle w:val="Основний текст"/>
        <w:rPr>
          <w:outline w:val="0"/>
          <w:color w:val="ff0000"/>
          <w:u w:color="ff0000"/>
          <w14:textFill>
            <w14:solidFill>
              <w14:srgbClr w14:val="FF0000"/>
            </w14:solidFill>
          </w14:textFill>
        </w:rPr>
      </w:pPr>
    </w:p>
    <w:p>
      <w:pPr>
        <w:pStyle w:val="Основний текст"/>
        <w:rPr>
          <w:outline w:val="0"/>
          <w:color w:val="ff0000"/>
          <w:u w:color="ff0000"/>
          <w14:textFill>
            <w14:solidFill>
              <w14:srgbClr w14:val="FF0000"/>
            </w14:solidFill>
          </w14:textFill>
        </w:rPr>
      </w:pPr>
    </w:p>
    <w:p>
      <w:pPr>
        <w:pStyle w:val="Основний текст"/>
      </w:pPr>
    </w:p>
    <w:p>
      <w:pPr>
        <w:pStyle w:val="Основний текст"/>
        <w:rPr>
          <w:b w:val="1"/>
          <w:bCs w:val="1"/>
          <w:sz w:val="34"/>
          <w:szCs w:val="34"/>
        </w:rPr>
      </w:pPr>
      <w:r>
        <w:rPr>
          <w:b w:val="1"/>
          <w:bCs w:val="1"/>
          <w:rtl w:val="0"/>
          <w:lang w:val="en-US"/>
        </w:rPr>
        <w:t xml:space="preserve">    </w:t>
      </w:r>
      <w:r>
        <w:rPr>
          <w:b w:val="1"/>
          <w:bCs w:val="1"/>
          <w:sz w:val="34"/>
          <w:szCs w:val="34"/>
          <w:rtl w:val="0"/>
          <w:lang w:val="en-US"/>
        </w:rPr>
        <w:t xml:space="preserve"> </w:t>
      </w:r>
      <w:r>
        <w:rPr>
          <w:b w:val="1"/>
          <w:bCs w:val="1"/>
          <w:sz w:val="34"/>
          <w:szCs w:val="34"/>
          <w:rtl w:val="0"/>
          <w:lang w:val="en-US"/>
        </w:rPr>
        <w:t>Developing and Managing Individuals and Teams</w:t>
      </w:r>
      <w:r>
        <w:rPr>
          <w:b w:val="1"/>
          <w:bCs w:val="1"/>
          <w:sz w:val="34"/>
          <w:szCs w:val="34"/>
          <w:rtl w:val="0"/>
          <w:lang w:val="en-US"/>
        </w:rPr>
        <w:t xml:space="preserve">             </w:t>
      </w:r>
    </w:p>
    <w:p>
      <w:pPr>
        <w:pStyle w:val="Основний текст"/>
        <w:rPr>
          <w:b w:val="1"/>
          <w:bCs w:val="1"/>
          <w:sz w:val="34"/>
          <w:szCs w:val="34"/>
        </w:rPr>
      </w:pPr>
      <w:r>
        <w:rPr>
          <w:b w:val="1"/>
          <w:bCs w:val="1"/>
          <w:sz w:val="34"/>
          <w:szCs w:val="34"/>
          <w:rtl w:val="0"/>
          <w:lang w:val="en-US"/>
        </w:rPr>
        <w:t xml:space="preserve">                                                </w:t>
      </w:r>
      <w:r>
        <w:rPr>
          <w:b w:val="1"/>
          <w:bCs w:val="1"/>
          <w:rtl w:val="0"/>
          <w:lang w:val="en-US"/>
        </w:rPr>
        <w:t xml:space="preserve">                  </w:t>
      </w:r>
      <w:r>
        <w:rPr>
          <w:b w:val="1"/>
          <w:bCs w:val="1"/>
          <w:sz w:val="34"/>
          <w:szCs w:val="34"/>
          <w:rtl w:val="0"/>
          <w:lang w:val="en-US"/>
        </w:rPr>
        <w:t xml:space="preserve"> (</w:t>
      </w:r>
      <w:r>
        <w:rPr>
          <w:b w:val="1"/>
          <w:bCs w:val="1"/>
          <w:sz w:val="34"/>
          <w:szCs w:val="34"/>
          <w:rtl w:val="0"/>
          <w:lang w:val="it-IT"/>
        </w:rPr>
        <w:t>LCLM5002</w:t>
      </w:r>
      <w:r>
        <w:rPr>
          <w:b w:val="1"/>
          <w:bCs w:val="1"/>
          <w:sz w:val="34"/>
          <w:szCs w:val="34"/>
          <w:rtl w:val="0"/>
          <w:lang w:val="en-US"/>
        </w:rPr>
        <w:t>)</w:t>
      </w:r>
    </w:p>
    <w:p>
      <w:pPr>
        <w:pStyle w:val="Основний текст"/>
        <w:rPr>
          <w:sz w:val="28"/>
          <w:szCs w:val="28"/>
        </w:rPr>
      </w:pPr>
    </w:p>
    <w:p>
      <w:pPr>
        <w:pStyle w:val="Типовий"/>
        <w:suppressAutoHyphens w:val="1"/>
        <w:spacing w:before="0" w:after="323" w:line="240" w:lineRule="auto"/>
        <w:jc w:val="left"/>
        <w:rPr>
          <w:rFonts w:ascii="Arial" w:cs="Arial" w:hAnsi="Arial" w:eastAsia="Arial"/>
          <w:b w:val="1"/>
          <w:bCs w:val="1"/>
          <w:outline w:val="0"/>
          <w:color w:val="212121"/>
          <w:sz w:val="28"/>
          <w:szCs w:val="28"/>
          <w:shd w:val="clear" w:color="auto" w:fill="ffffff"/>
          <w14:textFill>
            <w14:solidFill>
              <w14:srgbClr w14:val="222222"/>
            </w14:solidFill>
          </w14:textFill>
        </w:rPr>
      </w:pPr>
      <w:r>
        <w:rPr>
          <w:rFonts w:ascii="Arial" w:hAnsi="Arial"/>
          <w:b w:val="1"/>
          <w:bCs w:val="1"/>
          <w:outline w:val="0"/>
          <w:color w:val="212121"/>
          <w:sz w:val="28"/>
          <w:szCs w:val="28"/>
          <w:shd w:val="clear" w:color="auto" w:fill="ffffff"/>
          <w:rtl w:val="0"/>
          <w:lang w:val="en-US"/>
          <w14:textFill>
            <w14:solidFill>
              <w14:srgbClr w14:val="222222"/>
            </w14:solidFill>
          </w14:textFill>
        </w:rPr>
        <w:t xml:space="preserve">  </w:t>
      </w:r>
      <w:r>
        <w:rPr>
          <w:rFonts w:ascii="Arial" w:hAnsi="Arial"/>
          <w:b w:val="1"/>
          <w:bCs w:val="1"/>
          <w:outline w:val="0"/>
          <w:color w:val="212121"/>
          <w:sz w:val="28"/>
          <w:szCs w:val="28"/>
          <w:shd w:val="clear" w:color="auto" w:fill="ffffff"/>
          <w:rtl w:val="0"/>
          <w:lang w:val="en-US"/>
          <w14:textFill>
            <w14:solidFill>
              <w14:srgbClr w14:val="222222"/>
            </w14:solidFill>
          </w14:textFill>
        </w:rPr>
        <w:t xml:space="preserve">Individual Report: Contemporary Human Resource Challenges at </w:t>
      </w:r>
      <w:r>
        <w:rPr>
          <w:rFonts w:ascii="Arial" w:hAnsi="Arial"/>
          <w:b w:val="1"/>
          <w:bCs w:val="1"/>
          <w:outline w:val="0"/>
          <w:color w:val="212121"/>
          <w:sz w:val="28"/>
          <w:szCs w:val="28"/>
          <w:shd w:val="clear" w:color="auto" w:fill="ffffff"/>
          <w:rtl w:val="0"/>
          <w:lang w:val="en-US"/>
          <w14:textFill>
            <w14:solidFill>
              <w14:srgbClr w14:val="222222"/>
            </w14:solidFill>
          </w14:textFill>
        </w:rPr>
        <w:t xml:space="preserve">      </w:t>
      </w:r>
      <w:r>
        <w:rPr>
          <w:rFonts w:ascii="Arial" w:hAnsi="Arial"/>
          <w:b w:val="1"/>
          <w:bCs w:val="1"/>
          <w:outline w:val="0"/>
          <w:color w:val="212121"/>
          <w:sz w:val="28"/>
          <w:szCs w:val="28"/>
          <w:shd w:val="clear" w:color="auto" w:fill="ffffff"/>
          <w:rtl w:val="0"/>
          <w:lang w:val="it-IT"/>
          <w14:textFill>
            <w14:solidFill>
              <w14:srgbClr w14:val="222222"/>
            </w14:solidFill>
          </w14:textFill>
        </w:rPr>
        <w:t>Marks &amp; Spencer</w:t>
      </w:r>
    </w:p>
    <w:p>
      <w:pPr>
        <w:pStyle w:val="Основний текст"/>
      </w:pPr>
    </w:p>
    <w:p>
      <w:pPr>
        <w:pStyle w:val="Основний текст"/>
      </w:pPr>
    </w:p>
    <w:p>
      <w:pPr>
        <w:pStyle w:val="Основний текст"/>
      </w:pPr>
    </w:p>
    <w:p>
      <w:pPr>
        <w:pStyle w:val="Основний текст"/>
      </w:pPr>
    </w:p>
    <w:p>
      <w:pPr>
        <w:pStyle w:val="Основний текст"/>
      </w:pPr>
    </w:p>
    <w:p>
      <w:pPr>
        <w:pStyle w:val="Основний текст"/>
      </w:pPr>
    </w:p>
    <w:p>
      <w:pPr>
        <w:pStyle w:val="Основний текст"/>
        <w:rPr>
          <w:sz w:val="40"/>
          <w:szCs w:val="40"/>
        </w:rPr>
      </w:pPr>
    </w:p>
    <w:p>
      <w:pPr>
        <w:pStyle w:val="Основний текст"/>
        <w:rPr>
          <w:sz w:val="40"/>
          <w:szCs w:val="40"/>
        </w:rPr>
      </w:pPr>
    </w:p>
    <w:p>
      <w:pPr>
        <w:pStyle w:val="Основний текст"/>
        <w:rPr>
          <w:sz w:val="40"/>
          <w:szCs w:val="40"/>
        </w:rPr>
      </w:pPr>
    </w:p>
    <w:p>
      <w:pPr>
        <w:pStyle w:val="Основний текст"/>
        <w:rPr>
          <w:sz w:val="40"/>
          <w:szCs w:val="40"/>
        </w:rPr>
      </w:pP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jc w:val="left"/>
        <w:rPr>
          <w:rFonts w:ascii="Arial" w:cs="Arial" w:hAnsi="Arial" w:eastAsia="Arial"/>
          <w:sz w:val="22"/>
          <w:szCs w:val="22"/>
        </w:rPr>
      </w:pPr>
      <w:r>
        <w:rPr>
          <w:rFonts w:ascii="Arial" w:hAnsi="Arial"/>
          <w:b w:val="1"/>
          <w:bCs w:val="1"/>
          <w:sz w:val="22"/>
          <w:szCs w:val="22"/>
          <w:rtl w:val="0"/>
          <w:lang w:val="nl-NL"/>
        </w:rPr>
        <w:t xml:space="preserve">Student name: </w:t>
      </w:r>
      <w:r>
        <w:rPr>
          <w:rFonts w:ascii="Arial" w:hAnsi="Arial"/>
          <w:sz w:val="22"/>
          <w:szCs w:val="22"/>
          <w:rtl w:val="0"/>
        </w:rPr>
        <w:t>Andriana Chemodurova</w:t>
      </w: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jc w:val="left"/>
        <w:rPr>
          <w:rFonts w:ascii="Arial" w:cs="Arial" w:hAnsi="Arial" w:eastAsia="Arial"/>
          <w:sz w:val="22"/>
          <w:szCs w:val="22"/>
        </w:rPr>
      </w:pPr>
      <w:r>
        <w:rPr>
          <w:rFonts w:ascii="Arial" w:hAnsi="Arial"/>
          <w:sz w:val="22"/>
          <w:szCs w:val="22"/>
          <w:rtl w:val="0"/>
        </w:rPr>
        <w:t>S</w:t>
      </w:r>
      <w:r>
        <w:rPr>
          <w:rFonts w:ascii="Arial" w:hAnsi="Arial"/>
          <w:b w:val="1"/>
          <w:bCs w:val="1"/>
          <w:sz w:val="22"/>
          <w:szCs w:val="22"/>
          <w:rtl w:val="0"/>
          <w:lang w:val="en-US"/>
        </w:rPr>
        <w:t>tudent ID</w:t>
      </w:r>
      <w:r>
        <w:rPr>
          <w:rFonts w:ascii="Arial" w:hAnsi="Arial"/>
          <w:sz w:val="22"/>
          <w:szCs w:val="22"/>
          <w:rtl w:val="0"/>
        </w:rPr>
        <w:t>: 2441784</w:t>
      </w: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jc w:val="left"/>
        <w:rPr>
          <w:rFonts w:ascii="Arial" w:cs="Arial" w:hAnsi="Arial" w:eastAsia="Arial"/>
          <w:b w:val="1"/>
          <w:bCs w:val="1"/>
        </w:rPr>
      </w:pPr>
      <w:r>
        <w:rPr>
          <w:rFonts w:ascii="Arial" w:hAnsi="Arial"/>
          <w:b w:val="1"/>
          <w:bCs w:val="1"/>
          <w:rtl w:val="0"/>
          <w:lang w:val="fr-FR"/>
        </w:rPr>
        <w:t xml:space="preserve">Lecturer: </w:t>
      </w:r>
      <w:r>
        <w:rPr>
          <w:rFonts w:ascii="Arial" w:hAnsi="Arial"/>
          <w:b w:val="0"/>
          <w:bCs w:val="0"/>
          <w:rtl w:val="0"/>
          <w:lang w:val="da-DK"/>
        </w:rPr>
        <w:t>Amer Kareem</w:t>
      </w:r>
    </w:p>
    <w:p>
      <w:pPr>
        <w:pStyle w:val="Основний текст"/>
        <w:rPr>
          <w:sz w:val="40"/>
          <w:szCs w:val="40"/>
        </w:rPr>
      </w:pPr>
    </w:p>
    <w:p>
      <w:pPr>
        <w:pStyle w:val="Основний текст"/>
        <w:rPr>
          <w:sz w:val="40"/>
          <w:szCs w:val="40"/>
        </w:rPr>
      </w:pPr>
    </w:p>
    <w:p>
      <w:pPr>
        <w:pStyle w:val="Основний текст"/>
        <w:rPr>
          <w:sz w:val="40"/>
          <w:szCs w:val="40"/>
        </w:rPr>
      </w:pPr>
    </w:p>
    <w:p>
      <w:pPr>
        <w:pStyle w:val="Основний текст"/>
        <w:rPr>
          <w:sz w:val="40"/>
          <w:szCs w:val="40"/>
        </w:rPr>
      </w:pPr>
    </w:p>
    <w:p>
      <w:pPr>
        <w:pStyle w:val="Основний текст"/>
        <w:rPr>
          <w:b w:val="1"/>
          <w:bCs w:val="1"/>
          <w:sz w:val="24"/>
          <w:szCs w:val="24"/>
        </w:rPr>
      </w:pPr>
    </w:p>
    <w:p>
      <w:pPr>
        <w:pStyle w:val="Типовий"/>
        <w:suppressAutoHyphens w:val="1"/>
        <w:spacing w:before="0" w:after="696"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Table of Contents</w:t>
      </w:r>
    </w:p>
    <w:p>
      <w:pPr>
        <w:pStyle w:val="Типовий"/>
        <w:numPr>
          <w:ilvl w:val="0"/>
          <w:numId w:val="2"/>
        </w:numPr>
        <w:suppressAutoHyphens w:val="1"/>
        <w:spacing w:before="0" w:line="240" w:lineRule="auto"/>
        <w:jc w:val="left"/>
        <w:rPr>
          <w:rFonts w:ascii="Arial" w:hAnsi="Arial"/>
          <w:outline w:val="0"/>
          <w:color w:val="212121"/>
          <w:sz w:val="30"/>
          <w:szCs w:val="30"/>
          <w:shd w:val="clear" w:color="auto" w:fill="ffffff"/>
          <w:lang w:val="fr-FR"/>
          <w14:textFill>
            <w14:solidFill>
              <w14:srgbClr w14:val="222222"/>
            </w14:solidFill>
          </w14:textFill>
        </w:rPr>
      </w:pPr>
      <w:r>
        <w:rPr>
          <w:rFonts w:ascii="Arial" w:hAnsi="Arial"/>
          <w:outline w:val="0"/>
          <w:color w:val="212121"/>
          <w:sz w:val="30"/>
          <w:szCs w:val="30"/>
          <w:shd w:val="clear" w:color="auto" w:fill="ffffff"/>
          <w:rtl w:val="0"/>
          <w:lang w:val="fr-FR"/>
          <w14:textFill>
            <w14:solidFill>
              <w14:srgbClr w14:val="222222"/>
            </w14:solidFill>
          </w14:textFill>
        </w:rPr>
        <w:t xml:space="preserve">Introduction </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w:t>
      </w:r>
      <w:r>
        <w:rPr>
          <w:rFonts w:ascii="Arial" w:hAnsi="Arial"/>
          <w:outline w:val="0"/>
          <w:color w:val="212121"/>
          <w:sz w:val="30"/>
          <w:szCs w:val="30"/>
          <w:shd w:val="clear" w:color="auto" w:fill="ffffff"/>
          <w:rtl w:val="0"/>
          <w14:textFill>
            <w14:solidFill>
              <w14:srgbClr w14:val="222222"/>
            </w14:solidFill>
          </w14:textFill>
        </w:rPr>
        <w:t>1</w:t>
      </w:r>
    </w:p>
    <w:p>
      <w:pPr>
        <w:pStyle w:val="Типовий"/>
        <w:numPr>
          <w:ilvl w:val="0"/>
          <w:numId w:val="2"/>
        </w:numPr>
        <w:suppressAutoHyphens w:val="1"/>
        <w:spacing w:before="0" w:line="240" w:lineRule="auto"/>
        <w:jc w:val="left"/>
        <w:rPr>
          <w:rFonts w:ascii="Arial" w:hAnsi="Arial"/>
          <w:outline w:val="0"/>
          <w:color w:val="212121"/>
          <w:sz w:val="30"/>
          <w:szCs w:val="30"/>
          <w:shd w:val="clear" w:color="auto" w:fill="ffffff"/>
          <w:lang w:val="en-US"/>
          <w14:textFill>
            <w14:solidFill>
              <w14:srgbClr w14:val="222222"/>
            </w14:solidFill>
          </w14:textFill>
        </w:rPr>
      </w:pPr>
      <w:r>
        <w:rPr>
          <w:rFonts w:ascii="Arial" w:hAnsi="Arial"/>
          <w:outline w:val="0"/>
          <w:color w:val="212121"/>
          <w:sz w:val="30"/>
          <w:szCs w:val="30"/>
          <w:shd w:val="clear" w:color="auto" w:fill="ffffff"/>
          <w:rtl w:val="0"/>
          <w:lang w:val="en-US"/>
          <w14:textFill>
            <w14:solidFill>
              <w14:srgbClr w14:val="222222"/>
            </w14:solidFill>
          </w14:textFill>
        </w:rPr>
        <w:t xml:space="preserve">Explanation of Key Factors </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..3</w:t>
      </w:r>
      <w:r>
        <w:rPr>
          <w:rFonts w:ascii="Arial" w:cs="Arial" w:hAnsi="Arial" w:eastAsia="Arial"/>
          <w:outline w:val="0"/>
          <w:color w:val="212121"/>
          <w:sz w:val="30"/>
          <w:szCs w:val="30"/>
          <w:shd w:val="clear" w:color="auto" w:fill="ffffff"/>
          <w14:textFill>
            <w14:solidFill>
              <w14:srgbClr w14:val="222222"/>
            </w14:solidFill>
          </w14:textFill>
        </w:rPr>
        <w:br w:type="textWrapping"/>
      </w:r>
      <w:r>
        <w:rPr>
          <w:rFonts w:ascii="Arial" w:hAnsi="Arial"/>
          <w:outline w:val="0"/>
          <w:color w:val="212121"/>
          <w:sz w:val="30"/>
          <w:szCs w:val="30"/>
          <w:shd w:val="clear" w:color="auto" w:fill="ffffff"/>
          <w:rtl w:val="0"/>
          <w:lang w:val="en-US"/>
          <w14:textFill>
            <w14:solidFill>
              <w14:srgbClr w14:val="222222"/>
            </w14:solidFill>
          </w14:textFill>
        </w:rPr>
        <w:t xml:space="preserve">2.1 Technological Advancements </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hint="default"/>
          <w:outline w:val="0"/>
          <w:color w:val="212121"/>
          <w:sz w:val="30"/>
          <w:szCs w:val="30"/>
          <w:shd w:val="clear" w:color="auto" w:fill="ffffff"/>
          <w:rtl w:val="0"/>
          <w:lang w:val="en-US"/>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3</w:t>
      </w:r>
      <w:r>
        <w:rPr>
          <w:rFonts w:ascii="Arial" w:cs="Arial" w:hAnsi="Arial" w:eastAsia="Arial"/>
          <w:outline w:val="0"/>
          <w:color w:val="212121"/>
          <w:sz w:val="30"/>
          <w:szCs w:val="30"/>
          <w:shd w:val="clear" w:color="auto" w:fill="ffffff"/>
          <w14:textFill>
            <w14:solidFill>
              <w14:srgbClr w14:val="222222"/>
            </w14:solidFill>
          </w14:textFill>
        </w:rPr>
        <w:br w:type="textWrapping"/>
      </w:r>
      <w:r>
        <w:rPr>
          <w:rFonts w:ascii="Arial" w:hAnsi="Arial"/>
          <w:outline w:val="0"/>
          <w:color w:val="212121"/>
          <w:sz w:val="30"/>
          <w:szCs w:val="30"/>
          <w:shd w:val="clear" w:color="auto" w:fill="ffffff"/>
          <w:rtl w:val="0"/>
          <w:lang w:val="en-US"/>
          <w14:textFill>
            <w14:solidFill>
              <w14:srgbClr w14:val="222222"/>
            </w14:solidFill>
          </w14:textFill>
        </w:rPr>
        <w:t xml:space="preserve">2.2 Talent Acquisition and Retention </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w:t>
      </w:r>
      <w:r>
        <w:rPr>
          <w:rFonts w:ascii="Arial" w:hAnsi="Arial"/>
          <w:outline w:val="0"/>
          <w:color w:val="212121"/>
          <w:sz w:val="30"/>
          <w:szCs w:val="30"/>
          <w:shd w:val="clear" w:color="auto" w:fill="ffffff"/>
          <w:rtl w:val="0"/>
          <w14:textFill>
            <w14:solidFill>
              <w14:srgbClr w14:val="222222"/>
            </w14:solidFill>
          </w14:textFill>
        </w:rPr>
        <w:t>4</w:t>
      </w:r>
      <w:r>
        <w:rPr>
          <w:rFonts w:ascii="Arial" w:cs="Arial" w:hAnsi="Arial" w:eastAsia="Arial"/>
          <w:outline w:val="0"/>
          <w:color w:val="212121"/>
          <w:sz w:val="30"/>
          <w:szCs w:val="30"/>
          <w:shd w:val="clear" w:color="auto" w:fill="ffffff"/>
          <w14:textFill>
            <w14:solidFill>
              <w14:srgbClr w14:val="222222"/>
            </w14:solidFill>
          </w14:textFill>
        </w:rPr>
        <w:br w:type="textWrapping"/>
      </w:r>
      <w:r>
        <w:rPr>
          <w:rFonts w:ascii="Arial" w:hAnsi="Arial"/>
          <w:outline w:val="0"/>
          <w:color w:val="212121"/>
          <w:sz w:val="30"/>
          <w:szCs w:val="30"/>
          <w:shd w:val="clear" w:color="auto" w:fill="ffffff"/>
          <w:rtl w:val="0"/>
          <w:lang w:val="en-US"/>
          <w14:textFill>
            <w14:solidFill>
              <w14:srgbClr w14:val="222222"/>
            </w14:solidFill>
          </w14:textFill>
        </w:rPr>
        <w:t xml:space="preserve">2.3 Diversity, Equity and Inclusion (DEI) </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.5</w:t>
      </w:r>
    </w:p>
    <w:p>
      <w:pPr>
        <w:pStyle w:val="Типовий"/>
        <w:numPr>
          <w:ilvl w:val="0"/>
          <w:numId w:val="2"/>
        </w:numPr>
        <w:suppressAutoHyphens w:val="1"/>
        <w:spacing w:before="0" w:line="240" w:lineRule="auto"/>
        <w:jc w:val="left"/>
        <w:rPr>
          <w:rFonts w:ascii="Arial" w:hAnsi="Arial"/>
          <w:outline w:val="0"/>
          <w:color w:val="212121"/>
          <w:sz w:val="30"/>
          <w:szCs w:val="30"/>
          <w:shd w:val="clear" w:color="auto" w:fill="ffffff"/>
          <w:lang w:val="en-US"/>
          <w14:textFill>
            <w14:solidFill>
              <w14:srgbClr w14:val="222222"/>
            </w14:solidFill>
          </w14:textFill>
        </w:rPr>
      </w:pPr>
      <w:r>
        <w:rPr>
          <w:rFonts w:ascii="Arial" w:hAnsi="Arial"/>
          <w:outline w:val="0"/>
          <w:color w:val="212121"/>
          <w:sz w:val="30"/>
          <w:szCs w:val="30"/>
          <w:shd w:val="clear" w:color="auto" w:fill="ffffff"/>
          <w:rtl w:val="0"/>
          <w:lang w:val="en-US"/>
          <w14:textFill>
            <w14:solidFill>
              <w14:srgbClr w14:val="222222"/>
            </w14:solidFill>
          </w14:textFill>
        </w:rPr>
        <w:t>Evaluation of Contemporary HR Practices</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14:textFill>
            <w14:solidFill>
              <w14:srgbClr w14:val="222222"/>
            </w14:solidFill>
          </w14:textFill>
        </w:rPr>
        <w:t xml:space="preserve">. </w:t>
      </w:r>
      <w:r>
        <w:rPr>
          <w:rFonts w:ascii="Arial" w:hAnsi="Arial"/>
          <w:outline w:val="0"/>
          <w:color w:val="212121"/>
          <w:sz w:val="30"/>
          <w:szCs w:val="30"/>
          <w:shd w:val="clear" w:color="auto" w:fill="ffffff"/>
          <w:rtl w:val="0"/>
          <w:lang w:val="en-US"/>
          <w14:textFill>
            <w14:solidFill>
              <w14:srgbClr w14:val="222222"/>
            </w14:solidFill>
          </w14:textFill>
        </w:rPr>
        <w:t>6</w:t>
      </w:r>
    </w:p>
    <w:p>
      <w:pPr>
        <w:pStyle w:val="Типовий"/>
        <w:numPr>
          <w:ilvl w:val="0"/>
          <w:numId w:val="2"/>
        </w:numPr>
        <w:suppressAutoHyphens w:val="1"/>
        <w:spacing w:before="0" w:line="240" w:lineRule="auto"/>
        <w:jc w:val="left"/>
        <w:rPr>
          <w:rFonts w:ascii="Arial" w:hAnsi="Arial"/>
          <w:outline w:val="0"/>
          <w:color w:val="212121"/>
          <w:sz w:val="30"/>
          <w:szCs w:val="30"/>
          <w:shd w:val="clear" w:color="auto" w:fill="ffffff"/>
          <w:lang w:val="en-US"/>
          <w14:textFill>
            <w14:solidFill>
              <w14:srgbClr w14:val="222222"/>
            </w14:solidFill>
          </w14:textFill>
        </w:rPr>
      </w:pPr>
      <w:r>
        <w:rPr>
          <w:rFonts w:ascii="Arial" w:hAnsi="Arial"/>
          <w:outline w:val="0"/>
          <w:color w:val="212121"/>
          <w:sz w:val="30"/>
          <w:szCs w:val="30"/>
          <w:shd w:val="clear" w:color="auto" w:fill="ffffff"/>
          <w:rtl w:val="0"/>
          <w:lang w:val="en-US"/>
          <w14:textFill>
            <w14:solidFill>
              <w14:srgbClr w14:val="222222"/>
            </w14:solidFill>
          </w14:textFill>
        </w:rPr>
        <w:t>Critical Evaluation of Managerial Implementation</w:t>
      </w:r>
      <w:r>
        <w:rPr>
          <w:rFonts w:ascii="Arial" w:hAnsi="Arial"/>
          <w:outline w:val="0"/>
          <w:color w:val="212121"/>
          <w:sz w:val="30"/>
          <w:szCs w:val="30"/>
          <w:shd w:val="clear" w:color="auto" w:fill="ffffff"/>
          <w:rtl w:val="0"/>
          <w:lang w:val="en-US"/>
          <w14:textFill>
            <w14:solidFill>
              <w14:srgbClr w14:val="222222"/>
            </w14:solidFill>
          </w14:textFill>
        </w:rPr>
        <w:t xml:space="preserve">  ..</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hint="default"/>
          <w:outline w:val="0"/>
          <w:color w:val="212121"/>
          <w:sz w:val="30"/>
          <w:szCs w:val="30"/>
          <w:shd w:val="clear" w:color="auto" w:fill="ffffff"/>
          <w:rtl w:val="0"/>
          <w:lang w:val="en-US"/>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7</w:t>
      </w:r>
    </w:p>
    <w:p>
      <w:pPr>
        <w:pStyle w:val="Типовий"/>
        <w:numPr>
          <w:ilvl w:val="0"/>
          <w:numId w:val="2"/>
        </w:numPr>
        <w:suppressAutoHyphens w:val="1"/>
        <w:spacing w:before="0" w:line="240" w:lineRule="auto"/>
        <w:jc w:val="left"/>
        <w:rPr>
          <w:rFonts w:ascii="Arial" w:hAnsi="Arial"/>
          <w:outline w:val="0"/>
          <w:color w:val="212121"/>
          <w:sz w:val="30"/>
          <w:szCs w:val="30"/>
          <w:shd w:val="clear" w:color="auto" w:fill="ffffff"/>
          <w:lang w:val="it-IT"/>
          <w14:textFill>
            <w14:solidFill>
              <w14:srgbClr w14:val="222222"/>
            </w14:solidFill>
          </w14:textFill>
        </w:rPr>
      </w:pPr>
      <w:r>
        <w:rPr>
          <w:rFonts w:ascii="Arial" w:hAnsi="Arial"/>
          <w:outline w:val="0"/>
          <w:color w:val="212121"/>
          <w:sz w:val="30"/>
          <w:szCs w:val="30"/>
          <w:shd w:val="clear" w:color="auto" w:fill="ffffff"/>
          <w:rtl w:val="0"/>
          <w:lang w:val="it-IT"/>
          <w14:textFill>
            <w14:solidFill>
              <w14:srgbClr w14:val="222222"/>
            </w14:solidFill>
          </w14:textFill>
        </w:rPr>
        <w:t>Conclusio</w:t>
      </w:r>
      <w:r>
        <w:rPr>
          <w:rFonts w:ascii="Arial" w:hAnsi="Arial"/>
          <w:outline w:val="0"/>
          <w:color w:val="212121"/>
          <w:sz w:val="30"/>
          <w:szCs w:val="30"/>
          <w:shd w:val="clear" w:color="auto" w:fill="ffffff"/>
          <w:rtl w:val="0"/>
          <w:lang w:val="en-US"/>
          <w14:textFill>
            <w14:solidFill>
              <w14:srgbClr w14:val="222222"/>
            </w14:solidFill>
          </w14:textFill>
        </w:rPr>
        <w:t>n</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hint="default"/>
          <w:outline w:val="0"/>
          <w:color w:val="212121"/>
          <w:sz w:val="30"/>
          <w:szCs w:val="30"/>
          <w:shd w:val="clear" w:color="auto" w:fill="ffffff"/>
          <w:rtl w:val="0"/>
          <w:lang w:val="en-US"/>
          <w14:textFill>
            <w14:solidFill>
              <w14:srgbClr w14:val="222222"/>
            </w14:solidFill>
          </w14:textFill>
        </w:rPr>
        <w:t>……</w:t>
      </w:r>
      <w:r>
        <w:rPr>
          <w:rFonts w:ascii="Arial" w:hAnsi="Arial"/>
          <w:outline w:val="0"/>
          <w:color w:val="212121"/>
          <w:sz w:val="30"/>
          <w:szCs w:val="30"/>
          <w:shd w:val="clear" w:color="auto" w:fill="ffffff"/>
          <w:rtl w:val="0"/>
          <w:lang w:val="en-US"/>
          <w14:textFill>
            <w14:solidFill>
              <w14:srgbClr w14:val="222222"/>
            </w14:solidFill>
          </w14:textFill>
        </w:rPr>
        <w:t>9</w:t>
      </w:r>
    </w:p>
    <w:p>
      <w:pPr>
        <w:pStyle w:val="Типовий"/>
        <w:numPr>
          <w:ilvl w:val="0"/>
          <w:numId w:val="2"/>
        </w:numPr>
        <w:suppressAutoHyphens w:val="1"/>
        <w:spacing w:before="0" w:line="240" w:lineRule="auto"/>
        <w:jc w:val="left"/>
        <w:rPr>
          <w:rFonts w:ascii="Arial" w:hAnsi="Arial"/>
          <w:outline w:val="0"/>
          <w:color w:val="212121"/>
          <w:sz w:val="30"/>
          <w:szCs w:val="30"/>
          <w:shd w:val="clear" w:color="auto" w:fill="ffffff"/>
          <w:lang w:val="en-US"/>
          <w14:textFill>
            <w14:solidFill>
              <w14:srgbClr w14:val="222222"/>
            </w14:solidFill>
          </w14:textFill>
        </w:rPr>
      </w:pPr>
      <w:r>
        <w:rPr>
          <w:rFonts w:ascii="Arial" w:hAnsi="Arial"/>
          <w:outline w:val="0"/>
          <w:color w:val="212121"/>
          <w:sz w:val="30"/>
          <w:szCs w:val="30"/>
          <w:shd w:val="clear" w:color="auto" w:fill="ffffff"/>
          <w:rtl w:val="0"/>
          <w:lang w:val="en-US"/>
          <w14:textFill>
            <w14:solidFill>
              <w14:srgbClr w14:val="222222"/>
            </w14:solidFill>
          </w14:textFill>
        </w:rPr>
        <w:t xml:space="preserve">Recommendations </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hint="default"/>
          <w:outline w:val="0"/>
          <w:color w:val="212121"/>
          <w:sz w:val="30"/>
          <w:szCs w:val="30"/>
          <w:shd w:val="clear" w:color="auto" w:fill="ffffff"/>
          <w:rtl w:val="0"/>
          <w:lang w:val="en-US"/>
          <w14:textFill>
            <w14:solidFill>
              <w14:srgbClr w14:val="222222"/>
            </w14:solidFill>
          </w14:textFill>
        </w:rPr>
        <w:t>…</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14:textFill>
            <w14:solidFill>
              <w14:srgbClr w14:val="222222"/>
            </w14:solidFill>
          </w14:textFill>
        </w:rPr>
        <w:t>.. 1</w:t>
      </w:r>
      <w:r>
        <w:rPr>
          <w:rFonts w:ascii="Arial" w:hAnsi="Arial"/>
          <w:outline w:val="0"/>
          <w:color w:val="212121"/>
          <w:sz w:val="30"/>
          <w:szCs w:val="30"/>
          <w:shd w:val="clear" w:color="auto" w:fill="ffffff"/>
          <w:rtl w:val="0"/>
          <w:lang w:val="en-US"/>
          <w14:textFill>
            <w14:solidFill>
              <w14:srgbClr w14:val="222222"/>
            </w14:solidFill>
          </w14:textFill>
        </w:rPr>
        <w:t>0</w:t>
      </w:r>
    </w:p>
    <w:p>
      <w:pPr>
        <w:pStyle w:val="Типовий"/>
        <w:numPr>
          <w:ilvl w:val="0"/>
          <w:numId w:val="2"/>
        </w:numPr>
        <w:suppressAutoHyphens w:val="1"/>
        <w:spacing w:before="0" w:line="240" w:lineRule="auto"/>
        <w:jc w:val="left"/>
        <w:rPr>
          <w:rFonts w:ascii="Arial" w:hAnsi="Arial"/>
          <w:outline w:val="0"/>
          <w:color w:val="212121"/>
          <w:sz w:val="30"/>
          <w:szCs w:val="30"/>
          <w:shd w:val="clear" w:color="auto" w:fill="ffffff"/>
          <w:lang w:val="da-DK"/>
          <w14:textFill>
            <w14:solidFill>
              <w14:srgbClr w14:val="222222"/>
            </w14:solidFill>
          </w14:textFill>
        </w:rPr>
      </w:pPr>
      <w:r>
        <w:rPr>
          <w:rFonts w:ascii="Arial" w:hAnsi="Arial"/>
          <w:outline w:val="0"/>
          <w:color w:val="212121"/>
          <w:sz w:val="30"/>
          <w:szCs w:val="30"/>
          <w:shd w:val="clear" w:color="auto" w:fill="ffffff"/>
          <w:rtl w:val="0"/>
          <w:lang w:val="da-DK"/>
          <w14:textFill>
            <w14:solidFill>
              <w14:srgbClr w14:val="222222"/>
            </w14:solidFill>
          </w14:textFill>
        </w:rPr>
        <w:t xml:space="preserve">Reference List </w:t>
      </w:r>
      <w:r>
        <w:rPr>
          <w:rFonts w:ascii="Arial" w:hAnsi="Arial" w:hint="default"/>
          <w:outline w:val="0"/>
          <w:color w:val="212121"/>
          <w:sz w:val="30"/>
          <w:szCs w:val="30"/>
          <w:shd w:val="clear" w:color="auto" w:fill="ffffff"/>
          <w:rtl w:val="0"/>
          <w14:textFill>
            <w14:solidFill>
              <w14:srgbClr w14:val="222222"/>
            </w14:solidFill>
          </w14:textFill>
        </w:rPr>
        <w:t>…………………………………………………</w:t>
      </w:r>
      <w:r>
        <w:rPr>
          <w:rFonts w:ascii="Arial" w:hAnsi="Arial"/>
          <w:outline w:val="0"/>
          <w:color w:val="212121"/>
          <w:sz w:val="30"/>
          <w:szCs w:val="30"/>
          <w:shd w:val="clear" w:color="auto" w:fill="ffffff"/>
          <w:rtl w:val="0"/>
          <w14:textFill>
            <w14:solidFill>
              <w14:srgbClr w14:val="222222"/>
            </w14:solidFill>
          </w14:textFill>
        </w:rPr>
        <w:t>1</w:t>
      </w:r>
      <w:r>
        <w:rPr>
          <w:rFonts w:ascii="Arial" w:hAnsi="Arial"/>
          <w:outline w:val="0"/>
          <w:color w:val="212121"/>
          <w:sz w:val="30"/>
          <w:szCs w:val="30"/>
          <w:shd w:val="clear" w:color="auto" w:fill="ffffff"/>
          <w:rtl w:val="0"/>
          <w:lang w:val="en-US"/>
          <w14:textFill>
            <w14:solidFill>
              <w14:srgbClr w14:val="222222"/>
            </w14:solidFill>
          </w14:textFill>
        </w:rPr>
        <w:t>1</w:t>
      </w:r>
    </w:p>
    <w:p>
      <w:pPr>
        <w:pStyle w:val="Типовий"/>
        <w:suppressAutoHyphens w:val="1"/>
        <w:spacing w:before="0" w:after="348" w:line="240" w:lineRule="auto"/>
        <w:jc w:val="left"/>
        <w:rPr>
          <w:rFonts w:ascii="Arial" w:cs="Arial" w:hAnsi="Arial" w:eastAsia="Arial"/>
          <w:outline w:val="0"/>
          <w:color w:val="212121"/>
          <w14:textFill>
            <w14:solidFill>
              <w14:srgbClr w14:val="222222"/>
            </w14:solidFill>
          </w14:textFill>
        </w:rPr>
      </w:pPr>
    </w:p>
    <w:p>
      <w:pPr>
        <w:pStyle w:val="Типовий"/>
        <w:suppressAutoHyphens w:val="1"/>
        <w:spacing w:before="0" w:after="348" w:line="240" w:lineRule="auto"/>
        <w:jc w:val="left"/>
        <w:rPr>
          <w:rFonts w:ascii="Arial" w:cs="Arial" w:hAnsi="Arial" w:eastAsia="Arial"/>
          <w:outline w:val="0"/>
          <w:color w:val="212121"/>
          <w14:textFill>
            <w14:solidFill>
              <w14:srgbClr w14:val="222222"/>
            </w14:solidFill>
          </w14:textFill>
        </w:rPr>
      </w:pPr>
    </w:p>
    <w:p>
      <w:pPr>
        <w:pStyle w:val="Типовий"/>
        <w:suppressAutoHyphens w:val="1"/>
        <w:spacing w:before="0" w:after="348" w:line="240" w:lineRule="auto"/>
        <w:jc w:val="left"/>
        <w:rPr>
          <w:rFonts w:ascii="Arial" w:cs="Arial" w:hAnsi="Arial" w:eastAsia="Arial"/>
          <w:outline w:val="0"/>
          <w:color w:val="212121"/>
          <w14:textFill>
            <w14:solidFill>
              <w14:srgbClr w14:val="222222"/>
            </w14:solidFill>
          </w14:textFill>
        </w:rPr>
      </w:pPr>
    </w:p>
    <w:p>
      <w:pPr>
        <w:pStyle w:val="Типовий"/>
        <w:suppressAutoHyphens w:val="1"/>
        <w:spacing w:before="0" w:after="348"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after="348"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 xml:space="preserve"> </w:t>
      </w:r>
      <w:r>
        <w:rPr>
          <w:rFonts w:ascii="Arial" w:hAnsi="Arial"/>
          <w:b w:val="1"/>
          <w:bCs w:val="1"/>
          <w:outline w:val="0"/>
          <w:color w:val="212121"/>
          <w:shd w:val="clear" w:color="auto" w:fill="ffffff"/>
          <w:rtl w:val="0"/>
          <w:lang w:val="en-US"/>
          <w14:textFill>
            <w14:solidFill>
              <w14:srgbClr w14:val="222222"/>
            </w14:solidFill>
          </w14:textFill>
        </w:rPr>
        <w:t>Developing and Managing Individuals and Teams</w:t>
      </w:r>
    </w:p>
    <w:p>
      <w:pPr>
        <w:pStyle w:val="Типовий"/>
        <w:suppressAutoHyphens w:val="1"/>
        <w:spacing w:before="0" w:after="323"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 xml:space="preserve"> </w:t>
      </w:r>
      <w:r>
        <w:rPr>
          <w:rFonts w:ascii="Arial" w:hAnsi="Arial"/>
          <w:b w:val="1"/>
          <w:bCs w:val="1"/>
          <w:outline w:val="0"/>
          <w:color w:val="212121"/>
          <w:shd w:val="clear" w:color="auto" w:fill="ffffff"/>
          <w:rtl w:val="0"/>
          <w:lang w:val="en-US"/>
          <w14:textFill>
            <w14:solidFill>
              <w14:srgbClr w14:val="222222"/>
            </w14:solidFill>
          </w14:textFill>
        </w:rPr>
        <w:t>Individual Report: Contemporary Human Resource Challenges at Marks &amp; Spencer</w:t>
      </w:r>
    </w:p>
    <w:p>
      <w:pPr>
        <w:pStyle w:val="Типовий"/>
        <w:suppressAutoHyphens w:val="1"/>
        <w:spacing w:before="0" w:after="323"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 xml:space="preserve"> </w:t>
      </w:r>
      <w:r>
        <w:rPr>
          <w:rFonts w:ascii="Arial" w:hAnsi="Arial"/>
          <w:b w:val="1"/>
          <w:bCs w:val="1"/>
          <w:outline w:val="0"/>
          <w:color w:val="212121"/>
          <w:shd w:val="clear" w:color="auto" w:fill="ffffff"/>
          <w:rtl w:val="0"/>
          <w:lang w:val="fr-FR"/>
          <w14:textFill>
            <w14:solidFill>
              <w14:srgbClr w14:val="222222"/>
            </w14:solidFill>
          </w14:textFill>
        </w:rPr>
        <w:t>Introduction</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Human Resource Management (HRM) has become one of the most important functions within modern organisations because businesses operate in an environment characterised by technological innovation, changing workforce expectations and increasing competition. Organisations are expected not only to recruit skilled employees but also to develop their capabilities, retain talented individuals and create an inclusive workplace that supports both employee wellbeing and business performance. Effective HRM contributes to organisational success by improving productivity, employee engagement and long-term sustainability (Armstrong and Taylor, 2023).</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Marks &amp; Spencer (M&amp;S) is one of the UK</w:t>
      </w:r>
      <w:r>
        <w:rPr>
          <w:rFonts w:ascii="Arial" w:hAnsi="Arial" w:hint="default"/>
          <w:outline w:val="0"/>
          <w:color w:val="212121"/>
          <w:shd w:val="clear" w:color="auto" w:fill="ffffff"/>
          <w:rtl w:val="1"/>
          <w14:textFill>
            <w14:solidFill>
              <w14:srgbClr w14:val="222222"/>
            </w14:solidFill>
          </w14:textFill>
        </w:rPr>
        <w:t>’</w:t>
      </w:r>
      <w:r>
        <w:rPr>
          <w:rFonts w:ascii="Arial" w:hAnsi="Arial"/>
          <w:outline w:val="0"/>
          <w:color w:val="212121"/>
          <w:shd w:val="clear" w:color="auto" w:fill="ffffff"/>
          <w:rtl w:val="0"/>
          <w:lang w:val="en-US"/>
          <w14:textFill>
            <w14:solidFill>
              <w14:srgbClr w14:val="222222"/>
            </w14:solidFill>
          </w14:textFill>
        </w:rPr>
        <w:t>s leading retailers, employing over 60,000 people across its food, clothing and home divisions. In recent years, the company has invested significantly in digital transformation, sustainability initiatives and workforce development to remain competitive within the retail sector. As consumer behaviour and technology continue to evolve, M&amp;S has adapted its HR strategies to ensure employees possess the skills and knowledge required to support organisational objectives while maintaining high standards of customer service (Marks &amp; Spencer Group plc, 2024).</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Like many organisations operating in the retail industry, Marks &amp; Spencer faces several contemporary human resource challenges. Rapid technological developments require employees to continually update their digital skills, while labour shortages and changing career expectations make attracting and retaining talented employees increasingly difficult. In addition, organisations are expected to promote diversity, equity and inclusion by creating workplaces where every employee has equal opportunities to develop and succeed. Addressing these challenges effectively is essential for improving organisational performance and maintaining a competitive advantage.</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This report examines three key HR challenges affecting Marks &amp; Spencer: technological advancements, talent acquisition and retention, and diversity, equity and inclusion (DEI). It also evaluates the company</w:t>
      </w:r>
      <w:r>
        <w:rPr>
          <w:rFonts w:ascii="Arial" w:hAnsi="Arial" w:hint="default"/>
          <w:outline w:val="0"/>
          <w:color w:val="212121"/>
          <w:shd w:val="clear" w:color="auto" w:fill="ffffff"/>
          <w:rtl w:val="1"/>
          <w14:textFill>
            <w14:solidFill>
              <w14:srgbClr w14:val="222222"/>
            </w14:solidFill>
          </w14:textFill>
        </w:rPr>
        <w:t>’</w:t>
      </w:r>
      <w:r>
        <w:rPr>
          <w:rFonts w:ascii="Arial" w:hAnsi="Arial"/>
          <w:outline w:val="0"/>
          <w:color w:val="212121"/>
          <w:shd w:val="clear" w:color="auto" w:fill="ffffff"/>
          <w:rtl w:val="0"/>
          <w:lang w:val="en-US"/>
          <w14:textFill>
            <w14:solidFill>
              <w14:srgbClr w14:val="222222"/>
            </w14:solidFill>
          </w14:textFill>
        </w:rPr>
        <w:t>s current HR practices and critically assesses the role of managers in implementing these practices successfully to support organisational growth and long-term business success.</w:t>
      </w:r>
    </w:p>
    <w:p>
      <w:pPr>
        <w:pStyle w:val="Типовий"/>
        <w:suppressAutoHyphens w:val="1"/>
        <w:spacing w:before="0" w:line="240" w:lineRule="auto"/>
        <w:jc w:val="left"/>
        <w:rPr>
          <w:rFonts w:ascii="Arial" w:cs="Arial" w:hAnsi="Arial" w:eastAsia="Arial"/>
          <w:outline w:val="0"/>
          <w:color w:val="7f7f7f"/>
          <w:shd w:val="clear" w:color="auto" w:fill="ffffff"/>
          <w14:textFill>
            <w14:solidFill>
              <w14:srgbClr w14:val="808080"/>
            </w14:solidFill>
          </w14:textFill>
        </w:rPr>
      </w:pPr>
    </w:p>
    <w:p>
      <w:pPr>
        <w:pStyle w:val="Типовий"/>
        <w:suppressAutoHyphens w:val="1"/>
        <w:spacing w:before="0" w:after="348"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1. Explanation of Key Factors</w:t>
      </w:r>
    </w:p>
    <w:p>
      <w:pPr>
        <w:pStyle w:val="Типовий"/>
        <w:suppressAutoHyphens w:val="1"/>
        <w:spacing w:before="0" w:after="323"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Technological Advancements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Technological innovation has transformed the way organisations manage their workforce. Modern HR departments increasingly use artificial intelligence, cloud-based HR systems, workforce analytics and digital recruitment platforms to improve efficiency and support strategic decision-making (CIPD, 2024). Within the retail sector, digital technologies have become essential for improving operational performance while responding to changing customer expectations.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Marks &amp; Spencer has invested heavily in technology to modernise its operations. The organisation has introduced digital inventory management, automated stock control, self-service technology and data-driven workforce planning. These developments improve operational efficiency and allow employees to spend more time supporting customers rather than completing administrative tasks. In addition, M&amp;S has expanded digital learning opportunities to help employees improve their knowledge and adapt to technological change (Marks &amp; Spencer Group plc, 2024).</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 xml:space="preserve">Although technological innovation creates significant opportunities, it also presents important HR challenges. Employees must continuously develop new digital competencies to remain effective in their roles. Workers with limited digital experience may require additional training and support, particularly during periods of organisational change. Without adequate investment in learning and development, employees may experience uncertainty, lower confidence and reduced job </w:t>
      </w: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it-IT"/>
          <w14:textFill>
            <w14:solidFill>
              <w14:srgbClr w14:val="222222"/>
            </w14:solidFill>
          </w14:textFill>
        </w:rPr>
        <w:t>performance.</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Technology also creates challenges related to employee wellbeing. Digital monitoring systems and performance analytics can improve organisational efficiency, but they may also increase pressure if employees feel constantly supervised. HR managers therefore need to balance the benefits of technology with employee wellbeing by promoting trust, providing appropriate support and maintaining open communication throughout the change process. According to Rees and French (2022), successful digital transformation depends on employee involvement, effective leadership and continuous learning rather than technology alone.</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Another important consideration is the changing nature of work. Digital transformation has increased demand for employees with strong technological, analytical and problem-solving skills. Consequently, HR professionals must regularly review recruitment strategies, job descriptions and development programmes to ensure the workforce remains prepared for future business needs. Organisations that successfully integrate technology with employee development are more likely to improve productivity, innovation and long-term competitiveness (Wilton, 2022).</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Overall, technological advancement represents both an opportunity and a challenge for Marks &amp; Spencer. While digital innovation improves efficiency and customer service, it also requires continuous investment in employee skills, leadership capability and organisational change management to achieve sustainable business success.</w:t>
      </w:r>
    </w:p>
    <w:p>
      <w:pPr>
        <w:pStyle w:val="Типовий"/>
        <w:suppressAutoHyphens w:val="1"/>
        <w:spacing w:before="0" w:line="240" w:lineRule="auto"/>
        <w:jc w:val="left"/>
        <w:rPr>
          <w:rFonts w:ascii="Arial" w:cs="Arial" w:hAnsi="Arial" w:eastAsia="Arial"/>
          <w:outline w:val="0"/>
          <w:color w:val="7f7f7f"/>
          <w:shd w:val="clear" w:color="auto" w:fill="ffffff"/>
          <w14:textFill>
            <w14:solidFill>
              <w14:srgbClr w14:val="808080"/>
            </w14:solidFill>
          </w14:textFill>
        </w:rPr>
      </w:pPr>
    </w:p>
    <w:p>
      <w:pPr>
        <w:pStyle w:val="Типовий"/>
        <w:suppressAutoHyphens w:val="1"/>
        <w:spacing w:before="0" w:after="323"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Talent Acquisition and Retention</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Recruiting and retaining talented employees has become increasingly challenging across the UK retail sector. Labour shortages, demographic changes and evolving employee expectations have intensified competition for skilled workers, requiring organisations to develop more attractive employment strategies (CIPD, 2024).</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Marks &amp; Spencer competes with several major retailers for experienced employees. As a result, salary alone is no longer sufficient to attract high-quality candidates. Employees increasingly value opportunities for career progression, professional development, flexible working arrangements and supportive organisational cultures. HR strategies must therefore focus on creating a positive employee experience throughout the entire employment lifecycle.</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Employee retention is equally important because high staff turnover increases recruitment costs, reduces organisational knowledge and may negatively affect customer satisfaction. To address this challenge, Marks &amp; Spencer invests in leadership development programmes, apprenticeships, mentoring opportunities and digital learning platforms that encourage continuous professional growth. These initiatives improve employee skills while demonstrating the organisation</w:t>
      </w:r>
      <w:r>
        <w:rPr>
          <w:rFonts w:ascii="Arial" w:hAnsi="Arial" w:hint="default"/>
          <w:outline w:val="0"/>
          <w:color w:val="212121"/>
          <w:shd w:val="clear" w:color="auto" w:fill="ffffff"/>
          <w:rtl w:val="1"/>
          <w14:textFill>
            <w14:solidFill>
              <w14:srgbClr w14:val="222222"/>
            </w14:solidFill>
          </w14:textFill>
        </w:rPr>
        <w:t>’</w:t>
      </w:r>
      <w:r>
        <w:rPr>
          <w:rFonts w:ascii="Arial" w:hAnsi="Arial"/>
          <w:outline w:val="0"/>
          <w:color w:val="212121"/>
          <w:shd w:val="clear" w:color="auto" w:fill="ffffff"/>
          <w:rtl w:val="0"/>
          <w:lang w:val="en-US"/>
          <w14:textFill>
            <w14:solidFill>
              <w14:srgbClr w14:val="222222"/>
            </w14:solidFill>
          </w14:textFill>
        </w:rPr>
        <w:t>s commitment to long-term career development.</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However, investment in training alone does not guarantee employee retention. Recent research suggests that employees are more likely to remain with organisations that provide supportive leadership, recognise employee contributions and promote work-life balance (Bratton et al., 2022). Managers therefore play an important role in creating positive working environments where employees feel motivated, valued and able to achieve their career goals.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Furthermore, younger employees often prioritise flexibility, wellbeing and meaningful work over traditional employment benefits. Consequently, organisations must regularly review their recruitment strategies, reward systems and employee value proposition to remain competitive within an increasingly dynamic labour market (Taylor, 2024).</w:t>
      </w:r>
    </w:p>
    <w:p>
      <w:pPr>
        <w:pStyle w:val="Типовий"/>
        <w:suppressAutoHyphens w:val="1"/>
        <w:spacing w:before="0" w:after="260" w:line="240" w:lineRule="auto"/>
        <w:jc w:val="left"/>
        <w:rPr>
          <w:rFonts w:ascii="Arial" w:cs="Arial" w:hAnsi="Arial" w:eastAsia="Arial"/>
          <w:b w:val="1"/>
          <w:bCs w:val="1"/>
          <w:outline w:val="0"/>
          <w:color w:val="212121"/>
          <w:shd w:val="clear" w:color="auto" w:fill="ffffff"/>
          <w14:textFill>
            <w14:solidFill>
              <w14:srgbClr w14:val="222222"/>
            </w14:solidFill>
          </w14:textFill>
        </w:rPr>
      </w:pPr>
    </w:p>
    <w:p>
      <w:pPr>
        <w:pStyle w:val="Типовий"/>
        <w:suppressAutoHyphens w:val="1"/>
        <w:spacing w:before="0" w:after="348"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1. Explanation of Key Factors (continued)</w:t>
      </w:r>
    </w:p>
    <w:p>
      <w:pPr>
        <w:pStyle w:val="Типовий"/>
        <w:suppressAutoHyphens w:val="1"/>
        <w:spacing w:before="0" w:after="323"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Diversity, Equity and Inclusion (DEI)</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Diversity, Equity and Inclusion (DEI) has become a strategic priority for organisations seeking to improve innovation, employee engagement and business performance. Modern organisations recognise that a diverse workforce brings different perspectives, experiences and ideas, which can improve decision-making and help businesses respond more effectively to customer needs. Consequently, HR professionals are expected to create workplaces where every employee has equal opportunities to contribute, develop and progress regardless of personal background (CIPD, 2022).</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Marks &amp; Spencer has made diversity and inclusion an important part of its people strategy. The organisation employs individuals from a wide range of cultural, ethnic and social backgrounds and aims to create a workplace where employees feel respected, supported and included. The company has introduced inclusive recruitment practices, employee resource groups and leadership initiatives that encourage equal opportunities across all areas of the business (Marks &amp; Spencer Group plc, 2024).</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One example is M&amp;S</w:t>
      </w:r>
      <w:r>
        <w:rPr>
          <w:rFonts w:ascii="Arial" w:hAnsi="Arial" w:hint="default"/>
          <w:outline w:val="0"/>
          <w:color w:val="212121"/>
          <w:shd w:val="clear" w:color="auto" w:fill="ffffff"/>
          <w:rtl w:val="1"/>
          <w14:textFill>
            <w14:solidFill>
              <w14:srgbClr w14:val="222222"/>
            </w14:solidFill>
          </w14:textFill>
        </w:rPr>
        <w:t>’</w:t>
      </w:r>
      <w:r>
        <w:rPr>
          <w:rFonts w:ascii="Arial" w:hAnsi="Arial"/>
          <w:outline w:val="0"/>
          <w:color w:val="212121"/>
          <w:shd w:val="clear" w:color="auto" w:fill="ffffff"/>
          <w:rtl w:val="0"/>
          <w:lang w:val="en-US"/>
          <w14:textFill>
            <w14:solidFill>
              <w14:srgbClr w14:val="222222"/>
            </w14:solidFill>
          </w14:textFill>
        </w:rPr>
        <w:t>s employee networks, which support gender equality, ethnic diversity, disability inclusion and LGBTQ+ employees. These networks encourage collaboration, provide opportunities for professional development and help senior leaders understand employee experiences. Such initiatives contribute to creating a more inclusive organisational culture while improving employee engagement and organisational commitment.</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 xml:space="preserve">However, introducing diversity policies alone does not guarantee positive outcomes. Organisations may continue to experience unconscious bias or inconsistent management practices if leaders are not properly trained. Managers therefore have an important responsibility to ensure recruitment, promotion and performance management decisions remain fair and objective. According to the CIPD (2022), organisations that actively monitor diversity outcomes and provide inclusive </w:t>
      </w: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leadership training are more likely to achieve sustainable improvements in workplace equality.</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Furthermore, promoting inclusion has become increasingly important for organisational reputation. Customers, investors and potential employees increasingly expect organisations to demonstrate responsible employment practices and social responsibility. Companies that successfully create inclusive workplaces often strengthen their employer brand and improve their ability to attract talented employees. For Marks &amp; Spencer, maintaining an inclusive culture is therefore both an ethical responsibility and a strategic business objective.</w:t>
      </w:r>
    </w:p>
    <w:p>
      <w:pPr>
        <w:pStyle w:val="Типовий"/>
        <w:suppressAutoHyphens w:val="1"/>
        <w:spacing w:before="0" w:line="240" w:lineRule="auto"/>
        <w:jc w:val="left"/>
        <w:rPr>
          <w:rFonts w:ascii="Arial" w:cs="Arial" w:hAnsi="Arial" w:eastAsia="Arial"/>
          <w:outline w:val="0"/>
          <w:color w:val="7f7f7f"/>
          <w:shd w:val="clear" w:color="auto" w:fill="ffffff"/>
          <w14:textFill>
            <w14:solidFill>
              <w14:srgbClr w14:val="808080"/>
            </w14:solidFill>
          </w14:textFill>
        </w:rPr>
      </w:pPr>
    </w:p>
    <w:p>
      <w:pPr>
        <w:pStyle w:val="Типовий"/>
        <w:suppressAutoHyphens w:val="1"/>
        <w:spacing w:before="0" w:after="348"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2. Evaluation of Contemporary HR Practices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To remain competitive within the UK retail sector, Marks &amp; Spencer has adopted a range of contemporary Human Resource Management practices designed to improve organisational performance while supporting employee development and wellbeing. These practices demonstrate the organisation</w:t>
      </w:r>
      <w:r>
        <w:rPr>
          <w:rFonts w:ascii="Arial" w:hAnsi="Arial" w:hint="default"/>
          <w:outline w:val="0"/>
          <w:color w:val="212121"/>
          <w:shd w:val="clear" w:color="auto" w:fill="ffffff"/>
          <w:rtl w:val="1"/>
          <w14:textFill>
            <w14:solidFill>
              <w14:srgbClr w14:val="222222"/>
            </w14:solidFill>
          </w14:textFill>
        </w:rPr>
        <w:t>’</w:t>
      </w:r>
      <w:r>
        <w:rPr>
          <w:rFonts w:ascii="Arial" w:hAnsi="Arial"/>
          <w:outline w:val="0"/>
          <w:color w:val="212121"/>
          <w:shd w:val="clear" w:color="auto" w:fill="ffffff"/>
          <w:rtl w:val="0"/>
          <w:lang w:val="en-US"/>
          <w14:textFill>
            <w14:solidFill>
              <w14:srgbClr w14:val="222222"/>
            </w14:solidFill>
          </w14:textFill>
        </w:rPr>
        <w:t>s commitment to building a skilled, motivated and adaptable workforce capable of responding to continuous business change.</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One of the company</w:t>
      </w:r>
      <w:r>
        <w:rPr>
          <w:rFonts w:ascii="Arial" w:hAnsi="Arial" w:hint="default"/>
          <w:outline w:val="0"/>
          <w:color w:val="212121"/>
          <w:shd w:val="clear" w:color="auto" w:fill="ffffff"/>
          <w:rtl w:val="1"/>
          <w14:textFill>
            <w14:solidFill>
              <w14:srgbClr w14:val="222222"/>
            </w14:solidFill>
          </w14:textFill>
        </w:rPr>
        <w:t>’</w:t>
      </w:r>
      <w:r>
        <w:rPr>
          <w:rFonts w:ascii="Arial" w:hAnsi="Arial"/>
          <w:outline w:val="0"/>
          <w:color w:val="212121"/>
          <w:shd w:val="clear" w:color="auto" w:fill="ffffff"/>
          <w:rtl w:val="0"/>
          <w:lang w:val="en-US"/>
          <w14:textFill>
            <w14:solidFill>
              <w14:srgbClr w14:val="222222"/>
            </w14:solidFill>
          </w14:textFill>
        </w:rPr>
        <w:t>s most important HR practices is continuous learning and development. As retail operations become increasingly digital, employees require regular opportunities to update their knowledge and technical skills. Marks &amp; Spencer provides digital learning platforms, apprenticeships, leadership development programmes and career development opportunities that encourage continuous professional growth. These initiatives improve workforce capability while preparing employees for future organisational changes.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However, learning and development programmes require ongoing evaluation to remain effective. Training that is not aligned with organisational objectives or employee needs may result in limited improvements in performance despite significant financial investment. Rees and French (2022) argue that organisations achieve the greatest benefits when learning is supported by coaching, mentoring and continuous feedback from managers.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Another important HR practice is digital recruitment. Marks &amp; Spencer increasingly uses online recruitment systems and digital assessment tools to improve recruitment efficiency and attract candidates from a wider talent pool. Digital recruitment enables organisations to reduce recruitment costs, shorten hiring times and improve consistency throughout the selection process.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Despite these advantages, digital recruitment also presents challenges. Automated systems may unintentionally disadvantage certain candidates if recruitment criteria are not regularly reviewed for fairness and inclusivity. HR professionals must therefore monitor recruitment processes carefully to ensure technology supports rather than limits equal employment opportunities. Regular evaluation of recruitment data also enables organisations to identify areas requiring improvement.</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Employee wellbeing represents another important element of Marks &amp; Spencer</w:t>
      </w:r>
      <w:r>
        <w:rPr>
          <w:rFonts w:ascii="Arial" w:hAnsi="Arial" w:hint="default"/>
          <w:outline w:val="0"/>
          <w:color w:val="212121"/>
          <w:shd w:val="clear" w:color="auto" w:fill="ffffff"/>
          <w:rtl w:val="1"/>
          <w14:textFill>
            <w14:solidFill>
              <w14:srgbClr w14:val="222222"/>
            </w14:solidFill>
          </w14:textFill>
        </w:rPr>
        <w:t>’</w:t>
      </w:r>
      <w:r>
        <w:rPr>
          <w:rFonts w:ascii="Arial" w:hAnsi="Arial"/>
          <w:outline w:val="0"/>
          <w:color w:val="212121"/>
          <w:shd w:val="clear" w:color="auto" w:fill="ffffff"/>
          <w:rtl w:val="0"/>
          <w:lang w:val="en-US"/>
          <w14:textFill>
            <w14:solidFill>
              <w14:srgbClr w14:val="222222"/>
            </w14:solidFill>
          </w14:textFill>
        </w:rPr>
        <w:t>s HR strategy. The organisation recognises that employee wellbeing influences productivity, engagement and customer service quality. Employees have access to wellbeing initiatives, flexible working opportunities where operationally possible and support services designed to improve both physical and mental health.</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Nevertheless, wellbeing programmes alone cannot fully address workplace stress if employees continue to experience excessive workloads or insufficient staffing levels. Managers must therefore identify the underlying causes of stress and work collaboratively with employees to create healthier working environments. Wilton (2022) suggests that organisations achieve better wellbeing outcomes when leadership behaviours support openness, flexibility and employee participation.</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Employee engagement is also central to contemporary HR practice at Marks &amp; Spencer. The organisation encourages regular communication through employee surveys, performance discussions and team meetings, providing opportunities for employees to express opinions and contribute ideas. Recognition programmes reward employee achievements and encourage greater organisational commitment.</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Although these initiatives improve engagement, their success depends largely on managerial capability. Employees working in different departments may experience varying levels of support depending on leadership style and management practices. Consistency across the organisation is therefore essential to ensure every employee benefits equally from HR initiatives.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Marks &amp; Spencer also continues to strengthen its diversity and inclusion strategy through inclusive recruitment, leadership development and employee support networks. These initiatives encourage collaboration, improve organisational culture and strengthen innovation by bringing together employees with diverse experiences and perspectives.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However, maintaining an inclusive culture across a large organisation employing thousands of people remains challenging. Continuous monitoring, leadership accountability and employee feedback are necessary to ensure diversity policies produce meaningful improvements rather than simply meeting compliance requirements (CIPD, 2022).</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Overall, the HR practices implemented by Marks &amp; Spencer demonstrate a proactive approach to workforce management. Investment in employee development, digital technology, wellbeing and inclusion supports organisational adaptability and long-term business performance. However, achieving sustainable success requires continuous evaluation, effective leadership and the willingness to adapt HR strategies as employee expectations and business conditions continue to evolve.</w:t>
      </w:r>
    </w:p>
    <w:p>
      <w:pPr>
        <w:pStyle w:val="Типовий"/>
        <w:suppressAutoHyphens w:val="1"/>
        <w:spacing w:before="0" w:after="348"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3. Critical Evaluation of Managerial Implementation</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The successful implementation of Human Resource Management (HRM) practices depends largely on the ability of managers to apply organisational policies effectively. At Marks &amp; Spencer, line managers are responsible for translating HR strategies into everyday practice while ensuring employees remain engaged, productive and motivated. Although the organisation has introduced modern HR initiatives, their success depends on leadership quality, communication and continuous employee support.</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One of the most important managerial responsibilities is managing organisational change. Marks &amp; Spencer has invested significantly in digital transformation to improve operational efficiency, strengthen online retail services and enhance customer experience. While these developments create opportunities for business growth, they also require employees to adapt to new technologies and working practices. Managers therefore need to explain organisational changes clearly, involve employees in the process and provide sufficient training to reduce uncertainty and resistance. According to Crawshaw, Budhwar and Davis (2023), employee participation and transparent communication are essential factors for successful organisational change.</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Managers also play a crucial role in supporting learning and development. Marks &amp; Spencer provides apprenticeships, leadership programmes and digital learning platforms to improve employee skills and prepare the workforce for future challenges. However, investment in training does not automatically improve organisational performance. Managers must encourage employees to participate in development programmes, provide regular feedback and create opportunities for applying newly acquired knowledge in the workplace. Rees and French (2022) argue that learning becomes more effective when it is supported by coaching, mentoring and continuous performance discussions.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Another significant managerial responsibility involves maintaining employee engagement. Employees who feel recognised, valued and supported are generally more committed to organisational objectives and deliver higher levels of customer service. Marks &amp; Spencer encourages communication through employee surveys, team meetings and regular performance reviews. These practices provide employees with opportunities to express opinions and contribute ideas for organisational improvement. Nevertheless, employee engagement may vary between departments if leadership styles differ. Managers should therefore apply HR policies consistently while adapting their leadership approach to meet the needs of individual employees.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Inclusive leadership is another essential aspect of managerial implementation. Marks &amp; Spencer has introduced diversity and inclusion initiatives that aim to create equal opportunities for employees regardless of gender, ethnicity, disability or other personal characteristics. However, the effectiveness of these initiatives depends on managers</w:t>
      </w:r>
      <w:r>
        <w:rPr>
          <w:rFonts w:ascii="Arial" w:hAnsi="Arial" w:hint="default"/>
          <w:outline w:val="0"/>
          <w:color w:val="212121"/>
          <w:shd w:val="clear" w:color="auto" w:fill="ffffff"/>
          <w:rtl w:val="1"/>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ability to make objective decisions and promote an inclusive workplace culture. Managers should receive regular training on equality, diversity and unconscious bias to ensure HR policies are applied fairly across the organisation. According to the CIPD (2022), organisations with inclusive leadership generally achieve higher employee engagement, improved innovation and stronger organisational performance.</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Employee wellbeing is equally dependent on effective management. Retail employees frequently experience demanding workloads, seasonal pressures and changing work schedules. Although Marks &amp; Spencer offers wellbeing initiatives and employee assistance programmes, these measures are most effective when managers actively monitor employee wellbeing and respond to concerns promptly. Managers should maintain open communication, encourage work-life balance and identify workplace issues before they affect employee performance. Wilton (2022) suggests that organisations achieve better wellbeing outcomes when managers demonstrate empathy, flexibility and supportive leadership behaviours.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Performance management also represents a key management responsibility. Rather than relying solely on annual performance reviews, managers should provide regular feedback, recognise employee achievements and identify opportunities for continuous development. This approach improves employee motivation, supports career progression and helps organisations identify future leaders. Effective performance management also strengthens succession planning by ensuring talented employees receive appropriate development opportunities.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Despite the progress made by Marks &amp; Spencer, managers continue to face several challenges. The organisation must balance investment in employee development with financial pressures while responding to changing customer expectations and labour shortages. Rapid technological developments also require continuous upskilling of employees, placing additional responsibility on managers to support learning and organisational change. Furthermore, maintaining consistent HR practices across a large workforce remains a significant challenge. Managers therefore require strong communication, adaptability and emotional intelligence to implement HR strategies successfully.</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Overall, effective managerial implementation is essential for ensuring HR practices deliver positive organisational outcomes. Managers who communicate effectively, support employee development, encourage inclusion and prioritise wellbeing contribute significantly to employee satisfaction, organisational performance and long-term business success. Continued investment in leadership capability will enable Marks &amp; Spencer to remain competitive while responding successfully to future workforce challenges.</w:t>
      </w:r>
    </w:p>
    <w:p>
      <w:pPr>
        <w:pStyle w:val="Типовий"/>
        <w:suppressAutoHyphens w:val="1"/>
        <w:spacing w:before="0" w:line="240" w:lineRule="auto"/>
        <w:jc w:val="left"/>
        <w:rPr>
          <w:rFonts w:ascii="Arial" w:cs="Arial" w:hAnsi="Arial" w:eastAsia="Arial"/>
          <w:outline w:val="0"/>
          <w:color w:val="7f7f7f"/>
          <w:shd w:val="clear" w:color="auto" w:fill="ffffff"/>
          <w14:textFill>
            <w14:solidFill>
              <w14:srgbClr w14:val="808080"/>
            </w14:solidFill>
          </w14:textFill>
        </w:rPr>
      </w:pPr>
    </w:p>
    <w:p>
      <w:pPr>
        <w:pStyle w:val="Типовий"/>
        <w:suppressAutoHyphens w:val="1"/>
        <w:spacing w:before="0" w:after="348"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it-IT"/>
          <w14:textFill>
            <w14:solidFill>
              <w14:srgbClr w14:val="222222"/>
            </w14:solidFill>
          </w14:textFill>
        </w:rPr>
        <w:t>Conclusion</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Human Resource Management has become increasingly important as organisations respond to technological innovation, changing workforce expectations and labour market challenges. This report examined three major HR issues affecting Marks &amp; Spencer: technological advancements, talent acquisition and retention, and diversity, equity and inclusion. Each of these challenges influences organisational performance and requires carefully planned HR strategies.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The report evaluated several contemporary HR practices adopted by Marks &amp; Spencer, including digital learning, employee wellbeing initiatives, inclusive recruitment and leadership development. These practices support employee engagement, strengthen organisational adaptability and contribute to long-term business performance. However, their effectiveness depends on continuous evaluation and consistent implementation across the organisation.</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The report also highlighted the important role managers play in implementing HR strategies successfully. Effective communication, inclusive leadership, employee development and wellbeing support all contribute to creating a positive organisational culture. By continuing to invest in its workforce and leadership capability, Marks &amp; Spencer will be better positioned to respond to future organisational challenges while maintaining its competitive position within the UK retail sector.</w:t>
      </w:r>
    </w:p>
    <w:p>
      <w:pPr>
        <w:pStyle w:val="Типовий"/>
        <w:suppressAutoHyphens w:val="1"/>
        <w:spacing w:before="0" w:line="240" w:lineRule="auto"/>
        <w:jc w:val="left"/>
        <w:rPr>
          <w:rFonts w:ascii="Arial" w:cs="Arial" w:hAnsi="Arial" w:eastAsia="Arial"/>
          <w:outline w:val="0"/>
          <w:color w:val="7f7f7f"/>
          <w:shd w:val="clear" w:color="auto" w:fill="ffffff"/>
          <w14:textFill>
            <w14:solidFill>
              <w14:srgbClr w14:val="808080"/>
            </w14:solidFill>
          </w14:textFill>
        </w:rPr>
      </w:pPr>
    </w:p>
    <w:p>
      <w:pPr>
        <w:pStyle w:val="Типовий"/>
        <w:suppressAutoHyphens w:val="1"/>
        <w:spacing w:before="0" w:after="348"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Recommendations</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Based on the findings of this report, the following recommendations are made for Marks &amp; Spencer:</w:t>
      </w:r>
    </w:p>
    <w:p>
      <w:pPr>
        <w:pStyle w:val="Типовий"/>
        <w:numPr>
          <w:ilvl w:val="0"/>
          <w:numId w:val="4"/>
        </w:numPr>
        <w:suppressAutoHyphens w:val="1"/>
        <w:spacing w:before="0" w:line="240" w:lineRule="auto"/>
        <w:jc w:val="left"/>
        <w:rPr>
          <w:rFonts w:ascii="Arial" w:hAnsi="Arial"/>
          <w:outline w:val="0"/>
          <w:color w:val="212121"/>
          <w:shd w:val="clear" w:color="auto" w:fill="ffffff"/>
          <w:lang w:val="en-US"/>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Continue expanding digital learning programmes to improve employees</w:t>
      </w:r>
      <w:r>
        <w:rPr>
          <w:rFonts w:ascii="Arial" w:hAnsi="Arial" w:hint="default"/>
          <w:outline w:val="0"/>
          <w:color w:val="212121"/>
          <w:shd w:val="clear" w:color="auto" w:fill="ffffff"/>
          <w:rtl w:val="1"/>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technological skills and support organisational innovation.</w:t>
      </w:r>
    </w:p>
    <w:p>
      <w:pPr>
        <w:pStyle w:val="Типовий"/>
        <w:numPr>
          <w:ilvl w:val="0"/>
          <w:numId w:val="4"/>
        </w:numPr>
        <w:suppressAutoHyphens w:val="1"/>
        <w:spacing w:before="0" w:line="240" w:lineRule="auto"/>
        <w:jc w:val="left"/>
        <w:rPr>
          <w:rFonts w:ascii="Arial" w:hAnsi="Arial"/>
          <w:outline w:val="0"/>
          <w:color w:val="212121"/>
          <w:shd w:val="clear" w:color="auto" w:fill="ffffff"/>
          <w:lang w:val="en-US"/>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Strengthen leadership development initiatives to improve managers</w:t>
      </w:r>
      <w:r>
        <w:rPr>
          <w:rFonts w:ascii="Arial" w:hAnsi="Arial" w:hint="default"/>
          <w:outline w:val="0"/>
          <w:color w:val="212121"/>
          <w:shd w:val="clear" w:color="auto" w:fill="ffffff"/>
          <w:rtl w:val="1"/>
          <w14:textFill>
            <w14:solidFill>
              <w14:srgbClr w14:val="222222"/>
            </w14:solidFill>
          </w14:textFill>
        </w:rPr>
        <w:t xml:space="preserve">’ </w:t>
      </w:r>
      <w:r>
        <w:rPr>
          <w:rFonts w:ascii="Arial" w:hAnsi="Arial"/>
          <w:outline w:val="0"/>
          <w:color w:val="212121"/>
          <w:shd w:val="clear" w:color="auto" w:fill="ffffff"/>
          <w:rtl w:val="0"/>
          <w:lang w:val="en-US"/>
          <w14:textFill>
            <w14:solidFill>
              <w14:srgbClr w14:val="222222"/>
            </w14:solidFill>
          </w14:textFill>
        </w:rPr>
        <w:t>ability to lead organisational change and support employee wellbeing.</w:t>
      </w:r>
    </w:p>
    <w:p>
      <w:pPr>
        <w:pStyle w:val="Типовий"/>
        <w:numPr>
          <w:ilvl w:val="0"/>
          <w:numId w:val="4"/>
        </w:numPr>
        <w:suppressAutoHyphens w:val="1"/>
        <w:spacing w:before="0" w:line="240" w:lineRule="auto"/>
        <w:jc w:val="left"/>
        <w:rPr>
          <w:rFonts w:ascii="Arial" w:hAnsi="Arial"/>
          <w:outline w:val="0"/>
          <w:color w:val="212121"/>
          <w:shd w:val="clear" w:color="auto" w:fill="ffffff"/>
          <w:lang w:val="en-US"/>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Increase employee participation in organisational decision-making to strengthen engagement, innovation and organisational commitment.</w:t>
      </w:r>
    </w:p>
    <w:p>
      <w:pPr>
        <w:pStyle w:val="Типовий"/>
        <w:numPr>
          <w:ilvl w:val="0"/>
          <w:numId w:val="4"/>
        </w:numPr>
        <w:suppressAutoHyphens w:val="1"/>
        <w:spacing w:before="0" w:line="240" w:lineRule="auto"/>
        <w:jc w:val="left"/>
        <w:rPr>
          <w:rFonts w:ascii="Arial" w:hAnsi="Arial"/>
          <w:outline w:val="0"/>
          <w:color w:val="212121"/>
          <w:shd w:val="clear" w:color="auto" w:fill="ffffff"/>
          <w:lang w:val="en-US"/>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Continue monitoring diversity and inclusion outcomes through employee feedback, workforce data and leadership accountability.</w:t>
      </w:r>
    </w:p>
    <w:p>
      <w:pPr>
        <w:pStyle w:val="Типовий"/>
        <w:numPr>
          <w:ilvl w:val="0"/>
          <w:numId w:val="4"/>
        </w:numPr>
        <w:suppressAutoHyphens w:val="1"/>
        <w:spacing w:before="0" w:line="240" w:lineRule="auto"/>
        <w:jc w:val="left"/>
        <w:rPr>
          <w:rFonts w:ascii="Arial" w:hAnsi="Arial"/>
          <w:outline w:val="0"/>
          <w:color w:val="212121"/>
          <w:shd w:val="clear" w:color="auto" w:fill="ffffff"/>
          <w:lang w:val="en-US"/>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Expand flexible working opportunities where operationally possible to improve employee satisfaction and reduce staff turnover.</w:t>
      </w:r>
    </w:p>
    <w:p>
      <w:pPr>
        <w:pStyle w:val="Типовий"/>
        <w:numPr>
          <w:ilvl w:val="0"/>
          <w:numId w:val="4"/>
        </w:numPr>
        <w:suppressAutoHyphens w:val="1"/>
        <w:spacing w:before="0" w:line="240" w:lineRule="auto"/>
        <w:jc w:val="left"/>
        <w:rPr>
          <w:rFonts w:ascii="Arial" w:hAnsi="Arial"/>
          <w:outline w:val="0"/>
          <w:color w:val="212121"/>
          <w:shd w:val="clear" w:color="auto" w:fill="ffffff"/>
          <w:lang w:val="en-US"/>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Regularly review recruitment, reward and talent management strategies to remain competitive within the UK labour market and attract skilled employees.</w:t>
      </w: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after="323" w:line="240" w:lineRule="auto"/>
        <w:jc w:val="left"/>
        <w:rPr>
          <w:rFonts w:ascii="Arial" w:cs="Arial" w:hAnsi="Arial" w:eastAsia="Arial"/>
          <w:b w:val="1"/>
          <w:bCs w:val="1"/>
          <w:outline w:val="0"/>
          <w:color w:val="212121"/>
          <w:shd w:val="clear" w:color="auto" w:fill="ffffff"/>
          <w14:textFill>
            <w14:solidFill>
              <w14:srgbClr w14:val="222222"/>
            </w14:solidFill>
          </w14:textFill>
        </w:rPr>
      </w:pPr>
      <w:r>
        <w:rPr>
          <w:rFonts w:ascii="Arial" w:hAnsi="Arial"/>
          <w:b w:val="1"/>
          <w:bCs w:val="1"/>
          <w:outline w:val="0"/>
          <w:color w:val="212121"/>
          <w:shd w:val="clear" w:color="auto" w:fill="ffffff"/>
          <w:rtl w:val="0"/>
          <w:lang w:val="en-US"/>
          <w14:textFill>
            <w14:solidFill>
              <w14:srgbClr w14:val="222222"/>
            </w14:solidFill>
          </w14:textFill>
        </w:rPr>
        <w:t>Reference List (Harvard)</w:t>
      </w:r>
    </w:p>
    <w:p>
      <w:pPr>
        <w:pStyle w:val="Типовий"/>
        <w:suppressAutoHyphens w:val="1"/>
        <w:spacing w:before="0" w:after="260" w:line="240" w:lineRule="auto"/>
        <w:jc w:val="left"/>
        <w:rPr>
          <w:rFonts w:ascii="Arial" w:cs="Arial" w:hAnsi="Arial" w:eastAsia="Arial"/>
          <w:i w:val="0"/>
          <w:iCs w:val="0"/>
          <w:outline w:val="0"/>
          <w:color w:val="212121"/>
          <w:shd w:val="clear" w:color="auto" w:fill="ffffff"/>
          <w14:textFill>
            <w14:solidFill>
              <w14:srgbClr w14:val="222222"/>
            </w14:solidFill>
          </w14:textFill>
        </w:rPr>
      </w:pPr>
      <w:r>
        <w:rPr>
          <w:rFonts w:ascii="Arial" w:hAnsi="Arial"/>
          <w:i w:val="0"/>
          <w:iCs w:val="0"/>
          <w:outline w:val="0"/>
          <w:color w:val="212121"/>
          <w:shd w:val="clear" w:color="auto" w:fill="ffffff"/>
          <w:rtl w:val="0"/>
          <w:lang w:val="en-US"/>
          <w14:textFill>
            <w14:solidFill>
              <w14:srgbClr w14:val="222222"/>
            </w14:solidFill>
          </w14:textFill>
        </w:rPr>
        <w:t xml:space="preserve">Armstrong, M. and Taylor, S. (2023) </w:t>
      </w:r>
      <w:r>
        <w:rPr>
          <w:rFonts w:ascii="Arial" w:hAnsi="Arial"/>
          <w:i w:val="1"/>
          <w:iCs w:val="1"/>
          <w:outline w:val="0"/>
          <w:color w:val="212121"/>
          <w:shd w:val="clear" w:color="auto" w:fill="ffffff"/>
          <w:rtl w:val="0"/>
          <w14:textFill>
            <w14:solidFill>
              <w14:srgbClr w14:val="222222"/>
            </w14:solidFill>
          </w14:textFill>
        </w:rPr>
        <w:t>Armstrong</w:t>
      </w:r>
      <w:r>
        <w:rPr>
          <w:rFonts w:ascii="Arial" w:hAnsi="Arial" w:hint="default"/>
          <w:i w:val="1"/>
          <w:iCs w:val="1"/>
          <w:outline w:val="0"/>
          <w:color w:val="212121"/>
          <w:shd w:val="clear" w:color="auto" w:fill="ffffff"/>
          <w:rtl w:val="1"/>
          <w14:textFill>
            <w14:solidFill>
              <w14:srgbClr w14:val="222222"/>
            </w14:solidFill>
          </w14:textFill>
        </w:rPr>
        <w:t>’</w:t>
      </w:r>
      <w:r>
        <w:rPr>
          <w:rFonts w:ascii="Arial" w:hAnsi="Arial"/>
          <w:i w:val="1"/>
          <w:iCs w:val="1"/>
          <w:outline w:val="0"/>
          <w:color w:val="212121"/>
          <w:shd w:val="clear" w:color="auto" w:fill="ffffff"/>
          <w:rtl w:val="0"/>
          <w:lang w:val="en-US"/>
          <w14:textFill>
            <w14:solidFill>
              <w14:srgbClr w14:val="222222"/>
            </w14:solidFill>
          </w14:textFill>
        </w:rPr>
        <w:t>s Handbook of Human Resource Management Practice</w:t>
      </w:r>
      <w:r>
        <w:rPr>
          <w:rFonts w:ascii="Arial" w:hAnsi="Arial"/>
          <w:i w:val="0"/>
          <w:iCs w:val="0"/>
          <w:outline w:val="0"/>
          <w:color w:val="212121"/>
          <w:shd w:val="clear" w:color="auto" w:fill="ffffff"/>
          <w:rtl w:val="0"/>
          <w:lang w:val="en-US"/>
          <w14:textFill>
            <w14:solidFill>
              <w14:srgbClr w14:val="222222"/>
            </w14:solidFill>
          </w14:textFill>
        </w:rPr>
        <w:t>. 16th edn. London: Kogan Page.</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lang w:val="en-US"/>
          <w14:textFill>
            <w14:solidFill>
              <w14:srgbClr w14:val="222222"/>
            </w14:solidFill>
          </w14:textFill>
        </w:rPr>
        <w:t xml:space="preserve">Bratton, J., Gold, J., Bratton, A. and Steele, L. (2022) </w:t>
      </w:r>
      <w:r>
        <w:rPr>
          <w:rFonts w:ascii="Arial" w:hAnsi="Arial"/>
          <w:i w:val="1"/>
          <w:iCs w:val="1"/>
          <w:outline w:val="0"/>
          <w:color w:val="212121"/>
          <w:shd w:val="clear" w:color="auto" w:fill="ffffff"/>
          <w:rtl w:val="0"/>
          <w:lang w:val="en-US"/>
          <w14:textFill>
            <w14:solidFill>
              <w14:srgbClr w14:val="222222"/>
            </w14:solidFill>
          </w14:textFill>
        </w:rPr>
        <w:t>Human Resource Management</w:t>
      </w:r>
      <w:r>
        <w:rPr>
          <w:rFonts w:ascii="Arial" w:hAnsi="Arial"/>
          <w:outline w:val="0"/>
          <w:color w:val="212121"/>
          <w:shd w:val="clear" w:color="auto" w:fill="ffffff"/>
          <w:rtl w:val="0"/>
          <w:lang w:val="en-US"/>
          <w14:textFill>
            <w14:solidFill>
              <w14:srgbClr w14:val="222222"/>
            </w14:solidFill>
          </w14:textFill>
        </w:rPr>
        <w:t>. 7th edn. London: Bloomsbury Publishing.</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14:textFill>
            <w14:solidFill>
              <w14:srgbClr w14:val="222222"/>
            </w14:solidFill>
          </w14:textFill>
        </w:rPr>
        <w:t xml:space="preserve">CIPD (2022) </w:t>
      </w:r>
      <w:r>
        <w:rPr>
          <w:rFonts w:ascii="Arial" w:hAnsi="Arial"/>
          <w:i w:val="1"/>
          <w:iCs w:val="1"/>
          <w:outline w:val="0"/>
          <w:color w:val="212121"/>
          <w:shd w:val="clear" w:color="auto" w:fill="ffffff"/>
          <w:rtl w:val="0"/>
          <w:lang w:val="en-US"/>
          <w14:textFill>
            <w14:solidFill>
              <w14:srgbClr w14:val="222222"/>
            </w14:solidFill>
          </w14:textFill>
        </w:rPr>
        <w:t>Inclusion at Work 2022</w:t>
      </w:r>
      <w:r>
        <w:rPr>
          <w:rFonts w:ascii="Arial" w:hAnsi="Arial"/>
          <w:outline w:val="0"/>
          <w:color w:val="212121"/>
          <w:shd w:val="clear" w:color="auto" w:fill="ffffff"/>
          <w:rtl w:val="0"/>
          <w:lang w:val="en-US"/>
          <w14:textFill>
            <w14:solidFill>
              <w14:srgbClr w14:val="222222"/>
            </w14:solidFill>
          </w14:textFill>
        </w:rPr>
        <w:t>. London: Chartered Institute of Personnel and Development.</w:t>
      </w: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r>
        <w:rPr>
          <w:rFonts w:ascii="Arial" w:hAnsi="Arial"/>
          <w:outline w:val="0"/>
          <w:color w:val="212121"/>
          <w:shd w:val="clear" w:color="auto" w:fill="ffffff"/>
          <w:rtl w:val="0"/>
          <w14:textFill>
            <w14:solidFill>
              <w14:srgbClr w14:val="222222"/>
            </w14:solidFill>
          </w14:textFill>
        </w:rPr>
        <w:t xml:space="preserve">CIPD (2024) </w:t>
      </w:r>
      <w:r>
        <w:rPr>
          <w:rFonts w:ascii="Arial" w:hAnsi="Arial"/>
          <w:i w:val="1"/>
          <w:iCs w:val="1"/>
          <w:outline w:val="0"/>
          <w:color w:val="212121"/>
          <w:shd w:val="clear" w:color="auto" w:fill="ffffff"/>
          <w:rtl w:val="0"/>
          <w:lang w:val="en-US"/>
          <w14:textFill>
            <w14:solidFill>
              <w14:srgbClr w14:val="222222"/>
            </w14:solidFill>
          </w14:textFill>
        </w:rPr>
        <w:t>Resourcing and Talent Planning Report 2024</w:t>
      </w:r>
      <w:r>
        <w:rPr>
          <w:rFonts w:ascii="Arial" w:hAnsi="Arial"/>
          <w:outline w:val="0"/>
          <w:color w:val="212121"/>
          <w:shd w:val="clear" w:color="auto" w:fill="ffffff"/>
          <w:rtl w:val="0"/>
          <w:lang w:val="en-US"/>
          <w14:textFill>
            <w14:solidFill>
              <w14:srgbClr w14:val="222222"/>
            </w14:solidFill>
          </w14:textFill>
        </w:rPr>
        <w:t>. London: Chartered Institute of Personnel and Development.</w:t>
      </w:r>
    </w:p>
    <w:p>
      <w:pPr>
        <w:pStyle w:val="Типовий"/>
        <w:suppressAutoHyphens w:val="1"/>
        <w:spacing w:before="0" w:after="260" w:line="240" w:lineRule="auto"/>
        <w:jc w:val="left"/>
        <w:rPr>
          <w:rFonts w:ascii="Arial" w:cs="Arial" w:hAnsi="Arial" w:eastAsia="Arial"/>
          <w:i w:val="0"/>
          <w:iCs w:val="0"/>
          <w:outline w:val="0"/>
          <w:color w:val="212121"/>
          <w:shd w:val="clear" w:color="auto" w:fill="ffffff"/>
          <w14:textFill>
            <w14:solidFill>
              <w14:srgbClr w14:val="222222"/>
            </w14:solidFill>
          </w14:textFill>
        </w:rPr>
      </w:pPr>
      <w:r>
        <w:rPr>
          <w:rFonts w:ascii="Arial" w:hAnsi="Arial"/>
          <w:i w:val="0"/>
          <w:iCs w:val="0"/>
          <w:outline w:val="0"/>
          <w:color w:val="212121"/>
          <w:shd w:val="clear" w:color="auto" w:fill="ffffff"/>
          <w:rtl w:val="0"/>
          <w:lang w:val="en-US"/>
          <w14:textFill>
            <w14:solidFill>
              <w14:srgbClr w14:val="222222"/>
            </w14:solidFill>
          </w14:textFill>
        </w:rPr>
        <w:t xml:space="preserve">Crawshaw, J., Budhwar, P. and Davis, A. (eds.) (2023) </w:t>
      </w:r>
      <w:r>
        <w:rPr>
          <w:rFonts w:ascii="Arial" w:hAnsi="Arial"/>
          <w:i w:val="1"/>
          <w:iCs w:val="1"/>
          <w:outline w:val="0"/>
          <w:color w:val="212121"/>
          <w:shd w:val="clear" w:color="auto" w:fill="ffffff"/>
          <w:rtl w:val="0"/>
          <w:lang w:val="en-US"/>
          <w14:textFill>
            <w14:solidFill>
              <w14:srgbClr w14:val="222222"/>
            </w14:solidFill>
          </w14:textFill>
        </w:rPr>
        <w:t>Human Resource Management: Strategic and International Perspectives</w:t>
      </w:r>
      <w:r>
        <w:rPr>
          <w:rFonts w:ascii="Arial" w:hAnsi="Arial"/>
          <w:i w:val="0"/>
          <w:iCs w:val="0"/>
          <w:outline w:val="0"/>
          <w:color w:val="212121"/>
          <w:shd w:val="clear" w:color="auto" w:fill="ffffff"/>
          <w:rtl w:val="0"/>
          <w:lang w:val="en-US"/>
          <w14:textFill>
            <w14:solidFill>
              <w14:srgbClr w14:val="222222"/>
            </w14:solidFill>
          </w14:textFill>
        </w:rPr>
        <w:t>. 4th edn. London: Sage Publications.</w:t>
      </w:r>
    </w:p>
    <w:p>
      <w:pPr>
        <w:pStyle w:val="Типовий"/>
        <w:suppressAutoHyphens w:val="1"/>
        <w:spacing w:before="0" w:after="260" w:line="240" w:lineRule="auto"/>
        <w:jc w:val="left"/>
        <w:rPr>
          <w:rFonts w:ascii="Arial" w:cs="Arial" w:hAnsi="Arial" w:eastAsia="Arial"/>
          <w:i w:val="0"/>
          <w:iCs w:val="0"/>
          <w:outline w:val="0"/>
          <w:color w:val="212121"/>
          <w:shd w:val="clear" w:color="auto" w:fill="ffffff"/>
          <w14:textFill>
            <w14:solidFill>
              <w14:srgbClr w14:val="222222"/>
            </w14:solidFill>
          </w14:textFill>
        </w:rPr>
      </w:pPr>
      <w:r>
        <w:rPr>
          <w:rFonts w:ascii="Arial" w:hAnsi="Arial"/>
          <w:i w:val="0"/>
          <w:iCs w:val="0"/>
          <w:outline w:val="0"/>
          <w:color w:val="212121"/>
          <w:shd w:val="clear" w:color="auto" w:fill="ffffff"/>
          <w:rtl w:val="0"/>
          <w:lang w:val="it-IT"/>
          <w14:textFill>
            <w14:solidFill>
              <w14:srgbClr w14:val="222222"/>
            </w14:solidFill>
          </w14:textFill>
        </w:rPr>
        <w:t xml:space="preserve">Marks &amp; Spencer Group plc (2024) </w:t>
      </w:r>
      <w:r>
        <w:rPr>
          <w:rFonts w:ascii="Arial" w:hAnsi="Arial"/>
          <w:i w:val="1"/>
          <w:iCs w:val="1"/>
          <w:outline w:val="0"/>
          <w:color w:val="212121"/>
          <w:shd w:val="clear" w:color="auto" w:fill="ffffff"/>
          <w:rtl w:val="0"/>
          <w:lang w:val="en-US"/>
          <w14:textFill>
            <w14:solidFill>
              <w14:srgbClr w14:val="222222"/>
            </w14:solidFill>
          </w14:textFill>
        </w:rPr>
        <w:t>Annual Report and Financial Statements 2024</w:t>
      </w:r>
      <w:r>
        <w:rPr>
          <w:rFonts w:ascii="Arial" w:hAnsi="Arial"/>
          <w:i w:val="0"/>
          <w:iCs w:val="0"/>
          <w:outline w:val="0"/>
          <w:color w:val="212121"/>
          <w:shd w:val="clear" w:color="auto" w:fill="ffffff"/>
          <w:rtl w:val="0"/>
          <w:lang w:val="it-IT"/>
          <w14:textFill>
            <w14:solidFill>
              <w14:srgbClr w14:val="222222"/>
            </w14:solidFill>
          </w14:textFill>
        </w:rPr>
        <w:t>. London: Marks &amp; Spencer Group plc.</w:t>
      </w:r>
    </w:p>
    <w:p>
      <w:pPr>
        <w:pStyle w:val="Типовий"/>
        <w:suppressAutoHyphens w:val="1"/>
        <w:spacing w:before="0" w:after="260" w:line="240" w:lineRule="auto"/>
        <w:jc w:val="left"/>
        <w:rPr>
          <w:rFonts w:ascii="Arial" w:cs="Arial" w:hAnsi="Arial" w:eastAsia="Arial"/>
          <w:i w:val="0"/>
          <w:iCs w:val="0"/>
          <w:outline w:val="0"/>
          <w:color w:val="212121"/>
          <w:shd w:val="clear" w:color="auto" w:fill="ffffff"/>
          <w14:textFill>
            <w14:solidFill>
              <w14:srgbClr w14:val="222222"/>
            </w14:solidFill>
          </w14:textFill>
        </w:rPr>
      </w:pPr>
      <w:r>
        <w:rPr>
          <w:rFonts w:ascii="Arial" w:hAnsi="Arial"/>
          <w:i w:val="0"/>
          <w:iCs w:val="0"/>
          <w:outline w:val="0"/>
          <w:color w:val="212121"/>
          <w:shd w:val="clear" w:color="auto" w:fill="ffffff"/>
          <w:rtl w:val="0"/>
          <w:lang w:val="en-US"/>
          <w14:textFill>
            <w14:solidFill>
              <w14:srgbClr w14:val="222222"/>
            </w14:solidFill>
          </w14:textFill>
        </w:rPr>
        <w:t xml:space="preserve">Rees, G. and French, R. (2022) </w:t>
      </w:r>
      <w:r>
        <w:rPr>
          <w:rFonts w:ascii="Arial" w:hAnsi="Arial"/>
          <w:i w:val="1"/>
          <w:iCs w:val="1"/>
          <w:outline w:val="0"/>
          <w:color w:val="212121"/>
          <w:shd w:val="clear" w:color="auto" w:fill="ffffff"/>
          <w:rtl w:val="0"/>
          <w:lang w:val="en-US"/>
          <w14:textFill>
            <w14:solidFill>
              <w14:srgbClr w14:val="222222"/>
            </w14:solidFill>
          </w14:textFill>
        </w:rPr>
        <w:t>Strategic People Management and Development: Theory and Practice</w:t>
      </w:r>
      <w:r>
        <w:rPr>
          <w:rFonts w:ascii="Arial" w:hAnsi="Arial"/>
          <w:i w:val="0"/>
          <w:iCs w:val="0"/>
          <w:outline w:val="0"/>
          <w:color w:val="212121"/>
          <w:shd w:val="clear" w:color="auto" w:fill="ffffff"/>
          <w:rtl w:val="0"/>
          <w:lang w:val="en-US"/>
          <w14:textFill>
            <w14:solidFill>
              <w14:srgbClr w14:val="222222"/>
            </w14:solidFill>
          </w14:textFill>
        </w:rPr>
        <w:t>. 6th edn. London: Kogan Page.</w:t>
      </w:r>
    </w:p>
    <w:p>
      <w:pPr>
        <w:pStyle w:val="Типовий"/>
        <w:suppressAutoHyphens w:val="1"/>
        <w:spacing w:before="0" w:after="260" w:line="240" w:lineRule="auto"/>
        <w:jc w:val="left"/>
        <w:rPr>
          <w:rFonts w:ascii="Arial" w:cs="Arial" w:hAnsi="Arial" w:eastAsia="Arial"/>
          <w:i w:val="0"/>
          <w:iCs w:val="0"/>
          <w:outline w:val="0"/>
          <w:color w:val="212121"/>
          <w:shd w:val="clear" w:color="auto" w:fill="ffffff"/>
          <w14:textFill>
            <w14:solidFill>
              <w14:srgbClr w14:val="222222"/>
            </w14:solidFill>
          </w14:textFill>
        </w:rPr>
      </w:pPr>
      <w:r>
        <w:rPr>
          <w:rFonts w:ascii="Arial" w:hAnsi="Arial"/>
          <w:i w:val="0"/>
          <w:iCs w:val="0"/>
          <w:outline w:val="0"/>
          <w:color w:val="212121"/>
          <w:shd w:val="clear" w:color="auto" w:fill="ffffff"/>
          <w:rtl w:val="0"/>
          <w:lang w:val="en-US"/>
          <w14:textFill>
            <w14:solidFill>
              <w14:srgbClr w14:val="222222"/>
            </w14:solidFill>
          </w14:textFill>
        </w:rPr>
        <w:t xml:space="preserve">Taylor, S. (2024) </w:t>
      </w:r>
      <w:r>
        <w:rPr>
          <w:rFonts w:ascii="Arial" w:hAnsi="Arial"/>
          <w:i w:val="1"/>
          <w:iCs w:val="1"/>
          <w:outline w:val="0"/>
          <w:color w:val="212121"/>
          <w:shd w:val="clear" w:color="auto" w:fill="ffffff"/>
          <w:rtl w:val="0"/>
          <w:lang w:val="en-US"/>
          <w14:textFill>
            <w14:solidFill>
              <w14:srgbClr w14:val="222222"/>
            </w14:solidFill>
          </w14:textFill>
        </w:rPr>
        <w:t>Resourcing and Talent Management</w:t>
      </w:r>
      <w:r>
        <w:rPr>
          <w:rFonts w:ascii="Arial" w:hAnsi="Arial"/>
          <w:i w:val="0"/>
          <w:iCs w:val="0"/>
          <w:outline w:val="0"/>
          <w:color w:val="212121"/>
          <w:shd w:val="clear" w:color="auto" w:fill="ffffff"/>
          <w:rtl w:val="0"/>
          <w:lang w:val="en-US"/>
          <w14:textFill>
            <w14:solidFill>
              <w14:srgbClr w14:val="222222"/>
            </w14:solidFill>
          </w14:textFill>
        </w:rPr>
        <w:t>. 9th edn. London: Kogan Page.</w:t>
      </w:r>
    </w:p>
    <w:p>
      <w:pPr>
        <w:pStyle w:val="Типовий"/>
        <w:suppressAutoHyphens w:val="1"/>
        <w:spacing w:before="0" w:after="260" w:line="240" w:lineRule="auto"/>
        <w:jc w:val="left"/>
        <w:rPr>
          <w:rFonts w:ascii="Arial" w:cs="Arial" w:hAnsi="Arial" w:eastAsia="Arial"/>
          <w:i w:val="0"/>
          <w:iCs w:val="0"/>
          <w:outline w:val="0"/>
          <w:color w:val="212121"/>
          <w:shd w:val="clear" w:color="auto" w:fill="ffffff"/>
          <w14:textFill>
            <w14:solidFill>
              <w14:srgbClr w14:val="222222"/>
            </w14:solidFill>
          </w14:textFill>
        </w:rPr>
      </w:pPr>
      <w:r>
        <w:rPr>
          <w:rFonts w:ascii="Arial" w:hAnsi="Arial"/>
          <w:i w:val="0"/>
          <w:iCs w:val="0"/>
          <w:outline w:val="0"/>
          <w:color w:val="212121"/>
          <w:shd w:val="clear" w:color="auto" w:fill="ffffff"/>
          <w:rtl w:val="0"/>
          <w14:textFill>
            <w14:solidFill>
              <w14:srgbClr w14:val="222222"/>
            </w14:solidFill>
          </w14:textFill>
        </w:rPr>
        <w:t xml:space="preserve">Wilton, N. (2022) </w:t>
      </w:r>
      <w:r>
        <w:rPr>
          <w:rFonts w:ascii="Arial" w:hAnsi="Arial"/>
          <w:i w:val="1"/>
          <w:iCs w:val="1"/>
          <w:outline w:val="0"/>
          <w:color w:val="212121"/>
          <w:shd w:val="clear" w:color="auto" w:fill="ffffff"/>
          <w:rtl w:val="0"/>
          <w:lang w:val="en-US"/>
          <w14:textFill>
            <w14:solidFill>
              <w14:srgbClr w14:val="222222"/>
            </w14:solidFill>
          </w14:textFill>
        </w:rPr>
        <w:t>An Introduction to Human Resource Management</w:t>
      </w:r>
      <w:r>
        <w:rPr>
          <w:rFonts w:ascii="Arial" w:hAnsi="Arial"/>
          <w:i w:val="0"/>
          <w:iCs w:val="0"/>
          <w:outline w:val="0"/>
          <w:color w:val="212121"/>
          <w:shd w:val="clear" w:color="auto" w:fill="ffffff"/>
          <w:rtl w:val="0"/>
          <w:lang w:val="en-US"/>
          <w14:textFill>
            <w14:solidFill>
              <w14:srgbClr w14:val="222222"/>
            </w14:solidFill>
          </w14:textFill>
        </w:rPr>
        <w:t>. 4th edn. London: Sage Publications.</w:t>
      </w: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after="26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rFonts w:ascii="Arial" w:cs="Arial" w:hAnsi="Arial" w:eastAsia="Arial"/>
          <w:outline w:val="0"/>
          <w:color w:val="212121"/>
          <w:shd w:val="clear" w:color="auto" w:fill="ffffff"/>
          <w14:textFill>
            <w14:solidFill>
              <w14:srgbClr w14:val="222222"/>
            </w14:solidFill>
          </w14:textFill>
        </w:rPr>
      </w:pPr>
    </w:p>
    <w:p>
      <w:pPr>
        <w:pStyle w:val="Типовий"/>
        <w:suppressAutoHyphens w:val="1"/>
        <w:spacing w:before="0" w:line="240" w:lineRule="auto"/>
        <w:jc w:val="left"/>
        <w:rPr>
          <w:outline w:val="0"/>
          <w:color w:val="212121"/>
          <w:shd w:val="clear" w:color="auto" w:fill="ffffff"/>
          <w14:textFill>
            <w14:solidFill>
              <w14:srgbClr w14:val="222222"/>
            </w14:solidFill>
          </w14:textFill>
        </w:rPr>
      </w:pPr>
    </w:p>
    <w:p>
      <w:pPr>
        <w:pStyle w:val="Типовий"/>
        <w:suppressAutoHyphens w:val="1"/>
        <w:spacing w:before="0" w:line="240" w:lineRule="auto"/>
        <w:jc w:val="left"/>
      </w:pPr>
      <w:r>
        <w:rPr>
          <w:outline w:val="0"/>
          <w:color w:val="212121"/>
          <w:shd w:val="clear" w:color="auto" w:fill="ffffff"/>
          <w14:textFill>
            <w14:solidFill>
              <w14:srgbClr w14:val="222222"/>
            </w14:solidFill>
          </w14:textFill>
        </w:rPr>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Bdr>
        <w:top w:val="single" w:color="d9d9d9" w:sz="4" w:space="0" w:shadow="0" w:frame="0"/>
        <w:left w:val="nil"/>
        <w:bottom w:val="nil"/>
        <w:right w:val="nil"/>
      </w:pBdr>
      <w:tabs>
        <w:tab w:val="right" w:pos="9000"/>
        <w:tab w:val="clear" w:pos="9026"/>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rPr>
        <w:rtl w:val="0"/>
        <w:lang w:val="en-US"/>
      </w:rPr>
      <w:t xml:space="preserve"> | </w:t>
    </w:r>
    <w:r>
      <w:rPr>
        <w:outline w:val="0"/>
        <w:color w:val="7f7f7f"/>
        <w:spacing w:val="-1"/>
        <w:u w:color="7f7f7f"/>
        <w:rtl w:val="0"/>
        <w:lang w:val="en-US"/>
        <w14:textFill>
          <w14:solidFill>
            <w14:srgbClr w14:val="7F7F7F"/>
          </w14:solidFill>
        </w14:textFill>
      </w:rPr>
      <w:t>Page</w:t>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Колонтитули"/>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Номери"/>
  </w:abstractNum>
  <w:abstractNum w:abstractNumId="1">
    <w:multiLevelType w:val="hybridMultilevel"/>
    <w:styleLink w:val="Номери"/>
    <w:lvl w:ilvl="0">
      <w:start w:val="1"/>
      <w:numFmt w:val="decimal"/>
      <w:suff w:val="tab"/>
      <w:lvlText w:val="%1."/>
      <w:lvlJc w:val="left"/>
      <w:pPr>
        <w:ind w:left="720" w:hanging="500"/>
      </w:pPr>
      <w:rPr>
        <w:rFonts w:ascii="Arial" w:cs="Arial" w:hAnsi="Arial" w:eastAsia="Arial"/>
        <w:b w:val="1"/>
        <w:bCs w:val="1"/>
        <w:i w:val="0"/>
        <w:iCs w:val="0"/>
        <w:caps w:val="0"/>
        <w:smallCaps w:val="0"/>
        <w:strike w:val="0"/>
        <w:dstrike w:val="0"/>
        <w:outline w:val="0"/>
        <w:emboss w:val="0"/>
        <w:imprint w:val="0"/>
        <w:color w:val="212121"/>
        <w:spacing w:val="0"/>
        <w:w w:val="100"/>
        <w:kern w:val="0"/>
        <w:position w:val="0"/>
        <w:highlight w:val="none"/>
        <w:vertAlign w:val="baseline"/>
      </w:rPr>
    </w:lvl>
    <w:lvl w:ilvl="1">
      <w:start w:val="1"/>
      <w:numFmt w:val="decimal"/>
      <w:suff w:val="tab"/>
      <w:lvlText w:val="%2."/>
      <w:lvlJc w:val="left"/>
      <w:pPr>
        <w:ind w:left="728" w:hanging="288"/>
      </w:pPr>
      <w:rPr>
        <w:rFonts w:ascii="Arial" w:cs="Arial" w:hAnsi="Arial" w:eastAsia="Arial"/>
        <w:b w:val="1"/>
        <w:bCs w:val="1"/>
        <w:i w:val="0"/>
        <w:iCs w:val="0"/>
        <w:caps w:val="0"/>
        <w:smallCaps w:val="0"/>
        <w:strike w:val="0"/>
        <w:dstrike w:val="0"/>
        <w:outline w:val="0"/>
        <w:emboss w:val="0"/>
        <w:imprint w:val="0"/>
        <w:color w:val="212121"/>
        <w:spacing w:val="0"/>
        <w:w w:val="100"/>
        <w:kern w:val="0"/>
        <w:position w:val="0"/>
        <w:highlight w:val="none"/>
        <w:vertAlign w:val="baseline"/>
      </w:rPr>
    </w:lvl>
    <w:lvl w:ilvl="2">
      <w:start w:val="1"/>
      <w:numFmt w:val="decimal"/>
      <w:suff w:val="tab"/>
      <w:lvlText w:val="%3."/>
      <w:lvlJc w:val="left"/>
      <w:pPr>
        <w:ind w:left="948" w:hanging="288"/>
      </w:pPr>
      <w:rPr>
        <w:rFonts w:ascii="Arial" w:cs="Arial" w:hAnsi="Arial" w:eastAsia="Arial"/>
        <w:b w:val="1"/>
        <w:bCs w:val="1"/>
        <w:i w:val="0"/>
        <w:iCs w:val="0"/>
        <w:caps w:val="0"/>
        <w:smallCaps w:val="0"/>
        <w:strike w:val="0"/>
        <w:dstrike w:val="0"/>
        <w:outline w:val="0"/>
        <w:emboss w:val="0"/>
        <w:imprint w:val="0"/>
        <w:color w:val="212121"/>
        <w:spacing w:val="0"/>
        <w:w w:val="100"/>
        <w:kern w:val="0"/>
        <w:position w:val="0"/>
        <w:highlight w:val="none"/>
        <w:vertAlign w:val="baseline"/>
      </w:rPr>
    </w:lvl>
    <w:lvl w:ilvl="3">
      <w:start w:val="1"/>
      <w:numFmt w:val="decimal"/>
      <w:suff w:val="tab"/>
      <w:lvlText w:val="%4."/>
      <w:lvlJc w:val="left"/>
      <w:pPr>
        <w:ind w:left="1168" w:hanging="288"/>
      </w:pPr>
      <w:rPr>
        <w:rFonts w:ascii="Arial" w:cs="Arial" w:hAnsi="Arial" w:eastAsia="Arial"/>
        <w:b w:val="1"/>
        <w:bCs w:val="1"/>
        <w:i w:val="0"/>
        <w:iCs w:val="0"/>
        <w:caps w:val="0"/>
        <w:smallCaps w:val="0"/>
        <w:strike w:val="0"/>
        <w:dstrike w:val="0"/>
        <w:outline w:val="0"/>
        <w:emboss w:val="0"/>
        <w:imprint w:val="0"/>
        <w:color w:val="212121"/>
        <w:spacing w:val="0"/>
        <w:w w:val="100"/>
        <w:kern w:val="0"/>
        <w:position w:val="0"/>
        <w:highlight w:val="none"/>
        <w:vertAlign w:val="baseline"/>
      </w:rPr>
    </w:lvl>
    <w:lvl w:ilvl="4">
      <w:start w:val="1"/>
      <w:numFmt w:val="decimal"/>
      <w:suff w:val="tab"/>
      <w:lvlText w:val="%5."/>
      <w:lvlJc w:val="left"/>
      <w:pPr>
        <w:ind w:left="1388" w:hanging="288"/>
      </w:pPr>
      <w:rPr>
        <w:rFonts w:ascii="Arial" w:cs="Arial" w:hAnsi="Arial" w:eastAsia="Arial"/>
        <w:b w:val="1"/>
        <w:bCs w:val="1"/>
        <w:i w:val="0"/>
        <w:iCs w:val="0"/>
        <w:caps w:val="0"/>
        <w:smallCaps w:val="0"/>
        <w:strike w:val="0"/>
        <w:dstrike w:val="0"/>
        <w:outline w:val="0"/>
        <w:emboss w:val="0"/>
        <w:imprint w:val="0"/>
        <w:color w:val="212121"/>
        <w:spacing w:val="0"/>
        <w:w w:val="100"/>
        <w:kern w:val="0"/>
        <w:position w:val="0"/>
        <w:highlight w:val="none"/>
        <w:vertAlign w:val="baseline"/>
      </w:rPr>
    </w:lvl>
    <w:lvl w:ilvl="5">
      <w:start w:val="1"/>
      <w:numFmt w:val="decimal"/>
      <w:suff w:val="tab"/>
      <w:lvlText w:val="%6."/>
      <w:lvlJc w:val="left"/>
      <w:pPr>
        <w:ind w:left="1608" w:hanging="288"/>
      </w:pPr>
      <w:rPr>
        <w:rFonts w:ascii="Arial" w:cs="Arial" w:hAnsi="Arial" w:eastAsia="Arial"/>
        <w:b w:val="1"/>
        <w:bCs w:val="1"/>
        <w:i w:val="0"/>
        <w:iCs w:val="0"/>
        <w:caps w:val="0"/>
        <w:smallCaps w:val="0"/>
        <w:strike w:val="0"/>
        <w:dstrike w:val="0"/>
        <w:outline w:val="0"/>
        <w:emboss w:val="0"/>
        <w:imprint w:val="0"/>
        <w:color w:val="212121"/>
        <w:spacing w:val="0"/>
        <w:w w:val="100"/>
        <w:kern w:val="0"/>
        <w:position w:val="0"/>
        <w:highlight w:val="none"/>
        <w:vertAlign w:val="baseline"/>
      </w:rPr>
    </w:lvl>
    <w:lvl w:ilvl="6">
      <w:start w:val="1"/>
      <w:numFmt w:val="decimal"/>
      <w:suff w:val="tab"/>
      <w:lvlText w:val="%7."/>
      <w:lvlJc w:val="left"/>
      <w:pPr>
        <w:ind w:left="1828" w:hanging="288"/>
      </w:pPr>
      <w:rPr>
        <w:rFonts w:ascii="Arial" w:cs="Arial" w:hAnsi="Arial" w:eastAsia="Arial"/>
        <w:b w:val="1"/>
        <w:bCs w:val="1"/>
        <w:i w:val="0"/>
        <w:iCs w:val="0"/>
        <w:caps w:val="0"/>
        <w:smallCaps w:val="0"/>
        <w:strike w:val="0"/>
        <w:dstrike w:val="0"/>
        <w:outline w:val="0"/>
        <w:emboss w:val="0"/>
        <w:imprint w:val="0"/>
        <w:color w:val="212121"/>
        <w:spacing w:val="0"/>
        <w:w w:val="100"/>
        <w:kern w:val="0"/>
        <w:position w:val="0"/>
        <w:highlight w:val="none"/>
        <w:vertAlign w:val="baseline"/>
      </w:rPr>
    </w:lvl>
    <w:lvl w:ilvl="7">
      <w:start w:val="1"/>
      <w:numFmt w:val="decimal"/>
      <w:suff w:val="tab"/>
      <w:lvlText w:val="%8."/>
      <w:lvlJc w:val="left"/>
      <w:pPr>
        <w:ind w:left="2048" w:hanging="288"/>
      </w:pPr>
      <w:rPr>
        <w:rFonts w:ascii="Arial" w:cs="Arial" w:hAnsi="Arial" w:eastAsia="Arial"/>
        <w:b w:val="1"/>
        <w:bCs w:val="1"/>
        <w:i w:val="0"/>
        <w:iCs w:val="0"/>
        <w:caps w:val="0"/>
        <w:smallCaps w:val="0"/>
        <w:strike w:val="0"/>
        <w:dstrike w:val="0"/>
        <w:outline w:val="0"/>
        <w:emboss w:val="0"/>
        <w:imprint w:val="0"/>
        <w:color w:val="212121"/>
        <w:spacing w:val="0"/>
        <w:w w:val="100"/>
        <w:kern w:val="0"/>
        <w:position w:val="0"/>
        <w:highlight w:val="none"/>
        <w:vertAlign w:val="baseline"/>
      </w:rPr>
    </w:lvl>
    <w:lvl w:ilvl="8">
      <w:start w:val="1"/>
      <w:numFmt w:val="decimal"/>
      <w:suff w:val="tab"/>
      <w:lvlText w:val="%9."/>
      <w:lvlJc w:val="left"/>
      <w:pPr>
        <w:ind w:left="2268" w:hanging="288"/>
      </w:pPr>
      <w:rPr>
        <w:rFonts w:ascii="Arial" w:cs="Arial" w:hAnsi="Arial" w:eastAsia="Arial"/>
        <w:b w:val="1"/>
        <w:bCs w:val="1"/>
        <w:i w:val="0"/>
        <w:iCs w:val="0"/>
        <w:caps w:val="0"/>
        <w:smallCaps w:val="0"/>
        <w:strike w:val="0"/>
        <w:dstrike w:val="0"/>
        <w:outline w:val="0"/>
        <w:emboss w:val="0"/>
        <w:imprint w:val="0"/>
        <w:color w:val="212121"/>
        <w:spacing w:val="0"/>
        <w:w w:val="100"/>
        <w:kern w:val="0"/>
        <w:position w:val="0"/>
        <w:highlight w:val="none"/>
        <w:vertAlign w:val="baseline"/>
      </w:rPr>
    </w:lvl>
  </w:abstractNum>
  <w:abstractNum w:abstractNumId="2">
    <w:multiLevelType w:val="hybridMultilevel"/>
    <w:numStyleLink w:val="Маркери"/>
  </w:abstractNum>
  <w:abstractNum w:abstractNumId="3">
    <w:multiLevelType w:val="hybridMultilevel"/>
    <w:styleLink w:val="Маркери"/>
    <w:lvl w:ilvl="0">
      <w:start w:val="1"/>
      <w:numFmt w:val="bullet"/>
      <w:suff w:val="tab"/>
      <w:lvlText w:val="•"/>
      <w:lvlJc w:val="left"/>
      <w:pPr>
        <w:ind w:left="720" w:hanging="500"/>
      </w:pPr>
      <w:rPr>
        <w:rFonts w:ascii="Arial" w:cs="Arial" w:hAnsi="Arial" w:eastAsia="Arial"/>
        <w:b w:val="0"/>
        <w:bCs w:val="0"/>
        <w:i w:val="0"/>
        <w:iCs w:val="0"/>
        <w:caps w:val="0"/>
        <w:smallCaps w:val="0"/>
        <w:strike w:val="0"/>
        <w:dstrike w:val="0"/>
        <w:outline w:val="0"/>
        <w:emboss w:val="0"/>
        <w:imprint w:val="0"/>
        <w:color w:val="212121"/>
        <w:spacing w:val="0"/>
        <w:w w:val="100"/>
        <w:kern w:val="0"/>
        <w:position w:val="0"/>
        <w:highlight w:val="none"/>
        <w:vertAlign w:val="baseline"/>
      </w:rPr>
    </w:lvl>
    <w:lvl w:ilvl="1">
      <w:start w:val="1"/>
      <w:numFmt w:val="bullet"/>
      <w:suff w:val="tab"/>
      <w:lvlText w:val="•"/>
      <w:lvlJc w:val="left"/>
      <w:pPr>
        <w:ind w:left="902" w:hanging="462"/>
      </w:pPr>
      <w:rPr>
        <w:rFonts w:ascii="Arial" w:cs="Arial" w:hAnsi="Arial" w:eastAsia="Arial"/>
        <w:b w:val="0"/>
        <w:bCs w:val="0"/>
        <w:i w:val="0"/>
        <w:iCs w:val="0"/>
        <w:caps w:val="0"/>
        <w:smallCaps w:val="0"/>
        <w:strike w:val="0"/>
        <w:dstrike w:val="0"/>
        <w:outline w:val="0"/>
        <w:emboss w:val="0"/>
        <w:imprint w:val="0"/>
        <w:color w:val="212121"/>
        <w:spacing w:val="0"/>
        <w:w w:val="100"/>
        <w:kern w:val="0"/>
        <w:position w:val="0"/>
        <w:highlight w:val="none"/>
        <w:vertAlign w:val="baseline"/>
      </w:rPr>
    </w:lvl>
    <w:lvl w:ilvl="2">
      <w:start w:val="1"/>
      <w:numFmt w:val="bullet"/>
      <w:suff w:val="tab"/>
      <w:lvlText w:val="•"/>
      <w:lvlJc w:val="left"/>
      <w:pPr>
        <w:ind w:left="1122" w:hanging="462"/>
      </w:pPr>
      <w:rPr>
        <w:rFonts w:ascii="Arial" w:cs="Arial" w:hAnsi="Arial" w:eastAsia="Arial"/>
        <w:b w:val="0"/>
        <w:bCs w:val="0"/>
        <w:i w:val="0"/>
        <w:iCs w:val="0"/>
        <w:caps w:val="0"/>
        <w:smallCaps w:val="0"/>
        <w:strike w:val="0"/>
        <w:dstrike w:val="0"/>
        <w:outline w:val="0"/>
        <w:emboss w:val="0"/>
        <w:imprint w:val="0"/>
        <w:color w:val="212121"/>
        <w:spacing w:val="0"/>
        <w:w w:val="100"/>
        <w:kern w:val="0"/>
        <w:position w:val="0"/>
        <w:highlight w:val="none"/>
        <w:vertAlign w:val="baseline"/>
      </w:rPr>
    </w:lvl>
    <w:lvl w:ilvl="3">
      <w:start w:val="1"/>
      <w:numFmt w:val="bullet"/>
      <w:suff w:val="tab"/>
      <w:lvlText w:val="•"/>
      <w:lvlJc w:val="left"/>
      <w:pPr>
        <w:ind w:left="1342" w:hanging="462"/>
      </w:pPr>
      <w:rPr>
        <w:rFonts w:ascii="Arial" w:cs="Arial" w:hAnsi="Arial" w:eastAsia="Arial"/>
        <w:b w:val="0"/>
        <w:bCs w:val="0"/>
        <w:i w:val="0"/>
        <w:iCs w:val="0"/>
        <w:caps w:val="0"/>
        <w:smallCaps w:val="0"/>
        <w:strike w:val="0"/>
        <w:dstrike w:val="0"/>
        <w:outline w:val="0"/>
        <w:emboss w:val="0"/>
        <w:imprint w:val="0"/>
        <w:color w:val="212121"/>
        <w:spacing w:val="0"/>
        <w:w w:val="100"/>
        <w:kern w:val="0"/>
        <w:position w:val="0"/>
        <w:highlight w:val="none"/>
        <w:vertAlign w:val="baseline"/>
      </w:rPr>
    </w:lvl>
    <w:lvl w:ilvl="4">
      <w:start w:val="1"/>
      <w:numFmt w:val="bullet"/>
      <w:suff w:val="tab"/>
      <w:lvlText w:val="•"/>
      <w:lvlJc w:val="left"/>
      <w:pPr>
        <w:ind w:left="1562" w:hanging="462"/>
      </w:pPr>
      <w:rPr>
        <w:rFonts w:ascii="Arial" w:cs="Arial" w:hAnsi="Arial" w:eastAsia="Arial"/>
        <w:b w:val="0"/>
        <w:bCs w:val="0"/>
        <w:i w:val="0"/>
        <w:iCs w:val="0"/>
        <w:caps w:val="0"/>
        <w:smallCaps w:val="0"/>
        <w:strike w:val="0"/>
        <w:dstrike w:val="0"/>
        <w:outline w:val="0"/>
        <w:emboss w:val="0"/>
        <w:imprint w:val="0"/>
        <w:color w:val="212121"/>
        <w:spacing w:val="0"/>
        <w:w w:val="100"/>
        <w:kern w:val="0"/>
        <w:position w:val="0"/>
        <w:highlight w:val="none"/>
        <w:vertAlign w:val="baseline"/>
      </w:rPr>
    </w:lvl>
    <w:lvl w:ilvl="5">
      <w:start w:val="1"/>
      <w:numFmt w:val="bullet"/>
      <w:suff w:val="tab"/>
      <w:lvlText w:val="•"/>
      <w:lvlJc w:val="left"/>
      <w:pPr>
        <w:ind w:left="1782" w:hanging="462"/>
      </w:pPr>
      <w:rPr>
        <w:rFonts w:ascii="Arial" w:cs="Arial" w:hAnsi="Arial" w:eastAsia="Arial"/>
        <w:b w:val="0"/>
        <w:bCs w:val="0"/>
        <w:i w:val="0"/>
        <w:iCs w:val="0"/>
        <w:caps w:val="0"/>
        <w:smallCaps w:val="0"/>
        <w:strike w:val="0"/>
        <w:dstrike w:val="0"/>
        <w:outline w:val="0"/>
        <w:emboss w:val="0"/>
        <w:imprint w:val="0"/>
        <w:color w:val="212121"/>
        <w:spacing w:val="0"/>
        <w:w w:val="100"/>
        <w:kern w:val="0"/>
        <w:position w:val="0"/>
        <w:highlight w:val="none"/>
        <w:vertAlign w:val="baseline"/>
      </w:rPr>
    </w:lvl>
    <w:lvl w:ilvl="6">
      <w:start w:val="1"/>
      <w:numFmt w:val="bullet"/>
      <w:suff w:val="tab"/>
      <w:lvlText w:val="•"/>
      <w:lvlJc w:val="left"/>
      <w:pPr>
        <w:ind w:left="2002" w:hanging="462"/>
      </w:pPr>
      <w:rPr>
        <w:rFonts w:ascii="Arial" w:cs="Arial" w:hAnsi="Arial" w:eastAsia="Arial"/>
        <w:b w:val="0"/>
        <w:bCs w:val="0"/>
        <w:i w:val="0"/>
        <w:iCs w:val="0"/>
        <w:caps w:val="0"/>
        <w:smallCaps w:val="0"/>
        <w:strike w:val="0"/>
        <w:dstrike w:val="0"/>
        <w:outline w:val="0"/>
        <w:emboss w:val="0"/>
        <w:imprint w:val="0"/>
        <w:color w:val="212121"/>
        <w:spacing w:val="0"/>
        <w:w w:val="100"/>
        <w:kern w:val="0"/>
        <w:position w:val="0"/>
        <w:highlight w:val="none"/>
        <w:vertAlign w:val="baseline"/>
      </w:rPr>
    </w:lvl>
    <w:lvl w:ilvl="7">
      <w:start w:val="1"/>
      <w:numFmt w:val="bullet"/>
      <w:suff w:val="tab"/>
      <w:lvlText w:val="•"/>
      <w:lvlJc w:val="left"/>
      <w:pPr>
        <w:ind w:left="2222" w:hanging="462"/>
      </w:pPr>
      <w:rPr>
        <w:rFonts w:ascii="Arial" w:cs="Arial" w:hAnsi="Arial" w:eastAsia="Arial"/>
        <w:b w:val="0"/>
        <w:bCs w:val="0"/>
        <w:i w:val="0"/>
        <w:iCs w:val="0"/>
        <w:caps w:val="0"/>
        <w:smallCaps w:val="0"/>
        <w:strike w:val="0"/>
        <w:dstrike w:val="0"/>
        <w:outline w:val="0"/>
        <w:emboss w:val="0"/>
        <w:imprint w:val="0"/>
        <w:color w:val="212121"/>
        <w:spacing w:val="0"/>
        <w:w w:val="100"/>
        <w:kern w:val="0"/>
        <w:position w:val="0"/>
        <w:highlight w:val="none"/>
        <w:vertAlign w:val="baseline"/>
      </w:rPr>
    </w:lvl>
    <w:lvl w:ilvl="8">
      <w:start w:val="1"/>
      <w:numFmt w:val="bullet"/>
      <w:suff w:val="tab"/>
      <w:lvlText w:val="•"/>
      <w:lvlJc w:val="left"/>
      <w:pPr>
        <w:ind w:left="2442" w:hanging="462"/>
      </w:pPr>
      <w:rPr>
        <w:rFonts w:ascii="Arial" w:cs="Arial" w:hAnsi="Arial" w:eastAsia="Arial"/>
        <w:b w:val="0"/>
        <w:bCs w:val="0"/>
        <w:i w:val="0"/>
        <w:iCs w:val="0"/>
        <w:caps w:val="0"/>
        <w:smallCaps w:val="0"/>
        <w:strike w:val="0"/>
        <w:dstrike w:val="0"/>
        <w:outline w:val="0"/>
        <w:emboss w:val="0"/>
        <w:imprint w:val="0"/>
        <w:color w:val="212121"/>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українська" w:val="‘“(〔[{〈《「『【⦅〘〖«〝︵︷︹︻︽︿﹁﹃﹇﹙﹛﹝｢"/>
  <w:noLineBreaksBefore w:lang="українська"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Колонтитули">
    <w:name w:val="Колонтитули"/>
    <w:next w:val="Колонтитули"/>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Основний текст">
    <w:name w:val="Основний текст"/>
    <w:next w:val="Основний текст"/>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Типовий">
    <w:name w:val="Типовий"/>
    <w:next w:val="Типовий"/>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numbering" w:styleId="Номери">
    <w:name w:val="Номери"/>
    <w:pPr>
      <w:numPr>
        <w:numId w:val="1"/>
      </w:numPr>
    </w:pPr>
  </w:style>
  <w:style w:type="numbering" w:styleId="Маркери">
    <w:name w:val="Маркери"/>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