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88AC3" w14:textId="77777777" w:rsidR="00CB3D6C" w:rsidRDefault="00CB3D6C" w:rsidP="00CB3D6C">
      <w:pPr>
        <w:jc w:val="center"/>
        <w:rPr>
          <w:b/>
          <w:sz w:val="26"/>
          <w:szCs w:val="26"/>
          <w:u w:val="single"/>
        </w:rPr>
      </w:pPr>
      <w:r>
        <w:rPr>
          <w:b/>
          <w:sz w:val="26"/>
          <w:szCs w:val="26"/>
          <w:u w:val="single"/>
        </w:rPr>
        <w:t>Personal Development Plan</w:t>
      </w:r>
    </w:p>
    <w:p w14:paraId="4BC0483C" w14:textId="77777777" w:rsidR="00CB3D6C" w:rsidRDefault="00CB3D6C" w:rsidP="00CB3D6C"/>
    <w:tbl>
      <w:tblPr>
        <w:tblW w:w="13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87"/>
        <w:gridCol w:w="3487"/>
        <w:gridCol w:w="3487"/>
        <w:gridCol w:w="3487"/>
      </w:tblGrid>
      <w:tr w:rsidR="00CB3D6C" w14:paraId="630630EA" w14:textId="77777777" w:rsidTr="00B233DC">
        <w:tc>
          <w:tcPr>
            <w:tcW w:w="3487" w:type="dxa"/>
          </w:tcPr>
          <w:p w14:paraId="2AA00721" w14:textId="77777777" w:rsidR="00CB3D6C" w:rsidRDefault="00CB3D6C" w:rsidP="00B233DC">
            <w:pPr>
              <w:rPr>
                <w:b/>
              </w:rPr>
            </w:pPr>
            <w:r>
              <w:rPr>
                <w:b/>
              </w:rPr>
              <w:t>Objectives</w:t>
            </w:r>
          </w:p>
          <w:p w14:paraId="583E54F4" w14:textId="77777777" w:rsidR="00CB3D6C" w:rsidRDefault="00CB3D6C" w:rsidP="00B233DC">
            <w:r>
              <w:t>What do I want to be able to do better?</w:t>
            </w:r>
          </w:p>
        </w:tc>
        <w:tc>
          <w:tcPr>
            <w:tcW w:w="3487" w:type="dxa"/>
          </w:tcPr>
          <w:p w14:paraId="6A4DF7EB" w14:textId="77777777" w:rsidR="00CB3D6C" w:rsidRDefault="00CB3D6C" w:rsidP="00B233DC">
            <w:pPr>
              <w:rPr>
                <w:b/>
              </w:rPr>
            </w:pPr>
            <w:r>
              <w:rPr>
                <w:b/>
              </w:rPr>
              <w:t>Success Criteria</w:t>
            </w:r>
          </w:p>
          <w:p w14:paraId="4C2CE60F" w14:textId="77777777" w:rsidR="00CB3D6C" w:rsidRDefault="00CB3D6C" w:rsidP="00B233DC">
            <w:r>
              <w:t>How will I recognise my success?</w:t>
            </w:r>
          </w:p>
          <w:p w14:paraId="7182B8AB" w14:textId="77777777" w:rsidR="00CB3D6C" w:rsidRDefault="00CB3D6C" w:rsidP="00B233DC">
            <w:r>
              <w:t>How will I review and measure my improvement?</w:t>
            </w:r>
          </w:p>
        </w:tc>
        <w:tc>
          <w:tcPr>
            <w:tcW w:w="3487" w:type="dxa"/>
          </w:tcPr>
          <w:p w14:paraId="3EF3758D" w14:textId="77777777" w:rsidR="00CB3D6C" w:rsidRDefault="00CB3D6C" w:rsidP="00B233DC">
            <w:pPr>
              <w:rPr>
                <w:b/>
              </w:rPr>
            </w:pPr>
            <w:r>
              <w:rPr>
                <w:b/>
              </w:rPr>
              <w:t>Actions</w:t>
            </w:r>
          </w:p>
          <w:p w14:paraId="1CF17EC3" w14:textId="77777777" w:rsidR="00CB3D6C" w:rsidRDefault="00CB3D6C" w:rsidP="00B233DC">
            <w:r>
              <w:t>What methods will I use to achieve my learning objectives?</w:t>
            </w:r>
          </w:p>
        </w:tc>
        <w:tc>
          <w:tcPr>
            <w:tcW w:w="3487" w:type="dxa"/>
          </w:tcPr>
          <w:p w14:paraId="7798BED3" w14:textId="77777777" w:rsidR="00CB3D6C" w:rsidRDefault="00CB3D6C" w:rsidP="00B233DC">
            <w:pPr>
              <w:rPr>
                <w:b/>
              </w:rPr>
            </w:pPr>
            <w:r>
              <w:rPr>
                <w:b/>
              </w:rPr>
              <w:t>Implementation</w:t>
            </w:r>
          </w:p>
          <w:p w14:paraId="39DDA980" w14:textId="77777777" w:rsidR="00CB3D6C" w:rsidRDefault="00CB3D6C" w:rsidP="00B233DC">
            <w:r>
              <w:t>How will I practise and apply what I learn?</w:t>
            </w:r>
          </w:p>
          <w:p w14:paraId="07BC6F4A" w14:textId="77777777" w:rsidR="00CB3D6C" w:rsidRDefault="00CB3D6C" w:rsidP="00B233DC">
            <w:r>
              <w:t>Timescale</w:t>
            </w:r>
          </w:p>
        </w:tc>
      </w:tr>
      <w:tr w:rsidR="00CB3D6C" w14:paraId="57FA074D" w14:textId="77777777" w:rsidTr="00B233DC">
        <w:tc>
          <w:tcPr>
            <w:tcW w:w="3487" w:type="dxa"/>
          </w:tcPr>
          <w:p w14:paraId="7F8F6256" w14:textId="77777777" w:rsidR="00CB3D6C" w:rsidRDefault="00CB3D6C" w:rsidP="00B233DC">
            <w:r>
              <w:t>Manage my time more efficiently.</w:t>
            </w:r>
          </w:p>
        </w:tc>
        <w:tc>
          <w:tcPr>
            <w:tcW w:w="3487" w:type="dxa"/>
          </w:tcPr>
          <w:p w14:paraId="3ABC7B92" w14:textId="77777777" w:rsidR="00CB3D6C" w:rsidRDefault="00CB3D6C" w:rsidP="00B233DC">
            <w:r>
              <w:t>All important meetings and training courses would have been attended.</w:t>
            </w:r>
          </w:p>
          <w:p w14:paraId="6BDD7377" w14:textId="77777777" w:rsidR="00CB3D6C" w:rsidRDefault="00CB3D6C" w:rsidP="00B233DC"/>
          <w:p w14:paraId="29A39DDC" w14:textId="77777777" w:rsidR="00CB3D6C" w:rsidRDefault="00CB3D6C" w:rsidP="00B233DC">
            <w:r>
              <w:t>All paperwork will be up to date.</w:t>
            </w:r>
          </w:p>
          <w:p w14:paraId="04EBBDB1" w14:textId="77777777" w:rsidR="00CB3D6C" w:rsidRDefault="00CB3D6C" w:rsidP="00B233DC">
            <w:r>
              <w:t xml:space="preserve"> </w:t>
            </w:r>
          </w:p>
          <w:p w14:paraId="62D8EEB0" w14:textId="77777777" w:rsidR="00CB3D6C" w:rsidRDefault="00CB3D6C" w:rsidP="00B233DC">
            <w:r>
              <w:t>Requesting another director to conduct termly checks on required paperwork.</w:t>
            </w:r>
          </w:p>
          <w:p w14:paraId="3749C967" w14:textId="77777777" w:rsidR="00CB3D6C" w:rsidRDefault="00CB3D6C" w:rsidP="00B233DC"/>
          <w:p w14:paraId="24C04ABD" w14:textId="77777777" w:rsidR="00CB3D6C" w:rsidRDefault="00CB3D6C" w:rsidP="00B233DC">
            <w:r>
              <w:t>Most work will be completed within working hours and a limited amount will be done in personal time.</w:t>
            </w:r>
          </w:p>
          <w:p w14:paraId="7FFFF1B9" w14:textId="77777777" w:rsidR="00CB3D6C" w:rsidRDefault="00CB3D6C" w:rsidP="00B233DC"/>
        </w:tc>
        <w:tc>
          <w:tcPr>
            <w:tcW w:w="3487" w:type="dxa"/>
          </w:tcPr>
          <w:p w14:paraId="18E947D6" w14:textId="77777777" w:rsidR="00CB3D6C" w:rsidRDefault="00CB3D6C" w:rsidP="00B233DC">
            <w:r>
              <w:t>Prioritise my workload by removing unnecessary tasks.</w:t>
            </w:r>
          </w:p>
          <w:p w14:paraId="48759982" w14:textId="77777777" w:rsidR="00CB3D6C" w:rsidRDefault="00CB3D6C" w:rsidP="00B233DC"/>
          <w:p w14:paraId="628EF5FA" w14:textId="77777777" w:rsidR="00CB3D6C" w:rsidRDefault="00CB3D6C" w:rsidP="00B233DC">
            <w:r>
              <w:t>Focus on tasks of the highest priority first.</w:t>
            </w:r>
          </w:p>
          <w:p w14:paraId="217F6B49" w14:textId="77777777" w:rsidR="00CB3D6C" w:rsidRDefault="00CB3D6C" w:rsidP="00B233DC"/>
          <w:p w14:paraId="3043A5D7" w14:textId="77777777" w:rsidR="00CB3D6C" w:rsidRDefault="00CB3D6C" w:rsidP="00B233DC">
            <w:r>
              <w:t>Delegate tasks to others within the organisation.</w:t>
            </w:r>
          </w:p>
          <w:p w14:paraId="2E3DE62C" w14:textId="77777777" w:rsidR="00CB3D6C" w:rsidRDefault="00CB3D6C" w:rsidP="00B233DC"/>
          <w:p w14:paraId="17B40140" w14:textId="77777777" w:rsidR="00CB3D6C" w:rsidRDefault="00CB3D6C" w:rsidP="00B233DC">
            <w:r>
              <w:t>Ensure I am proactive to avoid procrastination.</w:t>
            </w:r>
          </w:p>
          <w:p w14:paraId="6FA0B0DD" w14:textId="77777777" w:rsidR="00CB3D6C" w:rsidRDefault="00CB3D6C" w:rsidP="00B233DC"/>
          <w:p w14:paraId="02AE0C78" w14:textId="77777777" w:rsidR="00CB3D6C" w:rsidRDefault="00CB3D6C" w:rsidP="00B233DC">
            <w:r>
              <w:t>Setting daily goals that are realistic in my workday.</w:t>
            </w:r>
          </w:p>
          <w:p w14:paraId="6A210692" w14:textId="77777777" w:rsidR="00CB3D6C" w:rsidRDefault="00CB3D6C" w:rsidP="00B233DC"/>
          <w:p w14:paraId="10060AFA" w14:textId="77777777" w:rsidR="00CB3D6C" w:rsidRDefault="00CB3D6C" w:rsidP="00B233DC">
            <w:r>
              <w:lastRenderedPageBreak/>
              <w:t>Eliminate distractions.</w:t>
            </w:r>
          </w:p>
          <w:p w14:paraId="52DFCD92" w14:textId="77777777" w:rsidR="00CB3D6C" w:rsidRDefault="00CB3D6C" w:rsidP="00B233DC"/>
        </w:tc>
        <w:tc>
          <w:tcPr>
            <w:tcW w:w="3487" w:type="dxa"/>
          </w:tcPr>
          <w:p w14:paraId="6EDE2F15" w14:textId="77777777" w:rsidR="00CB3D6C" w:rsidRDefault="00CB3D6C" w:rsidP="00B233DC">
            <w:r>
              <w:lastRenderedPageBreak/>
              <w:t xml:space="preserve">Review at the end of each week to assess if all set tasks have been completed. </w:t>
            </w:r>
          </w:p>
          <w:p w14:paraId="5CC118B0" w14:textId="77777777" w:rsidR="00CB3D6C" w:rsidRDefault="00CB3D6C" w:rsidP="00B233DC"/>
          <w:p w14:paraId="76DCECAE" w14:textId="77777777" w:rsidR="00CB3D6C" w:rsidRDefault="00CB3D6C" w:rsidP="00B233DC">
            <w:r>
              <w:t>Consciously reflect each term on how my time has been managed and highlight the strategies that have been most effective – First reflection date: 15</w:t>
            </w:r>
            <w:r>
              <w:rPr>
                <w:vertAlign w:val="superscript"/>
              </w:rPr>
              <w:t>th</w:t>
            </w:r>
            <w:r>
              <w:t xml:space="preserve"> December 2023.</w:t>
            </w:r>
          </w:p>
          <w:p w14:paraId="1470B9C3" w14:textId="77777777" w:rsidR="00CB3D6C" w:rsidRDefault="00CB3D6C" w:rsidP="00B233DC"/>
          <w:p w14:paraId="43932CB4" w14:textId="77777777" w:rsidR="00CB3D6C" w:rsidRDefault="00CB3D6C" w:rsidP="00B233DC">
            <w:r>
              <w:t>I would like to see my time management has improved and I have a healthier work/life balance by September 2024.</w:t>
            </w:r>
          </w:p>
          <w:p w14:paraId="0026DE72" w14:textId="77777777" w:rsidR="00CB3D6C" w:rsidRDefault="00CB3D6C" w:rsidP="00B233DC"/>
          <w:p w14:paraId="6E3061DA" w14:textId="77777777" w:rsidR="00CB3D6C" w:rsidRDefault="00CB3D6C" w:rsidP="00B233DC"/>
          <w:p w14:paraId="5126C901" w14:textId="77777777" w:rsidR="00CB3D6C" w:rsidRDefault="00CB3D6C" w:rsidP="00B233DC"/>
        </w:tc>
      </w:tr>
      <w:tr w:rsidR="00CB3D6C" w14:paraId="5A4824F2" w14:textId="77777777" w:rsidTr="00B233DC">
        <w:tc>
          <w:tcPr>
            <w:tcW w:w="3487" w:type="dxa"/>
          </w:tcPr>
          <w:p w14:paraId="2DF6E9F1" w14:textId="77777777" w:rsidR="00CB3D6C" w:rsidRDefault="00CB3D6C" w:rsidP="00B233DC">
            <w:r>
              <w:lastRenderedPageBreak/>
              <w:t>Become a more confident Welsh Speaker.</w:t>
            </w:r>
          </w:p>
          <w:p w14:paraId="74799BA3" w14:textId="77777777" w:rsidR="00CB3D6C" w:rsidRDefault="00CB3D6C" w:rsidP="00B233DC"/>
        </w:tc>
        <w:tc>
          <w:tcPr>
            <w:tcW w:w="3487" w:type="dxa"/>
          </w:tcPr>
          <w:p w14:paraId="7854BB4A" w14:textId="77777777" w:rsidR="00CB3D6C" w:rsidRDefault="00CB3D6C" w:rsidP="00B233DC">
            <w:r>
              <w:t>I will be speaking Welsh more frequently whilst at the setting.</w:t>
            </w:r>
          </w:p>
          <w:p w14:paraId="65A2087B" w14:textId="77777777" w:rsidR="00CB3D6C" w:rsidRDefault="00CB3D6C" w:rsidP="00B233DC"/>
          <w:p w14:paraId="142C479B" w14:textId="77777777" w:rsidR="00CB3D6C" w:rsidRDefault="00CB3D6C" w:rsidP="00B233DC">
            <w:r>
              <w:t xml:space="preserve">I will have a better understanding of the Welsh that is already being spoken at the setting. </w:t>
            </w:r>
          </w:p>
          <w:p w14:paraId="01C3AE86" w14:textId="77777777" w:rsidR="00CB3D6C" w:rsidRDefault="00CB3D6C" w:rsidP="00B233DC">
            <w:r>
              <w:t>Will request my Welsh colleagues to do termly peer observations on my Welsh speaking and listening within the setting, offering me constructive feedback that allow me set personal targets in achieving the goal.</w:t>
            </w:r>
          </w:p>
          <w:p w14:paraId="4B0AFA69" w14:textId="77777777" w:rsidR="00CB3D6C" w:rsidRDefault="00CB3D6C" w:rsidP="00B233DC"/>
          <w:p w14:paraId="7F355CAB" w14:textId="77777777" w:rsidR="00CB3D6C" w:rsidRDefault="00CB3D6C" w:rsidP="00B233DC">
            <w:r>
              <w:t xml:space="preserve">I would have achieved at least a level 1 Welsh speaking qualification. </w:t>
            </w:r>
          </w:p>
          <w:p w14:paraId="3D310AC0" w14:textId="77777777" w:rsidR="00CB3D6C" w:rsidRDefault="00CB3D6C" w:rsidP="00B233DC"/>
        </w:tc>
        <w:tc>
          <w:tcPr>
            <w:tcW w:w="3487" w:type="dxa"/>
          </w:tcPr>
          <w:p w14:paraId="1D7640B1" w14:textId="77777777" w:rsidR="00CB3D6C" w:rsidRDefault="00CB3D6C" w:rsidP="00B233DC">
            <w:r>
              <w:t>Speak to my local authority about advising me on a Welsh speaking course.</w:t>
            </w:r>
          </w:p>
          <w:p w14:paraId="5C9C9114" w14:textId="77777777" w:rsidR="00CB3D6C" w:rsidRDefault="00CB3D6C" w:rsidP="00B233DC"/>
          <w:p w14:paraId="7D7690BE" w14:textId="77777777" w:rsidR="00CB3D6C" w:rsidRDefault="00CB3D6C" w:rsidP="00B233DC">
            <w:r>
              <w:t>Sign up to Clebran, an initiative to promote the Welsh language within early years settings.</w:t>
            </w:r>
          </w:p>
          <w:p w14:paraId="489BB91E" w14:textId="77777777" w:rsidR="00CB3D6C" w:rsidRDefault="00CB3D6C" w:rsidP="00B233DC"/>
          <w:p w14:paraId="1919838D" w14:textId="77777777" w:rsidR="00CB3D6C" w:rsidRDefault="00CB3D6C" w:rsidP="00B233DC">
            <w:r>
              <w:t>Link up with a Welsh buddy within the workplace.</w:t>
            </w:r>
          </w:p>
          <w:p w14:paraId="02D86EED" w14:textId="77777777" w:rsidR="00CB3D6C" w:rsidRDefault="00CB3D6C" w:rsidP="00B233DC"/>
          <w:p w14:paraId="44241E23" w14:textId="77777777" w:rsidR="00CB3D6C" w:rsidRDefault="00CB3D6C" w:rsidP="00B233DC">
            <w:r>
              <w:t xml:space="preserve">Continue to practise speaking incidental Welsh with the children at the setting. </w:t>
            </w:r>
          </w:p>
          <w:p w14:paraId="38A50CB8" w14:textId="77777777" w:rsidR="00CB3D6C" w:rsidRDefault="00CB3D6C" w:rsidP="00B233DC"/>
          <w:p w14:paraId="2EE5BDD2" w14:textId="77777777" w:rsidR="00CB3D6C" w:rsidRDefault="00CB3D6C" w:rsidP="00B233DC">
            <w:r>
              <w:t xml:space="preserve">Set myself weekly goals of learning a new Welsh sentence every week. </w:t>
            </w:r>
          </w:p>
          <w:p w14:paraId="3EAFE600" w14:textId="77777777" w:rsidR="00CB3D6C" w:rsidRDefault="00CB3D6C" w:rsidP="00B233DC"/>
          <w:p w14:paraId="7D175720" w14:textId="77777777" w:rsidR="00CB3D6C" w:rsidRDefault="00CB3D6C" w:rsidP="00B233DC">
            <w:r>
              <w:t>Complete daily sessions on the Welsh app Duo-lingo and be consistent with it.</w:t>
            </w:r>
          </w:p>
          <w:p w14:paraId="0376719F" w14:textId="77777777" w:rsidR="00CB3D6C" w:rsidRDefault="00CB3D6C" w:rsidP="00B233DC"/>
          <w:p w14:paraId="71F19223" w14:textId="77777777" w:rsidR="00CB3D6C" w:rsidRDefault="00CB3D6C" w:rsidP="00B233DC"/>
        </w:tc>
        <w:tc>
          <w:tcPr>
            <w:tcW w:w="3487" w:type="dxa"/>
          </w:tcPr>
          <w:p w14:paraId="5B803D74" w14:textId="77777777" w:rsidR="00CB3D6C" w:rsidRDefault="00CB3D6C" w:rsidP="00B233DC">
            <w:r>
              <w:lastRenderedPageBreak/>
              <w:t xml:space="preserve">I would like to achieve a level 1 Welsh speaking qualification by September 2024.  </w:t>
            </w:r>
          </w:p>
          <w:p w14:paraId="61C264FA" w14:textId="77777777" w:rsidR="00CB3D6C" w:rsidRDefault="00CB3D6C" w:rsidP="00B233DC"/>
          <w:p w14:paraId="79A8C2DA" w14:textId="77777777" w:rsidR="00CB3D6C" w:rsidRDefault="00CB3D6C" w:rsidP="00B233DC">
            <w:r>
              <w:t xml:space="preserve">Adding the newly leaned welsh words and sentences to my lanyard to ensure I am consistently using these throughout the daily sessions. </w:t>
            </w:r>
          </w:p>
        </w:tc>
      </w:tr>
      <w:tr w:rsidR="00CB3D6C" w14:paraId="19E46202" w14:textId="77777777" w:rsidTr="00B233DC">
        <w:tc>
          <w:tcPr>
            <w:tcW w:w="3487" w:type="dxa"/>
          </w:tcPr>
          <w:p w14:paraId="1CBE4C94" w14:textId="77777777" w:rsidR="00CB3D6C" w:rsidRDefault="00CB3D6C" w:rsidP="00B233DC">
            <w:r>
              <w:t>Set up a training company specialising in Early Years.</w:t>
            </w:r>
          </w:p>
          <w:p w14:paraId="4B8C9C7C" w14:textId="77777777" w:rsidR="00CB3D6C" w:rsidRDefault="00CB3D6C" w:rsidP="00B233DC"/>
        </w:tc>
        <w:tc>
          <w:tcPr>
            <w:tcW w:w="3487" w:type="dxa"/>
          </w:tcPr>
          <w:p w14:paraId="6C5C2F44" w14:textId="77777777" w:rsidR="00CB3D6C" w:rsidRDefault="00CB3D6C" w:rsidP="00B233DC">
            <w:r>
              <w:t>Create and implement a training course specialising in one subject in early years at first.</w:t>
            </w:r>
          </w:p>
          <w:p w14:paraId="278E24F6" w14:textId="77777777" w:rsidR="00CB3D6C" w:rsidRDefault="00CB3D6C" w:rsidP="00B233DC"/>
          <w:p w14:paraId="132CC285" w14:textId="77777777" w:rsidR="00CB3D6C" w:rsidRDefault="00CB3D6C" w:rsidP="00B233DC">
            <w:r>
              <w:t>Offer the course for free to my Local Authority, request that participants complete a feedback questionnaire to enable me to identify the strengths and develop any areas for improvement.</w:t>
            </w:r>
          </w:p>
          <w:p w14:paraId="372F10EE" w14:textId="77777777" w:rsidR="00CB3D6C" w:rsidRDefault="00CB3D6C" w:rsidP="00B233DC"/>
          <w:p w14:paraId="23A93F2C" w14:textId="77777777" w:rsidR="00CB3D6C" w:rsidRDefault="00CB3D6C" w:rsidP="00B233DC">
            <w:r>
              <w:t>I will later be hoping to deliver training to local settings within Rhondda Cynon Taff and be considering other boroughs  over a period of time.</w:t>
            </w:r>
          </w:p>
          <w:p w14:paraId="2EE9441E" w14:textId="77777777" w:rsidR="00CB3D6C" w:rsidRDefault="00CB3D6C" w:rsidP="00B233DC"/>
          <w:p w14:paraId="45E6F12A" w14:textId="77777777" w:rsidR="00CB3D6C" w:rsidRDefault="00CB3D6C" w:rsidP="00B233DC">
            <w:r>
              <w:t xml:space="preserve">Potentially bring an apprentice or another employee on board to support the delivery of the training. </w:t>
            </w:r>
          </w:p>
          <w:p w14:paraId="47BEAFEC" w14:textId="77777777" w:rsidR="00CB3D6C" w:rsidRDefault="00CB3D6C" w:rsidP="00B233DC"/>
          <w:p w14:paraId="796FDE80" w14:textId="77777777" w:rsidR="00CB3D6C" w:rsidRDefault="00CB3D6C" w:rsidP="00B233DC"/>
          <w:p w14:paraId="53B7D8AC" w14:textId="77777777" w:rsidR="00CB3D6C" w:rsidRDefault="00CB3D6C" w:rsidP="00B233DC"/>
          <w:p w14:paraId="4F002835" w14:textId="77777777" w:rsidR="00CB3D6C" w:rsidRDefault="00CB3D6C" w:rsidP="00B233DC"/>
          <w:p w14:paraId="54135E68" w14:textId="77777777" w:rsidR="00CB3D6C" w:rsidRDefault="00CB3D6C" w:rsidP="00B233DC"/>
          <w:p w14:paraId="06199DDE" w14:textId="77777777" w:rsidR="00CB3D6C" w:rsidRDefault="00CB3D6C" w:rsidP="00B233DC"/>
          <w:p w14:paraId="1FC9F836" w14:textId="77777777" w:rsidR="00CB3D6C" w:rsidRDefault="00CB3D6C" w:rsidP="00B233DC"/>
          <w:p w14:paraId="2243E9B0" w14:textId="77777777" w:rsidR="00CB3D6C" w:rsidRDefault="00CB3D6C" w:rsidP="00B233DC"/>
          <w:p w14:paraId="2268D603" w14:textId="77777777" w:rsidR="00CB3D6C" w:rsidRDefault="00CB3D6C" w:rsidP="00B233DC"/>
          <w:p w14:paraId="2AE6F919" w14:textId="77777777" w:rsidR="00CB3D6C" w:rsidRDefault="00CB3D6C" w:rsidP="00B233DC"/>
          <w:p w14:paraId="79EEFCE9" w14:textId="77777777" w:rsidR="00CB3D6C" w:rsidRDefault="00CB3D6C" w:rsidP="00B233DC"/>
        </w:tc>
        <w:tc>
          <w:tcPr>
            <w:tcW w:w="3487" w:type="dxa"/>
          </w:tcPr>
          <w:p w14:paraId="606965C3" w14:textId="77777777" w:rsidR="00CB3D6C" w:rsidRDefault="00CB3D6C" w:rsidP="00B233DC">
            <w:r>
              <w:lastRenderedPageBreak/>
              <w:t>Network potential persons who would be interested in receiving the course</w:t>
            </w:r>
          </w:p>
          <w:p w14:paraId="4671D211" w14:textId="77777777" w:rsidR="00CB3D6C" w:rsidRDefault="00CB3D6C" w:rsidP="00B233DC"/>
          <w:p w14:paraId="1794A30E" w14:textId="77777777" w:rsidR="00CB3D6C" w:rsidRDefault="00CB3D6C" w:rsidP="00B233DC">
            <w:r>
              <w:t>Developing a business model specifying what training I will  be offering within the early years.</w:t>
            </w:r>
          </w:p>
          <w:p w14:paraId="3C401180" w14:textId="77777777" w:rsidR="00CB3D6C" w:rsidRDefault="00CB3D6C" w:rsidP="00B233DC"/>
          <w:p w14:paraId="00EC24EF" w14:textId="77777777" w:rsidR="00CB3D6C" w:rsidRDefault="00CB3D6C" w:rsidP="00B233DC">
            <w:r>
              <w:t xml:space="preserve">Discuss positive setups with training companies within the early years for direction and feedback on business plan </w:t>
            </w:r>
          </w:p>
          <w:p w14:paraId="7E519899" w14:textId="77777777" w:rsidR="00CB3D6C" w:rsidRDefault="00CB3D6C" w:rsidP="00B233DC"/>
          <w:p w14:paraId="1B581322" w14:textId="77777777" w:rsidR="00CB3D6C" w:rsidRDefault="00CB3D6C" w:rsidP="00B233DC">
            <w:r>
              <w:t>Ensure my goals are clear.</w:t>
            </w:r>
          </w:p>
          <w:p w14:paraId="1CE2AD6F" w14:textId="77777777" w:rsidR="00CB3D6C" w:rsidRDefault="00CB3D6C" w:rsidP="00B233DC"/>
          <w:p w14:paraId="3F244A00" w14:textId="77777777" w:rsidR="00CB3D6C" w:rsidRDefault="00CB3D6C" w:rsidP="00B233DC"/>
          <w:p w14:paraId="6E37B132" w14:textId="77777777" w:rsidR="00CB3D6C" w:rsidRDefault="00CB3D6C" w:rsidP="00B233DC"/>
          <w:p w14:paraId="6995CB24" w14:textId="77777777" w:rsidR="00CB3D6C" w:rsidRDefault="00CB3D6C" w:rsidP="00B233DC"/>
        </w:tc>
        <w:tc>
          <w:tcPr>
            <w:tcW w:w="3487" w:type="dxa"/>
          </w:tcPr>
          <w:p w14:paraId="329F0736" w14:textId="77777777" w:rsidR="00CB3D6C" w:rsidRDefault="00CB3D6C" w:rsidP="00B233DC">
            <w:r>
              <w:t xml:space="preserve">Through gathering constructive criticism from my colleagues, family and friends  my personal goal is to develop my business plan for my training by September 2024. </w:t>
            </w:r>
          </w:p>
        </w:tc>
      </w:tr>
    </w:tbl>
    <w:p w14:paraId="6990B3D3" w14:textId="77777777" w:rsidR="00CB3D6C" w:rsidRDefault="00CB3D6C" w:rsidP="00CB3D6C"/>
    <w:p w14:paraId="7D6031EE" w14:textId="77777777" w:rsidR="00CB3D6C" w:rsidRDefault="00CB3D6C" w:rsidP="00325717">
      <w:pPr>
        <w:pStyle w:val="NormalWeb"/>
        <w:spacing w:line="480" w:lineRule="auto"/>
        <w:jc w:val="both"/>
        <w:rPr>
          <w:rFonts w:ascii="Arial" w:hAnsi="Arial" w:cs="Arial"/>
          <w:sz w:val="22"/>
          <w:szCs w:val="22"/>
        </w:rPr>
      </w:pPr>
    </w:p>
    <w:p w14:paraId="76455C59" w14:textId="67877205" w:rsidR="00CB3D6C" w:rsidRDefault="00CB3D6C">
      <w:pPr>
        <w:rPr>
          <w:rFonts w:ascii="Arial" w:eastAsia="Times New Roman" w:hAnsi="Arial" w:cs="Arial"/>
          <w:kern w:val="0"/>
          <w:lang w:eastAsia="en-GB"/>
          <w14:ligatures w14:val="none"/>
        </w:rPr>
      </w:pPr>
      <w:r>
        <w:rPr>
          <w:rFonts w:ascii="Arial" w:hAnsi="Arial" w:cs="Arial"/>
        </w:rPr>
        <w:br w:type="page"/>
      </w:r>
    </w:p>
    <w:p w14:paraId="2DA1A45E" w14:textId="5574246D" w:rsidR="00A6723E" w:rsidRDefault="00A6723E" w:rsidP="00325717">
      <w:pPr>
        <w:pStyle w:val="NormalWeb"/>
        <w:spacing w:line="480" w:lineRule="auto"/>
        <w:jc w:val="both"/>
        <w:rPr>
          <w:rFonts w:ascii="Arial" w:hAnsi="Arial" w:cs="Arial"/>
          <w:sz w:val="22"/>
          <w:szCs w:val="22"/>
        </w:rPr>
      </w:pPr>
      <w:r>
        <w:rPr>
          <w:rFonts w:ascii="Arial" w:hAnsi="Arial" w:cs="Arial"/>
          <w:sz w:val="22"/>
          <w:szCs w:val="22"/>
        </w:rPr>
        <w:lastRenderedPageBreak/>
        <w:t>Section 3</w:t>
      </w:r>
    </w:p>
    <w:p w14:paraId="4F792E0B" w14:textId="3ABE326F" w:rsidR="008E2558" w:rsidRDefault="008E2558" w:rsidP="00325717">
      <w:pPr>
        <w:pStyle w:val="NormalWeb"/>
        <w:spacing w:line="480" w:lineRule="auto"/>
        <w:jc w:val="both"/>
        <w:rPr>
          <w:rFonts w:ascii="Arial" w:hAnsi="Arial" w:cs="Arial"/>
          <w:sz w:val="22"/>
          <w:szCs w:val="22"/>
        </w:rPr>
      </w:pPr>
      <w:r>
        <w:rPr>
          <w:rFonts w:ascii="Arial" w:hAnsi="Arial" w:cs="Arial"/>
          <w:sz w:val="22"/>
          <w:szCs w:val="22"/>
        </w:rPr>
        <w:t>Concept Map Analysis</w:t>
      </w:r>
    </w:p>
    <w:p w14:paraId="76FF1822" w14:textId="1104B0AE"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The concept map indicates a policy that requires review and updating. The proposed inquiry is justified by the usage of possibly harmful terminology in the environment and the identification of a deficiency in knowledge regarding children's behaviour.  When analysing a policy, there are many factors to consider. The UK Parliament (2021) underscores the multifaceted nature of the policy landscape, comprising various bodies and organisations at local, regional, national, and supranational levels.  Expanding further, Kraft and Furlong (2018, p. 11) suggest that analysing a policy requires various methods and disciplines for a holistic view that will aid in recognising problems and identifying alternative solutions. Therefore, the query posed, "How relevant and effective is the organisation's</w:t>
      </w:r>
      <w:r w:rsidR="001C437F" w:rsidRPr="000F19AD">
        <w:rPr>
          <w:rFonts w:ascii="Arial" w:hAnsi="Arial" w:cs="Arial"/>
          <w:sz w:val="22"/>
          <w:szCs w:val="22"/>
        </w:rPr>
        <w:t xml:space="preserve"> current</w:t>
      </w:r>
      <w:r w:rsidRPr="000F19AD">
        <w:rPr>
          <w:rFonts w:ascii="Arial" w:hAnsi="Arial" w:cs="Arial"/>
          <w:sz w:val="22"/>
          <w:szCs w:val="22"/>
        </w:rPr>
        <w:t xml:space="preserve"> </w:t>
      </w:r>
      <w:r w:rsidR="001C437F" w:rsidRPr="000F19AD">
        <w:rPr>
          <w:rFonts w:ascii="Arial" w:hAnsi="Arial" w:cs="Arial"/>
          <w:sz w:val="22"/>
          <w:szCs w:val="22"/>
        </w:rPr>
        <w:t>Behaviour Management policy</w:t>
      </w:r>
      <w:r w:rsidRPr="000F19AD">
        <w:rPr>
          <w:rFonts w:ascii="Arial" w:hAnsi="Arial" w:cs="Arial"/>
          <w:sz w:val="22"/>
          <w:szCs w:val="22"/>
        </w:rPr>
        <w:t>?"</w:t>
      </w:r>
      <w:r w:rsidR="001C437F" w:rsidRPr="000F19AD">
        <w:rPr>
          <w:rFonts w:ascii="Arial" w:hAnsi="Arial" w:cs="Arial"/>
          <w:sz w:val="22"/>
          <w:szCs w:val="22"/>
        </w:rPr>
        <w:t xml:space="preserve"> </w:t>
      </w:r>
      <w:r w:rsidRPr="000F19AD">
        <w:rPr>
          <w:rFonts w:ascii="Arial" w:hAnsi="Arial" w:cs="Arial"/>
          <w:sz w:val="22"/>
          <w:szCs w:val="22"/>
        </w:rPr>
        <w:t xml:space="preserve"> has been divided into subsections to thoroughly examine every aspect of the policy. These subsections include an analysis of the policy's alignment with the organisation's values and goals, its clarity and comprehensiveness, its implementation and enforcement mechanisms, and its impact on stakeholders. </w:t>
      </w:r>
    </w:p>
    <w:p w14:paraId="334DCC49" w14:textId="77777777"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w:t>
      </w:r>
    </w:p>
    <w:p w14:paraId="4AA2D0C7" w14:textId="6715E12A"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The concept map highlights the legalities that influence the policy, acknowledging the requirements. </w:t>
      </w:r>
      <w:r w:rsidRPr="000F19AD">
        <w:rPr>
          <w:rFonts w:ascii="Arial" w:hAnsi="Arial" w:cs="Arial"/>
          <w:i/>
          <w:iCs/>
          <w:sz w:val="22"/>
          <w:szCs w:val="22"/>
        </w:rPr>
        <w:t xml:space="preserve">The United Nation Convention of the Rights of the Child (1989) article 28 </w:t>
      </w:r>
      <w:r w:rsidRPr="000F19AD">
        <w:rPr>
          <w:rFonts w:ascii="Arial" w:hAnsi="Arial" w:cs="Arial"/>
          <w:sz w:val="22"/>
          <w:szCs w:val="22"/>
        </w:rPr>
        <w:t xml:space="preserve">states that “disciplines in school must respect children’s human </w:t>
      </w:r>
      <w:r w:rsidR="00E74950" w:rsidRPr="000F19AD">
        <w:rPr>
          <w:rFonts w:ascii="Arial" w:hAnsi="Arial" w:cs="Arial"/>
          <w:sz w:val="22"/>
          <w:szCs w:val="22"/>
        </w:rPr>
        <w:t>dignity”</w:t>
      </w:r>
      <w:r w:rsidR="00685E59" w:rsidRPr="000F19AD">
        <w:rPr>
          <w:rFonts w:ascii="Arial" w:hAnsi="Arial" w:cs="Arial"/>
          <w:sz w:val="22"/>
          <w:szCs w:val="22"/>
        </w:rPr>
        <w:t>.</w:t>
      </w:r>
      <w:r w:rsidR="00E74950" w:rsidRPr="000F19AD">
        <w:rPr>
          <w:rFonts w:ascii="Arial" w:hAnsi="Arial" w:cs="Arial"/>
          <w:sz w:val="22"/>
          <w:szCs w:val="22"/>
        </w:rPr>
        <w:t xml:space="preserve"> </w:t>
      </w:r>
      <w:r w:rsidRPr="000F19AD">
        <w:rPr>
          <w:rFonts w:ascii="Arial" w:hAnsi="Arial" w:cs="Arial"/>
          <w:sz w:val="22"/>
          <w:szCs w:val="22"/>
        </w:rPr>
        <w:t xml:space="preserve">The organisation's policy emphasises the significance of treating children with respect and dignity, thus reinforcing their rights.  Fitter (2010, p. 6) defines respect as effectively </w:t>
      </w:r>
      <w:r w:rsidRPr="000F19AD">
        <w:rPr>
          <w:rFonts w:ascii="Arial" w:hAnsi="Arial" w:cs="Arial"/>
          <w:sz w:val="22"/>
          <w:szCs w:val="22"/>
        </w:rPr>
        <w:lastRenderedPageBreak/>
        <w:t>communicating with children, actively listening, and caring for them with love. Sutton (2018, p. 17) agrees and elaborates further that building and sustaining a loving relationship that aims to support children's learning and development in a supportive environment is the first step towards respect and that children develop trust, responsibility, confidence, social rules, and mutual respect through respectful and dignified discipline. However, Ockwell-Smith (2023, p. 23) argues that all too often adults can demand respect from children without truly acknowledging whether their own behaviours are respectful of the children. Sharing similar views Sutton (2018, p. 17) reaffirms that adults may struggle with mutual respect because of perceptions of relinquishing their authority position. Nevertheless, in practise, it is evident that practitioners demonstrate kindness and consideration when responding to children's behaviour.</w:t>
      </w:r>
    </w:p>
    <w:p w14:paraId="63304E56" w14:textId="77777777"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w:t>
      </w:r>
    </w:p>
    <w:p w14:paraId="4F3A3699" w14:textId="51771D13"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Despite the importance of respecting human dignity </w:t>
      </w:r>
      <w:r w:rsidR="000626C0" w:rsidRPr="000F19AD">
        <w:rPr>
          <w:rFonts w:ascii="Arial" w:hAnsi="Arial" w:cs="Arial"/>
          <w:sz w:val="22"/>
          <w:szCs w:val="22"/>
        </w:rPr>
        <w:t>being</w:t>
      </w:r>
      <w:r w:rsidRPr="000F19AD">
        <w:rPr>
          <w:rFonts w:ascii="Arial" w:hAnsi="Arial" w:cs="Arial"/>
          <w:sz w:val="22"/>
          <w:szCs w:val="22"/>
        </w:rPr>
        <w:t xml:space="preserve"> emphasised, </w:t>
      </w:r>
      <w:r w:rsidR="00E74950" w:rsidRPr="000F19AD">
        <w:rPr>
          <w:rFonts w:ascii="Arial" w:hAnsi="Arial" w:cs="Arial"/>
          <w:sz w:val="22"/>
          <w:szCs w:val="22"/>
        </w:rPr>
        <w:t>it</w:t>
      </w:r>
      <w:r w:rsidRPr="000F19AD">
        <w:rPr>
          <w:rFonts w:ascii="Arial" w:hAnsi="Arial" w:cs="Arial"/>
          <w:sz w:val="22"/>
          <w:szCs w:val="22"/>
        </w:rPr>
        <w:t xml:space="preserve"> could be argued that some legislation is too vague and needs more clarity. For example, </w:t>
      </w:r>
      <w:r w:rsidRPr="000F19AD">
        <w:rPr>
          <w:rFonts w:ascii="Arial" w:hAnsi="Arial" w:cs="Arial"/>
          <w:i/>
          <w:iCs/>
          <w:sz w:val="22"/>
          <w:szCs w:val="22"/>
        </w:rPr>
        <w:t>The Child Minding and Day Care (Wales) 2010,</w:t>
      </w:r>
      <w:r w:rsidRPr="000F19AD">
        <w:rPr>
          <w:rFonts w:ascii="Arial" w:hAnsi="Arial" w:cs="Arial"/>
          <w:sz w:val="22"/>
          <w:szCs w:val="22"/>
        </w:rPr>
        <w:t xml:space="preserve"> </w:t>
      </w:r>
      <w:r w:rsidRPr="000F19AD">
        <w:rPr>
          <w:rFonts w:ascii="Arial" w:hAnsi="Arial" w:cs="Arial"/>
          <w:i/>
          <w:iCs/>
          <w:sz w:val="22"/>
          <w:szCs w:val="22"/>
        </w:rPr>
        <w:t>Regulation 23</w:t>
      </w:r>
      <w:r w:rsidRPr="000F19AD">
        <w:rPr>
          <w:rFonts w:ascii="Arial" w:hAnsi="Arial" w:cs="Arial"/>
          <w:sz w:val="22"/>
          <w:szCs w:val="22"/>
        </w:rPr>
        <w:t xml:space="preserve">, clearly prohibits the use of physical punishments and harsh imposed consequences. However, this legislation may prioritise physical harm to a child over psychological damage, potentially undermining the child's well-being. One might suggest the need for more emphasis on verbal abuse, shouting, or using reprimands to humiliate or intimidate children. Nevertheless, the </w:t>
      </w:r>
      <w:r w:rsidRPr="000F19AD">
        <w:rPr>
          <w:rFonts w:ascii="Arial" w:hAnsi="Arial" w:cs="Arial"/>
          <w:i/>
          <w:iCs/>
          <w:sz w:val="22"/>
          <w:szCs w:val="22"/>
        </w:rPr>
        <w:t>National Minimum Standards</w:t>
      </w:r>
      <w:r w:rsidR="00E74950" w:rsidRPr="000F19AD">
        <w:rPr>
          <w:rFonts w:ascii="Arial" w:hAnsi="Arial" w:cs="Arial"/>
          <w:i/>
          <w:iCs/>
          <w:sz w:val="22"/>
          <w:szCs w:val="22"/>
        </w:rPr>
        <w:t xml:space="preserve"> </w:t>
      </w:r>
      <w:r w:rsidR="005225F0" w:rsidRPr="000F19AD">
        <w:rPr>
          <w:rFonts w:ascii="Arial" w:hAnsi="Arial" w:cs="Arial"/>
          <w:i/>
          <w:iCs/>
          <w:sz w:val="22"/>
          <w:szCs w:val="22"/>
        </w:rPr>
        <w:t xml:space="preserve">for Regulated Childcare </w:t>
      </w:r>
      <w:r w:rsidR="009F1161" w:rsidRPr="000F19AD">
        <w:rPr>
          <w:rFonts w:ascii="Arial" w:hAnsi="Arial" w:cs="Arial"/>
          <w:i/>
          <w:iCs/>
          <w:sz w:val="22"/>
          <w:szCs w:val="22"/>
        </w:rPr>
        <w:t>(</w:t>
      </w:r>
      <w:r w:rsidR="00E74950" w:rsidRPr="000F19AD">
        <w:rPr>
          <w:rFonts w:ascii="Arial" w:hAnsi="Arial" w:cs="Arial"/>
          <w:i/>
          <w:iCs/>
          <w:sz w:val="22"/>
          <w:szCs w:val="22"/>
        </w:rPr>
        <w:t>2023</w:t>
      </w:r>
      <w:r w:rsidR="009F1161" w:rsidRPr="000F19AD">
        <w:rPr>
          <w:rFonts w:ascii="Arial" w:hAnsi="Arial" w:cs="Arial"/>
          <w:i/>
          <w:iCs/>
          <w:sz w:val="22"/>
          <w:szCs w:val="22"/>
        </w:rPr>
        <w:t>)</w:t>
      </w:r>
      <w:r w:rsidRPr="000F19AD">
        <w:rPr>
          <w:rFonts w:ascii="Arial" w:hAnsi="Arial" w:cs="Arial"/>
          <w:sz w:val="22"/>
          <w:szCs w:val="22"/>
        </w:rPr>
        <w:t xml:space="preserve"> </w:t>
      </w:r>
      <w:r w:rsidRPr="000F19AD">
        <w:rPr>
          <w:rFonts w:ascii="Arial" w:hAnsi="Arial" w:cs="Arial"/>
          <w:i/>
          <w:iCs/>
          <w:sz w:val="22"/>
          <w:szCs w:val="22"/>
        </w:rPr>
        <w:t>Standard 9.7</w:t>
      </w:r>
      <w:r w:rsidRPr="000F19AD">
        <w:rPr>
          <w:rFonts w:ascii="Arial" w:hAnsi="Arial" w:cs="Arial"/>
          <w:sz w:val="22"/>
          <w:szCs w:val="22"/>
        </w:rPr>
        <w:t xml:space="preserve"> </w:t>
      </w:r>
      <w:r w:rsidR="005225F0" w:rsidRPr="000F19AD">
        <w:rPr>
          <w:rFonts w:ascii="Arial" w:hAnsi="Arial" w:cs="Arial"/>
          <w:sz w:val="22"/>
          <w:szCs w:val="22"/>
        </w:rPr>
        <w:t>details more specific requirements</w:t>
      </w:r>
      <w:r w:rsidRPr="000F19AD">
        <w:rPr>
          <w:rFonts w:ascii="Arial" w:hAnsi="Arial" w:cs="Arial"/>
          <w:sz w:val="22"/>
          <w:szCs w:val="22"/>
        </w:rPr>
        <w:t>, “children are never shaken, smacked, humiliated, shouted at, intimidated, or shamed." The setting's current policy clearly states, “Rachael’s Playhouse has a strict policy that we do not shout or raise our voices in a threatening manner in response to children’s negative behaviour</w:t>
      </w:r>
      <w:r w:rsidR="005225F0" w:rsidRPr="000F19AD">
        <w:rPr>
          <w:rFonts w:ascii="Arial" w:hAnsi="Arial" w:cs="Arial"/>
          <w:sz w:val="22"/>
          <w:szCs w:val="22"/>
        </w:rPr>
        <w:t xml:space="preserve">”. </w:t>
      </w:r>
      <w:r w:rsidRPr="000F19AD">
        <w:rPr>
          <w:rFonts w:ascii="Arial" w:hAnsi="Arial" w:cs="Arial"/>
          <w:sz w:val="22"/>
          <w:szCs w:val="22"/>
        </w:rPr>
        <w:t>It could be said that the policy statements provide clear advice and expectations for staff, offering more specific guidance, and allowing accountability to be taken when procedures are not followed.</w:t>
      </w:r>
    </w:p>
    <w:p w14:paraId="074D6101" w14:textId="188E51B1"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lastRenderedPageBreak/>
        <w:t xml:space="preserve">Viennet and Pont (2017, P. 38) confirm that a policy should specify who is responsible for what implementation and provide visibility into who is supposed to do it and what happens if it goes wrong. The researchers stress that it is important to emphasise that enacting a policy and implementing it </w:t>
      </w:r>
      <w:r w:rsidR="005225F0" w:rsidRPr="000F19AD">
        <w:rPr>
          <w:rFonts w:ascii="Arial" w:hAnsi="Arial" w:cs="Arial"/>
          <w:sz w:val="22"/>
          <w:szCs w:val="22"/>
        </w:rPr>
        <w:t>daily</w:t>
      </w:r>
      <w:r w:rsidRPr="000F19AD">
        <w:rPr>
          <w:rFonts w:ascii="Arial" w:hAnsi="Arial" w:cs="Arial"/>
          <w:sz w:val="22"/>
          <w:szCs w:val="22"/>
        </w:rPr>
        <w:t xml:space="preserve"> are two different things, with educators being responsible for figuring out the specifics. However, recent guidance in early years settings may influence behaviour policies, despite the vagueness of legislation on the subject. For example, the </w:t>
      </w:r>
      <w:r w:rsidRPr="000F19AD">
        <w:rPr>
          <w:rFonts w:ascii="Arial" w:hAnsi="Arial" w:cs="Arial"/>
          <w:i/>
          <w:iCs/>
          <w:sz w:val="22"/>
          <w:szCs w:val="22"/>
        </w:rPr>
        <w:t xml:space="preserve">Flying Start </w:t>
      </w:r>
      <w:r w:rsidR="005225F0" w:rsidRPr="000F19AD">
        <w:rPr>
          <w:rFonts w:ascii="Arial" w:hAnsi="Arial" w:cs="Arial"/>
          <w:i/>
          <w:iCs/>
          <w:sz w:val="22"/>
          <w:szCs w:val="22"/>
        </w:rPr>
        <w:t>Childcare Guidance (2023)</w:t>
      </w:r>
      <w:r w:rsidRPr="000F19AD">
        <w:rPr>
          <w:rFonts w:ascii="Arial" w:hAnsi="Arial" w:cs="Arial"/>
          <w:sz w:val="22"/>
          <w:szCs w:val="22"/>
        </w:rPr>
        <w:t xml:space="preserve"> emphasises the need for adults to be sensitive and responsive to children's needs, however, lacks specific advice on how to support their behaviour. Nevertheless, </w:t>
      </w:r>
      <w:r w:rsidR="00893AD8" w:rsidRPr="000F19AD">
        <w:rPr>
          <w:rFonts w:ascii="Arial" w:hAnsi="Arial" w:cs="Arial"/>
          <w:sz w:val="22"/>
          <w:szCs w:val="22"/>
        </w:rPr>
        <w:t>A</w:t>
      </w:r>
      <w:r w:rsidRPr="000F19AD">
        <w:rPr>
          <w:rFonts w:ascii="Arial" w:hAnsi="Arial" w:cs="Arial"/>
          <w:sz w:val="22"/>
          <w:szCs w:val="22"/>
        </w:rPr>
        <w:t xml:space="preserve"> Curriculum for Funded Non-Maintained Nursery Settings</w:t>
      </w:r>
      <w:r w:rsidR="00893AD8" w:rsidRPr="000F19AD">
        <w:rPr>
          <w:rFonts w:ascii="Arial" w:hAnsi="Arial" w:cs="Arial"/>
          <w:sz w:val="22"/>
          <w:szCs w:val="22"/>
        </w:rPr>
        <w:t xml:space="preserve"> (2022)</w:t>
      </w:r>
      <w:r w:rsidRPr="000F19AD">
        <w:rPr>
          <w:rFonts w:ascii="Arial" w:hAnsi="Arial" w:cs="Arial"/>
          <w:sz w:val="22"/>
          <w:szCs w:val="22"/>
        </w:rPr>
        <w:t xml:space="preserve"> places a strong emphasis on the value of adults fostering emotionally safe environments in order to support children in identifying and constructively regulating their emotions and behaviour.</w:t>
      </w:r>
      <w:r w:rsidR="00893AD8" w:rsidRPr="000F19AD">
        <w:rPr>
          <w:rFonts w:ascii="Arial" w:hAnsi="Arial" w:cs="Arial"/>
          <w:sz w:val="22"/>
          <w:szCs w:val="22"/>
        </w:rPr>
        <w:t xml:space="preserve"> I</w:t>
      </w:r>
      <w:r w:rsidRPr="000F19AD">
        <w:rPr>
          <w:rFonts w:ascii="Arial" w:hAnsi="Arial" w:cs="Arial"/>
          <w:sz w:val="22"/>
          <w:szCs w:val="22"/>
        </w:rPr>
        <w:t>t has been identified that the settings" promoting positive behaviour policy" emphasises the importance of strong relationships, however, it could benefit from more detailed information on this subject.  </w:t>
      </w:r>
    </w:p>
    <w:p w14:paraId="3E8F1989" w14:textId="650E2C0C"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Bowlby's theory </w:t>
      </w:r>
      <w:r w:rsidR="00893AD8" w:rsidRPr="000F19AD">
        <w:rPr>
          <w:rFonts w:ascii="Arial" w:hAnsi="Arial" w:cs="Arial"/>
          <w:sz w:val="22"/>
          <w:szCs w:val="22"/>
        </w:rPr>
        <w:t>(1969, cited</w:t>
      </w:r>
      <w:r w:rsidR="003D13BF" w:rsidRPr="000F19AD">
        <w:rPr>
          <w:rFonts w:ascii="Arial" w:hAnsi="Arial" w:cs="Arial"/>
          <w:sz w:val="22"/>
          <w:szCs w:val="22"/>
        </w:rPr>
        <w:t xml:space="preserve"> by</w:t>
      </w:r>
      <w:r w:rsidR="00893AD8" w:rsidRPr="000F19AD">
        <w:rPr>
          <w:rFonts w:ascii="Arial" w:hAnsi="Arial" w:cs="Arial"/>
          <w:sz w:val="22"/>
          <w:szCs w:val="22"/>
        </w:rPr>
        <w:t xml:space="preserve"> Lewis et al. 2021, p.119) states</w:t>
      </w:r>
      <w:r w:rsidRPr="000F19AD">
        <w:rPr>
          <w:rFonts w:ascii="Arial" w:hAnsi="Arial" w:cs="Arial"/>
          <w:sz w:val="22"/>
          <w:szCs w:val="22"/>
        </w:rPr>
        <w:t xml:space="preserve"> that a child's attachment to their primary care provider significantly impacts their current and future </w:t>
      </w:r>
      <w:r w:rsidR="00893AD8" w:rsidRPr="000F19AD">
        <w:rPr>
          <w:rFonts w:ascii="Arial" w:hAnsi="Arial" w:cs="Arial"/>
          <w:sz w:val="22"/>
          <w:szCs w:val="22"/>
        </w:rPr>
        <w:t>behaviour</w:t>
      </w:r>
      <w:r w:rsidRPr="000F19AD">
        <w:rPr>
          <w:rFonts w:ascii="Arial" w:hAnsi="Arial" w:cs="Arial"/>
          <w:sz w:val="22"/>
          <w:szCs w:val="22"/>
        </w:rPr>
        <w:t>.</w:t>
      </w:r>
      <w:r w:rsidR="00893AD8" w:rsidRPr="000F19AD">
        <w:rPr>
          <w:rFonts w:ascii="Arial" w:hAnsi="Arial" w:cs="Arial"/>
          <w:sz w:val="22"/>
          <w:szCs w:val="22"/>
        </w:rPr>
        <w:t xml:space="preserve"> </w:t>
      </w:r>
      <w:r w:rsidR="00681674" w:rsidRPr="000F19AD">
        <w:rPr>
          <w:rFonts w:ascii="Arial" w:hAnsi="Arial" w:cs="Arial"/>
          <w:sz w:val="22"/>
          <w:szCs w:val="22"/>
        </w:rPr>
        <w:t>Heimer and Ramm</w:t>
      </w:r>
      <w:r w:rsidR="00AF216F" w:rsidRPr="000F19AD">
        <w:rPr>
          <w:rFonts w:ascii="Arial" w:hAnsi="Arial" w:cs="Arial"/>
          <w:sz w:val="22"/>
          <w:szCs w:val="22"/>
        </w:rPr>
        <w:t xml:space="preserve">inger </w:t>
      </w:r>
      <w:r w:rsidRPr="000F19AD">
        <w:rPr>
          <w:rFonts w:ascii="Arial" w:hAnsi="Arial" w:cs="Arial"/>
          <w:sz w:val="22"/>
          <w:szCs w:val="22"/>
        </w:rPr>
        <w:t>(20</w:t>
      </w:r>
      <w:r w:rsidR="00AF216F" w:rsidRPr="000F19AD">
        <w:rPr>
          <w:rFonts w:ascii="Arial" w:hAnsi="Arial" w:cs="Arial"/>
          <w:sz w:val="22"/>
          <w:szCs w:val="22"/>
        </w:rPr>
        <w:t>20</w:t>
      </w:r>
      <w:r w:rsidR="00233843" w:rsidRPr="000F19AD">
        <w:rPr>
          <w:rFonts w:ascii="Arial" w:hAnsi="Arial" w:cs="Arial"/>
          <w:sz w:val="22"/>
          <w:szCs w:val="22"/>
        </w:rPr>
        <w:t>, p.7</w:t>
      </w:r>
      <w:r w:rsidRPr="000F19AD">
        <w:rPr>
          <w:rFonts w:ascii="Arial" w:hAnsi="Arial" w:cs="Arial"/>
          <w:sz w:val="22"/>
          <w:szCs w:val="22"/>
        </w:rPr>
        <w:t>) notably supports this notion and goes on to explain how early experiences in relationships impact the formation of the brain's architecture, which lays the groundwork for all subsequent learning, behaviour, and health. Social-cultural conceptions would support this theory. Vygotsky (1978 and Cazden 1988</w:t>
      </w:r>
      <w:r w:rsidR="006E61F2" w:rsidRPr="000F19AD">
        <w:rPr>
          <w:rFonts w:ascii="Arial" w:hAnsi="Arial" w:cs="Arial"/>
          <w:sz w:val="22"/>
          <w:szCs w:val="22"/>
        </w:rPr>
        <w:t xml:space="preserve"> cited</w:t>
      </w:r>
      <w:r w:rsidR="00D41E2E" w:rsidRPr="000F19AD">
        <w:rPr>
          <w:rFonts w:ascii="Arial" w:hAnsi="Arial" w:cs="Arial"/>
          <w:sz w:val="22"/>
          <w:szCs w:val="22"/>
        </w:rPr>
        <w:t xml:space="preserve"> by</w:t>
      </w:r>
      <w:r w:rsidR="006E61F2" w:rsidRPr="000F19AD">
        <w:rPr>
          <w:rFonts w:ascii="Arial" w:hAnsi="Arial" w:cs="Arial"/>
          <w:sz w:val="22"/>
          <w:szCs w:val="22"/>
        </w:rPr>
        <w:t xml:space="preserve"> Mercier</w:t>
      </w:r>
      <w:r w:rsidRPr="000F19AD">
        <w:rPr>
          <w:rFonts w:ascii="Arial" w:hAnsi="Arial" w:cs="Arial"/>
          <w:sz w:val="22"/>
          <w:szCs w:val="22"/>
        </w:rPr>
        <w:t xml:space="preserve"> and Howe 2012</w:t>
      </w:r>
      <w:r w:rsidR="006E61F2" w:rsidRPr="000F19AD">
        <w:rPr>
          <w:rFonts w:ascii="Arial" w:hAnsi="Arial" w:cs="Arial"/>
          <w:sz w:val="22"/>
          <w:szCs w:val="22"/>
        </w:rPr>
        <w:t>, p.23</w:t>
      </w:r>
      <w:r w:rsidRPr="000F19AD">
        <w:rPr>
          <w:rFonts w:ascii="Arial" w:hAnsi="Arial" w:cs="Arial"/>
          <w:sz w:val="22"/>
          <w:szCs w:val="22"/>
        </w:rPr>
        <w:t>)</w:t>
      </w:r>
      <w:r w:rsidR="006E61F2" w:rsidRPr="000F19AD">
        <w:rPr>
          <w:rFonts w:ascii="Arial" w:hAnsi="Arial" w:cs="Arial"/>
          <w:sz w:val="22"/>
          <w:szCs w:val="22"/>
        </w:rPr>
        <w:t>,</w:t>
      </w:r>
      <w:r w:rsidRPr="000F19AD">
        <w:rPr>
          <w:rFonts w:ascii="Arial" w:hAnsi="Arial" w:cs="Arial"/>
          <w:sz w:val="22"/>
          <w:szCs w:val="22"/>
        </w:rPr>
        <w:t xml:space="preserve"> place an emphasis on the adult’s role, stating that social setting and conversation are essential components in the formation of mental tools that enable children to learn new abilities. Elaborating further Cadima et al.'s </w:t>
      </w:r>
      <w:r w:rsidR="006E61F2" w:rsidRPr="000F19AD">
        <w:rPr>
          <w:rFonts w:ascii="Arial" w:hAnsi="Arial" w:cs="Arial"/>
          <w:sz w:val="22"/>
          <w:szCs w:val="22"/>
        </w:rPr>
        <w:t>(2016</w:t>
      </w:r>
      <w:r w:rsidRPr="000F19AD">
        <w:rPr>
          <w:rFonts w:ascii="Arial" w:hAnsi="Arial" w:cs="Arial"/>
          <w:sz w:val="22"/>
          <w:szCs w:val="22"/>
        </w:rPr>
        <w:t xml:space="preserve">, p. 7-17) study on disadvantaged preschool children revealed a correlation between self-regulation development and the teacher-child relationship. Concurring and adding further details, self-regulation, according to Gragg and Collet (2021, p. 182- 196), is the coordinated use of attention and impulse control skills. Consequently, one could contend that these skills are essential </w:t>
      </w:r>
      <w:r w:rsidRPr="000F19AD">
        <w:rPr>
          <w:rFonts w:ascii="Arial" w:hAnsi="Arial" w:cs="Arial"/>
          <w:sz w:val="22"/>
          <w:szCs w:val="22"/>
        </w:rPr>
        <w:lastRenderedPageBreak/>
        <w:t>for aiding children with their behaviour and that adult-child relationships are critical for helping children acquire these abilities. A quality Framework for Early Childhood, Play, Learning and Care in Wales (2023) outlines several strategies that practitioners can use to foster strong relationships and interactions with children by listening to and learning from their points of view, as well as by making them feel involved and like they belong. However, though there is some advice emphasising the value of fostering strong relationships to encourage positive behaviour, currently, there appears to be little guidance on how practitioners might do this.  One way to enhance the "</w:t>
      </w:r>
      <w:r w:rsidR="006E61F2" w:rsidRPr="000F19AD">
        <w:rPr>
          <w:rFonts w:ascii="Arial" w:hAnsi="Arial" w:cs="Arial"/>
          <w:sz w:val="22"/>
          <w:szCs w:val="22"/>
        </w:rPr>
        <w:t>behaviour</w:t>
      </w:r>
      <w:r w:rsidRPr="000F19AD">
        <w:rPr>
          <w:rFonts w:ascii="Arial" w:hAnsi="Arial" w:cs="Arial"/>
          <w:sz w:val="22"/>
          <w:szCs w:val="22"/>
        </w:rPr>
        <w:t xml:space="preserve"> </w:t>
      </w:r>
      <w:r w:rsidR="006E61F2" w:rsidRPr="000F19AD">
        <w:rPr>
          <w:rFonts w:ascii="Arial" w:hAnsi="Arial" w:cs="Arial"/>
          <w:sz w:val="22"/>
          <w:szCs w:val="22"/>
        </w:rPr>
        <w:t>management</w:t>
      </w:r>
      <w:r w:rsidRPr="000F19AD">
        <w:rPr>
          <w:rFonts w:ascii="Arial" w:hAnsi="Arial" w:cs="Arial"/>
          <w:sz w:val="22"/>
          <w:szCs w:val="22"/>
        </w:rPr>
        <w:t xml:space="preserve"> policy" is by providing training and resources for educators on building and maintaining strong relationships with children. This could include strategies for effective communication, active listening, and conflict resolution. </w:t>
      </w:r>
    </w:p>
    <w:p w14:paraId="12D38320" w14:textId="77777777"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w:t>
      </w:r>
    </w:p>
    <w:p w14:paraId="575A1ABF" w14:textId="4DCA3026"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In adherence to the organisation's policy, employees will treat children and their coworkers with courtesy and respect </w:t>
      </w:r>
      <w:r w:rsidR="006E61F2" w:rsidRPr="000F19AD">
        <w:rPr>
          <w:rFonts w:ascii="Arial" w:hAnsi="Arial" w:cs="Arial"/>
          <w:sz w:val="22"/>
          <w:szCs w:val="22"/>
        </w:rPr>
        <w:t>to</w:t>
      </w:r>
      <w:r w:rsidRPr="000F19AD">
        <w:rPr>
          <w:rFonts w:ascii="Arial" w:hAnsi="Arial" w:cs="Arial"/>
          <w:sz w:val="22"/>
          <w:szCs w:val="22"/>
        </w:rPr>
        <w:t xml:space="preserve"> foster strong connections and serve as positive role models for the children. One might surmise that positive role models influence the ability to create positive relationships within the environment. Tassoni (2018, p. 18) highlights brain research showing that children's "mirror-neuron system “a network of brain connections that would fire if they were to perform an action, is activated when they witness good behaviour. This bares similarities to the Banduras social learning model</w:t>
      </w:r>
      <w:r w:rsidR="007C3875" w:rsidRPr="000F19AD">
        <w:rPr>
          <w:rFonts w:ascii="Arial" w:hAnsi="Arial" w:cs="Arial"/>
          <w:sz w:val="22"/>
          <w:szCs w:val="22"/>
        </w:rPr>
        <w:t xml:space="preserve"> (1977, cited by Taylor and Workman, 2018, p. 139)</w:t>
      </w:r>
      <w:r w:rsidRPr="000F19AD">
        <w:rPr>
          <w:rFonts w:ascii="Arial" w:hAnsi="Arial" w:cs="Arial"/>
          <w:sz w:val="22"/>
          <w:szCs w:val="22"/>
        </w:rPr>
        <w:t>. The theory places an emphasis on the importance of observing, modelling, and imitating the behaviours, attitudes, and emotional reactions of others</w:t>
      </w:r>
      <w:r w:rsidR="007C3875" w:rsidRPr="000F19AD">
        <w:rPr>
          <w:rFonts w:ascii="Arial" w:hAnsi="Arial" w:cs="Arial"/>
          <w:sz w:val="22"/>
          <w:szCs w:val="22"/>
        </w:rPr>
        <w:t>.</w:t>
      </w:r>
    </w:p>
    <w:p w14:paraId="36C0ED1A" w14:textId="78D794D5"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Thus, demonstrating kindness, responsiveness, respect, and empathy can foster positive relationships. However, building positive relationships in an educational setting can be challenging for individuals. Razer and Friedman (2017, p. 21) imply that, in some educational environments, </w:t>
      </w:r>
      <w:r w:rsidRPr="000F19AD">
        <w:rPr>
          <w:rFonts w:ascii="Arial" w:hAnsi="Arial" w:cs="Arial"/>
          <w:sz w:val="22"/>
          <w:szCs w:val="22"/>
        </w:rPr>
        <w:lastRenderedPageBreak/>
        <w:t xml:space="preserve">relationships are often overlooked, with a focus on managing behaviour and delivering directives without considering a child's physical and psychological needs and how these may influence external behaviours. Rhodes et al. (2019, p. 16) elaborate further, stating that if behaviour management is the </w:t>
      </w:r>
      <w:r w:rsidR="007C3875" w:rsidRPr="000F19AD">
        <w:rPr>
          <w:rFonts w:ascii="Arial" w:hAnsi="Arial" w:cs="Arial"/>
          <w:sz w:val="22"/>
          <w:szCs w:val="22"/>
        </w:rPr>
        <w:t>focus</w:t>
      </w:r>
      <w:r w:rsidRPr="000F19AD">
        <w:rPr>
          <w:rFonts w:ascii="Arial" w:hAnsi="Arial" w:cs="Arial"/>
          <w:sz w:val="22"/>
          <w:szCs w:val="22"/>
        </w:rPr>
        <w:t xml:space="preserve">, educators may feel overwhelmed and pressured, and this strategy is unlikely to help the children improve their behaviour. The organisation's policy is called “Managing Behaviour." This policy label may inadvertently create a misconception about the organisation's intentions, as it suggests a primary emphasis on managing and controlling the child's behaviour rather than fostering an understanding and supportive approach towards the child's behaviour. This could be a potential consequence of insufficient legislation or guidance, as in the </w:t>
      </w:r>
      <w:r w:rsidRPr="000F19AD">
        <w:rPr>
          <w:rFonts w:ascii="Arial" w:hAnsi="Arial" w:cs="Arial"/>
          <w:i/>
          <w:iCs/>
          <w:sz w:val="22"/>
          <w:szCs w:val="22"/>
        </w:rPr>
        <w:t>National Minimum Standards</w:t>
      </w:r>
      <w:r w:rsidR="007C3875" w:rsidRPr="000F19AD">
        <w:rPr>
          <w:rFonts w:ascii="Arial" w:hAnsi="Arial" w:cs="Arial"/>
          <w:i/>
          <w:iCs/>
          <w:sz w:val="22"/>
          <w:szCs w:val="22"/>
        </w:rPr>
        <w:t xml:space="preserve"> 2023</w:t>
      </w:r>
      <w:r w:rsidRPr="000F19AD">
        <w:rPr>
          <w:rFonts w:ascii="Arial" w:hAnsi="Arial" w:cs="Arial"/>
          <w:i/>
          <w:iCs/>
          <w:sz w:val="22"/>
          <w:szCs w:val="22"/>
        </w:rPr>
        <w:t xml:space="preserve">, </w:t>
      </w:r>
      <w:r w:rsidR="007C3875" w:rsidRPr="000F19AD">
        <w:rPr>
          <w:rFonts w:ascii="Arial" w:hAnsi="Arial" w:cs="Arial"/>
          <w:i/>
          <w:iCs/>
          <w:sz w:val="22"/>
          <w:szCs w:val="22"/>
        </w:rPr>
        <w:t>Standard 9</w:t>
      </w:r>
      <w:r w:rsidRPr="000F19AD">
        <w:rPr>
          <w:rFonts w:ascii="Arial" w:hAnsi="Arial" w:cs="Arial"/>
          <w:sz w:val="22"/>
          <w:szCs w:val="22"/>
        </w:rPr>
        <w:t>, there appears to be regular references to “managing behaviour."</w:t>
      </w:r>
      <w:r w:rsidR="007C3875" w:rsidRPr="000F19AD">
        <w:rPr>
          <w:rFonts w:ascii="Arial" w:hAnsi="Arial" w:cs="Arial"/>
          <w:sz w:val="22"/>
          <w:szCs w:val="22"/>
        </w:rPr>
        <w:t>.</w:t>
      </w:r>
      <w:r w:rsidRPr="000F19AD">
        <w:rPr>
          <w:rFonts w:ascii="Arial" w:hAnsi="Arial" w:cs="Arial"/>
          <w:sz w:val="22"/>
          <w:szCs w:val="22"/>
        </w:rPr>
        <w:t xml:space="preserve"> As these standards are </w:t>
      </w:r>
      <w:r w:rsidR="007C3875" w:rsidRPr="000F19AD">
        <w:rPr>
          <w:rFonts w:ascii="Arial" w:hAnsi="Arial" w:cs="Arial"/>
          <w:sz w:val="22"/>
          <w:szCs w:val="22"/>
        </w:rPr>
        <w:t>seminal</w:t>
      </w:r>
      <w:r w:rsidRPr="000F19AD">
        <w:rPr>
          <w:rFonts w:ascii="Arial" w:hAnsi="Arial" w:cs="Arial"/>
          <w:sz w:val="22"/>
          <w:szCs w:val="22"/>
        </w:rPr>
        <w:t xml:space="preserve"> in developing policies, it could be argued that there is a need to update the understanding and terminology that are being used </w:t>
      </w:r>
      <w:r w:rsidR="007C3875" w:rsidRPr="000F19AD">
        <w:rPr>
          <w:rFonts w:ascii="Arial" w:hAnsi="Arial" w:cs="Arial"/>
          <w:sz w:val="22"/>
          <w:szCs w:val="22"/>
        </w:rPr>
        <w:t>to</w:t>
      </w:r>
      <w:r w:rsidRPr="000F19AD">
        <w:rPr>
          <w:rFonts w:ascii="Arial" w:hAnsi="Arial" w:cs="Arial"/>
          <w:sz w:val="22"/>
          <w:szCs w:val="22"/>
        </w:rPr>
        <w:t xml:space="preserve"> address the complexities and nuances of managing behaviour in various settings. </w:t>
      </w:r>
      <w:r w:rsidR="001474DB" w:rsidRPr="000F19AD">
        <w:rPr>
          <w:rFonts w:ascii="Arial" w:hAnsi="Arial" w:cs="Arial"/>
          <w:sz w:val="22"/>
          <w:szCs w:val="22"/>
        </w:rPr>
        <w:t>It could be further argued that by u</w:t>
      </w:r>
      <w:r w:rsidRPr="000F19AD">
        <w:rPr>
          <w:rFonts w:ascii="Arial" w:hAnsi="Arial" w:cs="Arial"/>
          <w:sz w:val="22"/>
          <w:szCs w:val="22"/>
        </w:rPr>
        <w:t>pdating the standards and terminology used could also help in fostering a more inclusive and person-centred approach, considering individual needs and circumstances. Nevertheless, it is crucial for the organisation to ensure that their policy aligns with their true objective of nurturing and assisting children in their development by establishing strong relationships and being positive role models. Thus, a need for a change in the name of the policy has been identified.</w:t>
      </w:r>
    </w:p>
    <w:p w14:paraId="2254BE83" w14:textId="77777777" w:rsidR="002F1D3E"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w:t>
      </w:r>
    </w:p>
    <w:p w14:paraId="52F10A71" w14:textId="05573300" w:rsidR="00D800FB"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Although Banduras theory suggests that positive role models and strong relationships can significantly influence a child's behaviour. </w:t>
      </w:r>
      <w:r w:rsidR="001C1C3A" w:rsidRPr="000F19AD">
        <w:rPr>
          <w:rFonts w:ascii="Arial" w:hAnsi="Arial" w:cs="Arial"/>
          <w:sz w:val="22"/>
          <w:szCs w:val="22"/>
        </w:rPr>
        <w:t xml:space="preserve">Critics argue that Bandura's theory oversimplifies the complex nature of human behaviour by solely focusing on the influence of role models and relationships </w:t>
      </w:r>
      <w:r w:rsidRPr="000F19AD">
        <w:rPr>
          <w:rFonts w:ascii="Arial" w:hAnsi="Arial" w:cs="Arial"/>
          <w:sz w:val="22"/>
          <w:szCs w:val="22"/>
        </w:rPr>
        <w:t xml:space="preserve">(Mcleod, 2023). </w:t>
      </w:r>
      <w:r w:rsidR="001C1C3A" w:rsidRPr="000F19AD">
        <w:rPr>
          <w:rFonts w:ascii="Arial" w:hAnsi="Arial" w:cs="Arial"/>
          <w:sz w:val="22"/>
          <w:szCs w:val="22"/>
        </w:rPr>
        <w:t xml:space="preserve">In contrast to this, </w:t>
      </w:r>
      <w:r w:rsidRPr="000F19AD">
        <w:rPr>
          <w:rFonts w:ascii="Arial" w:hAnsi="Arial" w:cs="Arial"/>
          <w:sz w:val="22"/>
          <w:szCs w:val="22"/>
        </w:rPr>
        <w:t>Bronfenbrenner</w:t>
      </w:r>
      <w:r w:rsidR="005F777C" w:rsidRPr="000F19AD">
        <w:rPr>
          <w:rFonts w:ascii="Arial" w:hAnsi="Arial" w:cs="Arial"/>
          <w:sz w:val="22"/>
          <w:szCs w:val="22"/>
        </w:rPr>
        <w:t>’s</w:t>
      </w:r>
      <w:r w:rsidR="00356788" w:rsidRPr="000F19AD">
        <w:rPr>
          <w:rFonts w:ascii="Arial" w:hAnsi="Arial" w:cs="Arial"/>
          <w:sz w:val="22"/>
          <w:szCs w:val="22"/>
        </w:rPr>
        <w:t xml:space="preserve"> (1977</w:t>
      </w:r>
      <w:r w:rsidR="008F7A64" w:rsidRPr="000F19AD">
        <w:rPr>
          <w:rFonts w:ascii="Arial" w:hAnsi="Arial" w:cs="Arial"/>
          <w:sz w:val="22"/>
          <w:szCs w:val="22"/>
        </w:rPr>
        <w:t>, as cited by Cherry</w:t>
      </w:r>
      <w:r w:rsidR="005C07AC" w:rsidRPr="000F19AD">
        <w:rPr>
          <w:rFonts w:ascii="Arial" w:hAnsi="Arial" w:cs="Arial"/>
          <w:sz w:val="22"/>
          <w:szCs w:val="22"/>
        </w:rPr>
        <w:t>, 2023</w:t>
      </w:r>
      <w:r w:rsidR="00356788" w:rsidRPr="000F19AD">
        <w:rPr>
          <w:rFonts w:ascii="Arial" w:hAnsi="Arial" w:cs="Arial"/>
          <w:sz w:val="22"/>
          <w:szCs w:val="22"/>
        </w:rPr>
        <w:t>)</w:t>
      </w:r>
      <w:r w:rsidR="005F777C" w:rsidRPr="000F19AD">
        <w:rPr>
          <w:rFonts w:ascii="Arial" w:hAnsi="Arial" w:cs="Arial"/>
          <w:sz w:val="22"/>
          <w:szCs w:val="22"/>
        </w:rPr>
        <w:t xml:space="preserve"> influential model</w:t>
      </w:r>
      <w:r w:rsidRPr="000F19AD">
        <w:rPr>
          <w:rFonts w:ascii="Arial" w:hAnsi="Arial" w:cs="Arial"/>
          <w:sz w:val="22"/>
          <w:szCs w:val="22"/>
        </w:rPr>
        <w:t xml:space="preserve"> does consider biological factors as well </w:t>
      </w:r>
      <w:r w:rsidRPr="000F19AD">
        <w:rPr>
          <w:rFonts w:ascii="Arial" w:hAnsi="Arial" w:cs="Arial"/>
          <w:sz w:val="22"/>
          <w:szCs w:val="22"/>
        </w:rPr>
        <w:lastRenderedPageBreak/>
        <w:t>as social and cultural factors.</w:t>
      </w:r>
      <w:r w:rsidR="005F777C" w:rsidRPr="000F19AD">
        <w:rPr>
          <w:rFonts w:ascii="Arial" w:hAnsi="Arial" w:cs="Arial"/>
          <w:sz w:val="22"/>
          <w:szCs w:val="22"/>
        </w:rPr>
        <w:t xml:space="preserve"> It</w:t>
      </w:r>
      <w:r w:rsidR="005C07AC" w:rsidRPr="000F19AD">
        <w:rPr>
          <w:rFonts w:ascii="Arial" w:hAnsi="Arial" w:cs="Arial"/>
          <w:sz w:val="22"/>
          <w:szCs w:val="22"/>
        </w:rPr>
        <w:t xml:space="preserve"> further</w:t>
      </w:r>
      <w:r w:rsidR="005F777C" w:rsidRPr="000F19AD">
        <w:rPr>
          <w:rFonts w:ascii="Arial" w:hAnsi="Arial" w:cs="Arial"/>
          <w:sz w:val="22"/>
          <w:szCs w:val="22"/>
        </w:rPr>
        <w:t xml:space="preserve"> posits that individuals' interactions with their environment, involving interrelated systems, significantly influence their growth and behaviour, emphasising the interdependence between individuals and their environments, with supportive environments promoting better developmental outcomes. </w:t>
      </w:r>
      <w:r w:rsidRPr="000F19AD">
        <w:rPr>
          <w:rFonts w:ascii="Arial" w:hAnsi="Arial" w:cs="Arial"/>
          <w:sz w:val="22"/>
          <w:szCs w:val="22"/>
        </w:rPr>
        <w:t xml:space="preserve"> </w:t>
      </w:r>
      <w:r w:rsidR="005F777C" w:rsidRPr="000F19AD">
        <w:rPr>
          <w:rFonts w:ascii="Arial" w:hAnsi="Arial" w:cs="Arial"/>
          <w:sz w:val="22"/>
          <w:szCs w:val="22"/>
        </w:rPr>
        <w:t>Disappointingly, t</w:t>
      </w:r>
      <w:r w:rsidRPr="000F19AD">
        <w:rPr>
          <w:rFonts w:ascii="Arial" w:hAnsi="Arial" w:cs="Arial"/>
          <w:sz w:val="22"/>
          <w:szCs w:val="22"/>
        </w:rPr>
        <w:t xml:space="preserve">here appears to be a lack of understanding of socio-biological factors in response to a child's behaviour in the setting. Management has heard remarks from newer employees such as "I don't know why they are not listening today" and "they hit another child for no reason." This lack of understanding of socio-biological factors can lead to misconceptions and misinterpretations of a child's behaviour. </w:t>
      </w:r>
      <w:r w:rsidR="007C5E43" w:rsidRPr="000F19AD">
        <w:rPr>
          <w:rFonts w:ascii="Arial" w:hAnsi="Arial" w:cs="Arial"/>
          <w:sz w:val="22"/>
          <w:szCs w:val="22"/>
        </w:rPr>
        <w:t>Allen</w:t>
      </w:r>
      <w:r w:rsidR="008A2C9E" w:rsidRPr="000F19AD">
        <w:rPr>
          <w:rFonts w:ascii="Arial" w:hAnsi="Arial" w:cs="Arial"/>
          <w:sz w:val="22"/>
          <w:szCs w:val="22"/>
        </w:rPr>
        <w:t xml:space="preserve"> et al</w:t>
      </w:r>
      <w:r w:rsidR="007C5E43" w:rsidRPr="000F19AD">
        <w:rPr>
          <w:rFonts w:ascii="Arial" w:hAnsi="Arial" w:cs="Arial"/>
          <w:sz w:val="22"/>
          <w:szCs w:val="22"/>
        </w:rPr>
        <w:t xml:space="preserve"> (</w:t>
      </w:r>
      <w:r w:rsidR="00F227D7" w:rsidRPr="000F19AD">
        <w:rPr>
          <w:rFonts w:ascii="Arial" w:hAnsi="Arial" w:cs="Arial"/>
          <w:sz w:val="22"/>
          <w:szCs w:val="22"/>
        </w:rPr>
        <w:t xml:space="preserve">2020, </w:t>
      </w:r>
      <w:r w:rsidR="007C5E43" w:rsidRPr="000F19AD">
        <w:rPr>
          <w:rFonts w:ascii="Arial" w:hAnsi="Arial" w:cs="Arial"/>
          <w:sz w:val="22"/>
          <w:szCs w:val="22"/>
        </w:rPr>
        <w:t xml:space="preserve">p.5) assert that </w:t>
      </w:r>
      <w:r w:rsidR="005318DF" w:rsidRPr="000F19AD">
        <w:rPr>
          <w:rFonts w:ascii="Arial" w:hAnsi="Arial" w:cs="Arial"/>
          <w:sz w:val="22"/>
          <w:szCs w:val="22"/>
        </w:rPr>
        <w:t>professional development and training is seminal in supporting children’s learning and development</w:t>
      </w:r>
      <w:r w:rsidR="00B70A9F" w:rsidRPr="000F19AD">
        <w:rPr>
          <w:rFonts w:ascii="Arial" w:hAnsi="Arial" w:cs="Arial"/>
          <w:sz w:val="22"/>
          <w:szCs w:val="22"/>
        </w:rPr>
        <w:t>, as legislation, research and guidance continues to be updating. Therefore, the need</w:t>
      </w:r>
      <w:r w:rsidRPr="000F19AD">
        <w:rPr>
          <w:rFonts w:ascii="Arial" w:hAnsi="Arial" w:cs="Arial"/>
          <w:sz w:val="22"/>
          <w:szCs w:val="22"/>
        </w:rPr>
        <w:t xml:space="preserve"> for management to provide relevant training and education to newer staff members</w:t>
      </w:r>
      <w:r w:rsidR="00B70A9F" w:rsidRPr="000F19AD">
        <w:rPr>
          <w:rFonts w:ascii="Arial" w:hAnsi="Arial" w:cs="Arial"/>
          <w:sz w:val="22"/>
          <w:szCs w:val="22"/>
        </w:rPr>
        <w:t xml:space="preserve"> has been identified</w:t>
      </w:r>
      <w:r w:rsidRPr="000F19AD">
        <w:rPr>
          <w:rFonts w:ascii="Arial" w:hAnsi="Arial" w:cs="Arial"/>
          <w:sz w:val="22"/>
          <w:szCs w:val="22"/>
        </w:rPr>
        <w:t xml:space="preserve">, helping </w:t>
      </w:r>
      <w:r w:rsidR="00D937D5" w:rsidRPr="000F19AD">
        <w:rPr>
          <w:rFonts w:ascii="Arial" w:hAnsi="Arial" w:cs="Arial"/>
          <w:sz w:val="22"/>
          <w:szCs w:val="22"/>
        </w:rPr>
        <w:t>staff</w:t>
      </w:r>
      <w:r w:rsidRPr="000F19AD">
        <w:rPr>
          <w:rFonts w:ascii="Arial" w:hAnsi="Arial" w:cs="Arial"/>
          <w:sz w:val="22"/>
          <w:szCs w:val="22"/>
        </w:rPr>
        <w:t xml:space="preserve"> develop a more comprehensive understanding of the complex factors that influence children's behaviour in a setting. Additionally, this would enable staff members to respond effectively and appropriately to children's needs and behaviours. </w:t>
      </w:r>
    </w:p>
    <w:p w14:paraId="71A2FF6E" w14:textId="6152F80D" w:rsidR="00A914F6" w:rsidRPr="000F19AD" w:rsidRDefault="002F1D3E"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Even though it has been established that professional development and training are essential, </w:t>
      </w:r>
      <w:r w:rsidR="00861552" w:rsidRPr="000F19AD">
        <w:rPr>
          <w:rFonts w:ascii="Arial" w:hAnsi="Arial" w:cs="Arial"/>
          <w:sz w:val="22"/>
          <w:szCs w:val="22"/>
        </w:rPr>
        <w:t xml:space="preserve">it might be suggested that </w:t>
      </w:r>
      <w:r w:rsidRPr="000F19AD">
        <w:rPr>
          <w:rFonts w:ascii="Arial" w:hAnsi="Arial" w:cs="Arial"/>
          <w:sz w:val="22"/>
          <w:szCs w:val="22"/>
        </w:rPr>
        <w:t xml:space="preserve">Wales doesn't seem to have many legislative obligations in this aspect. </w:t>
      </w:r>
      <w:r w:rsidRPr="000F19AD">
        <w:rPr>
          <w:rFonts w:ascii="Arial" w:hAnsi="Arial" w:cs="Arial"/>
          <w:i/>
          <w:iCs/>
          <w:sz w:val="22"/>
          <w:szCs w:val="22"/>
        </w:rPr>
        <w:t>The Child Minding and Day Care (Wales) Regulations 2010</w:t>
      </w:r>
      <w:r w:rsidRPr="000F19AD">
        <w:rPr>
          <w:rFonts w:ascii="Arial" w:hAnsi="Arial" w:cs="Arial"/>
          <w:sz w:val="22"/>
          <w:szCs w:val="22"/>
        </w:rPr>
        <w:t xml:space="preserve"> and the</w:t>
      </w:r>
      <w:r w:rsidR="005F777C" w:rsidRPr="000F19AD">
        <w:rPr>
          <w:rFonts w:ascii="Arial" w:hAnsi="Arial" w:cs="Arial"/>
          <w:sz w:val="22"/>
          <w:szCs w:val="22"/>
        </w:rPr>
        <w:t xml:space="preserve"> </w:t>
      </w:r>
      <w:r w:rsidR="005F777C" w:rsidRPr="000F19AD">
        <w:rPr>
          <w:rFonts w:ascii="Arial" w:hAnsi="Arial" w:cs="Arial"/>
          <w:i/>
          <w:iCs/>
          <w:sz w:val="22"/>
          <w:szCs w:val="22"/>
        </w:rPr>
        <w:t>National</w:t>
      </w:r>
      <w:r w:rsidRPr="000F19AD">
        <w:rPr>
          <w:rFonts w:ascii="Arial" w:hAnsi="Arial" w:cs="Arial"/>
          <w:i/>
          <w:iCs/>
          <w:sz w:val="22"/>
          <w:szCs w:val="22"/>
        </w:rPr>
        <w:t xml:space="preserve"> Minimum Standards</w:t>
      </w:r>
      <w:r w:rsidR="005F777C" w:rsidRPr="000F19AD">
        <w:rPr>
          <w:rFonts w:ascii="Arial" w:hAnsi="Arial" w:cs="Arial"/>
          <w:i/>
          <w:iCs/>
          <w:sz w:val="22"/>
          <w:szCs w:val="22"/>
        </w:rPr>
        <w:t xml:space="preserve"> </w:t>
      </w:r>
      <w:r w:rsidR="00923590" w:rsidRPr="000F19AD">
        <w:rPr>
          <w:rFonts w:ascii="Arial" w:hAnsi="Arial" w:cs="Arial"/>
          <w:i/>
          <w:iCs/>
          <w:sz w:val="22"/>
          <w:szCs w:val="22"/>
        </w:rPr>
        <w:t>(</w:t>
      </w:r>
      <w:r w:rsidR="005F777C" w:rsidRPr="000F19AD">
        <w:rPr>
          <w:rFonts w:ascii="Arial" w:hAnsi="Arial" w:cs="Arial"/>
          <w:i/>
          <w:iCs/>
          <w:sz w:val="22"/>
          <w:szCs w:val="22"/>
        </w:rPr>
        <w:t>2023</w:t>
      </w:r>
      <w:r w:rsidR="00923590" w:rsidRPr="000F19AD">
        <w:rPr>
          <w:rFonts w:ascii="Arial" w:hAnsi="Arial" w:cs="Arial"/>
          <w:i/>
          <w:iCs/>
          <w:sz w:val="22"/>
          <w:szCs w:val="22"/>
        </w:rPr>
        <w:t>)</w:t>
      </w:r>
      <w:r w:rsidRPr="000F19AD">
        <w:rPr>
          <w:rFonts w:ascii="Arial" w:hAnsi="Arial" w:cs="Arial"/>
          <w:sz w:val="22"/>
          <w:szCs w:val="22"/>
        </w:rPr>
        <w:t xml:space="preserve"> both </w:t>
      </w:r>
      <w:r w:rsidR="00431906" w:rsidRPr="000F19AD">
        <w:rPr>
          <w:rFonts w:ascii="Arial" w:hAnsi="Arial" w:cs="Arial"/>
          <w:sz w:val="22"/>
          <w:szCs w:val="22"/>
        </w:rPr>
        <w:t xml:space="preserve">appear to </w:t>
      </w:r>
      <w:r w:rsidRPr="000F19AD">
        <w:rPr>
          <w:rFonts w:ascii="Arial" w:hAnsi="Arial" w:cs="Arial"/>
          <w:sz w:val="22"/>
          <w:szCs w:val="22"/>
        </w:rPr>
        <w:t xml:space="preserve">downplay how important it is for professionals to stay current on research and make sure they are continuously developing their skills in order to support children's behaviour. Yet, despite the lack of legal requirements, there is some guidance that does place an emphasis on professional development. The Flying Strat </w:t>
      </w:r>
      <w:r w:rsidR="00923590" w:rsidRPr="000F19AD">
        <w:rPr>
          <w:rFonts w:ascii="Arial" w:hAnsi="Arial" w:cs="Arial"/>
          <w:sz w:val="22"/>
          <w:szCs w:val="22"/>
        </w:rPr>
        <w:t>Childcare Guidance (2023)</w:t>
      </w:r>
      <w:r w:rsidRPr="000F19AD">
        <w:rPr>
          <w:rFonts w:ascii="Arial" w:hAnsi="Arial" w:cs="Arial"/>
          <w:sz w:val="22"/>
          <w:szCs w:val="22"/>
        </w:rPr>
        <w:t xml:space="preserve"> clearly state</w:t>
      </w:r>
      <w:r w:rsidR="00923590" w:rsidRPr="000F19AD">
        <w:rPr>
          <w:rFonts w:ascii="Arial" w:hAnsi="Arial" w:cs="Arial"/>
          <w:sz w:val="22"/>
          <w:szCs w:val="22"/>
        </w:rPr>
        <w:t>s</w:t>
      </w:r>
      <w:r w:rsidRPr="000F19AD">
        <w:rPr>
          <w:rFonts w:ascii="Arial" w:hAnsi="Arial" w:cs="Arial"/>
          <w:sz w:val="22"/>
          <w:szCs w:val="22"/>
        </w:rPr>
        <w:t xml:space="preserve"> that to enhance and support children’s development, staff should be appropriately trained, and staff development should ensure continuity, stability, and also improve quality. This is consistent with the Effective Provision of Pre-school Education (EPPSE) experiment, which found a relationship between the progress of the children and the </w:t>
      </w:r>
      <w:r w:rsidRPr="000F19AD">
        <w:rPr>
          <w:rFonts w:ascii="Arial" w:hAnsi="Arial" w:cs="Arial"/>
          <w:sz w:val="22"/>
          <w:szCs w:val="22"/>
        </w:rPr>
        <w:lastRenderedPageBreak/>
        <w:t>calibre of training staff members received. (Taggart et al., 2015, P. 20). Unfortunately, the commitment to training and professional development is not emphasised in the current policy. Worryingly, by neglecting the importance of training and professional development in the current policy, there is a risk of hindering the growth and progress of employees, and this is likely to have a negative impact on the children’s outcomes. A comprehensive review and update of the policy would ensure that the value of continuous learning is recognised and prioritised within the organisation when supporting behaviour.</w:t>
      </w:r>
    </w:p>
    <w:p w14:paraId="0AF8F8CE" w14:textId="3DA02B14" w:rsidR="002F1D3E" w:rsidRPr="000F19AD" w:rsidRDefault="00A914F6"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Having said that, </w:t>
      </w:r>
      <w:r w:rsidR="00D800FB" w:rsidRPr="000F19AD">
        <w:rPr>
          <w:rFonts w:ascii="Arial" w:hAnsi="Arial" w:cs="Arial"/>
          <w:sz w:val="22"/>
          <w:szCs w:val="22"/>
        </w:rPr>
        <w:t xml:space="preserve">management must also ensure that the organisation's policy respects each child, in addition to updating and applying the most relevant training. </w:t>
      </w:r>
      <w:r w:rsidR="002F1D3E" w:rsidRPr="000F19AD">
        <w:rPr>
          <w:rFonts w:ascii="Arial" w:hAnsi="Arial" w:cs="Arial"/>
          <w:sz w:val="22"/>
          <w:szCs w:val="22"/>
        </w:rPr>
        <w:t>Regretfully, it has been determined that certain phrasing in the current policy is damaging. "The bully" is mentioned in the policy.</w:t>
      </w:r>
      <w:r w:rsidR="000B18DD" w:rsidRPr="000F19AD">
        <w:rPr>
          <w:rFonts w:ascii="Arial" w:hAnsi="Arial" w:cs="Arial"/>
          <w:sz w:val="22"/>
          <w:szCs w:val="22"/>
        </w:rPr>
        <w:t xml:space="preserve"> T</w:t>
      </w:r>
      <w:r w:rsidR="002F1D3E" w:rsidRPr="000F19AD">
        <w:rPr>
          <w:rFonts w:ascii="Arial" w:hAnsi="Arial" w:cs="Arial"/>
          <w:sz w:val="22"/>
          <w:szCs w:val="22"/>
        </w:rPr>
        <w:t xml:space="preserve">his expression seems to stigmatise a young child for the actions they are exhibiting, which could be detrimental to their wellbeing and self-worth. </w:t>
      </w:r>
      <w:r w:rsidR="000B18DD" w:rsidRPr="000F19AD">
        <w:rPr>
          <w:rFonts w:ascii="Arial" w:hAnsi="Arial" w:cs="Arial"/>
          <w:sz w:val="22"/>
          <w:szCs w:val="22"/>
        </w:rPr>
        <w:t>Milburn-Curtis (2017, p.23) explains</w:t>
      </w:r>
      <w:r w:rsidR="002F1D3E" w:rsidRPr="000F19AD">
        <w:rPr>
          <w:rFonts w:ascii="Arial" w:hAnsi="Arial" w:cs="Arial"/>
          <w:sz w:val="22"/>
          <w:szCs w:val="22"/>
        </w:rPr>
        <w:t xml:space="preserve"> why psychologists advise against labelling children, since doing so implies that their behaviours are unchangeable. Agreeing, </w:t>
      </w:r>
      <w:r w:rsidR="000B18DD" w:rsidRPr="000F19AD">
        <w:rPr>
          <w:rFonts w:ascii="Arial" w:hAnsi="Arial" w:cs="Arial"/>
          <w:sz w:val="22"/>
          <w:szCs w:val="22"/>
        </w:rPr>
        <w:t>Besnili and Tanrikulu (2021)</w:t>
      </w:r>
      <w:r w:rsidR="002F1D3E" w:rsidRPr="000F19AD">
        <w:rPr>
          <w:rFonts w:ascii="Arial" w:hAnsi="Arial" w:cs="Arial"/>
          <w:sz w:val="22"/>
          <w:szCs w:val="22"/>
        </w:rPr>
        <w:t xml:space="preserve"> mention that assigning a label to a child can have an adverse effect on the environment, the child's future interactions in the setting, and the child's behaviour in response to the negative label. Therefore, it is crucial for management to address this issue promptly and revise the policy language to promote a more empathetic and inclusive approach. By reframing the terminology to focus on the behaviour rather than labelling the child, a safer and more supportive environment can be established.</w:t>
      </w:r>
    </w:p>
    <w:p w14:paraId="6829CEDA" w14:textId="6C9EC60A" w:rsidR="001C437F" w:rsidRDefault="001C437F" w:rsidP="00325717">
      <w:pPr>
        <w:pStyle w:val="NormalWeb"/>
        <w:spacing w:line="480" w:lineRule="auto"/>
        <w:jc w:val="both"/>
        <w:rPr>
          <w:rFonts w:ascii="Arial" w:hAnsi="Arial" w:cs="Arial"/>
          <w:sz w:val="22"/>
          <w:szCs w:val="22"/>
        </w:rPr>
      </w:pPr>
      <w:r w:rsidRPr="000F19AD">
        <w:rPr>
          <w:rFonts w:ascii="Arial" w:hAnsi="Arial" w:cs="Arial"/>
          <w:sz w:val="22"/>
          <w:szCs w:val="22"/>
        </w:rPr>
        <w:t xml:space="preserve">To conclude, </w:t>
      </w:r>
      <w:r w:rsidR="00D800FB" w:rsidRPr="000F19AD">
        <w:rPr>
          <w:rFonts w:ascii="Arial" w:hAnsi="Arial" w:cs="Arial"/>
          <w:sz w:val="22"/>
          <w:szCs w:val="22"/>
        </w:rPr>
        <w:t xml:space="preserve">the concept map has helped develop a more relevant </w:t>
      </w:r>
      <w:r w:rsidRPr="000F19AD">
        <w:rPr>
          <w:rFonts w:ascii="Arial" w:hAnsi="Arial" w:cs="Arial"/>
          <w:sz w:val="22"/>
          <w:szCs w:val="22"/>
        </w:rPr>
        <w:t>"Managing Behaviour"</w:t>
      </w:r>
      <w:r w:rsidR="00D800FB" w:rsidRPr="000F19AD">
        <w:rPr>
          <w:rFonts w:ascii="Arial" w:hAnsi="Arial" w:cs="Arial"/>
          <w:sz w:val="22"/>
          <w:szCs w:val="22"/>
        </w:rPr>
        <w:t xml:space="preserve"> policy, supported</w:t>
      </w:r>
      <w:r w:rsidRPr="000F19AD">
        <w:rPr>
          <w:rFonts w:ascii="Arial" w:hAnsi="Arial" w:cs="Arial"/>
          <w:sz w:val="22"/>
          <w:szCs w:val="22"/>
        </w:rPr>
        <w:t xml:space="preserve"> by current research, theory, guidance, and legislation, indicating a need for </w:t>
      </w:r>
      <w:r w:rsidR="00D800FB" w:rsidRPr="000F19AD">
        <w:rPr>
          <w:rFonts w:ascii="Arial" w:hAnsi="Arial" w:cs="Arial"/>
          <w:sz w:val="22"/>
          <w:szCs w:val="22"/>
        </w:rPr>
        <w:t>the</w:t>
      </w:r>
      <w:r w:rsidRPr="000F19AD">
        <w:rPr>
          <w:rFonts w:ascii="Arial" w:hAnsi="Arial" w:cs="Arial"/>
          <w:sz w:val="22"/>
          <w:szCs w:val="22"/>
        </w:rPr>
        <w:t xml:space="preserve"> change. Staff development, policy review, and management's commitment to updating and implementing policies are crucial for promoting positive behaviour and ensuring the well-being of all children in the setting</w:t>
      </w:r>
      <w:r w:rsidR="00822AB4" w:rsidRPr="000F19AD">
        <w:rPr>
          <w:rFonts w:ascii="Arial" w:hAnsi="Arial" w:cs="Arial"/>
          <w:sz w:val="22"/>
          <w:szCs w:val="22"/>
        </w:rPr>
        <w:t>.</w:t>
      </w:r>
      <w:r w:rsidRPr="000F19AD">
        <w:rPr>
          <w:rFonts w:ascii="Arial" w:hAnsi="Arial" w:cs="Arial"/>
          <w:sz w:val="22"/>
          <w:szCs w:val="22"/>
        </w:rPr>
        <w:t xml:space="preserve"> </w:t>
      </w:r>
      <w:r w:rsidR="00822AB4" w:rsidRPr="000F19AD">
        <w:rPr>
          <w:rFonts w:ascii="Arial" w:hAnsi="Arial" w:cs="Arial"/>
          <w:sz w:val="22"/>
          <w:szCs w:val="22"/>
        </w:rPr>
        <w:t xml:space="preserve">It is recommended that leaders at the setting empower the teams to understand the significance of the new policy and support employees in following the recommended procedures </w:t>
      </w:r>
      <w:r w:rsidR="00822AB4" w:rsidRPr="000F19AD">
        <w:rPr>
          <w:rFonts w:ascii="Arial" w:hAnsi="Arial" w:cs="Arial"/>
          <w:sz w:val="22"/>
          <w:szCs w:val="22"/>
        </w:rPr>
        <w:lastRenderedPageBreak/>
        <w:t>and practice</w:t>
      </w:r>
      <w:r w:rsidRPr="000F19AD">
        <w:rPr>
          <w:rFonts w:ascii="Arial" w:hAnsi="Arial" w:cs="Arial"/>
          <w:sz w:val="22"/>
          <w:szCs w:val="22"/>
        </w:rPr>
        <w:t>. Additionally, leaders should create a culture of open communication and feedback</w:t>
      </w:r>
      <w:r w:rsidR="004301B7">
        <w:rPr>
          <w:rFonts w:ascii="Arial" w:hAnsi="Arial" w:cs="Arial"/>
          <w:sz w:val="22"/>
          <w:szCs w:val="22"/>
        </w:rPr>
        <w:t xml:space="preserve"> </w:t>
      </w:r>
      <w:r w:rsidR="003A0585" w:rsidRPr="000F19AD">
        <w:rPr>
          <w:rFonts w:ascii="Arial" w:hAnsi="Arial" w:cs="Arial"/>
          <w:sz w:val="22"/>
          <w:szCs w:val="22"/>
        </w:rPr>
        <w:t>and prioritise professional development and training to inform future practice.</w:t>
      </w:r>
      <w:r w:rsidRPr="000F19AD">
        <w:rPr>
          <w:rFonts w:ascii="Arial" w:hAnsi="Arial" w:cs="Arial"/>
          <w:sz w:val="22"/>
          <w:szCs w:val="22"/>
        </w:rPr>
        <w:t xml:space="preserve"> By doing so, the organisation can foster a positive and supportive environment that promotes positive behaviour and well-being for all children. </w:t>
      </w:r>
    </w:p>
    <w:p w14:paraId="1D9F9544" w14:textId="77777777" w:rsidR="000C589F" w:rsidRDefault="000C589F" w:rsidP="00325717">
      <w:pPr>
        <w:pStyle w:val="NormalWeb"/>
        <w:spacing w:line="480" w:lineRule="auto"/>
        <w:jc w:val="both"/>
        <w:rPr>
          <w:rFonts w:ascii="Arial" w:hAnsi="Arial" w:cs="Arial"/>
          <w:sz w:val="22"/>
          <w:szCs w:val="22"/>
        </w:rPr>
      </w:pPr>
    </w:p>
    <w:p w14:paraId="183B93DB" w14:textId="77777777" w:rsidR="000C589F" w:rsidRDefault="000C589F" w:rsidP="00325717">
      <w:pPr>
        <w:pStyle w:val="NormalWeb"/>
        <w:spacing w:line="480" w:lineRule="auto"/>
        <w:jc w:val="both"/>
        <w:rPr>
          <w:rFonts w:ascii="Arial" w:hAnsi="Arial" w:cs="Arial"/>
          <w:sz w:val="22"/>
          <w:szCs w:val="22"/>
        </w:rPr>
      </w:pPr>
    </w:p>
    <w:p w14:paraId="700C941D" w14:textId="77777777" w:rsidR="000C589F" w:rsidRDefault="000C589F" w:rsidP="00325717">
      <w:pPr>
        <w:pStyle w:val="NormalWeb"/>
        <w:spacing w:line="480" w:lineRule="auto"/>
        <w:jc w:val="both"/>
        <w:rPr>
          <w:rFonts w:ascii="Arial" w:hAnsi="Arial" w:cs="Arial"/>
          <w:sz w:val="22"/>
          <w:szCs w:val="22"/>
        </w:rPr>
      </w:pPr>
    </w:p>
    <w:p w14:paraId="40B1241A" w14:textId="77777777" w:rsidR="00E47AA7" w:rsidRDefault="00E47AA7" w:rsidP="000C589F">
      <w:pPr>
        <w:spacing w:line="480" w:lineRule="auto"/>
        <w:jc w:val="center"/>
        <w:rPr>
          <w:rFonts w:ascii="Arial" w:hAnsi="Arial" w:cs="Arial"/>
        </w:rPr>
      </w:pPr>
    </w:p>
    <w:p w14:paraId="71BD023B" w14:textId="149C067A" w:rsidR="000C589F" w:rsidRPr="00D4125E" w:rsidRDefault="000C589F" w:rsidP="000C589F">
      <w:pPr>
        <w:spacing w:line="480" w:lineRule="auto"/>
        <w:jc w:val="center"/>
        <w:rPr>
          <w:rFonts w:ascii="Arial" w:hAnsi="Arial" w:cs="Arial"/>
        </w:rPr>
      </w:pPr>
      <w:r w:rsidRPr="00D4125E">
        <w:rPr>
          <w:rFonts w:ascii="Arial" w:hAnsi="Arial" w:cs="Arial"/>
        </w:rPr>
        <w:t>Section 4</w:t>
      </w:r>
    </w:p>
    <w:p w14:paraId="7B0B76A9" w14:textId="77777777" w:rsidR="000C589F" w:rsidRPr="00D4125E" w:rsidRDefault="000C589F" w:rsidP="000C589F">
      <w:pPr>
        <w:spacing w:line="480" w:lineRule="auto"/>
        <w:jc w:val="center"/>
        <w:rPr>
          <w:rFonts w:ascii="Arial" w:hAnsi="Arial" w:cs="Arial"/>
        </w:rPr>
      </w:pPr>
      <w:r w:rsidRPr="00D4125E">
        <w:rPr>
          <w:rFonts w:ascii="Arial" w:hAnsi="Arial" w:cs="Arial"/>
        </w:rPr>
        <w:t>Case Study</w:t>
      </w:r>
    </w:p>
    <w:p w14:paraId="01D41A86" w14:textId="77777777" w:rsidR="000C589F" w:rsidRPr="00D4125E" w:rsidRDefault="000C589F" w:rsidP="000C589F">
      <w:pPr>
        <w:spacing w:line="480" w:lineRule="auto"/>
        <w:jc w:val="center"/>
        <w:rPr>
          <w:rFonts w:ascii="Arial" w:hAnsi="Arial" w:cs="Arial"/>
        </w:rPr>
      </w:pPr>
    </w:p>
    <w:p w14:paraId="410A3429" w14:textId="77777777" w:rsidR="000C589F" w:rsidRPr="00D4125E" w:rsidRDefault="000C589F" w:rsidP="000C589F">
      <w:pPr>
        <w:spacing w:line="480" w:lineRule="auto"/>
        <w:jc w:val="both"/>
        <w:rPr>
          <w:rFonts w:ascii="Arial" w:hAnsi="Arial" w:cs="Arial"/>
        </w:rPr>
      </w:pPr>
      <w:r w:rsidRPr="00D4125E">
        <w:rPr>
          <w:rFonts w:ascii="Arial" w:hAnsi="Arial" w:cs="Arial"/>
        </w:rPr>
        <w:t>Could a lack of understanding on child development limit a child’s imagination and cognitive abilities?</w:t>
      </w:r>
    </w:p>
    <w:p w14:paraId="3F7FEC8D" w14:textId="77777777" w:rsidR="000C589F" w:rsidRPr="00D4125E" w:rsidRDefault="000C589F" w:rsidP="000C589F">
      <w:pPr>
        <w:spacing w:line="480" w:lineRule="auto"/>
        <w:jc w:val="both"/>
        <w:rPr>
          <w:rFonts w:ascii="Arial" w:hAnsi="Arial" w:cs="Arial"/>
        </w:rPr>
      </w:pPr>
    </w:p>
    <w:p w14:paraId="63610675" w14:textId="2FC23D48" w:rsidR="000C589F" w:rsidRPr="00D4125E" w:rsidRDefault="000364E2" w:rsidP="000C589F">
      <w:pPr>
        <w:spacing w:line="480" w:lineRule="auto"/>
        <w:jc w:val="both"/>
        <w:rPr>
          <w:rFonts w:ascii="Arial" w:hAnsi="Arial" w:cs="Arial"/>
        </w:rPr>
      </w:pPr>
      <w:r>
        <w:lastRenderedPageBreak/>
        <w:t>A 4-year-old little girl that was attending our setting in the afternoons once came into the setting looking very sad. Her mother asked if she could have a chat with me to explain what had happened. I invited her mother in, and we had a private conversation. The girl's mother went on to explain that she had been to school that morning and did not have a very good session. I then proceeded to ask what had happened. The mother stated that the school had called her in to inform her that her child had not had a very good session, and they were disappointed in her. The school went on to explain that the little girl was caught putting a glue stick over the doll and that it is not acceptable to treat resources like that. The mother goes on to say to me that she had told the child off for the situation; however, she felt confused because she had never had any negative reports about her behaviour previously. I asked the mother if she minded me speaking to the child to find out what her intentions were with the doll. The mother agreed that this would be okay. While in session, I asked the child, “Did you have a good day in school today?” and the child replied, “No, I never; I was a naughty girl." I then reassured the child that she was a lovely girl, of whom we are very proud, and proceeded to ask why she thought she was naughty. The child then said, "Because I was taking my baby to the park, and she needed sunscreen on." It was at that moment that I realised the child was in fact using the glue stick as a sun stick. The behaviour she was actually displaying was thoughtful and caring, as she was thinking about keeping her baby safe from the hot weather. She was probably replaying a situation that had happened to her many times.</w:t>
      </w:r>
    </w:p>
    <w:p w14:paraId="1C419045" w14:textId="77777777" w:rsidR="000C589F" w:rsidRPr="00D4125E" w:rsidRDefault="000C589F" w:rsidP="000C589F">
      <w:pPr>
        <w:pStyle w:val="NormalWeb"/>
        <w:spacing w:line="480" w:lineRule="auto"/>
        <w:jc w:val="both"/>
        <w:rPr>
          <w:rFonts w:ascii="Arial" w:hAnsi="Arial" w:cs="Arial"/>
          <w:color w:val="252525"/>
          <w:sz w:val="22"/>
          <w:szCs w:val="22"/>
        </w:rPr>
      </w:pPr>
    </w:p>
    <w:p w14:paraId="1A4871C6" w14:textId="77777777" w:rsidR="000C589F" w:rsidRPr="00D4125E" w:rsidRDefault="000C589F" w:rsidP="000C589F">
      <w:pPr>
        <w:pStyle w:val="NormalWeb"/>
        <w:spacing w:line="480" w:lineRule="auto"/>
        <w:jc w:val="both"/>
        <w:rPr>
          <w:rFonts w:ascii="Arial" w:hAnsi="Arial" w:cs="Arial"/>
          <w:color w:val="252525"/>
          <w:sz w:val="22"/>
          <w:szCs w:val="22"/>
        </w:rPr>
      </w:pPr>
      <w:r w:rsidRPr="00D4125E">
        <w:rPr>
          <w:rFonts w:ascii="Arial" w:hAnsi="Arial" w:cs="Arial"/>
          <w:color w:val="252525"/>
          <w:sz w:val="22"/>
          <w:szCs w:val="22"/>
        </w:rPr>
        <w:t xml:space="preserve">The value of imaginative play in fostering cognition and emotional intelligence is acknowledged by theories such as Vygotsky (1978) and Piaget (2007). These theories emphasise how crucial imaginative play is to a child’s emotional intelligence and their cognitive skills. Imaginative play </w:t>
      </w:r>
      <w:r w:rsidRPr="00D4125E">
        <w:rPr>
          <w:rFonts w:ascii="Arial" w:hAnsi="Arial" w:cs="Arial"/>
          <w:color w:val="252525"/>
          <w:sz w:val="22"/>
          <w:szCs w:val="22"/>
        </w:rPr>
        <w:lastRenderedPageBreak/>
        <w:t>allows children to explore different scenarios and perspectives, helping them develop empathy and social skills (Brooks, p. 6). Additionally, it encourages problem-solving and critical thinking as children create and navigate their own imaginary worlds (Smutny et al., 2016, p. 112).</w:t>
      </w:r>
    </w:p>
    <w:p w14:paraId="68417013" w14:textId="77777777" w:rsidR="000C589F" w:rsidRPr="00D4125E" w:rsidRDefault="000C589F" w:rsidP="000C589F">
      <w:pPr>
        <w:pStyle w:val="NormalWeb"/>
        <w:spacing w:line="480" w:lineRule="auto"/>
        <w:jc w:val="both"/>
        <w:rPr>
          <w:rFonts w:ascii="Arial" w:hAnsi="Arial" w:cs="Arial"/>
          <w:sz w:val="22"/>
          <w:szCs w:val="22"/>
        </w:rPr>
      </w:pPr>
    </w:p>
    <w:p w14:paraId="31757D1E" w14:textId="77777777" w:rsidR="000C589F" w:rsidRPr="00D4125E" w:rsidRDefault="000C589F" w:rsidP="000C589F">
      <w:pPr>
        <w:pStyle w:val="NormalWeb"/>
        <w:spacing w:line="480" w:lineRule="auto"/>
        <w:jc w:val="both"/>
        <w:rPr>
          <w:rFonts w:ascii="Arial" w:hAnsi="Arial" w:cs="Arial"/>
          <w:sz w:val="22"/>
          <w:szCs w:val="22"/>
        </w:rPr>
      </w:pPr>
      <w:r w:rsidRPr="00D4125E">
        <w:rPr>
          <w:rFonts w:ascii="Arial" w:hAnsi="Arial" w:cs="Arial"/>
          <w:sz w:val="22"/>
          <w:szCs w:val="22"/>
        </w:rPr>
        <w:t>.</w:t>
      </w:r>
    </w:p>
    <w:p w14:paraId="034DB72D" w14:textId="77777777" w:rsidR="000C589F" w:rsidRPr="00D4125E" w:rsidRDefault="000C589F" w:rsidP="000C589F">
      <w:pPr>
        <w:pStyle w:val="NormalWeb"/>
        <w:spacing w:line="480" w:lineRule="auto"/>
        <w:jc w:val="both"/>
        <w:rPr>
          <w:rFonts w:ascii="Arial" w:hAnsi="Arial" w:cs="Arial"/>
          <w:color w:val="252525"/>
          <w:sz w:val="22"/>
          <w:szCs w:val="22"/>
        </w:rPr>
      </w:pPr>
    </w:p>
    <w:p w14:paraId="5778F391" w14:textId="77777777" w:rsidR="000C589F" w:rsidRPr="00D4125E" w:rsidRDefault="000C589F" w:rsidP="000C589F">
      <w:pPr>
        <w:pStyle w:val="NormalWeb"/>
        <w:spacing w:line="480" w:lineRule="auto"/>
        <w:jc w:val="both"/>
        <w:rPr>
          <w:rFonts w:ascii="Arial" w:hAnsi="Arial" w:cs="Arial"/>
          <w:color w:val="252525"/>
          <w:sz w:val="22"/>
          <w:szCs w:val="22"/>
        </w:rPr>
      </w:pPr>
      <w:r w:rsidRPr="00D4125E">
        <w:rPr>
          <w:rFonts w:ascii="Arial" w:hAnsi="Arial" w:cs="Arial"/>
          <w:color w:val="252525"/>
          <w:sz w:val="22"/>
          <w:szCs w:val="22"/>
        </w:rPr>
        <w:t>Vygosky (1967, cited by Sibakova 2015) shared his approach of concentrating on a particular type of play known as pretend play, social dramatic play, or make-believe play. The theorist hypothesised that when young children build an imaginary scenario, assume and act out roles, and adhere to a system of rules specified by specific roles, it's sometimes referred to as "fully developed" play. Furthermore, Veraska and Veraska (2015) highlight Vygosky’s discussion on the shift from primitive sensory-motor and visceral representational mind processes to more sophisticated symbolic thought, implying that pretend play establishes the groundwork for thinking and imitation, two higher-order cognitive processes. Bodrova and Leong (2003, p. 162) discuss the theory in more detail, highlighting that children assume roles like mother or teacher in order to immediately satisfy their desire to act like adults. One might argue that in the above scenario, the child was fulfilling their desire to act like the caring, nurturing adults around her, while furthermore developing crucial cognitive, emotional, and social skills.</w:t>
      </w:r>
    </w:p>
    <w:p w14:paraId="5624E0B0" w14:textId="77777777" w:rsidR="000C589F" w:rsidRPr="00D4125E" w:rsidRDefault="000C589F" w:rsidP="000C589F">
      <w:pPr>
        <w:pStyle w:val="NormalWeb"/>
        <w:spacing w:line="480" w:lineRule="auto"/>
        <w:jc w:val="both"/>
        <w:rPr>
          <w:rFonts w:ascii="Arial" w:hAnsi="Arial" w:cs="Arial"/>
          <w:color w:val="252525"/>
          <w:sz w:val="22"/>
          <w:szCs w:val="22"/>
        </w:rPr>
      </w:pPr>
      <w:r w:rsidRPr="00D4125E">
        <w:rPr>
          <w:rFonts w:ascii="Arial" w:hAnsi="Arial" w:cs="Arial"/>
          <w:color w:val="252525"/>
          <w:sz w:val="22"/>
          <w:szCs w:val="22"/>
        </w:rPr>
        <w:t xml:space="preserve">Although there are stark differences between Piaget and Vygotsky’s theories, it is evident that both place an emphasis on the importance of symbolic play. Piaget believed that through symbolic play, young children build more sophisticated world representations by expanding on their </w:t>
      </w:r>
      <w:r w:rsidRPr="00D4125E">
        <w:rPr>
          <w:rFonts w:ascii="Arial" w:hAnsi="Arial" w:cs="Arial"/>
          <w:color w:val="252525"/>
          <w:sz w:val="22"/>
          <w:szCs w:val="22"/>
        </w:rPr>
        <w:lastRenderedPageBreak/>
        <w:t>understanding of people, objects, and behaviours (Banyard et al., p.137) However, Piaget expanded further. Slee et al. (2012, p.323) discuss Piaget’s hypothesis of animism, which is the idea that toys and teddy bears, among other inanimate objects, have human emotions and intentions. Additionally, the authors suggest that through animism, Piaget indicated that the natural world is alive, sentient, and serves a function during the pre-operational stage. It could be implied that Piaget's hypothesis of animism sheds light on the child’s perspective and understanding of the world around them in the case study. Furthermore, by attributing human emotions and intentions to inanimate objects, the child in the example demonstrates their cognitive development and ability to empathise with their surroundings. However, Pellegrini (1985, p. 118) heavily criticises the pretend play theories of both Piaget and Vygotsky, contending that children's mental processes for both representational processes are comparable and that children do not need to play imaginatively to guide their literal behaviour. It appears this criticism challenges the notion that pretend play is the only or primary pathway for children to develop their cognitive abilities. Furthermore, critics have also shared their concerns about Piaget’s lack of emphasis on social factors that could influence pretend play (Berliner and Calfee, 2013, p. 494).</w:t>
      </w:r>
    </w:p>
    <w:p w14:paraId="5FCC96B4" w14:textId="77777777" w:rsidR="000C589F" w:rsidRPr="00D4125E" w:rsidRDefault="000C589F" w:rsidP="000C589F">
      <w:pPr>
        <w:pStyle w:val="NormalWeb"/>
        <w:spacing w:line="480" w:lineRule="auto"/>
        <w:jc w:val="both"/>
        <w:rPr>
          <w:rFonts w:ascii="Arial" w:hAnsi="Arial" w:cs="Arial"/>
          <w:sz w:val="22"/>
          <w:szCs w:val="22"/>
        </w:rPr>
      </w:pPr>
    </w:p>
    <w:p w14:paraId="46BE5E44" w14:textId="77777777" w:rsidR="000C589F" w:rsidRPr="00D4125E" w:rsidRDefault="000C589F" w:rsidP="000C589F">
      <w:pPr>
        <w:pStyle w:val="NormalWeb"/>
        <w:spacing w:line="480" w:lineRule="auto"/>
        <w:jc w:val="both"/>
        <w:rPr>
          <w:rFonts w:ascii="Arial" w:hAnsi="Arial" w:cs="Arial"/>
          <w:sz w:val="22"/>
          <w:szCs w:val="22"/>
        </w:rPr>
      </w:pPr>
      <w:r w:rsidRPr="00D4125E">
        <w:rPr>
          <w:rFonts w:ascii="Arial" w:hAnsi="Arial" w:cs="Arial"/>
          <w:sz w:val="22"/>
          <w:szCs w:val="22"/>
        </w:rPr>
        <w:t>Nevertheless, research conducted by Veraksa and Veraksa,(2015) does demonstrate a link between symbolic play and cognitive abilities, and the researchers argue that becoming aware of how symbols are used as cognitive tools will help educators, parents, and other carers who support children to think differently. Additionally, Callaghan and Corbit (2015, p.268) also maintain that utilising symbolic representation in both educational and domestic settings will help children learn new ideas and concepts that they might find challenging to grasp otherwise, creating the optimal conditions for their development. Therefore, one could question whether, in this scenario, there was a lack of understanding from the teacher and the situation interfered with the child’s perception of the objects and their cognitive understanding of the situation.</w:t>
      </w:r>
    </w:p>
    <w:p w14:paraId="10333F9B" w14:textId="77777777" w:rsidR="000C589F" w:rsidRPr="00D4125E" w:rsidRDefault="000C589F" w:rsidP="000C589F">
      <w:pPr>
        <w:pStyle w:val="NormalWeb"/>
        <w:spacing w:line="480" w:lineRule="auto"/>
        <w:jc w:val="both"/>
        <w:rPr>
          <w:rFonts w:ascii="Arial" w:hAnsi="Arial" w:cs="Arial"/>
          <w:sz w:val="22"/>
          <w:szCs w:val="22"/>
        </w:rPr>
      </w:pPr>
    </w:p>
    <w:p w14:paraId="191BDC2D" w14:textId="77777777" w:rsidR="000C589F" w:rsidRPr="00D4125E" w:rsidRDefault="000C589F" w:rsidP="000C589F">
      <w:pPr>
        <w:pStyle w:val="NormalWeb"/>
        <w:spacing w:line="480" w:lineRule="auto"/>
        <w:jc w:val="both"/>
        <w:rPr>
          <w:rFonts w:ascii="Arial" w:hAnsi="Arial" w:cs="Arial"/>
          <w:color w:val="252525"/>
          <w:sz w:val="22"/>
          <w:szCs w:val="22"/>
        </w:rPr>
      </w:pPr>
      <w:r w:rsidRPr="00D4125E">
        <w:rPr>
          <w:rFonts w:ascii="Arial" w:hAnsi="Arial" w:cs="Arial"/>
          <w:color w:val="252525"/>
          <w:sz w:val="22"/>
          <w:szCs w:val="22"/>
        </w:rPr>
        <w:t>Additionally, it could be argued that exploring alternative teaching methods or adjusting the learning environment may help enhance the child's cognitive understanding in similar situations. Impressive research conducted by Schonert-Reichl (2017, p. 146) concluded that one aspect of excellent, high-quality teaching is the educators' knowledge and understanding of the social, emotional, and cognitive development of children. However, this research would have been more useful if the study had identified key issues in the deficiency of knowledge and understanding of child development, such as a lack of funding or qualification requirements. Nevertheless, research conducted by Darling-Hammond and Cook Harvey (2018, p. 46) lends support to the argument and found that teachers who have a strong grasp of child development are better able to design lessons that support children’s' academic, social, and emotional growth and improve their outcomes. However, this study recognises that schools need more funding to assist with professional development and has highlighted that in some countries, practitioners are now required to have a deep level of understanding of the topic before practicing. It could be suggested that these issues need to be explored further.</w:t>
      </w:r>
    </w:p>
    <w:p w14:paraId="5CDA6D08" w14:textId="77777777" w:rsidR="000C589F" w:rsidRPr="00D4125E" w:rsidRDefault="000C589F" w:rsidP="000C589F">
      <w:pPr>
        <w:pStyle w:val="NormalWeb"/>
        <w:spacing w:line="480" w:lineRule="auto"/>
        <w:jc w:val="both"/>
        <w:rPr>
          <w:rFonts w:ascii="Arial" w:hAnsi="Arial" w:cs="Arial"/>
          <w:color w:val="252525"/>
          <w:sz w:val="22"/>
          <w:szCs w:val="22"/>
        </w:rPr>
      </w:pPr>
    </w:p>
    <w:p w14:paraId="4295BF12" w14:textId="77777777" w:rsidR="000C589F" w:rsidRPr="00D4125E" w:rsidRDefault="000C589F" w:rsidP="000C589F">
      <w:pPr>
        <w:pStyle w:val="NormalWeb"/>
        <w:spacing w:line="480" w:lineRule="auto"/>
        <w:jc w:val="both"/>
        <w:rPr>
          <w:rFonts w:ascii="Arial" w:hAnsi="Arial" w:cs="Arial"/>
          <w:sz w:val="22"/>
          <w:szCs w:val="22"/>
        </w:rPr>
      </w:pPr>
      <w:r w:rsidRPr="00D4125E">
        <w:rPr>
          <w:rFonts w:ascii="Arial" w:hAnsi="Arial" w:cs="Arial"/>
          <w:sz w:val="22"/>
          <w:szCs w:val="22"/>
        </w:rPr>
        <w:t xml:space="preserve">A review of school spending in Wales highlights a significant public debate on how the funding across Wales is distributed, highlighting that recently, there has been a reduction in spending per learner which has consequently led to larger classrooms and higher teacher child ratios, potentially reducing the quality of teaching and learning.  However, more worryingly, the review highlights that just 2 percent of the spending goes on training and professional development </w:t>
      </w:r>
      <w:bookmarkStart w:id="0" w:name="_Hlk155657870"/>
      <w:r w:rsidRPr="00D4125E">
        <w:rPr>
          <w:rFonts w:ascii="Arial" w:hAnsi="Arial" w:cs="Arial"/>
          <w:sz w:val="22"/>
          <w:szCs w:val="22"/>
        </w:rPr>
        <w:t xml:space="preserve">(Welsh Government, 2022). </w:t>
      </w:r>
      <w:bookmarkEnd w:id="0"/>
      <w:r w:rsidRPr="00D4125E">
        <w:rPr>
          <w:rFonts w:ascii="Arial" w:hAnsi="Arial" w:cs="Arial"/>
          <w:sz w:val="22"/>
          <w:szCs w:val="22"/>
        </w:rPr>
        <w:t xml:space="preserve">It could be contended that this funding is insufficient considering the recent changes that are affecting education settings in Wales such as the Additional Learning Needs reform and the implementation of the new </w:t>
      </w:r>
      <w:r w:rsidRPr="00D4125E">
        <w:rPr>
          <w:rFonts w:ascii="Arial" w:hAnsi="Arial" w:cs="Arial"/>
          <w:sz w:val="22"/>
          <w:szCs w:val="22"/>
        </w:rPr>
        <w:lastRenderedPageBreak/>
        <w:t>Curriculum for Wales. Furthermore, the evaluation also highlights that approximately 7 percent of the funding goes on the physical environment (Welsh Government, 2022). It is possible to wonder if the teacher in the case study was irritated by the child's behaviour because she was concerned about resources not being taken care of and didn't have the money to replace them. It is argued that the allocation of funds for the physical environment is concerning, and it is crucial for policymakers to reassess the distribution of funding to ensure that training, professional development, and other essential aspects of education are adequately supported. Davies (2022) draws attention to teachers concerns about the funding crisis schools in Wales are facing and how this impacts on the curriculum delivery, alleging that the situation is only going to get worse, and calling for a complete overhaul.  It could be claimed that this is one of the main reasons for the disappointing Pisa results that were released at the end of 2023. Lewis (2023) discusses Wales performance, stating that the country had fallen to its lowest level ever. Jeremy Miles called these results “disappointing” however stresses that the decline could be a potential consequence of the implementation of the new curriculum and speaks of hope that the curriculum will revolutionise education in Wales (Williams 2023).</w:t>
      </w:r>
    </w:p>
    <w:p w14:paraId="05CFF65A" w14:textId="77777777" w:rsidR="000C589F" w:rsidRPr="00D4125E" w:rsidRDefault="000C589F" w:rsidP="000C589F">
      <w:pPr>
        <w:pStyle w:val="NormalWeb"/>
        <w:spacing w:line="480" w:lineRule="auto"/>
        <w:jc w:val="both"/>
        <w:rPr>
          <w:rFonts w:ascii="Arial" w:hAnsi="Arial" w:cs="Arial"/>
          <w:color w:val="252525"/>
          <w:sz w:val="22"/>
          <w:szCs w:val="22"/>
        </w:rPr>
      </w:pPr>
      <w:r>
        <w:rPr>
          <w:rFonts w:ascii="Arial" w:hAnsi="Arial" w:cs="Arial"/>
          <w:color w:val="252525"/>
          <w:sz w:val="22"/>
          <w:szCs w:val="22"/>
        </w:rPr>
        <w:t>T</w:t>
      </w:r>
      <w:r w:rsidRPr="00504DDD">
        <w:rPr>
          <w:rFonts w:ascii="Arial" w:hAnsi="Arial" w:cs="Arial"/>
          <w:color w:val="252525"/>
          <w:sz w:val="22"/>
          <w:szCs w:val="22"/>
        </w:rPr>
        <w:t xml:space="preserve">he case study highlights the importance of symbolic play in a child's development, but highlights a lack of understanding among educators. The teacher could have better understood the child's intentions and provided appropriate support to enhance their symbolic play skills. Engaging in dialogue </w:t>
      </w:r>
      <w:r>
        <w:rPr>
          <w:rFonts w:ascii="Arial" w:hAnsi="Arial" w:cs="Arial"/>
          <w:color w:val="252525"/>
          <w:sz w:val="22"/>
          <w:szCs w:val="22"/>
        </w:rPr>
        <w:t xml:space="preserve">with the child </w:t>
      </w:r>
      <w:r w:rsidRPr="00504DDD">
        <w:rPr>
          <w:rFonts w:ascii="Arial" w:hAnsi="Arial" w:cs="Arial"/>
          <w:color w:val="252525"/>
          <w:sz w:val="22"/>
          <w:szCs w:val="22"/>
        </w:rPr>
        <w:t>could foster a deeper understanding of the child's cognitive and emotional development, allowing for more effective teaching strategies. The study also highlights issues in Wales' education system, such as inadequate funding and teacher training, that need to be addressed for a healthy learning environment.</w:t>
      </w:r>
    </w:p>
    <w:p w14:paraId="7C9E00DE" w14:textId="77777777" w:rsidR="004C2ADF" w:rsidRDefault="004C2ADF" w:rsidP="000C589F">
      <w:pPr>
        <w:pStyle w:val="NormalWeb"/>
        <w:rPr>
          <w:b/>
          <w:bCs/>
        </w:rPr>
      </w:pPr>
    </w:p>
    <w:p w14:paraId="566A3938" w14:textId="77777777" w:rsidR="004C2ADF" w:rsidRDefault="004C2ADF" w:rsidP="000C589F">
      <w:pPr>
        <w:pStyle w:val="NormalWeb"/>
        <w:rPr>
          <w:b/>
          <w:bCs/>
        </w:rPr>
      </w:pPr>
    </w:p>
    <w:p w14:paraId="709A22B8" w14:textId="77777777" w:rsidR="002879EF" w:rsidRDefault="002879EF" w:rsidP="000C589F">
      <w:pPr>
        <w:pStyle w:val="NormalWeb"/>
        <w:rPr>
          <w:b/>
          <w:bCs/>
        </w:rPr>
      </w:pPr>
    </w:p>
    <w:p w14:paraId="162A81E3" w14:textId="1D94CD71" w:rsidR="000C589F" w:rsidRDefault="000C589F" w:rsidP="000C589F">
      <w:pPr>
        <w:pStyle w:val="NormalWeb"/>
        <w:rPr>
          <w:b/>
          <w:bCs/>
        </w:rPr>
      </w:pPr>
      <w:r w:rsidRPr="00EB5CBF">
        <w:rPr>
          <w:b/>
          <w:bCs/>
        </w:rPr>
        <w:t xml:space="preserve">Section 5 </w:t>
      </w:r>
    </w:p>
    <w:p w14:paraId="0C478A87" w14:textId="1C70AB47" w:rsidR="002879EF" w:rsidRDefault="002879EF" w:rsidP="000C589F">
      <w:pPr>
        <w:pStyle w:val="NormalWeb"/>
        <w:rPr>
          <w:b/>
          <w:bCs/>
        </w:rPr>
      </w:pPr>
      <w:r>
        <w:rPr>
          <w:b/>
          <w:bCs/>
        </w:rPr>
        <w:t xml:space="preserve">Reflective Practice </w:t>
      </w:r>
    </w:p>
    <w:p w14:paraId="64B8598C" w14:textId="168EE360" w:rsidR="00221D3B" w:rsidRDefault="00221D3B" w:rsidP="00221D3B">
      <w:pPr>
        <w:pStyle w:val="NormalWeb"/>
        <w:spacing w:line="480" w:lineRule="auto"/>
        <w:jc w:val="both"/>
        <w:rPr>
          <w:rFonts w:ascii="Arial" w:hAnsi="Arial" w:cs="Arial"/>
          <w:sz w:val="22"/>
          <w:szCs w:val="22"/>
        </w:rPr>
      </w:pPr>
      <w:r w:rsidRPr="00221D3B">
        <w:rPr>
          <w:rFonts w:ascii="Arial" w:hAnsi="Arial" w:cs="Arial"/>
          <w:sz w:val="22"/>
          <w:szCs w:val="22"/>
        </w:rPr>
        <w:t>In order to improve practice and ensure high-quality care, it is paramount that reflection occur as an everyday practice. Reflection allows professionals to critically analyse their actions, decisions, and outcomes, leading to continuous learning and professional growth. Furthermore, it also promotes self-awareness and empathy, enabling them to better understand the perspectives and needs of service users. (Hawatson-Jones, 2016, p. 6). A widely used reflective model is the Gibbs Reflective Cycle. This model consists of six stages that guide individuals to reflect on their experiences and learn from them. It involves describing the event, identifying feelings and thoughts, evaluating the experience, analysing what happened, drawing conclusions, and creating an action plan (Sharmer and Sharmer, 2023, p. 10). For this analysis, I will be following the Gibbs reflective model. I will identify an area of practice that I aim to improve, discuss what happened, and analyse my thoughts and feelings about the situation. Then, I will evaluate the experience, considering both the positive and negative aspects. Finally, I will develop an action plan to enhance my practice in the identified area and outline how I will implement it. By using this reflective model, I aim to gain a deeper understanding of the actions taken and make meaningful improvements for future practice.</w:t>
      </w:r>
    </w:p>
    <w:p w14:paraId="3554DEE8" w14:textId="77777777" w:rsidR="00484970" w:rsidRDefault="00484970" w:rsidP="00484970">
      <w:pPr>
        <w:pStyle w:val="NormalWeb"/>
        <w:rPr>
          <w:color w:val="252525"/>
        </w:rPr>
      </w:pPr>
      <w:r>
        <w:rPr>
          <w:color w:val="252525"/>
        </w:rPr>
        <w:t> </w:t>
      </w:r>
    </w:p>
    <w:p w14:paraId="13F8300B" w14:textId="77777777" w:rsidR="00484970" w:rsidRDefault="00484970" w:rsidP="00484970">
      <w:pPr>
        <w:pStyle w:val="NormalWeb"/>
        <w:spacing w:line="480" w:lineRule="auto"/>
        <w:jc w:val="both"/>
        <w:rPr>
          <w:color w:val="252525"/>
        </w:rPr>
      </w:pPr>
      <w:r>
        <w:rPr>
          <w:rFonts w:ascii="Arial" w:hAnsi="Arial" w:cs="Arial"/>
          <w:color w:val="252525"/>
          <w:sz w:val="22"/>
          <w:szCs w:val="22"/>
        </w:rPr>
        <w:t> </w:t>
      </w:r>
    </w:p>
    <w:p w14:paraId="3357CD98" w14:textId="77777777" w:rsidR="00484970" w:rsidRDefault="00484970" w:rsidP="00484970">
      <w:pPr>
        <w:pStyle w:val="NormalWeb"/>
        <w:spacing w:line="480" w:lineRule="auto"/>
        <w:jc w:val="both"/>
        <w:rPr>
          <w:rFonts w:ascii="Arial" w:hAnsi="Arial" w:cs="Arial"/>
          <w:color w:val="252525"/>
          <w:sz w:val="22"/>
          <w:szCs w:val="22"/>
        </w:rPr>
      </w:pPr>
      <w:r>
        <w:rPr>
          <w:rFonts w:ascii="Arial" w:hAnsi="Arial" w:cs="Arial"/>
          <w:color w:val="252525"/>
          <w:sz w:val="22"/>
          <w:szCs w:val="22"/>
        </w:rPr>
        <w:lastRenderedPageBreak/>
        <w:t>I have decided to critically analyse a particular incident where a child's transition into my setting could have had the potential to negatively impact their well-being and identify why insufficient communication from myself to the parent could have caused a breakdown in the relationship between us during this crucial time. Effective transitions are essential in early childhood settings, and this is reflected in research, practice, and policy (Packer et al., 2021, p. 1). Practitioners working with children are aware of the influence that transitions of any kind can have on children's learning, mostly through an impact on their well-being. Such transitions can disrupt children's sense of stability and familiarity, affecting their emotional and cognitive development (Brooker, 2008, p. 4). Furthermore, O’Connor (2018, p. 6) stresses that it's crucial for educators to be aware of the complexities involved with transitions to prevent any further anxieties and potential long-term harm.</w:t>
      </w:r>
    </w:p>
    <w:p w14:paraId="1A0C634C" w14:textId="77777777" w:rsidR="00AA4FBC" w:rsidRDefault="00AA4FBC" w:rsidP="00AA4FBC">
      <w:pPr>
        <w:pStyle w:val="NormalWeb"/>
        <w:rPr>
          <w:color w:val="252525"/>
        </w:rPr>
      </w:pPr>
      <w:r>
        <w:rPr>
          <w:color w:val="252525"/>
        </w:rPr>
        <w:t> </w:t>
      </w:r>
    </w:p>
    <w:p w14:paraId="684A2AC8" w14:textId="77777777" w:rsidR="00AA4FBC" w:rsidRDefault="00AA4FBC" w:rsidP="00AA4FBC">
      <w:pPr>
        <w:pStyle w:val="NormalWeb"/>
        <w:spacing w:line="480" w:lineRule="auto"/>
        <w:jc w:val="both"/>
        <w:rPr>
          <w:color w:val="252525"/>
        </w:rPr>
      </w:pPr>
      <w:r>
        <w:rPr>
          <w:rFonts w:ascii="Arial" w:hAnsi="Arial" w:cs="Arial"/>
          <w:color w:val="252525"/>
          <w:sz w:val="22"/>
          <w:szCs w:val="22"/>
        </w:rPr>
        <w:t> </w:t>
      </w:r>
    </w:p>
    <w:p w14:paraId="00582223" w14:textId="742517F4" w:rsidR="00AA4FBC" w:rsidRPr="00AA4FBC" w:rsidRDefault="00AA4FBC" w:rsidP="00AA4FBC">
      <w:pPr>
        <w:pStyle w:val="NormalWeb"/>
        <w:spacing w:line="480" w:lineRule="auto"/>
        <w:jc w:val="both"/>
        <w:rPr>
          <w:rFonts w:ascii="Arial" w:hAnsi="Arial" w:cs="Arial"/>
          <w:color w:val="252525"/>
          <w:sz w:val="22"/>
          <w:szCs w:val="22"/>
        </w:rPr>
      </w:pPr>
      <w:r w:rsidRPr="00AA4FBC">
        <w:rPr>
          <w:rFonts w:ascii="Arial" w:hAnsi="Arial" w:cs="Arial"/>
          <w:color w:val="252525"/>
          <w:sz w:val="22"/>
          <w:szCs w:val="22"/>
        </w:rPr>
        <w:t>Boyle et al. (2018) state that although it is difficult to focus on a single definition for the term "transitions," it can be defined as significant occurrences or processes that take place at particular points in a person's life. Elaborating further, Purtell (2020) refers to transitions as significant times in which individuals must adjust to their changing surroundings, and the success of the transition could have lasting consequences. On this occasion, the transition involved a 24-month-old boy, whom I will refer to as Child A. The child was coming into the setting from home, having never been to any other childcare facility. The setting places an emphasis on the significance of a successful transition. Therefore, in line with the “settling in” policy, the usual transitional processes  begun. The "Settling in" policy includes a gradual introduction to the new environment, allowing the child to become familiar with the surroundings and establish a bond with the caregive</w:t>
      </w:r>
      <w:r w:rsidR="00D631E2">
        <w:rPr>
          <w:rFonts w:ascii="Arial" w:hAnsi="Arial" w:cs="Arial"/>
          <w:color w:val="252525"/>
          <w:sz w:val="22"/>
          <w:szCs w:val="22"/>
        </w:rPr>
        <w:t xml:space="preserve">r. </w:t>
      </w:r>
      <w:r w:rsidRPr="00AA4FBC">
        <w:rPr>
          <w:rFonts w:ascii="Arial" w:hAnsi="Arial" w:cs="Arial"/>
          <w:color w:val="252525"/>
          <w:sz w:val="22"/>
          <w:szCs w:val="22"/>
        </w:rPr>
        <w:t xml:space="preserve">The process involves short visits initially, </w:t>
      </w:r>
      <w:r w:rsidRPr="00AA4FBC">
        <w:rPr>
          <w:rFonts w:ascii="Arial" w:hAnsi="Arial" w:cs="Arial"/>
          <w:color w:val="252525"/>
          <w:sz w:val="22"/>
          <w:szCs w:val="22"/>
        </w:rPr>
        <w:lastRenderedPageBreak/>
        <w:t>gradually increasing in duration until the child feels comfortable and confident in their new setting. During the initial visits, a parent or carer is invited in to engage in play sessions with the child and their key worker. According to Bronfenbrenner's (1979, cited by Ashiabi et al. 2015). ecological systems theory, a parent can act as a bridge builder when they accompany their child into a new micro-system, such as a childcare centre, to ease the transition from their familiar family environment to a new one. For the youngster, a strong link between the microsystems is crucial (Elliot and Davies, 2020).</w:t>
      </w:r>
    </w:p>
    <w:p w14:paraId="50224645" w14:textId="77777777" w:rsidR="00AA4FBC" w:rsidRDefault="00AA4FBC" w:rsidP="00AA4FBC">
      <w:pPr>
        <w:pStyle w:val="NormalWeb"/>
        <w:spacing w:line="480" w:lineRule="auto"/>
        <w:jc w:val="both"/>
        <w:rPr>
          <w:color w:val="252525"/>
        </w:rPr>
      </w:pPr>
      <w:r>
        <w:rPr>
          <w:color w:val="252525"/>
        </w:rPr>
        <w:t> </w:t>
      </w:r>
    </w:p>
    <w:p w14:paraId="4DEEAFB1" w14:textId="77777777" w:rsidR="00AA4FBC" w:rsidRDefault="00AA4FBC" w:rsidP="00AA4FBC">
      <w:pPr>
        <w:pStyle w:val="NormalWeb"/>
        <w:spacing w:line="480" w:lineRule="auto"/>
        <w:jc w:val="both"/>
        <w:rPr>
          <w:color w:val="252525"/>
        </w:rPr>
      </w:pPr>
      <w:r>
        <w:rPr>
          <w:color w:val="252525"/>
        </w:rPr>
        <w:t> </w:t>
      </w:r>
    </w:p>
    <w:p w14:paraId="4578D495" w14:textId="77777777" w:rsidR="00E50B9C" w:rsidRDefault="00E50B9C" w:rsidP="00E50B9C">
      <w:pPr>
        <w:pStyle w:val="NormalWeb"/>
        <w:rPr>
          <w:color w:val="252525"/>
        </w:rPr>
      </w:pPr>
      <w:r>
        <w:rPr>
          <w:color w:val="252525"/>
        </w:rPr>
        <w:t> </w:t>
      </w:r>
    </w:p>
    <w:p w14:paraId="478043E0" w14:textId="77777777" w:rsidR="00E50B9C" w:rsidRDefault="00E50B9C" w:rsidP="00E50B9C">
      <w:pPr>
        <w:pStyle w:val="NormalWeb"/>
        <w:spacing w:line="480" w:lineRule="auto"/>
        <w:jc w:val="both"/>
        <w:rPr>
          <w:color w:val="252525"/>
        </w:rPr>
      </w:pPr>
      <w:r>
        <w:rPr>
          <w:rFonts w:ascii="Arial" w:hAnsi="Arial" w:cs="Arial"/>
          <w:color w:val="252525"/>
          <w:sz w:val="22"/>
          <w:szCs w:val="22"/>
        </w:rPr>
        <w:t> </w:t>
      </w:r>
    </w:p>
    <w:p w14:paraId="1EB8C9DC" w14:textId="77777777" w:rsidR="00E50B9C" w:rsidRPr="00E50B9C" w:rsidRDefault="00E50B9C" w:rsidP="00E50B9C">
      <w:pPr>
        <w:pStyle w:val="NormalWeb"/>
        <w:spacing w:line="480" w:lineRule="auto"/>
        <w:jc w:val="both"/>
        <w:rPr>
          <w:rFonts w:ascii="Arial" w:hAnsi="Arial" w:cs="Arial"/>
          <w:color w:val="252525"/>
          <w:sz w:val="22"/>
          <w:szCs w:val="22"/>
        </w:rPr>
      </w:pPr>
      <w:r w:rsidRPr="00E50B9C">
        <w:rPr>
          <w:rFonts w:ascii="Arial" w:hAnsi="Arial" w:cs="Arial"/>
          <w:color w:val="252525"/>
          <w:sz w:val="22"/>
          <w:szCs w:val="22"/>
        </w:rPr>
        <w:t xml:space="preserve">As we take a flexible approach to transitions, the number of play sessions a parent participates in depends on the child’s response to the settling-in period. Following the play sessions, both the setting and child A’s mother agreed that he was now ready to attend his sessions without a parent. However, after approximately 15 minutes of being in the setting, Child A started to become very upset and asked for his mother. Staff followed the usual nurturing procedures, such as offering him comfort, reassuring him, talking through the routine through the use of a visual timeline, and providing him with his comfort blanket. However, the child was starting to become even more upset; therefore, we contacted the child’s parents to collect him. This is in line with our policy and the Minimum Standards (2023), which state that separation from parents or carers causes as little </w:t>
      </w:r>
      <w:r w:rsidRPr="00E50B9C">
        <w:rPr>
          <w:rFonts w:ascii="Arial" w:hAnsi="Arial" w:cs="Arial"/>
          <w:color w:val="252525"/>
          <w:sz w:val="22"/>
          <w:szCs w:val="22"/>
        </w:rPr>
        <w:lastRenderedPageBreak/>
        <w:t>distress and anxiety as possible. Guidance in the Curriculum for Non-Maintained Nurseries (2022) suggests whether a child has a positive or poor experience depends on how well we handle transitions. Inadequate support during this phase may result in detrimental long-term consequences for children, such as low self-esteem, low confidence, and trouble establishing positive relationships. Staff responded efficiently to support Child A's well-being, adapting the transition process to his specific needs. A dedicated staff member was assigned to the upstairs transition room to help establish a strong relationship with his key worker. Although this may impact adult/child ratios, it was determined that it could be done for three days a week. Child A's adjustment to the new environment requires more time and a strong bond with his key worker. Gradually increasing attendance ensures a smooth transition and long-term success.</w:t>
      </w:r>
    </w:p>
    <w:p w14:paraId="3224BC76" w14:textId="77777777" w:rsidR="00E50B9C" w:rsidRDefault="00E50B9C" w:rsidP="00E50B9C">
      <w:pPr>
        <w:pStyle w:val="NormalWeb"/>
        <w:spacing w:line="480" w:lineRule="auto"/>
        <w:jc w:val="both"/>
        <w:rPr>
          <w:color w:val="252525"/>
        </w:rPr>
      </w:pPr>
      <w:r>
        <w:rPr>
          <w:color w:val="252525"/>
        </w:rPr>
        <w:t> </w:t>
      </w:r>
    </w:p>
    <w:p w14:paraId="465ED5E8" w14:textId="77777777" w:rsidR="00E50B9C" w:rsidRDefault="00E50B9C" w:rsidP="00E50B9C">
      <w:pPr>
        <w:pStyle w:val="NormalWeb"/>
        <w:spacing w:line="480" w:lineRule="auto"/>
        <w:jc w:val="both"/>
        <w:rPr>
          <w:color w:val="252525"/>
        </w:rPr>
      </w:pPr>
      <w:r>
        <w:rPr>
          <w:color w:val="252525"/>
        </w:rPr>
        <w:t> </w:t>
      </w:r>
    </w:p>
    <w:p w14:paraId="33AE9257" w14:textId="77777777" w:rsidR="00AA4FBC" w:rsidRDefault="00AA4FBC" w:rsidP="00484970">
      <w:pPr>
        <w:pStyle w:val="NormalWeb"/>
        <w:spacing w:line="480" w:lineRule="auto"/>
        <w:jc w:val="both"/>
        <w:rPr>
          <w:color w:val="252525"/>
        </w:rPr>
      </w:pPr>
    </w:p>
    <w:p w14:paraId="41ADE572" w14:textId="77777777" w:rsidR="000C342E" w:rsidRDefault="00484970" w:rsidP="000C342E">
      <w:pPr>
        <w:pStyle w:val="NormalWeb"/>
        <w:rPr>
          <w:color w:val="252525"/>
        </w:rPr>
      </w:pPr>
      <w:r>
        <w:rPr>
          <w:color w:val="252525"/>
        </w:rPr>
        <w:t> </w:t>
      </w:r>
      <w:r w:rsidR="000C342E">
        <w:rPr>
          <w:color w:val="252525"/>
        </w:rPr>
        <w:t> </w:t>
      </w:r>
    </w:p>
    <w:p w14:paraId="47481311" w14:textId="77777777" w:rsidR="000C342E" w:rsidRDefault="000C342E" w:rsidP="000C342E">
      <w:pPr>
        <w:pStyle w:val="NormalWeb"/>
        <w:spacing w:line="480" w:lineRule="auto"/>
        <w:jc w:val="both"/>
        <w:rPr>
          <w:color w:val="252525"/>
        </w:rPr>
      </w:pPr>
      <w:r>
        <w:rPr>
          <w:rFonts w:ascii="Arial" w:hAnsi="Arial" w:cs="Arial"/>
          <w:color w:val="252525"/>
          <w:sz w:val="22"/>
          <w:szCs w:val="22"/>
        </w:rPr>
        <w:t xml:space="preserve">Bowlby (2007) asserts that when babies and toddlers are in the company of strangers and in unfamiliar environments, their attachment-seeking response will be triggered in the absence of the primary or secondary attachment figure. Furthermore, Yeary (2020) suggests that when these responses are triggered, it is vital that the child has opportunities to spend quality time with a consistent carer within the daycare facility, and this is an important way to support the child’s emotional needs during this stressful time. Agreeing, O’Connor (2018, p. 9) asserts that consistent and </w:t>
      </w:r>
      <w:r>
        <w:rPr>
          <w:rFonts w:ascii="Arial" w:hAnsi="Arial" w:cs="Arial"/>
          <w:color w:val="252525"/>
          <w:sz w:val="22"/>
          <w:szCs w:val="22"/>
        </w:rPr>
        <w:lastRenderedPageBreak/>
        <w:t>nurturing relationships with carers in daycare settings can help mitigate the stress experienced by children during such unfamiliar and stressful situations. These relationships provide a sense of security and comfort, allowing the child to develop a secure attachment, which is crucial for their emotional well-being. The setting emphasises the relationship during crucial transitions, and the child's mother agreed to a temporary arrangement. The plan focuses on the child's well-being and monitoring progress. The child's transition sessions were successful, and the child appeared more settled and calmer.</w:t>
      </w:r>
    </w:p>
    <w:p w14:paraId="49756D7D" w14:textId="77777777" w:rsidR="0047366C" w:rsidRDefault="000C342E" w:rsidP="0047366C">
      <w:pPr>
        <w:pStyle w:val="NormalWeb"/>
        <w:rPr>
          <w:color w:val="252525"/>
        </w:rPr>
      </w:pPr>
      <w:r>
        <w:rPr>
          <w:color w:val="252525"/>
        </w:rPr>
        <w:t> </w:t>
      </w:r>
      <w:r w:rsidR="0047366C">
        <w:rPr>
          <w:color w:val="252525"/>
        </w:rPr>
        <w:t> </w:t>
      </w:r>
    </w:p>
    <w:p w14:paraId="38F63BA9" w14:textId="77777777" w:rsidR="0047366C" w:rsidRDefault="0047366C" w:rsidP="0047366C">
      <w:pPr>
        <w:pStyle w:val="NormalWeb"/>
        <w:spacing w:line="480" w:lineRule="auto"/>
        <w:jc w:val="both"/>
        <w:rPr>
          <w:rFonts w:ascii="Arial" w:hAnsi="Arial" w:cs="Arial"/>
          <w:color w:val="252525"/>
          <w:sz w:val="22"/>
          <w:szCs w:val="22"/>
        </w:rPr>
      </w:pPr>
      <w:r w:rsidRPr="0047366C">
        <w:rPr>
          <w:rFonts w:ascii="Arial" w:hAnsi="Arial" w:cs="Arial"/>
          <w:color w:val="252525"/>
          <w:sz w:val="22"/>
          <w:szCs w:val="22"/>
        </w:rPr>
        <w:t xml:space="preserve">A few days after the plan had been implemented. I had a telephone call from my Flying Start advisory officer, who stated that a parent complained about settling in procedures for their child, and the Flying Start advisory officer suggested a five-day week in line with contractual obligations. I explained that the transition was going well and expressed concerns about regression if the child returned to the free-flow environment. The advisory officer seemed unsupportive and appeared to question my judgment. More worryingly, she then continued to firmly suggest to me that I should have the child in for five days a week and, if he gets distressed, not call the parents to pick him up because the child knows what he is doing and is only getting distressed because he has learned that he will go home early. I was very disappointed with this advice, as I felt it was prioritising financial obligations over the child’s well-being. I asserted that leaving any child distressed during a transition period would not align with the setting's ethos, policies, or values; additionally, the advice conflicts with the Flying Start (2023) guidance, which states a variety of strategies should be implemented to ensure a smooth transition into the setting. Furthermore, guidance also emphasises that adults in the setting should be sensitive and responsive to the children’s needs. It could be argued that the advice given contradicts best practice guidelines for </w:t>
      </w:r>
      <w:r w:rsidRPr="0047366C">
        <w:rPr>
          <w:rFonts w:ascii="Arial" w:hAnsi="Arial" w:cs="Arial"/>
          <w:color w:val="252525"/>
          <w:sz w:val="22"/>
          <w:szCs w:val="22"/>
        </w:rPr>
        <w:lastRenderedPageBreak/>
        <w:t>supporting children during transitions, prioritising their emotional needs, and avoiding distressing situations. Furthermore, it conflicted with guidance from the National Minimum Standard (2023), which emphasises stress and anxiety minimization.</w:t>
      </w:r>
    </w:p>
    <w:p w14:paraId="471EA284" w14:textId="77777777" w:rsidR="006D30C3" w:rsidRDefault="006D30C3" w:rsidP="006D30C3">
      <w:pPr>
        <w:pStyle w:val="NormalWeb"/>
        <w:rPr>
          <w:color w:val="252525"/>
        </w:rPr>
      </w:pPr>
      <w:r>
        <w:rPr>
          <w:color w:val="252525"/>
        </w:rPr>
        <w:t> </w:t>
      </w:r>
    </w:p>
    <w:p w14:paraId="7D4D6F20" w14:textId="77777777" w:rsidR="006D30C3" w:rsidRPr="006D30C3" w:rsidRDefault="006D30C3" w:rsidP="006D30C3">
      <w:pPr>
        <w:pStyle w:val="NormalWeb"/>
        <w:spacing w:line="480" w:lineRule="auto"/>
        <w:jc w:val="both"/>
        <w:rPr>
          <w:rFonts w:ascii="Arial" w:hAnsi="Arial" w:cs="Arial"/>
          <w:color w:val="252525"/>
          <w:sz w:val="22"/>
          <w:szCs w:val="22"/>
        </w:rPr>
      </w:pPr>
      <w:r w:rsidRPr="006D30C3">
        <w:rPr>
          <w:rFonts w:ascii="Arial" w:hAnsi="Arial" w:cs="Arial"/>
          <w:color w:val="252525"/>
          <w:sz w:val="22"/>
          <w:szCs w:val="22"/>
        </w:rPr>
        <w:t>Indeed, research conducted by Humphries et al. (2018) discusses the consequences of children being distressed for a long period of time. The study found that early life stress is a strong predictor of subsequent poor mental and physical health consequences in later years. However, as the research was conducted on adolescents, it is difficult to understand the levels of stress the individuals experienced. Although a panel of researchers rated the intensity of their stressful situations, that might not be an accurate representation of the level of stress the child could have experienced, as sociobiological factors would have needed to be considered, such as the child’s personality, their experiences before the event, and the support they had throughout that time. Sandy and Haller (2015) assert that the timing of exposure and genetic factors determine the impact of early life stress, and early life stress can have different outcomes depending on when it occurs during a person's development and the individual's genetic makeup. These factors interact to shape how individuals respond to and cope with stressors. Nevertheless, although there appear to be limitations within the study conducted by Humphries et al., a definite correlation has been established between stress in the early years and negative effects on one's physical and mental well-being in later years. Therefore, the importance of responding to a child’s emotional distress and providing them with appropriate support cannot be overstated.</w:t>
      </w:r>
    </w:p>
    <w:p w14:paraId="1EAD2247" w14:textId="77777777" w:rsidR="006D30C3" w:rsidRDefault="006D30C3" w:rsidP="006D30C3">
      <w:pPr>
        <w:pStyle w:val="NormalWeb"/>
        <w:spacing w:line="480" w:lineRule="auto"/>
        <w:jc w:val="both"/>
        <w:rPr>
          <w:color w:val="252525"/>
        </w:rPr>
      </w:pPr>
      <w:r>
        <w:rPr>
          <w:color w:val="252525"/>
        </w:rPr>
        <w:t> </w:t>
      </w:r>
    </w:p>
    <w:p w14:paraId="1AE2D1D1" w14:textId="77777777" w:rsidR="00EF068C" w:rsidRPr="00EF068C" w:rsidRDefault="00EF068C" w:rsidP="00EF068C">
      <w:pPr>
        <w:pStyle w:val="NormalWeb"/>
        <w:spacing w:line="480" w:lineRule="auto"/>
        <w:jc w:val="both"/>
        <w:rPr>
          <w:rFonts w:ascii="Arial" w:hAnsi="Arial" w:cs="Arial"/>
          <w:color w:val="252525"/>
          <w:sz w:val="22"/>
          <w:szCs w:val="22"/>
        </w:rPr>
      </w:pPr>
      <w:r w:rsidRPr="00EF068C">
        <w:rPr>
          <w:rFonts w:ascii="Arial" w:hAnsi="Arial" w:cs="Arial"/>
          <w:color w:val="252525"/>
          <w:sz w:val="22"/>
          <w:szCs w:val="22"/>
        </w:rPr>
        <w:lastRenderedPageBreak/>
        <w:t xml:space="preserve">Although I was aware of some of the consequences of leaving a child in a distressed state for long periods of time, I felt at the time that I could not share my concerns with the advisory officer, as she is someone in an authority position, and I did not want to appear patronising or condescending. Additionally, I felt uncertain about my own knowledge and expertise in the matter, which further hindered my ability to voice my concerns. Therefore, the rationale for a reflection on this area of practice was strengthened further. One does ponder whether this was a wicked problem. Churchman (1967, as cited by Lonngren and Van Poek, 2021) defines a wicked problem as “social system problems that are ill-formulated, where the information is confusing, where there are many clients and decision-makers with conflicting values, and where the ramifications in the whole system are thoroughly confusing." Additionally, Davies (2016) alleges that actually wicked problems cannot be solved at all; the most that can happen is a loosening of the problem space, which allows for a greater variety of viable courses of action. Therefore, it could be questioned: on this occasion, what would reduce the problem identified? I have wondered whether there is a need for professional development opportunities regarding the subject matter. Additionally, it is also worth considering the potential impact of implementing systemic changes or policies that address the underlying factors contributing to the problem. Nevertheless, on this occasion, I decided not to follow the advice I was given, as it did not align with our values, policies, guidance, or requirements. We continued with our individual transition plans. A meeting was held with a parent who expressed concerns about their child's missing entitled days and the inconvenience of having to collect him. The meeting focused on the benefits of a transition plan and the importance of ensuring their well-being. The parents were happy with the plan and the progress their child had made in settling into the environment. However, if the meeting had occurred before the plan was implemented, it may have prevented a complaint and improved communication between us and the parents. Highlighted in the Curriculum for Wales (2022) to provide a positive transition experience, it is paramount that the setting encourages open dialogue with parents and carers. Furthermore, Web et al. (2017) argue that when a child transitions into a new setting, this can be a stressful time for families due to the adjustments and changes that </w:t>
      </w:r>
      <w:r w:rsidRPr="00EF068C">
        <w:rPr>
          <w:rFonts w:ascii="Arial" w:hAnsi="Arial" w:cs="Arial"/>
          <w:color w:val="252525"/>
          <w:sz w:val="22"/>
          <w:szCs w:val="22"/>
        </w:rPr>
        <w:lastRenderedPageBreak/>
        <w:t>are occurring, and it is vital that the setting support the family with this through effective communication and working together. Therefore, a need for more effective communication strategies during transitions in the setting has been acknowledged.</w:t>
      </w:r>
    </w:p>
    <w:p w14:paraId="0A97FE52" w14:textId="77777777" w:rsidR="00EF068C" w:rsidRPr="00EF068C" w:rsidRDefault="00EF068C" w:rsidP="00EF068C">
      <w:pPr>
        <w:pStyle w:val="NormalWeb"/>
        <w:spacing w:line="480" w:lineRule="auto"/>
        <w:jc w:val="both"/>
        <w:rPr>
          <w:rFonts w:ascii="Arial" w:hAnsi="Arial" w:cs="Arial"/>
          <w:color w:val="252525"/>
          <w:sz w:val="22"/>
          <w:szCs w:val="22"/>
        </w:rPr>
      </w:pPr>
      <w:r w:rsidRPr="00EF068C">
        <w:rPr>
          <w:rFonts w:ascii="Arial" w:hAnsi="Arial" w:cs="Arial"/>
          <w:color w:val="252525"/>
          <w:sz w:val="22"/>
          <w:szCs w:val="22"/>
        </w:rPr>
        <w:t> </w:t>
      </w:r>
    </w:p>
    <w:p w14:paraId="04043688" w14:textId="77777777" w:rsidR="00EF068C" w:rsidRDefault="00EF068C" w:rsidP="00EF068C">
      <w:pPr>
        <w:pStyle w:val="NormalWeb"/>
        <w:spacing w:line="480" w:lineRule="auto"/>
        <w:jc w:val="both"/>
        <w:rPr>
          <w:color w:val="252525"/>
        </w:rPr>
      </w:pPr>
      <w:r>
        <w:rPr>
          <w:color w:val="252525"/>
        </w:rPr>
        <w:t> </w:t>
      </w:r>
    </w:p>
    <w:p w14:paraId="6DBD93EF" w14:textId="77777777" w:rsidR="006D30C3" w:rsidRPr="0047366C" w:rsidRDefault="006D30C3" w:rsidP="0047366C">
      <w:pPr>
        <w:pStyle w:val="NormalWeb"/>
        <w:spacing w:line="480" w:lineRule="auto"/>
        <w:jc w:val="both"/>
        <w:rPr>
          <w:rFonts w:ascii="Arial" w:hAnsi="Arial" w:cs="Arial"/>
          <w:color w:val="252525"/>
          <w:sz w:val="22"/>
          <w:szCs w:val="22"/>
        </w:rPr>
      </w:pPr>
    </w:p>
    <w:p w14:paraId="3E04DEC5" w14:textId="09EC2A79" w:rsidR="000C342E" w:rsidRPr="0047366C" w:rsidRDefault="0047366C" w:rsidP="000C589F">
      <w:pPr>
        <w:pStyle w:val="NormalWeb"/>
        <w:spacing w:line="480" w:lineRule="auto"/>
        <w:jc w:val="both"/>
        <w:rPr>
          <w:color w:val="252525"/>
        </w:rPr>
      </w:pPr>
      <w:r>
        <w:rPr>
          <w:color w:val="252525"/>
        </w:rPr>
        <w:t> </w:t>
      </w:r>
    </w:p>
    <w:p w14:paraId="49F6BDFD" w14:textId="77777777" w:rsidR="007065F8" w:rsidRDefault="007065F8" w:rsidP="007065F8">
      <w:pPr>
        <w:pStyle w:val="NormalWeb"/>
        <w:spacing w:line="480" w:lineRule="auto"/>
        <w:jc w:val="both"/>
        <w:rPr>
          <w:color w:val="252525"/>
        </w:rPr>
      </w:pPr>
      <w:r>
        <w:rPr>
          <w:rFonts w:ascii="Arial" w:hAnsi="Arial" w:cs="Arial"/>
          <w:color w:val="252525"/>
          <w:sz w:val="22"/>
          <w:szCs w:val="22"/>
        </w:rPr>
        <w:t>Recommendations for future practice:</w:t>
      </w:r>
    </w:p>
    <w:p w14:paraId="19E37153" w14:textId="77777777" w:rsidR="007065F8" w:rsidRDefault="007065F8" w:rsidP="007065F8">
      <w:pPr>
        <w:pStyle w:val="NormalWeb"/>
        <w:spacing w:line="480" w:lineRule="auto"/>
        <w:jc w:val="both"/>
        <w:rPr>
          <w:color w:val="252525"/>
        </w:rPr>
      </w:pPr>
      <w:r>
        <w:rPr>
          <w:rFonts w:ascii="Arial" w:hAnsi="Arial" w:cs="Arial"/>
          <w:color w:val="252525"/>
          <w:sz w:val="22"/>
          <w:szCs w:val="22"/>
        </w:rPr>
        <w:t>To ensure robust communication with parents during transitions.</w:t>
      </w:r>
    </w:p>
    <w:p w14:paraId="457F36FF" w14:textId="77777777" w:rsidR="007065F8" w:rsidRDefault="007065F8" w:rsidP="007065F8">
      <w:pPr>
        <w:pStyle w:val="NormalWeb"/>
        <w:spacing w:line="480" w:lineRule="auto"/>
        <w:jc w:val="both"/>
        <w:rPr>
          <w:color w:val="252525"/>
        </w:rPr>
      </w:pPr>
      <w:r>
        <w:rPr>
          <w:rFonts w:ascii="Arial" w:hAnsi="Arial" w:cs="Arial"/>
          <w:color w:val="252525"/>
          <w:sz w:val="22"/>
          <w:szCs w:val="22"/>
        </w:rPr>
        <w:t>To ensure strong communication with the Flying Start officer during transitions.</w:t>
      </w:r>
    </w:p>
    <w:p w14:paraId="3C6DB72B" w14:textId="3EF3463B" w:rsidR="007065F8" w:rsidRDefault="007065F8" w:rsidP="007065F8">
      <w:pPr>
        <w:pStyle w:val="NormalWeb"/>
        <w:spacing w:line="480" w:lineRule="auto"/>
        <w:jc w:val="both"/>
        <w:rPr>
          <w:color w:val="252525"/>
        </w:rPr>
      </w:pPr>
      <w:r>
        <w:rPr>
          <w:rFonts w:ascii="Arial" w:hAnsi="Arial" w:cs="Arial"/>
          <w:color w:val="252525"/>
          <w:sz w:val="22"/>
          <w:szCs w:val="22"/>
        </w:rPr>
        <w:t>To continue to review and evaluate the personal transition plans.</w:t>
      </w:r>
    </w:p>
    <w:p w14:paraId="5818C0FD" w14:textId="77777777" w:rsidR="007065F8" w:rsidRDefault="007065F8" w:rsidP="007065F8">
      <w:pPr>
        <w:pStyle w:val="NormalWeb"/>
        <w:spacing w:line="480" w:lineRule="auto"/>
        <w:jc w:val="both"/>
        <w:rPr>
          <w:color w:val="252525"/>
        </w:rPr>
      </w:pPr>
      <w:r>
        <w:rPr>
          <w:rFonts w:ascii="Arial" w:hAnsi="Arial" w:cs="Arial"/>
          <w:color w:val="252525"/>
          <w:sz w:val="22"/>
          <w:szCs w:val="22"/>
        </w:rPr>
        <w:t>Ensure all staff are aware of the impact of a successful transition.</w:t>
      </w:r>
    </w:p>
    <w:p w14:paraId="48B097FB" w14:textId="77777777" w:rsidR="007065F8" w:rsidRDefault="007065F8" w:rsidP="007065F8">
      <w:pPr>
        <w:pStyle w:val="NormalWeb"/>
        <w:rPr>
          <w:color w:val="252525"/>
        </w:rPr>
      </w:pPr>
      <w:r>
        <w:rPr>
          <w:color w:val="252525"/>
        </w:rPr>
        <w:t> </w:t>
      </w:r>
    </w:p>
    <w:p w14:paraId="39C34B81" w14:textId="77777777" w:rsidR="007065F8" w:rsidRDefault="007065F8" w:rsidP="007065F8">
      <w:pPr>
        <w:pStyle w:val="NormalWeb"/>
        <w:spacing w:line="480" w:lineRule="auto"/>
        <w:jc w:val="both"/>
        <w:rPr>
          <w:color w:val="252525"/>
        </w:rPr>
      </w:pPr>
      <w:r>
        <w:rPr>
          <w:color w:val="252525"/>
        </w:rPr>
        <w:lastRenderedPageBreak/>
        <w:t> </w:t>
      </w:r>
    </w:p>
    <w:p w14:paraId="136D2725" w14:textId="77777777" w:rsidR="00237EF7" w:rsidRDefault="00237EF7" w:rsidP="000C589F">
      <w:pPr>
        <w:pStyle w:val="NormalWeb"/>
        <w:spacing w:line="480" w:lineRule="auto"/>
        <w:jc w:val="both"/>
        <w:rPr>
          <w:rFonts w:ascii="Arial" w:hAnsi="Arial" w:cs="Arial"/>
          <w:sz w:val="22"/>
          <w:szCs w:val="22"/>
        </w:rPr>
      </w:pPr>
    </w:p>
    <w:p w14:paraId="14B1577D" w14:textId="77777777" w:rsidR="00237EF7" w:rsidRDefault="00237EF7" w:rsidP="000C589F">
      <w:pPr>
        <w:pStyle w:val="NormalWeb"/>
        <w:spacing w:line="480" w:lineRule="auto"/>
        <w:jc w:val="both"/>
        <w:rPr>
          <w:rFonts w:ascii="Arial" w:hAnsi="Arial" w:cs="Arial"/>
          <w:sz w:val="22"/>
          <w:szCs w:val="22"/>
        </w:rPr>
      </w:pPr>
    </w:p>
    <w:p w14:paraId="346C0664" w14:textId="77777777" w:rsidR="00237EF7" w:rsidRDefault="00237EF7" w:rsidP="000C589F">
      <w:pPr>
        <w:pStyle w:val="NormalWeb"/>
        <w:spacing w:line="480" w:lineRule="auto"/>
        <w:jc w:val="both"/>
        <w:rPr>
          <w:rFonts w:ascii="Arial" w:hAnsi="Arial" w:cs="Arial"/>
          <w:sz w:val="22"/>
          <w:szCs w:val="22"/>
        </w:rPr>
      </w:pPr>
    </w:p>
    <w:p w14:paraId="75616343" w14:textId="77777777" w:rsidR="00237EF7" w:rsidRDefault="00237EF7" w:rsidP="000C589F">
      <w:pPr>
        <w:pStyle w:val="NormalWeb"/>
        <w:spacing w:line="480" w:lineRule="auto"/>
        <w:jc w:val="both"/>
        <w:rPr>
          <w:rFonts w:ascii="Arial" w:hAnsi="Arial" w:cs="Arial"/>
          <w:sz w:val="22"/>
          <w:szCs w:val="22"/>
        </w:rPr>
      </w:pPr>
    </w:p>
    <w:p w14:paraId="47BB6393" w14:textId="77777777" w:rsidR="00237EF7" w:rsidRDefault="00237EF7" w:rsidP="000C589F">
      <w:pPr>
        <w:pStyle w:val="NormalWeb"/>
        <w:spacing w:line="480" w:lineRule="auto"/>
        <w:jc w:val="both"/>
        <w:rPr>
          <w:rFonts w:ascii="Arial" w:hAnsi="Arial" w:cs="Arial"/>
          <w:sz w:val="22"/>
          <w:szCs w:val="22"/>
        </w:rPr>
      </w:pPr>
    </w:p>
    <w:p w14:paraId="4BE6731D" w14:textId="696C357D" w:rsidR="00AB5FA2" w:rsidRPr="00B64E5B" w:rsidRDefault="00AB5FA2" w:rsidP="00AB5FA2">
      <w:pPr>
        <w:rPr>
          <w:rFonts w:ascii="Arial" w:hAnsi="Arial" w:cs="Arial"/>
        </w:rPr>
      </w:pPr>
      <w:r w:rsidRPr="00B64E5B">
        <w:rPr>
          <w:rFonts w:ascii="Arial" w:hAnsi="Arial" w:cs="Arial"/>
        </w:rPr>
        <w:t xml:space="preserve">A Curriculum for Funded Non-Maintained Nursery Settings (2022) Available at: </w:t>
      </w:r>
      <w:hyperlink r:id="rId6" w:history="1">
        <w:r w:rsidRPr="00B64E5B">
          <w:rPr>
            <w:rFonts w:ascii="Arial" w:hAnsi="Arial" w:cs="Arial"/>
            <w:u w:val="single"/>
          </w:rPr>
          <w:t>A curriculum for funded non-maintained nursery settings (gov.wales)</w:t>
        </w:r>
      </w:hyperlink>
      <w:r w:rsidRPr="00B64E5B">
        <w:rPr>
          <w:rFonts w:ascii="Arial" w:hAnsi="Arial" w:cs="Arial"/>
        </w:rPr>
        <w:t xml:space="preserve"> (Accessed on 3 January 2024).</w:t>
      </w:r>
    </w:p>
    <w:p w14:paraId="2DC9DFEE" w14:textId="77777777" w:rsidR="00AB5FA2" w:rsidRPr="00B64E5B" w:rsidRDefault="00AB5FA2" w:rsidP="00AB5FA2">
      <w:pPr>
        <w:rPr>
          <w:rFonts w:ascii="Arial" w:hAnsi="Arial" w:cs="Arial"/>
        </w:rPr>
      </w:pPr>
    </w:p>
    <w:p w14:paraId="62DAF9AC" w14:textId="7E31550A" w:rsidR="00AB5FA2" w:rsidRPr="00B64E5B" w:rsidRDefault="00AB5FA2" w:rsidP="00AB5FA2">
      <w:pPr>
        <w:rPr>
          <w:rFonts w:ascii="Arial" w:hAnsi="Arial" w:cs="Arial"/>
        </w:rPr>
      </w:pPr>
      <w:r w:rsidRPr="00B64E5B">
        <w:rPr>
          <w:rFonts w:ascii="Arial" w:hAnsi="Arial" w:cs="Arial"/>
        </w:rPr>
        <w:t xml:space="preserve">A Curriculum for Funded Non-Maintained Nursery Settings (2022) Available at: </w:t>
      </w:r>
      <w:hyperlink r:id="rId7" w:history="1">
        <w:r w:rsidRPr="00B64E5B">
          <w:rPr>
            <w:rFonts w:ascii="Arial" w:hAnsi="Arial" w:cs="Arial"/>
            <w:u w:val="single"/>
          </w:rPr>
          <w:t>A curriculum for funded non-maintained nursery settings (gov.wales)</w:t>
        </w:r>
      </w:hyperlink>
      <w:r w:rsidRPr="00B64E5B">
        <w:rPr>
          <w:rFonts w:ascii="Arial" w:hAnsi="Arial" w:cs="Arial"/>
        </w:rPr>
        <w:t xml:space="preserve"> [Accessed on 3 January 2024].</w:t>
      </w:r>
    </w:p>
    <w:p w14:paraId="0D200A66" w14:textId="77777777" w:rsidR="00AB5FA2" w:rsidRPr="00B64E5B" w:rsidRDefault="00AB5FA2" w:rsidP="00AB5FA2">
      <w:pPr>
        <w:rPr>
          <w:rFonts w:ascii="Arial" w:hAnsi="Arial" w:cs="Arial"/>
        </w:rPr>
      </w:pPr>
    </w:p>
    <w:p w14:paraId="05A92909" w14:textId="34A08521" w:rsidR="00AB5FA2" w:rsidRPr="00B64E5B" w:rsidRDefault="00AB5FA2" w:rsidP="00AB5FA2">
      <w:pPr>
        <w:rPr>
          <w:rFonts w:ascii="Arial" w:hAnsi="Arial" w:cs="Arial"/>
        </w:rPr>
      </w:pPr>
      <w:r w:rsidRPr="00B64E5B">
        <w:rPr>
          <w:rFonts w:ascii="Arial" w:hAnsi="Arial" w:cs="Arial"/>
        </w:rPr>
        <w:t>Allen S, Whalley M, Lee M and Schollan A (2020) Developing Professional Language in the Early Years. Londob: McGraw-Hill Education.</w:t>
      </w:r>
    </w:p>
    <w:p w14:paraId="07D5F23A" w14:textId="77777777" w:rsidR="00AB5FA2" w:rsidRPr="00B64E5B" w:rsidRDefault="00AB5FA2" w:rsidP="00AB5FA2">
      <w:pPr>
        <w:rPr>
          <w:rFonts w:ascii="Arial" w:hAnsi="Arial" w:cs="Arial"/>
          <w:shd w:val="clear" w:color="auto" w:fill="FFFFFF"/>
        </w:rPr>
      </w:pPr>
    </w:p>
    <w:p w14:paraId="4597E0D0" w14:textId="213BA281" w:rsidR="00AB5FA2" w:rsidRPr="00B64E5B" w:rsidRDefault="00AB5FA2" w:rsidP="00AB5FA2">
      <w:pPr>
        <w:rPr>
          <w:rFonts w:ascii="Arial" w:hAnsi="Arial" w:cs="Arial"/>
        </w:rPr>
      </w:pPr>
      <w:r w:rsidRPr="00B64E5B">
        <w:rPr>
          <w:rFonts w:ascii="Arial" w:hAnsi="Arial" w:cs="Arial"/>
          <w:shd w:val="clear" w:color="auto" w:fill="FFFFFF"/>
        </w:rPr>
        <w:t>Ashiabi, G. S., &amp; O’Neal, K. K. (2015). Child Social Development in Context: An Examination of Some Propositions in Bronfenbrenner’s Bioecological Theory. </w:t>
      </w:r>
      <w:r w:rsidRPr="00B64E5B">
        <w:rPr>
          <w:rFonts w:ascii="Arial" w:hAnsi="Arial" w:cs="Arial"/>
          <w:i/>
          <w:iCs/>
          <w:shd w:val="clear" w:color="auto" w:fill="FFFFFF"/>
        </w:rPr>
        <w:t xml:space="preserve">SAGE  </w:t>
      </w:r>
      <w:r w:rsidRPr="00B64E5B">
        <w:rPr>
          <w:rFonts w:ascii="Arial" w:hAnsi="Arial" w:cs="Arial"/>
          <w:shd w:val="clear" w:color="auto" w:fill="FFFFFF"/>
        </w:rPr>
        <w:t>Available at</w:t>
      </w:r>
      <w:r w:rsidRPr="00B64E5B">
        <w:rPr>
          <w:rFonts w:ascii="Arial" w:hAnsi="Arial" w:cs="Arial"/>
          <w:i/>
          <w:iCs/>
          <w:shd w:val="clear" w:color="auto" w:fill="FFFFFF"/>
        </w:rPr>
        <w:t xml:space="preserve">: </w:t>
      </w:r>
      <w:r w:rsidRPr="00B64E5B">
        <w:rPr>
          <w:rFonts w:ascii="Arial" w:hAnsi="Arial" w:cs="Arial"/>
          <w:shd w:val="clear" w:color="auto" w:fill="FFFFFF"/>
        </w:rPr>
        <w:t> </w:t>
      </w:r>
      <w:hyperlink r:id="rId8" w:history="1">
        <w:r w:rsidRPr="00B64E5B">
          <w:rPr>
            <w:rFonts w:ascii="Arial" w:hAnsi="Arial" w:cs="Arial"/>
            <w:u w:val="single"/>
            <w:shd w:val="clear" w:color="auto" w:fill="FFFFFF"/>
          </w:rPr>
          <w:t>https://doi.org/10.1177/2158244015590840</w:t>
        </w:r>
      </w:hyperlink>
      <w:r w:rsidRPr="00B64E5B">
        <w:rPr>
          <w:rFonts w:ascii="Arial" w:hAnsi="Arial" w:cs="Arial"/>
        </w:rPr>
        <w:t xml:space="preserve"> [ Accessed on 10 January 2024].</w:t>
      </w:r>
    </w:p>
    <w:p w14:paraId="2AE4896A" w14:textId="77777777" w:rsidR="00AB2AF0" w:rsidRPr="00B64E5B" w:rsidRDefault="00AB2AF0" w:rsidP="00AB5FA2">
      <w:pPr>
        <w:shd w:val="clear" w:color="auto" w:fill="FFFFFF"/>
        <w:rPr>
          <w:rFonts w:ascii="Arial" w:hAnsi="Arial" w:cs="Arial"/>
        </w:rPr>
      </w:pPr>
    </w:p>
    <w:p w14:paraId="6E985B49" w14:textId="64EB1DD6" w:rsidR="00AB5FA2" w:rsidRPr="00B64E5B" w:rsidRDefault="00AB5FA2" w:rsidP="00AB5FA2">
      <w:pPr>
        <w:shd w:val="clear" w:color="auto" w:fill="FFFFFF"/>
        <w:rPr>
          <w:rFonts w:ascii="Arial" w:hAnsi="Arial" w:cs="Arial"/>
        </w:rPr>
      </w:pPr>
      <w:r w:rsidRPr="00B64E5B">
        <w:rPr>
          <w:rFonts w:ascii="Arial" w:hAnsi="Arial" w:cs="Arial"/>
        </w:rPr>
        <w:lastRenderedPageBreak/>
        <w:t xml:space="preserve">Banyard P, Dillon G, Norman C and Winder B (2015) </w:t>
      </w:r>
      <w:r w:rsidRPr="00B64E5B">
        <w:rPr>
          <w:rFonts w:ascii="Arial" w:hAnsi="Arial" w:cs="Arial"/>
          <w:i/>
          <w:iCs/>
        </w:rPr>
        <w:t>Essential Psychology</w:t>
      </w:r>
      <w:r w:rsidRPr="00B64E5B">
        <w:rPr>
          <w:rFonts w:ascii="Arial" w:hAnsi="Arial" w:cs="Arial"/>
        </w:rPr>
        <w:t>. 2</w:t>
      </w:r>
      <w:r w:rsidRPr="00B64E5B">
        <w:rPr>
          <w:rFonts w:ascii="Arial" w:hAnsi="Arial" w:cs="Arial"/>
          <w:vertAlign w:val="superscript"/>
        </w:rPr>
        <w:t>nd</w:t>
      </w:r>
      <w:r w:rsidRPr="00B64E5B">
        <w:rPr>
          <w:rFonts w:ascii="Arial" w:hAnsi="Arial" w:cs="Arial"/>
        </w:rPr>
        <w:t xml:space="preserve"> Edn. London: Sage.</w:t>
      </w:r>
    </w:p>
    <w:p w14:paraId="51E81477" w14:textId="77777777" w:rsidR="00AB2AF0" w:rsidRPr="00B64E5B" w:rsidRDefault="00AB2AF0" w:rsidP="00AB5FA2">
      <w:pPr>
        <w:rPr>
          <w:rFonts w:ascii="Arial" w:hAnsi="Arial" w:cs="Arial"/>
        </w:rPr>
      </w:pPr>
    </w:p>
    <w:p w14:paraId="65F2E38C" w14:textId="1C7865DA" w:rsidR="00AB5FA2" w:rsidRPr="00B64E5B" w:rsidRDefault="00AB5FA2" w:rsidP="00AB5FA2">
      <w:pPr>
        <w:rPr>
          <w:rFonts w:ascii="Arial" w:hAnsi="Arial" w:cs="Arial"/>
        </w:rPr>
      </w:pPr>
      <w:r w:rsidRPr="00B64E5B">
        <w:rPr>
          <w:rFonts w:ascii="Arial" w:hAnsi="Arial" w:cs="Arial"/>
        </w:rPr>
        <w:t xml:space="preserve">Berliner D and Calfee R (2013) </w:t>
      </w:r>
      <w:r w:rsidRPr="00B64E5B">
        <w:rPr>
          <w:rFonts w:ascii="Arial" w:hAnsi="Arial" w:cs="Arial"/>
          <w:i/>
          <w:iCs/>
        </w:rPr>
        <w:t>Handbook of Educational Psychology</w:t>
      </w:r>
      <w:r w:rsidRPr="00B64E5B">
        <w:rPr>
          <w:rFonts w:ascii="Arial" w:hAnsi="Arial" w:cs="Arial"/>
        </w:rPr>
        <w:t>. London: Routledge.</w:t>
      </w:r>
    </w:p>
    <w:p w14:paraId="32105E95" w14:textId="4C5BFC19" w:rsidR="00AB5FA2" w:rsidRPr="00B64E5B" w:rsidRDefault="00AB5FA2" w:rsidP="00AB5FA2">
      <w:pPr>
        <w:keepNext/>
        <w:keepLines/>
        <w:shd w:val="clear" w:color="auto" w:fill="FFFFFF"/>
        <w:spacing w:before="240" w:after="0" w:line="310" w:lineRule="atLeast"/>
        <w:textAlignment w:val="baseline"/>
        <w:outlineLvl w:val="0"/>
        <w:rPr>
          <w:rFonts w:ascii="Arial" w:hAnsi="Arial" w:cs="Arial"/>
        </w:rPr>
      </w:pPr>
      <w:r w:rsidRPr="00B64E5B">
        <w:rPr>
          <w:rFonts w:ascii="Arial" w:eastAsiaTheme="majorEastAsia" w:hAnsi="Arial" w:cs="Arial"/>
        </w:rPr>
        <w:t>Besnili Z and Tanrikulu I (2021) ‘</w:t>
      </w:r>
      <w:r w:rsidRPr="00B64E5B">
        <w:rPr>
          <w:rFonts w:ascii="Arial" w:eastAsia="Times New Roman" w:hAnsi="Arial" w:cs="Arial"/>
          <w:kern w:val="36"/>
          <w:lang w:eastAsia="en-GB"/>
          <w14:ligatures w14:val="none"/>
        </w:rPr>
        <w:t xml:space="preserve">Development and validation of the preschool peer bullying scale-teacher form’ </w:t>
      </w:r>
      <w:r w:rsidRPr="00B64E5B">
        <w:rPr>
          <w:rFonts w:ascii="Arial" w:eastAsia="Times New Roman" w:hAnsi="Arial" w:cs="Arial"/>
          <w:i/>
          <w:iCs/>
          <w:kern w:val="36"/>
          <w:lang w:eastAsia="en-GB"/>
          <w14:ligatures w14:val="none"/>
        </w:rPr>
        <w:t xml:space="preserve">Journal of Psychologists and Counsellors in Schools. </w:t>
      </w:r>
      <w:r w:rsidRPr="00B64E5B">
        <w:rPr>
          <w:rFonts w:ascii="Arial" w:eastAsia="Times New Roman" w:hAnsi="Arial" w:cs="Arial"/>
          <w:kern w:val="36"/>
          <w:lang w:eastAsia="en-GB"/>
          <w14:ligatures w14:val="none"/>
        </w:rPr>
        <w:t xml:space="preserve">Available at: </w:t>
      </w:r>
      <w:hyperlink r:id="rId9" w:history="1">
        <w:r w:rsidRPr="00B64E5B">
          <w:rPr>
            <w:rFonts w:ascii="Arial" w:hAnsi="Arial" w:cs="Arial"/>
            <w:u w:val="single"/>
          </w:rPr>
          <w:t>Development and validation of the preschool peer bullying scale-teacher form | Journal of Psychologists and Counsellors in Schools | Cambridge Core</w:t>
        </w:r>
      </w:hyperlink>
      <w:r w:rsidRPr="00B64E5B">
        <w:rPr>
          <w:rFonts w:ascii="Arial" w:hAnsi="Arial" w:cs="Arial"/>
        </w:rPr>
        <w:t xml:space="preserve"> </w:t>
      </w:r>
      <w:r w:rsidR="003C0D14" w:rsidRPr="00B64E5B">
        <w:rPr>
          <w:rFonts w:ascii="Arial" w:hAnsi="Arial" w:cs="Arial"/>
        </w:rPr>
        <w:t>[</w:t>
      </w:r>
      <w:r w:rsidRPr="00B64E5B">
        <w:rPr>
          <w:rFonts w:ascii="Arial" w:hAnsi="Arial" w:cs="Arial"/>
        </w:rPr>
        <w:t>Accessed on 3 January 2024</w:t>
      </w:r>
      <w:r w:rsidR="003C0D14" w:rsidRPr="00B64E5B">
        <w:rPr>
          <w:rFonts w:ascii="Arial" w:hAnsi="Arial" w:cs="Arial"/>
        </w:rPr>
        <w:t>].</w:t>
      </w:r>
    </w:p>
    <w:p w14:paraId="17894FED" w14:textId="77777777" w:rsidR="00AB2AF0" w:rsidRPr="00B64E5B" w:rsidRDefault="00AB2AF0" w:rsidP="00AB5FA2">
      <w:pPr>
        <w:rPr>
          <w:rFonts w:ascii="Arial" w:hAnsi="Arial" w:cs="Arial"/>
        </w:rPr>
      </w:pPr>
    </w:p>
    <w:p w14:paraId="3909431C" w14:textId="4F6602E1" w:rsidR="00AB5FA2" w:rsidRPr="00B64E5B" w:rsidRDefault="00AB5FA2" w:rsidP="00AB5FA2">
      <w:pPr>
        <w:rPr>
          <w:rFonts w:ascii="Arial" w:hAnsi="Arial" w:cs="Arial"/>
        </w:rPr>
      </w:pPr>
      <w:r w:rsidRPr="00B64E5B">
        <w:rPr>
          <w:rFonts w:ascii="Arial" w:hAnsi="Arial" w:cs="Arial"/>
        </w:rPr>
        <w:t xml:space="preserve">Bodrova E and Leong D (2003) ‘Learning and Development of Preschool Children from the Vygotsky Perspective’. </w:t>
      </w:r>
      <w:r w:rsidRPr="00B64E5B">
        <w:rPr>
          <w:rFonts w:ascii="Arial" w:hAnsi="Arial" w:cs="Arial"/>
          <w:i/>
          <w:iCs/>
        </w:rPr>
        <w:t xml:space="preserve">Vygotsky’s Educational Theory in Cultural Context. </w:t>
      </w:r>
      <w:r w:rsidRPr="00B64E5B">
        <w:rPr>
          <w:rFonts w:ascii="Arial" w:hAnsi="Arial" w:cs="Arial"/>
        </w:rPr>
        <w:t xml:space="preserve">Available at: </w:t>
      </w:r>
      <w:hyperlink r:id="rId10" w:history="1">
        <w:r w:rsidRPr="00B64E5B">
          <w:rPr>
            <w:rFonts w:ascii="Arial" w:hAnsi="Arial" w:cs="Arial"/>
            <w:u w:val="single"/>
          </w:rPr>
          <w:t>SFX960 (researchgate.net)</w:t>
        </w:r>
      </w:hyperlink>
      <w:r w:rsidRPr="00B64E5B">
        <w:rPr>
          <w:rFonts w:ascii="Arial" w:hAnsi="Arial" w:cs="Arial"/>
        </w:rPr>
        <w:t xml:space="preserve"> [Accessed on 7 January 2024].</w:t>
      </w:r>
    </w:p>
    <w:p w14:paraId="33605FDD" w14:textId="77777777" w:rsidR="00AB5FA2" w:rsidRPr="00B64E5B" w:rsidRDefault="00AB5FA2" w:rsidP="00AB5FA2">
      <w:pPr>
        <w:rPr>
          <w:rFonts w:ascii="Arial" w:hAnsi="Arial" w:cs="Arial"/>
          <w:shd w:val="clear" w:color="auto" w:fill="FFFFFF"/>
        </w:rPr>
      </w:pPr>
      <w:r w:rsidRPr="00B64E5B">
        <w:rPr>
          <w:rFonts w:ascii="Arial" w:hAnsi="Arial" w:cs="Arial"/>
          <w:shd w:val="clear" w:color="auto" w:fill="FFFFFF"/>
        </w:rPr>
        <w:t> Bowlby R  (2007) ‘Babies and toddlers in non-parental daycare can avoid stress and anxiety if they develop a lasting secondary attachment bond with one carer who is consistently accessible to them’, </w:t>
      </w:r>
      <w:r w:rsidRPr="00B64E5B">
        <w:rPr>
          <w:rFonts w:ascii="Arial" w:hAnsi="Arial" w:cs="Arial"/>
          <w:i/>
          <w:iCs/>
          <w:shd w:val="clear" w:color="auto" w:fill="FFFFFF"/>
        </w:rPr>
        <w:t>Attachment &amp; Human Development</w:t>
      </w:r>
      <w:r w:rsidRPr="00B64E5B">
        <w:rPr>
          <w:rFonts w:ascii="Arial" w:hAnsi="Arial" w:cs="Arial"/>
          <w:shd w:val="clear" w:color="auto" w:fill="FFFFFF"/>
        </w:rPr>
        <w:t>, Issue 4, pp. 307-319.</w:t>
      </w:r>
    </w:p>
    <w:p w14:paraId="1C85404E" w14:textId="77777777" w:rsidR="003C0D14" w:rsidRPr="00B64E5B" w:rsidRDefault="003C0D14" w:rsidP="00AB5FA2">
      <w:pPr>
        <w:rPr>
          <w:rFonts w:ascii="Arial" w:hAnsi="Arial" w:cs="Arial"/>
          <w:shd w:val="clear" w:color="auto" w:fill="FFFFFF"/>
        </w:rPr>
      </w:pPr>
    </w:p>
    <w:p w14:paraId="134A8132" w14:textId="09339FC7" w:rsidR="00AB5FA2" w:rsidRPr="00B64E5B" w:rsidRDefault="00AB5FA2" w:rsidP="00AB5FA2">
      <w:pPr>
        <w:rPr>
          <w:rFonts w:ascii="Arial" w:hAnsi="Arial" w:cs="Arial"/>
        </w:rPr>
      </w:pPr>
      <w:r w:rsidRPr="00B64E5B">
        <w:rPr>
          <w:rFonts w:ascii="Arial" w:hAnsi="Arial" w:cs="Arial"/>
          <w:shd w:val="clear" w:color="auto" w:fill="FFFFFF"/>
        </w:rPr>
        <w:t xml:space="preserve">Boyle T, Grieshaber S, Petriwsky A (2018) ‘An integrated Review of Transitions to School Literature’ </w:t>
      </w:r>
      <w:r w:rsidRPr="00B64E5B">
        <w:rPr>
          <w:rFonts w:ascii="Arial" w:hAnsi="Arial" w:cs="Arial"/>
          <w:i/>
          <w:iCs/>
          <w:shd w:val="clear" w:color="auto" w:fill="FFFFFF"/>
        </w:rPr>
        <w:t>Educational Research Review</w:t>
      </w:r>
      <w:r w:rsidRPr="00B64E5B">
        <w:rPr>
          <w:rFonts w:ascii="Arial" w:hAnsi="Arial" w:cs="Arial"/>
          <w:shd w:val="clear" w:color="auto" w:fill="FFFFFF"/>
        </w:rPr>
        <w:t xml:space="preserve">.Vol 24. PP. 170-180. Available at: </w:t>
      </w:r>
      <w:hyperlink r:id="rId11" w:history="1">
        <w:r w:rsidRPr="00B64E5B">
          <w:rPr>
            <w:rFonts w:ascii="Arial" w:hAnsi="Arial" w:cs="Arial"/>
            <w:u w:val="single"/>
          </w:rPr>
          <w:t>An integrative review of transitions to school literature - ScienceDirect</w:t>
        </w:r>
      </w:hyperlink>
      <w:r w:rsidRPr="00B64E5B">
        <w:rPr>
          <w:rFonts w:ascii="Arial" w:hAnsi="Arial" w:cs="Arial"/>
        </w:rPr>
        <w:t xml:space="preserve"> [Accessed on 8 January 2024].</w:t>
      </w:r>
    </w:p>
    <w:p w14:paraId="4B61FCFF" w14:textId="77777777" w:rsidR="003C0D14" w:rsidRPr="00B64E5B" w:rsidRDefault="003C0D14" w:rsidP="00AB5FA2">
      <w:pPr>
        <w:rPr>
          <w:rFonts w:ascii="Arial" w:hAnsi="Arial" w:cs="Arial"/>
        </w:rPr>
      </w:pPr>
    </w:p>
    <w:p w14:paraId="2C4B21D3" w14:textId="7FE33B2C" w:rsidR="00AB5FA2" w:rsidRPr="00B64E5B" w:rsidRDefault="00AB5FA2" w:rsidP="00AB5FA2">
      <w:pPr>
        <w:rPr>
          <w:rFonts w:ascii="Arial" w:hAnsi="Arial" w:cs="Arial"/>
        </w:rPr>
      </w:pPr>
      <w:r w:rsidRPr="00B64E5B">
        <w:rPr>
          <w:rFonts w:ascii="Arial" w:hAnsi="Arial" w:cs="Arial"/>
        </w:rPr>
        <w:t xml:space="preserve">Brooker L (2008) </w:t>
      </w:r>
      <w:r w:rsidRPr="00B64E5B">
        <w:rPr>
          <w:rFonts w:ascii="Arial" w:hAnsi="Arial" w:cs="Arial"/>
          <w:i/>
          <w:iCs/>
        </w:rPr>
        <w:t xml:space="preserve">Supporting Transitions in the Early Years. </w:t>
      </w:r>
      <w:r w:rsidRPr="00B64E5B">
        <w:rPr>
          <w:rFonts w:ascii="Arial" w:hAnsi="Arial" w:cs="Arial"/>
        </w:rPr>
        <w:t>Berkshire: McGraw-Hill Education.</w:t>
      </w:r>
    </w:p>
    <w:p w14:paraId="181A62E8" w14:textId="77777777" w:rsidR="003C0D14" w:rsidRPr="00B64E5B" w:rsidRDefault="003C0D14" w:rsidP="00AB5FA2">
      <w:pPr>
        <w:rPr>
          <w:rFonts w:ascii="Arial" w:hAnsi="Arial" w:cs="Arial"/>
        </w:rPr>
      </w:pPr>
    </w:p>
    <w:p w14:paraId="595D5A24" w14:textId="3F00ADDA" w:rsidR="00AB5FA2" w:rsidRPr="00B64E5B" w:rsidRDefault="00AB5FA2" w:rsidP="00AB5FA2">
      <w:pPr>
        <w:rPr>
          <w:rFonts w:ascii="Arial" w:hAnsi="Arial" w:cs="Arial"/>
        </w:rPr>
      </w:pPr>
      <w:r w:rsidRPr="00B64E5B">
        <w:rPr>
          <w:rFonts w:ascii="Arial" w:hAnsi="Arial" w:cs="Arial"/>
        </w:rPr>
        <w:t xml:space="preserve">Brooks A (2023) </w:t>
      </w:r>
      <w:r w:rsidRPr="00B64E5B">
        <w:rPr>
          <w:rFonts w:ascii="Arial" w:hAnsi="Arial" w:cs="Arial"/>
          <w:i/>
          <w:iCs/>
        </w:rPr>
        <w:t>Fun and Educational Activities for Toddlers</w:t>
      </w:r>
      <w:r w:rsidRPr="00B64E5B">
        <w:rPr>
          <w:rFonts w:ascii="Arial" w:hAnsi="Arial" w:cs="Arial"/>
        </w:rPr>
        <w:t>. New Zealand: Baby Dreamers.</w:t>
      </w:r>
    </w:p>
    <w:p w14:paraId="6D5803A6" w14:textId="77777777" w:rsidR="00AB5FA2" w:rsidRPr="00B64E5B" w:rsidRDefault="00AB5FA2" w:rsidP="00AB5FA2">
      <w:pPr>
        <w:keepNext/>
        <w:keepLines/>
        <w:spacing w:before="240" w:after="360"/>
        <w:outlineLvl w:val="0"/>
        <w:rPr>
          <w:rFonts w:ascii="Arial" w:hAnsi="Arial" w:cs="Arial"/>
        </w:rPr>
      </w:pPr>
      <w:r w:rsidRPr="00B64E5B">
        <w:rPr>
          <w:rFonts w:ascii="Arial" w:eastAsiaTheme="majorEastAsia" w:hAnsi="Arial" w:cs="Arial"/>
          <w:lang w:eastAsia="en-GB"/>
        </w:rPr>
        <w:lastRenderedPageBreak/>
        <w:t xml:space="preserve">Cadima J, Vershchueren K, Leal T and Guedes C (2015) </w:t>
      </w:r>
      <w:r w:rsidRPr="00B64E5B">
        <w:rPr>
          <w:rFonts w:ascii="Arial" w:eastAsia="Times New Roman" w:hAnsi="Arial" w:cs="Arial"/>
          <w:i/>
          <w:iCs/>
          <w:kern w:val="36"/>
          <w:lang w:eastAsia="en-GB"/>
          <w14:ligatures w14:val="none"/>
        </w:rPr>
        <w:t xml:space="preserve">Classroom Interactions, Dyadic Teacher–Child Relationships, and Self–Regulation in Socially Disadvantaged Young Children. </w:t>
      </w:r>
      <w:r w:rsidRPr="00B64E5B">
        <w:rPr>
          <w:rFonts w:ascii="Arial" w:eastAsia="Times New Roman" w:hAnsi="Arial" w:cs="Arial"/>
          <w:kern w:val="36"/>
          <w:lang w:eastAsia="en-GB"/>
          <w14:ligatures w14:val="none"/>
        </w:rPr>
        <w:t xml:space="preserve">Journal of Abnormal Child Psychology. Volume 44, p.7-17. [online] Available at: </w:t>
      </w:r>
      <w:hyperlink r:id="rId12" w:history="1">
        <w:r w:rsidRPr="00B64E5B">
          <w:rPr>
            <w:rFonts w:ascii="Arial" w:hAnsi="Arial" w:cs="Arial"/>
            <w:u w:val="single"/>
          </w:rPr>
          <w:t>Classroom Interactions, Dyadic Teacher–Child Relationships, and Self–Regulation in Socially Disadvantaged Young Children | Research on Child and Adolescent Psychopathology (springer.com)</w:t>
        </w:r>
      </w:hyperlink>
      <w:r w:rsidRPr="00B64E5B">
        <w:rPr>
          <w:rFonts w:ascii="Arial" w:hAnsi="Arial" w:cs="Arial"/>
        </w:rPr>
        <w:t xml:space="preserve"> [Accessed on 12/11/23].</w:t>
      </w:r>
    </w:p>
    <w:p w14:paraId="6490D8B6" w14:textId="77777777" w:rsidR="00AB5FA2" w:rsidRPr="00B64E5B" w:rsidRDefault="00AB5FA2" w:rsidP="00AB5FA2">
      <w:pPr>
        <w:keepNext/>
        <w:keepLines/>
        <w:shd w:val="clear" w:color="auto" w:fill="FFFFFF"/>
        <w:spacing w:after="0"/>
        <w:outlineLvl w:val="0"/>
        <w:rPr>
          <w:rFonts w:ascii="Arial" w:eastAsia="Times New Roman" w:hAnsi="Arial" w:cs="Arial"/>
          <w:kern w:val="36"/>
          <w:lang w:eastAsia="en-GB"/>
          <w14:ligatures w14:val="none"/>
        </w:rPr>
      </w:pPr>
      <w:r w:rsidRPr="00B64E5B">
        <w:rPr>
          <w:rFonts w:ascii="Arial" w:eastAsiaTheme="majorEastAsia" w:hAnsi="Arial" w:cs="Arial"/>
        </w:rPr>
        <w:t xml:space="preserve">Callaghan and Corbit (2015, p.268) </w:t>
      </w:r>
      <w:r w:rsidRPr="00B64E5B">
        <w:rPr>
          <w:rFonts w:ascii="Arial" w:eastAsia="Times New Roman" w:hAnsi="Arial" w:cs="Arial"/>
          <w:i/>
          <w:iCs/>
          <w:kern w:val="36"/>
          <w:lang w:eastAsia="en-GB"/>
          <w14:ligatures w14:val="none"/>
        </w:rPr>
        <w:t xml:space="preserve">Handbook of Child Psychology and Developmental Science, Cognitive Processes. </w:t>
      </w:r>
      <w:r w:rsidRPr="00B64E5B">
        <w:rPr>
          <w:rFonts w:ascii="Arial" w:eastAsia="Times New Roman" w:hAnsi="Arial" w:cs="Arial"/>
          <w:kern w:val="36"/>
          <w:lang w:eastAsia="en-GB"/>
          <w14:ligatures w14:val="none"/>
        </w:rPr>
        <w:t>7</w:t>
      </w:r>
      <w:r w:rsidRPr="00B64E5B">
        <w:rPr>
          <w:rFonts w:ascii="Arial" w:eastAsia="Times New Roman" w:hAnsi="Arial" w:cs="Arial"/>
          <w:kern w:val="36"/>
          <w:vertAlign w:val="superscript"/>
          <w:lang w:eastAsia="en-GB"/>
          <w14:ligatures w14:val="none"/>
        </w:rPr>
        <w:t>th</w:t>
      </w:r>
      <w:r w:rsidRPr="00B64E5B">
        <w:rPr>
          <w:rFonts w:ascii="Arial" w:eastAsia="Times New Roman" w:hAnsi="Arial" w:cs="Arial"/>
          <w:kern w:val="36"/>
          <w:lang w:eastAsia="en-GB"/>
          <w14:ligatures w14:val="none"/>
        </w:rPr>
        <w:t xml:space="preserve"> Edn. New Jersy: Wiley. </w:t>
      </w:r>
    </w:p>
    <w:p w14:paraId="23D69D0E" w14:textId="77777777" w:rsidR="00AB5FA2" w:rsidRPr="00B64E5B" w:rsidRDefault="00AB5FA2" w:rsidP="00AB5FA2">
      <w:pPr>
        <w:rPr>
          <w:rFonts w:ascii="Arial" w:hAnsi="Arial" w:cs="Arial"/>
        </w:rPr>
      </w:pPr>
      <w:r w:rsidRPr="00B64E5B">
        <w:rPr>
          <w:rFonts w:ascii="Arial" w:hAnsi="Arial" w:cs="Arial"/>
        </w:rPr>
        <w:t xml:space="preserve"> Cherry (2023) </w:t>
      </w:r>
      <w:r w:rsidRPr="00B64E5B">
        <w:rPr>
          <w:rFonts w:ascii="Arial" w:hAnsi="Arial" w:cs="Arial"/>
          <w:i/>
          <w:iCs/>
        </w:rPr>
        <w:t xml:space="preserve">A Comprehensive Guide to the Bronfenbrenner Ecological Model. </w:t>
      </w:r>
      <w:r w:rsidRPr="00B64E5B">
        <w:rPr>
          <w:rFonts w:ascii="Arial" w:hAnsi="Arial" w:cs="Arial"/>
        </w:rPr>
        <w:t xml:space="preserve">Available at: </w:t>
      </w:r>
      <w:hyperlink r:id="rId13" w:history="1">
        <w:r w:rsidRPr="00B64E5B">
          <w:rPr>
            <w:rFonts w:ascii="Arial" w:hAnsi="Arial" w:cs="Arial"/>
            <w:u w:val="single"/>
          </w:rPr>
          <w:t>A Comprehensive Guide to the Bronfenbrenner Ecological Model (verywellmind.com)</w:t>
        </w:r>
      </w:hyperlink>
      <w:r w:rsidRPr="00B64E5B">
        <w:rPr>
          <w:rFonts w:ascii="Arial" w:hAnsi="Arial" w:cs="Arial"/>
        </w:rPr>
        <w:t xml:space="preserve"> (Accessed on 3/1/2024).</w:t>
      </w:r>
    </w:p>
    <w:p w14:paraId="36276208" w14:textId="77777777" w:rsidR="003C0D14" w:rsidRPr="00B64E5B" w:rsidRDefault="003C0D14" w:rsidP="00AB5FA2">
      <w:pPr>
        <w:rPr>
          <w:rFonts w:ascii="Arial" w:hAnsi="Arial" w:cs="Arial"/>
        </w:rPr>
      </w:pPr>
    </w:p>
    <w:p w14:paraId="5B00DDCD" w14:textId="2BF376F5" w:rsidR="00AB5FA2" w:rsidRPr="00B64E5B" w:rsidRDefault="00AB5FA2" w:rsidP="00AB5FA2">
      <w:pPr>
        <w:rPr>
          <w:rFonts w:ascii="Arial" w:hAnsi="Arial" w:cs="Arial"/>
        </w:rPr>
      </w:pPr>
      <w:r w:rsidRPr="00B64E5B">
        <w:rPr>
          <w:rFonts w:ascii="Arial" w:hAnsi="Arial" w:cs="Arial"/>
        </w:rPr>
        <w:t xml:space="preserve">Darling-Hammond L and Cook Harvey  C (2018, p.46) ‘Educating the Whole Child: Improving School Climate to Support Student Success’ </w:t>
      </w:r>
      <w:r w:rsidRPr="00B64E5B">
        <w:rPr>
          <w:rFonts w:ascii="Arial" w:hAnsi="Arial" w:cs="Arial"/>
          <w:i/>
          <w:iCs/>
        </w:rPr>
        <w:t>Learning Policy Institute</w:t>
      </w:r>
      <w:r w:rsidRPr="00B64E5B">
        <w:rPr>
          <w:rFonts w:ascii="Arial" w:hAnsi="Arial" w:cs="Arial"/>
        </w:rPr>
        <w:t xml:space="preserve">.  Available at: </w:t>
      </w:r>
      <w:hyperlink r:id="rId14" w:history="1">
        <w:r w:rsidRPr="00B64E5B">
          <w:rPr>
            <w:rFonts w:ascii="Arial" w:hAnsi="Arial" w:cs="Arial"/>
            <w:u w:val="single"/>
          </w:rPr>
          <w:t>Educating the Whole Child: Improving School Climate to Support Student Success</w:t>
        </w:r>
      </w:hyperlink>
      <w:r w:rsidRPr="00B64E5B">
        <w:rPr>
          <w:rFonts w:ascii="Arial" w:hAnsi="Arial" w:cs="Arial"/>
        </w:rPr>
        <w:t xml:space="preserve"> [Accessed on 3 January 2024].</w:t>
      </w:r>
    </w:p>
    <w:p w14:paraId="39BF512A" w14:textId="77777777" w:rsidR="003C0D14" w:rsidRPr="00B64E5B" w:rsidRDefault="003C0D14" w:rsidP="00AB5FA2">
      <w:pPr>
        <w:keepNext/>
        <w:keepLines/>
        <w:shd w:val="clear" w:color="auto" w:fill="FFFFFF"/>
        <w:spacing w:after="0"/>
        <w:textAlignment w:val="baseline"/>
        <w:outlineLvl w:val="0"/>
        <w:rPr>
          <w:rFonts w:ascii="Arial" w:eastAsiaTheme="majorEastAsia" w:hAnsi="Arial" w:cs="Arial"/>
        </w:rPr>
      </w:pPr>
    </w:p>
    <w:p w14:paraId="4B49E93F" w14:textId="1FE89C42" w:rsidR="00AB5FA2" w:rsidRPr="00B64E5B" w:rsidRDefault="00AB5FA2" w:rsidP="00AB5FA2">
      <w:pPr>
        <w:keepNext/>
        <w:keepLines/>
        <w:shd w:val="clear" w:color="auto" w:fill="FFFFFF"/>
        <w:spacing w:after="0"/>
        <w:textAlignment w:val="baseline"/>
        <w:outlineLvl w:val="0"/>
        <w:rPr>
          <w:rFonts w:ascii="Arial" w:hAnsi="Arial" w:cs="Arial"/>
        </w:rPr>
      </w:pPr>
      <w:r w:rsidRPr="00B64E5B">
        <w:rPr>
          <w:rFonts w:ascii="Arial" w:eastAsiaTheme="majorEastAsia" w:hAnsi="Arial" w:cs="Arial"/>
        </w:rPr>
        <w:t xml:space="preserve">Davies C (2022) </w:t>
      </w:r>
      <w:r w:rsidRPr="00B64E5B">
        <w:rPr>
          <w:rFonts w:ascii="Arial" w:eastAsia="Times New Roman" w:hAnsi="Arial" w:cs="Arial"/>
          <w:kern w:val="36"/>
          <w:lang w:eastAsia="en-GB"/>
          <w14:ligatures w14:val="none"/>
        </w:rPr>
        <w:t xml:space="preserve">Covid: Schools in Wales still face chaos, teachers warn. </w:t>
      </w:r>
      <w:r w:rsidRPr="00B64E5B">
        <w:rPr>
          <w:rFonts w:ascii="Arial" w:eastAsia="Times New Roman" w:hAnsi="Arial" w:cs="Arial"/>
          <w:i/>
          <w:iCs/>
          <w:kern w:val="36"/>
          <w:lang w:eastAsia="en-GB"/>
          <w14:ligatures w14:val="none"/>
        </w:rPr>
        <w:t>BBC News</w:t>
      </w:r>
      <w:r w:rsidRPr="00B64E5B">
        <w:rPr>
          <w:rFonts w:ascii="Arial" w:eastAsia="Times New Roman" w:hAnsi="Arial" w:cs="Arial"/>
          <w:kern w:val="36"/>
          <w:lang w:eastAsia="en-GB"/>
          <w14:ligatures w14:val="none"/>
        </w:rPr>
        <w:t xml:space="preserve">, 27 March. Available at: </w:t>
      </w:r>
      <w:hyperlink r:id="rId15" w:history="1">
        <w:r w:rsidRPr="00B64E5B">
          <w:rPr>
            <w:rFonts w:ascii="Arial" w:hAnsi="Arial" w:cs="Arial"/>
            <w:u w:val="single"/>
          </w:rPr>
          <w:t>Covid: Schools in Wales still face chaos, teachers warn - BBC News</w:t>
        </w:r>
      </w:hyperlink>
      <w:r w:rsidRPr="00B64E5B">
        <w:rPr>
          <w:rFonts w:ascii="Arial" w:hAnsi="Arial" w:cs="Arial"/>
        </w:rPr>
        <w:t xml:space="preserve"> [Accessed on 15 December 2023].</w:t>
      </w:r>
    </w:p>
    <w:p w14:paraId="4DAED8F1" w14:textId="77777777" w:rsidR="003C0D14" w:rsidRPr="00B64E5B" w:rsidRDefault="003C0D14" w:rsidP="00AB5FA2">
      <w:pPr>
        <w:rPr>
          <w:rFonts w:ascii="Arial" w:hAnsi="Arial" w:cs="Arial"/>
        </w:rPr>
      </w:pPr>
    </w:p>
    <w:p w14:paraId="6D8605AD" w14:textId="7B999324" w:rsidR="00AB5FA2" w:rsidRPr="00B64E5B" w:rsidRDefault="00AB5FA2" w:rsidP="00AB5FA2">
      <w:pPr>
        <w:rPr>
          <w:rFonts w:ascii="Arial" w:hAnsi="Arial" w:cs="Arial"/>
        </w:rPr>
      </w:pPr>
      <w:r w:rsidRPr="00B64E5B">
        <w:rPr>
          <w:rFonts w:ascii="Arial" w:hAnsi="Arial" w:cs="Arial"/>
        </w:rPr>
        <w:t xml:space="preserve">Davies L (2016) Wicked Problems: How Complexity Science Helps Direct Education Responses to Preventing Violent Extremism. </w:t>
      </w:r>
      <w:r w:rsidRPr="00B64E5B">
        <w:rPr>
          <w:rFonts w:ascii="Arial" w:hAnsi="Arial" w:cs="Arial"/>
          <w:i/>
          <w:iCs/>
        </w:rPr>
        <w:t>Journal of Strategic Security</w:t>
      </w:r>
      <w:r w:rsidRPr="00B64E5B">
        <w:rPr>
          <w:rFonts w:ascii="Arial" w:hAnsi="Arial" w:cs="Arial"/>
        </w:rPr>
        <w:t xml:space="preserve"> , Vol. 9, No. 4. Available at: </w:t>
      </w:r>
      <w:hyperlink r:id="rId16" w:history="1">
        <w:r w:rsidRPr="00B64E5B">
          <w:rPr>
            <w:rFonts w:ascii="Arial" w:hAnsi="Arial" w:cs="Arial"/>
            <w:u w:val="single"/>
          </w:rPr>
          <w:t>Davies 2016.pdf</w:t>
        </w:r>
      </w:hyperlink>
      <w:r w:rsidRPr="00B64E5B">
        <w:rPr>
          <w:rFonts w:ascii="Arial" w:hAnsi="Arial" w:cs="Arial"/>
        </w:rPr>
        <w:t xml:space="preserve"> [Accessed on 3 January 2203].</w:t>
      </w:r>
    </w:p>
    <w:p w14:paraId="7F1800EC" w14:textId="77777777" w:rsidR="003C0D14" w:rsidRPr="00B64E5B" w:rsidRDefault="003C0D14" w:rsidP="00AB5FA2">
      <w:pPr>
        <w:rPr>
          <w:rFonts w:ascii="Arial" w:hAnsi="Arial" w:cs="Arial"/>
          <w:shd w:val="clear" w:color="auto" w:fill="FFFFFF"/>
        </w:rPr>
      </w:pPr>
    </w:p>
    <w:p w14:paraId="4994BE59" w14:textId="47C581F9" w:rsidR="00AB5FA2" w:rsidRPr="00B64E5B" w:rsidRDefault="00AB5FA2" w:rsidP="00AB5FA2">
      <w:pPr>
        <w:rPr>
          <w:rFonts w:ascii="Arial" w:hAnsi="Arial" w:cs="Arial"/>
          <w:shd w:val="clear" w:color="auto" w:fill="FFFFFF"/>
        </w:rPr>
      </w:pPr>
      <w:r w:rsidRPr="00B64E5B">
        <w:rPr>
          <w:rFonts w:ascii="Arial" w:hAnsi="Arial" w:cs="Arial"/>
          <w:shd w:val="clear" w:color="auto" w:fill="FFFFFF"/>
        </w:rPr>
        <w:t>Early Education (2021) </w:t>
      </w:r>
      <w:r w:rsidRPr="00B64E5B">
        <w:rPr>
          <w:rFonts w:ascii="Arial" w:hAnsi="Arial" w:cs="Arial"/>
          <w:i/>
          <w:iCs/>
          <w:shd w:val="clear" w:color="auto" w:fill="FFFFFF"/>
        </w:rPr>
        <w:t>Birth to 5 Matters: Non-statutory guidance for the Early Years Foundation Stage</w:t>
      </w:r>
      <w:r w:rsidRPr="00B64E5B">
        <w:rPr>
          <w:rFonts w:ascii="Arial" w:hAnsi="Arial" w:cs="Arial"/>
          <w:shd w:val="clear" w:color="auto" w:fill="FFFFFF"/>
        </w:rPr>
        <w:t>. Available at: </w:t>
      </w:r>
      <w:hyperlink r:id="rId17" w:history="1">
        <w:r w:rsidRPr="00B64E5B">
          <w:rPr>
            <w:rFonts w:ascii="Arial" w:hAnsi="Arial" w:cs="Arial"/>
            <w:u w:val="single"/>
            <w:shd w:val="clear" w:color="auto" w:fill="FFFFFF"/>
          </w:rPr>
          <w:t>https://birthto5matters.org.uk/wp-content/uploads/2021/04/Birthto5Matters-download.pdf</w:t>
        </w:r>
      </w:hyperlink>
      <w:r w:rsidRPr="00B64E5B">
        <w:rPr>
          <w:rFonts w:ascii="Arial" w:hAnsi="Arial" w:cs="Arial"/>
          <w:shd w:val="clear" w:color="auto" w:fill="FFFFFF"/>
        </w:rPr>
        <w:t> (Accessed: 9 January 2024). </w:t>
      </w:r>
    </w:p>
    <w:p w14:paraId="2D683AEA" w14:textId="77777777" w:rsidR="003C0D14" w:rsidRPr="00B64E5B" w:rsidRDefault="003C0D14" w:rsidP="00AB5FA2">
      <w:pPr>
        <w:keepNext/>
        <w:keepLines/>
        <w:shd w:val="clear" w:color="auto" w:fill="FCFCFC"/>
        <w:spacing w:after="240"/>
        <w:outlineLvl w:val="0"/>
        <w:rPr>
          <w:rFonts w:ascii="Arial" w:eastAsiaTheme="majorEastAsia" w:hAnsi="Arial" w:cs="Arial"/>
        </w:rPr>
      </w:pPr>
    </w:p>
    <w:p w14:paraId="6A5749F3" w14:textId="56E86B46" w:rsidR="00AB5FA2" w:rsidRPr="00B64E5B" w:rsidRDefault="00AB5FA2" w:rsidP="00AB5FA2">
      <w:pPr>
        <w:keepNext/>
        <w:keepLines/>
        <w:shd w:val="clear" w:color="auto" w:fill="FCFCFC"/>
        <w:spacing w:after="240"/>
        <w:outlineLvl w:val="0"/>
        <w:rPr>
          <w:rFonts w:ascii="Arial" w:eastAsia="Times New Roman" w:hAnsi="Arial" w:cs="Arial"/>
          <w:kern w:val="36"/>
          <w:lang w:eastAsia="en-GB"/>
          <w14:ligatures w14:val="none"/>
        </w:rPr>
      </w:pPr>
      <w:r w:rsidRPr="00B64E5B">
        <w:rPr>
          <w:rFonts w:ascii="Arial" w:eastAsiaTheme="majorEastAsia" w:hAnsi="Arial" w:cs="Arial"/>
        </w:rPr>
        <w:t xml:space="preserve">Elliot and Davies (2020) </w:t>
      </w:r>
      <w:r w:rsidRPr="00B64E5B">
        <w:rPr>
          <w:rFonts w:ascii="Arial" w:eastAsia="Times New Roman" w:hAnsi="Arial" w:cs="Arial"/>
          <w:i/>
          <w:iCs/>
          <w:kern w:val="36"/>
          <w:lang w:eastAsia="en-GB"/>
          <w14:ligatures w14:val="none"/>
        </w:rPr>
        <w:t xml:space="preserve">Challenging Taken-for-Granted Ideas in Early Childhood Education: A Critique of Bronfenbrenner’s Ecological Systems Theory in the Age of Post-humanism. </w:t>
      </w:r>
      <w:r w:rsidRPr="00B64E5B">
        <w:rPr>
          <w:rFonts w:ascii="Arial" w:eastAsia="Times New Roman" w:hAnsi="Arial" w:cs="Arial"/>
          <w:kern w:val="36"/>
          <w:lang w:eastAsia="en-GB"/>
          <w14:ligatures w14:val="none"/>
        </w:rPr>
        <w:t>Springer International Handbooks of Education</w:t>
      </w:r>
      <w:r w:rsidRPr="00B64E5B">
        <w:rPr>
          <w:rFonts w:ascii="Arial" w:eastAsia="Times New Roman" w:hAnsi="Arial" w:cs="Arial"/>
          <w:i/>
          <w:iCs/>
          <w:kern w:val="36"/>
          <w:lang w:eastAsia="en-GB"/>
          <w14:ligatures w14:val="none"/>
        </w:rPr>
        <w:t xml:space="preserve">. Available at:  </w:t>
      </w:r>
      <w:hyperlink r:id="rId18" w:history="1">
        <w:r w:rsidRPr="00B64E5B">
          <w:rPr>
            <w:rFonts w:ascii="Arial" w:hAnsi="Arial" w:cs="Arial"/>
            <w:u w:val="single"/>
          </w:rPr>
          <w:t>Challenging Taken-for-Granted Ideas in Early Childhood Education: A Critique of Bronfenbrenner’s Ecological Systems Theory in the Age of Post-humanism | SpringerLink</w:t>
        </w:r>
      </w:hyperlink>
      <w:r w:rsidRPr="00B64E5B">
        <w:rPr>
          <w:rFonts w:ascii="Arial" w:hAnsi="Arial" w:cs="Arial"/>
        </w:rPr>
        <w:t xml:space="preserve"> [Accessed on 3 January 2024].</w:t>
      </w:r>
    </w:p>
    <w:p w14:paraId="7840BF45" w14:textId="77777777" w:rsidR="003C0D14" w:rsidRPr="00B64E5B" w:rsidRDefault="003C0D14" w:rsidP="00AB5FA2">
      <w:pPr>
        <w:rPr>
          <w:rFonts w:ascii="Arial" w:hAnsi="Arial" w:cs="Arial"/>
          <w:shd w:val="clear" w:color="auto" w:fill="FFFFFF"/>
        </w:rPr>
      </w:pPr>
    </w:p>
    <w:p w14:paraId="31BCE584" w14:textId="12A8FEB9" w:rsidR="00AB5FA2" w:rsidRPr="00B64E5B" w:rsidRDefault="00AB5FA2" w:rsidP="00AB5FA2">
      <w:pPr>
        <w:rPr>
          <w:rFonts w:ascii="Arial" w:hAnsi="Arial" w:cs="Arial"/>
          <w:shd w:val="clear" w:color="auto" w:fill="FFFFFF"/>
        </w:rPr>
      </w:pPr>
      <w:r w:rsidRPr="00B64E5B">
        <w:rPr>
          <w:rFonts w:ascii="Arial" w:hAnsi="Arial" w:cs="Arial"/>
          <w:shd w:val="clear" w:color="auto" w:fill="FFFFFF"/>
        </w:rPr>
        <w:t xml:space="preserve">Fitter J S (2010) </w:t>
      </w:r>
      <w:r w:rsidRPr="00B64E5B">
        <w:rPr>
          <w:rFonts w:ascii="Arial" w:hAnsi="Arial" w:cs="Arial"/>
          <w:i/>
          <w:iCs/>
          <w:shd w:val="clear" w:color="auto" w:fill="FFFFFF"/>
        </w:rPr>
        <w:t>Respect Your Children</w:t>
      </w:r>
      <w:r w:rsidRPr="00B64E5B">
        <w:rPr>
          <w:rFonts w:ascii="Arial" w:hAnsi="Arial" w:cs="Arial"/>
          <w:shd w:val="clear" w:color="auto" w:fill="FFFFFF"/>
        </w:rPr>
        <w:t>.  Bloomington: I Universe.</w:t>
      </w:r>
    </w:p>
    <w:p w14:paraId="1E52890F" w14:textId="77777777" w:rsidR="003C0D14" w:rsidRPr="00B64E5B" w:rsidRDefault="003C0D14" w:rsidP="00AB5FA2">
      <w:pPr>
        <w:rPr>
          <w:rFonts w:ascii="Arial" w:hAnsi="Arial" w:cs="Arial"/>
        </w:rPr>
      </w:pPr>
    </w:p>
    <w:p w14:paraId="36BDC48F" w14:textId="66F69F84" w:rsidR="00AB5FA2" w:rsidRPr="00B64E5B" w:rsidRDefault="00AB5FA2" w:rsidP="00AB5FA2">
      <w:pPr>
        <w:rPr>
          <w:rFonts w:ascii="Arial" w:hAnsi="Arial" w:cs="Arial"/>
        </w:rPr>
      </w:pPr>
      <w:r w:rsidRPr="00B64E5B">
        <w:rPr>
          <w:rFonts w:ascii="Arial" w:hAnsi="Arial" w:cs="Arial"/>
        </w:rPr>
        <w:t>Flying Start Childcare Guidance (2023)</w:t>
      </w:r>
      <w:r w:rsidRPr="00B64E5B">
        <w:rPr>
          <w:rFonts w:ascii="Arial" w:hAnsi="Arial" w:cs="Arial"/>
          <w:i/>
          <w:iCs/>
        </w:rPr>
        <w:t xml:space="preserve">: </w:t>
      </w:r>
      <w:r w:rsidRPr="00B64E5B">
        <w:rPr>
          <w:rFonts w:ascii="Arial" w:hAnsi="Arial" w:cs="Arial"/>
        </w:rPr>
        <w:t xml:space="preserve">Explains what childcare providers must do to ensure they provide quality childcare. Available at: </w:t>
      </w:r>
      <w:hyperlink r:id="rId19" w:history="1">
        <w:r w:rsidRPr="00B64E5B">
          <w:rPr>
            <w:rFonts w:ascii="Arial" w:hAnsi="Arial" w:cs="Arial"/>
            <w:u w:val="single"/>
          </w:rPr>
          <w:t>Flying Start childcare: guidance | GOV.WALES</w:t>
        </w:r>
      </w:hyperlink>
      <w:r w:rsidRPr="00B64E5B">
        <w:rPr>
          <w:rFonts w:ascii="Arial" w:hAnsi="Arial" w:cs="Arial"/>
        </w:rPr>
        <w:t xml:space="preserve"> [Accessed on 25 November 2023].</w:t>
      </w:r>
    </w:p>
    <w:p w14:paraId="292A5FFE" w14:textId="77777777" w:rsidR="00AB5FA2" w:rsidRPr="00B64E5B" w:rsidRDefault="00AB5FA2" w:rsidP="00AB5FA2">
      <w:pPr>
        <w:rPr>
          <w:rFonts w:ascii="Arial" w:hAnsi="Arial" w:cs="Arial"/>
        </w:rPr>
      </w:pPr>
      <w:r w:rsidRPr="00B64E5B">
        <w:rPr>
          <w:rFonts w:ascii="Arial" w:hAnsi="Arial" w:cs="Arial"/>
        </w:rPr>
        <w:t>Flying Start Childcare Guidance (2023)</w:t>
      </w:r>
      <w:r w:rsidRPr="00B64E5B">
        <w:rPr>
          <w:rFonts w:ascii="Arial" w:hAnsi="Arial" w:cs="Arial"/>
          <w:i/>
          <w:iCs/>
        </w:rPr>
        <w:t xml:space="preserve">: </w:t>
      </w:r>
      <w:r w:rsidRPr="00B64E5B">
        <w:rPr>
          <w:rFonts w:ascii="Arial" w:hAnsi="Arial" w:cs="Arial"/>
        </w:rPr>
        <w:t xml:space="preserve">Explains what childcare providers must do to ensure they provide quality childcare. Available at: </w:t>
      </w:r>
      <w:hyperlink r:id="rId20" w:history="1">
        <w:r w:rsidRPr="00B64E5B">
          <w:rPr>
            <w:rFonts w:ascii="Arial" w:hAnsi="Arial" w:cs="Arial"/>
            <w:u w:val="single"/>
          </w:rPr>
          <w:t>Flying Start childcare: guidance | GOV.WALES</w:t>
        </w:r>
      </w:hyperlink>
      <w:r w:rsidRPr="00B64E5B">
        <w:rPr>
          <w:rFonts w:ascii="Arial" w:hAnsi="Arial" w:cs="Arial"/>
        </w:rPr>
        <w:t xml:space="preserve"> [Accessed on 25 November 2023].</w:t>
      </w:r>
    </w:p>
    <w:p w14:paraId="2084C258" w14:textId="77777777" w:rsidR="003C0D14" w:rsidRPr="00B64E5B" w:rsidRDefault="003C0D14" w:rsidP="00AB5FA2">
      <w:pPr>
        <w:rPr>
          <w:rFonts w:ascii="Arial" w:hAnsi="Arial" w:cs="Arial"/>
          <w:lang w:eastAsia="en-GB"/>
        </w:rPr>
      </w:pPr>
    </w:p>
    <w:p w14:paraId="59B15609" w14:textId="5F60D2D3" w:rsidR="00AB5FA2" w:rsidRPr="00B64E5B" w:rsidRDefault="00AB5FA2" w:rsidP="00AB5FA2">
      <w:pPr>
        <w:rPr>
          <w:rFonts w:ascii="Arial" w:hAnsi="Arial" w:cs="Arial"/>
        </w:rPr>
      </w:pPr>
      <w:r w:rsidRPr="00B64E5B">
        <w:rPr>
          <w:rFonts w:ascii="Arial" w:hAnsi="Arial" w:cs="Arial"/>
          <w:lang w:eastAsia="en-GB"/>
        </w:rPr>
        <w:t xml:space="preserve">Gragg S and Collet V (2021, p.182-196) </w:t>
      </w:r>
      <w:r w:rsidRPr="00B64E5B">
        <w:rPr>
          <w:rFonts w:ascii="Arial" w:hAnsi="Arial" w:cs="Arial"/>
        </w:rPr>
        <w:t>The impact of a relationship-building strategy on teachers’ perceptions of preschooler behavior: a 2 X 10 approach</w:t>
      </w:r>
      <w:r w:rsidRPr="00B64E5B">
        <w:rPr>
          <w:rFonts w:ascii="Arial" w:hAnsi="Arial" w:cs="Arial"/>
          <w:i/>
          <w:iCs/>
        </w:rPr>
        <w:t>. An International Research Journal</w:t>
      </w:r>
      <w:r w:rsidRPr="00B64E5B">
        <w:rPr>
          <w:rFonts w:ascii="Arial" w:hAnsi="Arial" w:cs="Arial"/>
        </w:rPr>
        <w:t xml:space="preserve">. Volume 43, Issue 1. [online] </w:t>
      </w:r>
      <w:hyperlink r:id="rId21" w:history="1">
        <w:r w:rsidRPr="00B64E5B">
          <w:rPr>
            <w:rFonts w:ascii="Arial" w:hAnsi="Arial" w:cs="Arial"/>
            <w:u w:val="single"/>
          </w:rPr>
          <w:t>Full article: The impact of a relationship-building strategy on teachers’ perceptions of preschooler behavior: a 2 X 10 approach (uwtsd.ac.uk)</w:t>
        </w:r>
      </w:hyperlink>
      <w:r w:rsidRPr="00B64E5B">
        <w:rPr>
          <w:rFonts w:ascii="Arial" w:hAnsi="Arial" w:cs="Arial"/>
        </w:rPr>
        <w:t xml:space="preserve"> [Accessed on 12 November 23].</w:t>
      </w:r>
    </w:p>
    <w:p w14:paraId="171D7406" w14:textId="77777777" w:rsidR="003C0D14" w:rsidRPr="00B64E5B" w:rsidRDefault="003C0D14" w:rsidP="00AB5FA2">
      <w:pPr>
        <w:rPr>
          <w:rFonts w:ascii="Arial" w:hAnsi="Arial" w:cs="Arial"/>
        </w:rPr>
      </w:pPr>
    </w:p>
    <w:p w14:paraId="033E6B0B" w14:textId="20206DB5" w:rsidR="00AB5FA2" w:rsidRPr="00B64E5B" w:rsidRDefault="00AB5FA2" w:rsidP="00AB5FA2">
      <w:pPr>
        <w:rPr>
          <w:rFonts w:ascii="Arial" w:hAnsi="Arial" w:cs="Arial"/>
        </w:rPr>
      </w:pPr>
      <w:r w:rsidRPr="00B64E5B">
        <w:rPr>
          <w:rFonts w:ascii="Arial" w:hAnsi="Arial" w:cs="Arial"/>
        </w:rPr>
        <w:t xml:space="preserve">Hawatson-Jones L (2016) </w:t>
      </w:r>
      <w:r w:rsidRPr="00B64E5B">
        <w:rPr>
          <w:rFonts w:ascii="Arial" w:hAnsi="Arial" w:cs="Arial"/>
          <w:i/>
          <w:iCs/>
        </w:rPr>
        <w:t>Reflective Practice in Nursing</w:t>
      </w:r>
      <w:r w:rsidRPr="00B64E5B">
        <w:rPr>
          <w:rFonts w:ascii="Arial" w:hAnsi="Arial" w:cs="Arial"/>
        </w:rPr>
        <w:t>. 3</w:t>
      </w:r>
      <w:r w:rsidRPr="00B64E5B">
        <w:rPr>
          <w:rFonts w:ascii="Arial" w:hAnsi="Arial" w:cs="Arial"/>
          <w:vertAlign w:val="superscript"/>
        </w:rPr>
        <w:t>rd</w:t>
      </w:r>
      <w:r w:rsidRPr="00B64E5B">
        <w:rPr>
          <w:rFonts w:ascii="Arial" w:hAnsi="Arial" w:cs="Arial"/>
        </w:rPr>
        <w:t xml:space="preserve"> Edn. London: Sage.</w:t>
      </w:r>
    </w:p>
    <w:p w14:paraId="68761AD3" w14:textId="77777777" w:rsidR="003C0D14" w:rsidRPr="00B64E5B" w:rsidRDefault="003C0D14" w:rsidP="00AB5FA2">
      <w:pPr>
        <w:rPr>
          <w:rFonts w:ascii="Arial" w:hAnsi="Arial" w:cs="Arial"/>
        </w:rPr>
      </w:pPr>
    </w:p>
    <w:p w14:paraId="0C9D3B53" w14:textId="5FF8D7A7" w:rsidR="00AB5FA2" w:rsidRPr="00B64E5B" w:rsidRDefault="00AB5FA2" w:rsidP="00AB5FA2">
      <w:pPr>
        <w:rPr>
          <w:rFonts w:ascii="Arial" w:hAnsi="Arial" w:cs="Arial"/>
        </w:rPr>
      </w:pPr>
      <w:r w:rsidRPr="00B64E5B">
        <w:rPr>
          <w:rFonts w:ascii="Arial" w:hAnsi="Arial" w:cs="Arial"/>
        </w:rPr>
        <w:t>Heimer L and Ramminger E (2020) Reshaping Universal Preschool: Critical Perspectives on Policy and Power. London: Teachers College Press.</w:t>
      </w:r>
    </w:p>
    <w:p w14:paraId="341CE63E" w14:textId="77777777" w:rsidR="003C0D14" w:rsidRPr="00B64E5B" w:rsidRDefault="003C0D14" w:rsidP="00AB5FA2">
      <w:pPr>
        <w:rPr>
          <w:rFonts w:ascii="Arial" w:hAnsi="Arial" w:cs="Arial"/>
          <w:shd w:val="clear" w:color="auto" w:fill="FFFFFF"/>
        </w:rPr>
      </w:pPr>
    </w:p>
    <w:p w14:paraId="06F986B8" w14:textId="15F005D8" w:rsidR="00AB5FA2" w:rsidRPr="00B64E5B" w:rsidRDefault="00AB5FA2" w:rsidP="00AB5FA2">
      <w:pPr>
        <w:rPr>
          <w:rFonts w:ascii="Arial" w:hAnsi="Arial" w:cs="Arial"/>
        </w:rPr>
      </w:pPr>
      <w:r w:rsidRPr="00B64E5B">
        <w:rPr>
          <w:rFonts w:ascii="Arial" w:hAnsi="Arial" w:cs="Arial"/>
          <w:shd w:val="clear" w:color="auto" w:fill="FFFFFF"/>
        </w:rPr>
        <w:lastRenderedPageBreak/>
        <w:t>Humphries K, King L, Sacchet M, Camacho M, Ordaz, Ho S and Gotlib I (2018) ‘</w:t>
      </w:r>
      <w:r w:rsidRPr="00B64E5B">
        <w:rPr>
          <w:rFonts w:ascii="Arial" w:hAnsi="Arial" w:cs="Arial"/>
        </w:rPr>
        <w:t xml:space="preserve">Evidence for a sensitive period in the effects of early life stress on hippocampal volume’ Developmental Study. Available at: </w:t>
      </w:r>
      <w:hyperlink r:id="rId22" w:history="1">
        <w:r w:rsidRPr="00B64E5B">
          <w:rPr>
            <w:rFonts w:ascii="Arial" w:hAnsi="Arial" w:cs="Arial"/>
            <w:u w:val="single"/>
          </w:rPr>
          <w:t>Evidence for a sensitive period in the effects of early life stress on hippocampal volume (stanford.edu)</w:t>
        </w:r>
      </w:hyperlink>
      <w:r w:rsidRPr="00B64E5B">
        <w:rPr>
          <w:rFonts w:ascii="Arial" w:hAnsi="Arial" w:cs="Arial"/>
        </w:rPr>
        <w:t xml:space="preserve"> [Accessed on 3 January 2024].</w:t>
      </w:r>
    </w:p>
    <w:p w14:paraId="14B79A13" w14:textId="77777777" w:rsidR="003C0D14" w:rsidRPr="00B64E5B" w:rsidRDefault="003C0D14" w:rsidP="00AB5FA2">
      <w:pPr>
        <w:rPr>
          <w:rFonts w:ascii="Arial" w:hAnsi="Arial" w:cs="Arial"/>
          <w:shd w:val="clear" w:color="auto" w:fill="FFFFFF"/>
        </w:rPr>
      </w:pPr>
    </w:p>
    <w:p w14:paraId="2DB207B8" w14:textId="53B9A9E5" w:rsidR="00AB5FA2" w:rsidRPr="00B64E5B" w:rsidRDefault="00AB5FA2" w:rsidP="00AB5FA2">
      <w:pPr>
        <w:rPr>
          <w:rFonts w:ascii="Arial" w:hAnsi="Arial" w:cs="Arial"/>
          <w:shd w:val="clear" w:color="auto" w:fill="FFFFFF"/>
        </w:rPr>
      </w:pPr>
      <w:r w:rsidRPr="00B64E5B">
        <w:rPr>
          <w:rFonts w:ascii="Arial" w:hAnsi="Arial" w:cs="Arial"/>
          <w:shd w:val="clear" w:color="auto" w:fill="FFFFFF"/>
        </w:rPr>
        <w:t xml:space="preserve">Kraft M E and Furlong S R (2018) </w:t>
      </w:r>
      <w:r w:rsidRPr="00B64E5B">
        <w:rPr>
          <w:rFonts w:ascii="Arial" w:hAnsi="Arial" w:cs="Arial"/>
          <w:i/>
          <w:iCs/>
          <w:shd w:val="clear" w:color="auto" w:fill="FFFFFF"/>
        </w:rPr>
        <w:t>Public Policy: Politics, Analysis, and Alternatives.</w:t>
      </w:r>
      <w:r w:rsidRPr="00B64E5B">
        <w:rPr>
          <w:rFonts w:ascii="Arial" w:hAnsi="Arial" w:cs="Arial"/>
          <w:shd w:val="clear" w:color="auto" w:fill="FFFFFF"/>
        </w:rPr>
        <w:t xml:space="preserve"> 6</w:t>
      </w:r>
      <w:r w:rsidRPr="00B64E5B">
        <w:rPr>
          <w:rFonts w:ascii="Arial" w:hAnsi="Arial" w:cs="Arial"/>
          <w:shd w:val="clear" w:color="auto" w:fill="FFFFFF"/>
          <w:vertAlign w:val="superscript"/>
        </w:rPr>
        <w:t>th</w:t>
      </w:r>
      <w:r w:rsidRPr="00B64E5B">
        <w:rPr>
          <w:rFonts w:ascii="Arial" w:hAnsi="Arial" w:cs="Arial"/>
          <w:shd w:val="clear" w:color="auto" w:fill="FFFFFF"/>
        </w:rPr>
        <w:t xml:space="preserve"> Edn. Singapore: Sage Publications.</w:t>
      </w:r>
    </w:p>
    <w:p w14:paraId="761DF880" w14:textId="77777777" w:rsidR="003C0D14" w:rsidRPr="00B64E5B" w:rsidRDefault="003C0D14" w:rsidP="00AB5FA2">
      <w:pPr>
        <w:rPr>
          <w:rFonts w:ascii="Arial" w:hAnsi="Arial" w:cs="Arial"/>
        </w:rPr>
      </w:pPr>
    </w:p>
    <w:p w14:paraId="21DEE1FC" w14:textId="629E833F" w:rsidR="00AB5FA2" w:rsidRPr="00B64E5B" w:rsidRDefault="00AB5FA2" w:rsidP="00AB5FA2">
      <w:pPr>
        <w:rPr>
          <w:rFonts w:ascii="Arial" w:hAnsi="Arial" w:cs="Arial"/>
        </w:rPr>
      </w:pPr>
      <w:r w:rsidRPr="00B64E5B">
        <w:rPr>
          <w:rFonts w:ascii="Arial" w:hAnsi="Arial" w:cs="Arial"/>
        </w:rPr>
        <w:t xml:space="preserve">Lewis A, Unterrainer H and Galbally M (2021, p.119) </w:t>
      </w:r>
      <w:r w:rsidRPr="00B64E5B">
        <w:rPr>
          <w:rFonts w:ascii="Arial" w:hAnsi="Arial" w:cs="Arial"/>
          <w:i/>
          <w:iCs/>
        </w:rPr>
        <w:t>Addiction and attachment</w:t>
      </w:r>
      <w:r w:rsidRPr="00B64E5B">
        <w:rPr>
          <w:rFonts w:ascii="Arial" w:hAnsi="Arial" w:cs="Arial"/>
        </w:rPr>
        <w:t xml:space="preserve">. United States of America: Frontiers in Psychiatry and Frontiers in Psychology. </w:t>
      </w:r>
    </w:p>
    <w:p w14:paraId="2254D8D4" w14:textId="77777777" w:rsidR="003C0D14" w:rsidRPr="00B64E5B" w:rsidRDefault="003C0D14" w:rsidP="00AB5FA2">
      <w:pPr>
        <w:keepNext/>
        <w:keepLines/>
        <w:shd w:val="clear" w:color="auto" w:fill="FFFFFF"/>
        <w:spacing w:after="0"/>
        <w:textAlignment w:val="baseline"/>
        <w:outlineLvl w:val="0"/>
        <w:rPr>
          <w:rFonts w:ascii="Arial" w:eastAsiaTheme="majorEastAsia" w:hAnsi="Arial" w:cs="Arial"/>
        </w:rPr>
      </w:pPr>
    </w:p>
    <w:p w14:paraId="7E903FB5" w14:textId="76D346ED" w:rsidR="00AB5FA2" w:rsidRPr="00B64E5B" w:rsidRDefault="00AB5FA2" w:rsidP="00AB5FA2">
      <w:pPr>
        <w:keepNext/>
        <w:keepLines/>
        <w:shd w:val="clear" w:color="auto" w:fill="FFFFFF"/>
        <w:spacing w:after="0"/>
        <w:textAlignment w:val="baseline"/>
        <w:outlineLvl w:val="0"/>
        <w:rPr>
          <w:rFonts w:ascii="Arial" w:hAnsi="Arial" w:cs="Arial"/>
        </w:rPr>
      </w:pPr>
      <w:r w:rsidRPr="00B64E5B">
        <w:rPr>
          <w:rFonts w:ascii="Arial" w:eastAsiaTheme="majorEastAsia" w:hAnsi="Arial" w:cs="Arial"/>
        </w:rPr>
        <w:t xml:space="preserve">Lewis B (2023) </w:t>
      </w:r>
      <w:r w:rsidRPr="00B64E5B">
        <w:rPr>
          <w:rFonts w:ascii="Arial" w:eastAsia="Times New Roman" w:hAnsi="Arial" w:cs="Arial"/>
          <w:kern w:val="36"/>
          <w:lang w:eastAsia="en-GB"/>
          <w14:ligatures w14:val="none"/>
        </w:rPr>
        <w:t>Pisa: Wales slumps to worst school test results</w:t>
      </w:r>
      <w:r w:rsidRPr="00B64E5B">
        <w:rPr>
          <w:rFonts w:ascii="Arial" w:eastAsia="Times New Roman" w:hAnsi="Arial" w:cs="Arial"/>
          <w:i/>
          <w:iCs/>
          <w:kern w:val="36"/>
          <w:lang w:eastAsia="en-GB"/>
          <w14:ligatures w14:val="none"/>
        </w:rPr>
        <w:t>. BBC News</w:t>
      </w:r>
      <w:r w:rsidRPr="00B64E5B">
        <w:rPr>
          <w:rFonts w:ascii="Arial" w:eastAsia="Times New Roman" w:hAnsi="Arial" w:cs="Arial"/>
          <w:kern w:val="36"/>
          <w:lang w:eastAsia="en-GB"/>
          <w14:ligatures w14:val="none"/>
        </w:rPr>
        <w:t xml:space="preserve">, 5 December. Available at: </w:t>
      </w:r>
      <w:hyperlink r:id="rId23" w:history="1">
        <w:r w:rsidRPr="00B64E5B">
          <w:rPr>
            <w:rFonts w:ascii="Arial" w:hAnsi="Arial" w:cs="Arial"/>
            <w:u w:val="single"/>
          </w:rPr>
          <w:t>Pisa: Wales slumps to worst school test results - BBC News</w:t>
        </w:r>
      </w:hyperlink>
      <w:r w:rsidRPr="00B64E5B">
        <w:rPr>
          <w:rFonts w:ascii="Arial" w:hAnsi="Arial" w:cs="Arial"/>
        </w:rPr>
        <w:t xml:space="preserve"> [Accessed on 3 January 2024].</w:t>
      </w:r>
    </w:p>
    <w:p w14:paraId="545AE160" w14:textId="77777777" w:rsidR="003C0D14" w:rsidRPr="00B64E5B" w:rsidRDefault="003C0D14" w:rsidP="00AB5FA2">
      <w:pPr>
        <w:rPr>
          <w:rFonts w:ascii="Arial" w:hAnsi="Arial" w:cs="Arial"/>
        </w:rPr>
      </w:pPr>
    </w:p>
    <w:p w14:paraId="7EE907AC" w14:textId="2770E706" w:rsidR="00AB5FA2" w:rsidRPr="00B64E5B" w:rsidRDefault="00AB5FA2" w:rsidP="00AB5FA2">
      <w:pPr>
        <w:rPr>
          <w:rFonts w:ascii="Arial" w:hAnsi="Arial" w:cs="Arial"/>
          <w:shd w:val="clear" w:color="auto" w:fill="FFFFFF"/>
        </w:rPr>
      </w:pPr>
      <w:r w:rsidRPr="00B64E5B">
        <w:rPr>
          <w:rFonts w:ascii="Arial" w:hAnsi="Arial" w:cs="Arial"/>
        </w:rPr>
        <w:t xml:space="preserve"> Lönngren J &amp;  van Poeck K (2021) Wicked problems: a mapping review of the literature, </w:t>
      </w:r>
      <w:r w:rsidRPr="00B64E5B">
        <w:rPr>
          <w:rFonts w:ascii="Arial" w:hAnsi="Arial" w:cs="Arial"/>
          <w:i/>
          <w:iCs/>
        </w:rPr>
        <w:t>International Journal of Sustainable Development &amp; World Ecology</w:t>
      </w:r>
      <w:r w:rsidRPr="00B64E5B">
        <w:rPr>
          <w:rFonts w:ascii="Arial" w:hAnsi="Arial" w:cs="Arial"/>
        </w:rPr>
        <w:t xml:space="preserve">, 28:6, Available at: </w:t>
      </w:r>
      <w:hyperlink r:id="rId24" w:history="1">
        <w:r w:rsidRPr="00B64E5B">
          <w:rPr>
            <w:rFonts w:ascii="Arial" w:hAnsi="Arial" w:cs="Arial"/>
            <w:u w:val="single"/>
          </w:rPr>
          <w:t>Wicked problems a mapping review of the literature (1).pdf</w:t>
        </w:r>
      </w:hyperlink>
      <w:r w:rsidRPr="00B64E5B">
        <w:rPr>
          <w:rFonts w:ascii="Arial" w:hAnsi="Arial" w:cs="Arial"/>
        </w:rPr>
        <w:t xml:space="preserve"> [Accessed on 3 January 2024].</w:t>
      </w:r>
    </w:p>
    <w:p w14:paraId="43EA24A3" w14:textId="77777777" w:rsidR="003C0D14" w:rsidRPr="00B64E5B" w:rsidRDefault="003C0D14" w:rsidP="00AB5FA2">
      <w:pPr>
        <w:rPr>
          <w:rFonts w:ascii="Arial" w:hAnsi="Arial" w:cs="Arial"/>
        </w:rPr>
      </w:pPr>
    </w:p>
    <w:p w14:paraId="4CD85AAD" w14:textId="6D11189D" w:rsidR="00AB5FA2" w:rsidRPr="00B64E5B" w:rsidRDefault="00AB5FA2" w:rsidP="00AB5FA2">
      <w:pPr>
        <w:rPr>
          <w:rFonts w:ascii="Arial" w:hAnsi="Arial" w:cs="Arial"/>
          <w:lang w:eastAsia="en-GB"/>
        </w:rPr>
      </w:pPr>
      <w:r w:rsidRPr="00B64E5B">
        <w:rPr>
          <w:rFonts w:ascii="Arial" w:hAnsi="Arial" w:cs="Arial"/>
        </w:rPr>
        <w:t xml:space="preserve">Mcleod S (2023) </w:t>
      </w:r>
      <w:r w:rsidRPr="00B64E5B">
        <w:rPr>
          <w:rFonts w:ascii="Arial" w:hAnsi="Arial" w:cs="Arial"/>
          <w:i/>
          <w:iCs/>
        </w:rPr>
        <w:t xml:space="preserve">Albert Banduras Social Learning Theory. </w:t>
      </w:r>
      <w:r w:rsidRPr="00B64E5B">
        <w:rPr>
          <w:rFonts w:ascii="Arial" w:hAnsi="Arial" w:cs="Arial"/>
        </w:rPr>
        <w:t>Simply Psychology</w:t>
      </w:r>
      <w:r w:rsidRPr="00B64E5B">
        <w:rPr>
          <w:rFonts w:ascii="Arial" w:hAnsi="Arial" w:cs="Arial"/>
          <w:i/>
          <w:iCs/>
        </w:rPr>
        <w:t xml:space="preserve">. </w:t>
      </w:r>
      <w:r w:rsidRPr="00B64E5B">
        <w:rPr>
          <w:rFonts w:ascii="Arial" w:hAnsi="Arial" w:cs="Arial"/>
        </w:rPr>
        <w:t>Available at:</w:t>
      </w:r>
      <w:r w:rsidRPr="00B64E5B">
        <w:rPr>
          <w:rFonts w:ascii="Arial" w:hAnsi="Arial" w:cs="Arial"/>
          <w:i/>
          <w:iCs/>
        </w:rPr>
        <w:t xml:space="preserve"> </w:t>
      </w:r>
      <w:hyperlink r:id="rId25" w:history="1">
        <w:r w:rsidRPr="00B64E5B">
          <w:rPr>
            <w:rFonts w:ascii="Arial" w:hAnsi="Arial" w:cs="Arial"/>
            <w:u w:val="single"/>
          </w:rPr>
          <w:t>Albert Bandura's Social Learning Theory In Psychology (simplypsychology.org)</w:t>
        </w:r>
      </w:hyperlink>
      <w:r w:rsidRPr="00B64E5B">
        <w:rPr>
          <w:rFonts w:ascii="Arial" w:hAnsi="Arial" w:cs="Arial"/>
        </w:rPr>
        <w:t xml:space="preserve"> [Accessed on 5 December 23].</w:t>
      </w:r>
    </w:p>
    <w:p w14:paraId="231B8F2B" w14:textId="77777777" w:rsidR="00AB5FA2" w:rsidRPr="00B64E5B" w:rsidRDefault="00AB5FA2" w:rsidP="00AB5FA2">
      <w:pPr>
        <w:keepNext/>
        <w:keepLines/>
        <w:spacing w:after="0"/>
        <w:outlineLvl w:val="0"/>
        <w:rPr>
          <w:rFonts w:ascii="Arial" w:hAnsi="Arial" w:cs="Arial"/>
        </w:rPr>
      </w:pPr>
      <w:r w:rsidRPr="00B64E5B">
        <w:rPr>
          <w:rFonts w:ascii="Arial" w:eastAsiaTheme="majorEastAsia" w:hAnsi="Arial" w:cs="Arial"/>
        </w:rPr>
        <w:t xml:space="preserve">Mercier N and Howe C (2012, p.23) </w:t>
      </w:r>
      <w:r w:rsidRPr="00B64E5B">
        <w:rPr>
          <w:rFonts w:ascii="Arial" w:eastAsia="Times New Roman" w:hAnsi="Arial" w:cs="Arial"/>
          <w:kern w:val="36"/>
          <w:lang w:eastAsia="en-GB"/>
          <w14:ligatures w14:val="none"/>
        </w:rPr>
        <w:t>Explaining the dialogic processes of teaching and learning: The value and potential of sociocultural theory</w:t>
      </w:r>
      <w:r w:rsidRPr="00B64E5B">
        <w:rPr>
          <w:rFonts w:ascii="Arial" w:eastAsia="Times New Roman" w:hAnsi="Arial" w:cs="Arial"/>
          <w:i/>
          <w:iCs/>
          <w:kern w:val="36"/>
          <w:lang w:eastAsia="en-GB"/>
          <w14:ligatures w14:val="none"/>
        </w:rPr>
        <w:t>. Learning Culture and Social Interaction.</w:t>
      </w:r>
      <w:r w:rsidRPr="00B64E5B">
        <w:rPr>
          <w:rFonts w:ascii="Arial" w:eastAsia="Times New Roman" w:hAnsi="Arial" w:cs="Arial"/>
          <w:kern w:val="36"/>
          <w:lang w:eastAsia="en-GB"/>
          <w14:ligatures w14:val="none"/>
        </w:rPr>
        <w:t xml:space="preserve"> Volume1: Issue 1 [online]. Available from: </w:t>
      </w:r>
      <w:hyperlink r:id="rId26" w:history="1">
        <w:r w:rsidRPr="00B64E5B">
          <w:rPr>
            <w:rFonts w:ascii="Arial" w:hAnsi="Arial" w:cs="Arial"/>
            <w:u w:val="single"/>
          </w:rPr>
          <w:t>Explaining the dialogic processes of teaching and learning: The value and potential of sociocultural theory - ScienceDirect</w:t>
        </w:r>
      </w:hyperlink>
      <w:r w:rsidRPr="00B64E5B">
        <w:rPr>
          <w:rFonts w:ascii="Arial" w:hAnsi="Arial" w:cs="Arial"/>
        </w:rPr>
        <w:t xml:space="preserve"> [Accessed on 12 November 23].</w:t>
      </w:r>
    </w:p>
    <w:p w14:paraId="0D4E6596" w14:textId="77777777" w:rsidR="003C0D14" w:rsidRPr="00B64E5B" w:rsidRDefault="003C0D14" w:rsidP="00AB5FA2">
      <w:pPr>
        <w:rPr>
          <w:rFonts w:ascii="Arial" w:hAnsi="Arial" w:cs="Arial"/>
        </w:rPr>
      </w:pPr>
    </w:p>
    <w:p w14:paraId="735022CF" w14:textId="088C66BF" w:rsidR="00AB5FA2" w:rsidRPr="00B64E5B" w:rsidRDefault="00AB5FA2" w:rsidP="00AB5FA2">
      <w:pPr>
        <w:rPr>
          <w:rFonts w:ascii="Arial" w:hAnsi="Arial" w:cs="Arial"/>
        </w:rPr>
      </w:pPr>
      <w:r w:rsidRPr="00B64E5B">
        <w:rPr>
          <w:rFonts w:ascii="Arial" w:hAnsi="Arial" w:cs="Arial"/>
        </w:rPr>
        <w:t xml:space="preserve">Milburn-Curtis (2017) </w:t>
      </w:r>
      <w:r w:rsidRPr="00B64E5B">
        <w:rPr>
          <w:rFonts w:ascii="Arial" w:hAnsi="Arial" w:cs="Arial"/>
          <w:i/>
          <w:iCs/>
        </w:rPr>
        <w:t>How to Protect your Child From Bullies.</w:t>
      </w:r>
      <w:r w:rsidRPr="00B64E5B">
        <w:rPr>
          <w:rFonts w:ascii="Arial" w:hAnsi="Arial" w:cs="Arial"/>
        </w:rPr>
        <w:t xml:space="preserve"> Barnet: Henicor Publishing. </w:t>
      </w:r>
    </w:p>
    <w:p w14:paraId="5F18D281" w14:textId="77777777" w:rsidR="003C0D14" w:rsidRPr="00B64E5B" w:rsidRDefault="003C0D14" w:rsidP="00AB5FA2">
      <w:pPr>
        <w:rPr>
          <w:rFonts w:ascii="Arial" w:hAnsi="Arial" w:cs="Arial"/>
          <w:i/>
          <w:iCs/>
        </w:rPr>
      </w:pPr>
    </w:p>
    <w:p w14:paraId="64545642" w14:textId="139BE7D0" w:rsidR="00AB5FA2" w:rsidRPr="00B64E5B" w:rsidRDefault="00AB5FA2" w:rsidP="00AB5FA2">
      <w:pPr>
        <w:rPr>
          <w:rFonts w:ascii="Arial" w:hAnsi="Arial" w:cs="Arial"/>
        </w:rPr>
      </w:pPr>
      <w:r w:rsidRPr="00B64E5B">
        <w:rPr>
          <w:rFonts w:ascii="Arial" w:hAnsi="Arial" w:cs="Arial"/>
          <w:i/>
          <w:iCs/>
        </w:rPr>
        <w:t xml:space="preserve">National Minimum Standards for Regulated Childcare 2023, </w:t>
      </w:r>
      <w:r w:rsidRPr="00B64E5B">
        <w:rPr>
          <w:rFonts w:ascii="Arial" w:hAnsi="Arial" w:cs="Arial"/>
        </w:rPr>
        <w:t xml:space="preserve">Available at: </w:t>
      </w:r>
      <w:hyperlink r:id="rId27" w:history="1">
        <w:r w:rsidRPr="00B64E5B">
          <w:rPr>
            <w:rFonts w:ascii="Arial" w:hAnsi="Arial" w:cs="Arial"/>
            <w:u w:val="single"/>
          </w:rPr>
          <w:t>48841 National Min standards for regulated childcare for children up to the age of 12 (gov.wales)</w:t>
        </w:r>
      </w:hyperlink>
      <w:r w:rsidRPr="00B64E5B">
        <w:rPr>
          <w:rFonts w:ascii="Arial" w:hAnsi="Arial" w:cs="Arial"/>
        </w:rPr>
        <w:t xml:space="preserve"> [Accessed on29/11/2023].</w:t>
      </w:r>
    </w:p>
    <w:p w14:paraId="69FF4E5E" w14:textId="77777777" w:rsidR="003C0D14" w:rsidRPr="00B64E5B" w:rsidRDefault="003C0D14" w:rsidP="00AB5FA2">
      <w:pPr>
        <w:rPr>
          <w:rFonts w:ascii="Arial" w:hAnsi="Arial" w:cs="Arial"/>
          <w:i/>
          <w:iCs/>
        </w:rPr>
      </w:pPr>
    </w:p>
    <w:p w14:paraId="127E13F2" w14:textId="455E871E" w:rsidR="00AB5FA2" w:rsidRPr="00B64E5B" w:rsidRDefault="00AB5FA2" w:rsidP="00AB5FA2">
      <w:pPr>
        <w:rPr>
          <w:rFonts w:ascii="Arial" w:hAnsi="Arial" w:cs="Arial"/>
        </w:rPr>
      </w:pPr>
      <w:r w:rsidRPr="00B64E5B">
        <w:rPr>
          <w:rFonts w:ascii="Arial" w:hAnsi="Arial" w:cs="Arial"/>
          <w:i/>
          <w:iCs/>
        </w:rPr>
        <w:t>National Minimum Standards for Regulated Childcare 2023</w:t>
      </w:r>
      <w:r w:rsidRPr="00B64E5B">
        <w:rPr>
          <w:rFonts w:ascii="Arial" w:hAnsi="Arial" w:cs="Arial"/>
        </w:rPr>
        <w:t xml:space="preserve">, </w:t>
      </w:r>
      <w:r w:rsidRPr="00B64E5B">
        <w:rPr>
          <w:rFonts w:ascii="Arial" w:hAnsi="Arial" w:cs="Arial"/>
          <w:i/>
          <w:iCs/>
        </w:rPr>
        <w:t xml:space="preserve">Standard 9.7, </w:t>
      </w:r>
      <w:r w:rsidRPr="00B64E5B">
        <w:rPr>
          <w:rFonts w:ascii="Arial" w:hAnsi="Arial" w:cs="Arial"/>
        </w:rPr>
        <w:t xml:space="preserve">Available at: </w:t>
      </w:r>
      <w:hyperlink r:id="rId28" w:history="1">
        <w:r w:rsidRPr="00B64E5B">
          <w:rPr>
            <w:rFonts w:ascii="Arial" w:hAnsi="Arial" w:cs="Arial"/>
            <w:u w:val="single"/>
          </w:rPr>
          <w:t>48841 National Min standards for regulated childcare for children up to the age of 12 (gov.wales)</w:t>
        </w:r>
      </w:hyperlink>
      <w:r w:rsidRPr="00B64E5B">
        <w:rPr>
          <w:rFonts w:ascii="Arial" w:hAnsi="Arial" w:cs="Arial"/>
        </w:rPr>
        <w:t xml:space="preserve"> </w:t>
      </w:r>
      <w:r w:rsidR="003C0D14" w:rsidRPr="00B64E5B">
        <w:rPr>
          <w:rFonts w:ascii="Arial" w:hAnsi="Arial" w:cs="Arial"/>
        </w:rPr>
        <w:t>[</w:t>
      </w:r>
      <w:r w:rsidRPr="00B64E5B">
        <w:rPr>
          <w:rFonts w:ascii="Arial" w:hAnsi="Arial" w:cs="Arial"/>
        </w:rPr>
        <w:t>Accessed on29/11/2023</w:t>
      </w:r>
      <w:r w:rsidR="003C0D14" w:rsidRPr="00B64E5B">
        <w:rPr>
          <w:rFonts w:ascii="Arial" w:hAnsi="Arial" w:cs="Arial"/>
        </w:rPr>
        <w:t>]</w:t>
      </w:r>
      <w:r w:rsidRPr="00B64E5B">
        <w:rPr>
          <w:rFonts w:ascii="Arial" w:hAnsi="Arial" w:cs="Arial"/>
        </w:rPr>
        <w:t>.</w:t>
      </w:r>
    </w:p>
    <w:p w14:paraId="601A578F" w14:textId="77777777" w:rsidR="003C0D14" w:rsidRPr="00B64E5B" w:rsidRDefault="003C0D14" w:rsidP="00AB5FA2">
      <w:pPr>
        <w:rPr>
          <w:rFonts w:ascii="Arial" w:hAnsi="Arial" w:cs="Arial"/>
        </w:rPr>
      </w:pPr>
    </w:p>
    <w:p w14:paraId="09CFE8F5" w14:textId="026E64B6" w:rsidR="00AB5FA2" w:rsidRPr="00B64E5B" w:rsidRDefault="00AB5FA2" w:rsidP="00AB5FA2">
      <w:pPr>
        <w:rPr>
          <w:rFonts w:ascii="Arial" w:hAnsi="Arial" w:cs="Arial"/>
        </w:rPr>
      </w:pPr>
      <w:r w:rsidRPr="00B64E5B">
        <w:rPr>
          <w:rFonts w:ascii="Arial" w:hAnsi="Arial" w:cs="Arial"/>
        </w:rPr>
        <w:t xml:space="preserve">O’Connor A (2018) </w:t>
      </w:r>
      <w:r w:rsidRPr="00B64E5B">
        <w:rPr>
          <w:rFonts w:ascii="Arial" w:hAnsi="Arial" w:cs="Arial"/>
          <w:i/>
          <w:iCs/>
        </w:rPr>
        <w:t>Understanding Transitions in the Early Years; Supporting Change Through Attachment and Resilience. 2</w:t>
      </w:r>
      <w:r w:rsidRPr="00B64E5B">
        <w:rPr>
          <w:rFonts w:ascii="Arial" w:hAnsi="Arial" w:cs="Arial"/>
          <w:i/>
          <w:iCs/>
          <w:vertAlign w:val="superscript"/>
        </w:rPr>
        <w:t>nd</w:t>
      </w:r>
      <w:r w:rsidRPr="00B64E5B">
        <w:rPr>
          <w:rFonts w:ascii="Arial" w:hAnsi="Arial" w:cs="Arial"/>
          <w:i/>
          <w:iCs/>
        </w:rPr>
        <w:t xml:space="preserve"> Edn. </w:t>
      </w:r>
      <w:r w:rsidRPr="00B64E5B">
        <w:rPr>
          <w:rFonts w:ascii="Arial" w:hAnsi="Arial" w:cs="Arial"/>
        </w:rPr>
        <w:t>Oxon: Routledge.</w:t>
      </w:r>
    </w:p>
    <w:p w14:paraId="5CC1CBAD" w14:textId="77777777" w:rsidR="003C0D14" w:rsidRPr="00B64E5B" w:rsidRDefault="003C0D14" w:rsidP="00AB5FA2">
      <w:pPr>
        <w:keepNext/>
        <w:keepLines/>
        <w:shd w:val="clear" w:color="auto" w:fill="FFFFFF"/>
        <w:spacing w:after="0" w:line="264" w:lineRule="atLeast"/>
        <w:ind w:right="-96"/>
        <w:outlineLvl w:val="0"/>
        <w:rPr>
          <w:rFonts w:ascii="Arial" w:eastAsiaTheme="majorEastAsia" w:hAnsi="Arial" w:cs="Arial"/>
          <w:shd w:val="clear" w:color="auto" w:fill="FFFFFF"/>
        </w:rPr>
      </w:pPr>
    </w:p>
    <w:p w14:paraId="0828C1C5" w14:textId="6D9DE0B1" w:rsidR="00AB5FA2" w:rsidRPr="00B64E5B" w:rsidRDefault="00AB5FA2" w:rsidP="00AB5FA2">
      <w:pPr>
        <w:keepNext/>
        <w:keepLines/>
        <w:shd w:val="clear" w:color="auto" w:fill="FFFFFF"/>
        <w:spacing w:after="0" w:line="264" w:lineRule="atLeast"/>
        <w:ind w:right="-96"/>
        <w:outlineLvl w:val="0"/>
        <w:rPr>
          <w:rFonts w:ascii="Arial" w:eastAsia="Times New Roman" w:hAnsi="Arial" w:cs="Arial"/>
          <w:kern w:val="36"/>
          <w:lang w:eastAsia="en-GB"/>
          <w14:ligatures w14:val="none"/>
        </w:rPr>
      </w:pPr>
      <w:r w:rsidRPr="00B64E5B">
        <w:rPr>
          <w:rFonts w:ascii="Arial" w:eastAsiaTheme="majorEastAsia" w:hAnsi="Arial" w:cs="Arial"/>
          <w:shd w:val="clear" w:color="auto" w:fill="FFFFFF"/>
        </w:rPr>
        <w:t xml:space="preserve">Ockwell-Smith S (2023) </w:t>
      </w:r>
      <w:r w:rsidRPr="00B64E5B">
        <w:rPr>
          <w:rFonts w:ascii="Arial" w:eastAsia="Times New Roman" w:hAnsi="Arial" w:cs="Arial"/>
          <w:i/>
          <w:iCs/>
          <w:kern w:val="36"/>
          <w:lang w:eastAsia="en-GB"/>
          <w14:ligatures w14:val="none"/>
        </w:rPr>
        <w:t>Why intolerance of kids and 'childism' is the next big 'ism' we need to tackle: Adults demand respect from children, but adults so rarely stop to consider whether they are truly respecting Children.</w:t>
      </w:r>
      <w:r w:rsidRPr="00B64E5B">
        <w:rPr>
          <w:rFonts w:ascii="Arial" w:eastAsia="Times New Roman" w:hAnsi="Arial" w:cs="Arial"/>
          <w:kern w:val="36"/>
          <w:lang w:eastAsia="en-GB"/>
          <w14:ligatures w14:val="none"/>
        </w:rPr>
        <w:t xml:space="preserve"> Belfast Telegraph, 27 September, p.23.</w:t>
      </w:r>
    </w:p>
    <w:p w14:paraId="1E9E4FFA" w14:textId="77777777" w:rsidR="00AB5FA2" w:rsidRPr="00B64E5B" w:rsidRDefault="00AB5FA2" w:rsidP="00AB5FA2">
      <w:pPr>
        <w:rPr>
          <w:rFonts w:ascii="Arial" w:hAnsi="Arial" w:cs="Arial"/>
        </w:rPr>
      </w:pPr>
      <w:r w:rsidRPr="00B64E5B">
        <w:rPr>
          <w:rFonts w:ascii="Arial" w:hAnsi="Arial" w:cs="Arial"/>
        </w:rPr>
        <w:t xml:space="preserve">Packer R, Jones C, Thomas A and Watkins P (2021) </w:t>
      </w:r>
      <w:r w:rsidRPr="00B64E5B">
        <w:rPr>
          <w:rFonts w:ascii="Arial" w:hAnsi="Arial" w:cs="Arial"/>
          <w:i/>
          <w:iCs/>
        </w:rPr>
        <w:t>All Change! Best Practice for Educational Transitions</w:t>
      </w:r>
      <w:r w:rsidRPr="00B64E5B">
        <w:rPr>
          <w:rFonts w:ascii="Arial" w:hAnsi="Arial" w:cs="Arial"/>
        </w:rPr>
        <w:t xml:space="preserve">.  St Albans: Critical Publishing. </w:t>
      </w:r>
    </w:p>
    <w:p w14:paraId="7C77A631" w14:textId="77777777" w:rsidR="003C0D14" w:rsidRPr="00B64E5B" w:rsidRDefault="003C0D14" w:rsidP="00AB5FA2">
      <w:pPr>
        <w:rPr>
          <w:rFonts w:ascii="Arial" w:hAnsi="Arial" w:cs="Arial"/>
        </w:rPr>
      </w:pPr>
    </w:p>
    <w:p w14:paraId="3A6EE025" w14:textId="5A215AD6" w:rsidR="00AB5FA2" w:rsidRPr="00B64E5B" w:rsidRDefault="00AB5FA2" w:rsidP="00AB5FA2">
      <w:pPr>
        <w:rPr>
          <w:rFonts w:ascii="Arial" w:hAnsi="Arial" w:cs="Arial"/>
        </w:rPr>
      </w:pPr>
      <w:r w:rsidRPr="00B64E5B">
        <w:rPr>
          <w:rFonts w:ascii="Arial" w:hAnsi="Arial" w:cs="Arial"/>
        </w:rPr>
        <w:t>Pellegrini (</w:t>
      </w:r>
      <w:r w:rsidR="001E6A4D" w:rsidRPr="00B64E5B">
        <w:rPr>
          <w:rFonts w:ascii="Arial" w:hAnsi="Arial" w:cs="Arial"/>
        </w:rPr>
        <w:t>1985,</w:t>
      </w:r>
      <w:r w:rsidRPr="00B64E5B">
        <w:rPr>
          <w:rFonts w:ascii="Arial" w:hAnsi="Arial" w:cs="Arial"/>
        </w:rPr>
        <w:t xml:space="preserve">p.118)  The Relations between Symbolic Play and Literate Behaviour: A Review and Critique of the Empirical Literature. </w:t>
      </w:r>
      <w:r w:rsidRPr="00B64E5B">
        <w:rPr>
          <w:rFonts w:ascii="Arial" w:hAnsi="Arial" w:cs="Arial"/>
          <w:i/>
          <w:iCs/>
        </w:rPr>
        <w:t>Review of Education Research</w:t>
      </w:r>
      <w:r w:rsidRPr="00B64E5B">
        <w:rPr>
          <w:rFonts w:ascii="Arial" w:hAnsi="Arial" w:cs="Arial"/>
        </w:rPr>
        <w:t xml:space="preserve">. Vol 55, no.1, pp. 107-121, Available at: </w:t>
      </w:r>
      <w:hyperlink r:id="rId29" w:history="1">
        <w:r w:rsidRPr="00B64E5B">
          <w:rPr>
            <w:rFonts w:ascii="Arial" w:hAnsi="Arial" w:cs="Arial"/>
            <w:u w:val="single"/>
          </w:rPr>
          <w:t>The Relations between Symbolic Play and Literate Behavior: A Review and Critique of the Empirical Literature on JSTOR (uwtsd.ac.uk)</w:t>
        </w:r>
      </w:hyperlink>
      <w:r w:rsidRPr="00B64E5B">
        <w:rPr>
          <w:rFonts w:ascii="Arial" w:hAnsi="Arial" w:cs="Arial"/>
        </w:rPr>
        <w:t xml:space="preserve"> [Accessed on 7 January 2024].</w:t>
      </w:r>
    </w:p>
    <w:p w14:paraId="2FF8034B" w14:textId="77777777" w:rsidR="001E6A4D" w:rsidRPr="00B64E5B" w:rsidRDefault="001E6A4D" w:rsidP="00AB5FA2">
      <w:pPr>
        <w:keepNext/>
        <w:keepLines/>
        <w:shd w:val="clear" w:color="auto" w:fill="FFFFFF"/>
        <w:spacing w:after="240"/>
        <w:outlineLvl w:val="1"/>
        <w:rPr>
          <w:rFonts w:ascii="Arial" w:eastAsiaTheme="majorEastAsia" w:hAnsi="Arial" w:cs="Arial"/>
        </w:rPr>
      </w:pPr>
    </w:p>
    <w:p w14:paraId="4A99B95E" w14:textId="4CA6A440" w:rsidR="00AB5FA2" w:rsidRPr="00B64E5B" w:rsidRDefault="00AB5FA2" w:rsidP="00AB5FA2">
      <w:pPr>
        <w:keepNext/>
        <w:keepLines/>
        <w:shd w:val="clear" w:color="auto" w:fill="FFFFFF"/>
        <w:spacing w:after="240"/>
        <w:outlineLvl w:val="1"/>
        <w:rPr>
          <w:rFonts w:ascii="Arial" w:hAnsi="Arial" w:cs="Arial"/>
        </w:rPr>
      </w:pPr>
      <w:r w:rsidRPr="00B64E5B">
        <w:rPr>
          <w:rFonts w:ascii="Arial" w:eastAsiaTheme="majorEastAsia" w:hAnsi="Arial" w:cs="Arial"/>
        </w:rPr>
        <w:t xml:space="preserve">Razor M and Friedman V J  (2019 ) </w:t>
      </w:r>
      <w:r w:rsidRPr="00B64E5B">
        <w:rPr>
          <w:rFonts w:ascii="Arial" w:eastAsiaTheme="majorEastAsia" w:hAnsi="Arial" w:cs="Arial"/>
          <w:i/>
          <w:iCs/>
        </w:rPr>
        <w:t xml:space="preserve">From Exclusion to Excellence: </w:t>
      </w:r>
      <w:r w:rsidRPr="00B64E5B">
        <w:rPr>
          <w:rFonts w:ascii="Arial" w:eastAsia="Times New Roman" w:hAnsi="Arial" w:cs="Arial"/>
          <w:i/>
          <w:iCs/>
          <w:kern w:val="0"/>
          <w:lang w:eastAsia="en-GB"/>
          <w14:ligatures w14:val="none"/>
        </w:rPr>
        <w:t>Building Restorative Relationships to Create Inclusive Schools. IBE on Curriculum, Learning and Assessment.</w:t>
      </w:r>
      <w:r w:rsidRPr="00B64E5B">
        <w:rPr>
          <w:rFonts w:ascii="Arial" w:eastAsia="Times New Roman" w:hAnsi="Arial" w:cs="Arial"/>
          <w:kern w:val="0"/>
          <w:lang w:eastAsia="en-GB"/>
          <w14:ligatures w14:val="none"/>
        </w:rPr>
        <w:t xml:space="preserve"> Volume 1, p.16. [online] Available at: </w:t>
      </w:r>
      <w:hyperlink r:id="rId30" w:history="1">
        <w:r w:rsidRPr="00B64E5B">
          <w:rPr>
            <w:rFonts w:ascii="Arial" w:hAnsi="Arial" w:cs="Arial"/>
            <w:u w:val="single"/>
          </w:rPr>
          <w:t>9789463004886-37025.pdf</w:t>
        </w:r>
      </w:hyperlink>
      <w:r w:rsidRPr="00B64E5B">
        <w:rPr>
          <w:rFonts w:ascii="Arial" w:hAnsi="Arial" w:cs="Arial"/>
        </w:rPr>
        <w:t xml:space="preserve">  </w:t>
      </w:r>
      <w:r w:rsidRPr="00B64E5B">
        <w:rPr>
          <w:rFonts w:ascii="Arial" w:eastAsiaTheme="majorEastAsia" w:hAnsi="Arial" w:cs="Arial"/>
          <w:lang w:eastAsia="en-GB"/>
        </w:rPr>
        <w:t>[Accessed on 28 November 23]</w:t>
      </w:r>
    </w:p>
    <w:p w14:paraId="03E1998F" w14:textId="77777777" w:rsidR="001E6A4D" w:rsidRPr="00B64E5B" w:rsidRDefault="001E6A4D" w:rsidP="00AB5FA2">
      <w:pPr>
        <w:rPr>
          <w:rFonts w:ascii="Arial" w:hAnsi="Arial" w:cs="Arial"/>
        </w:rPr>
      </w:pPr>
    </w:p>
    <w:p w14:paraId="06692165" w14:textId="58A31821" w:rsidR="00AB5FA2" w:rsidRPr="00B64E5B" w:rsidRDefault="00AB5FA2" w:rsidP="00AB5FA2">
      <w:pPr>
        <w:rPr>
          <w:rFonts w:ascii="Arial" w:hAnsi="Arial" w:cs="Arial"/>
        </w:rPr>
      </w:pPr>
      <w:r w:rsidRPr="00B64E5B">
        <w:rPr>
          <w:rFonts w:ascii="Arial" w:hAnsi="Arial" w:cs="Arial"/>
        </w:rPr>
        <w:t>Rodes I and Long M (2017, p.21) Improving Behaviours in School. Guidance Report</w:t>
      </w:r>
      <w:r w:rsidRPr="00B64E5B">
        <w:rPr>
          <w:rFonts w:ascii="Arial" w:hAnsi="Arial" w:cs="Arial"/>
          <w:i/>
          <w:iCs/>
        </w:rPr>
        <w:t>. Education Endowment Foundation</w:t>
      </w:r>
      <w:r w:rsidRPr="00B64E5B">
        <w:rPr>
          <w:rFonts w:ascii="Arial" w:hAnsi="Arial" w:cs="Arial"/>
        </w:rPr>
        <w:t xml:space="preserve">. [online] Available at </w:t>
      </w:r>
      <w:hyperlink r:id="rId31" w:history="1">
        <w:r w:rsidRPr="00B64E5B">
          <w:rPr>
            <w:rFonts w:ascii="Arial" w:hAnsi="Arial" w:cs="Arial"/>
            <w:u w:val="single"/>
          </w:rPr>
          <w:t>EEF_Improving_behaviour_in_schools_Report.pdf</w:t>
        </w:r>
      </w:hyperlink>
      <w:r w:rsidRPr="00B64E5B">
        <w:rPr>
          <w:rFonts w:ascii="Arial" w:hAnsi="Arial" w:cs="Arial"/>
        </w:rPr>
        <w:t xml:space="preserve"> [Accessed on 28 November 23]</w:t>
      </w:r>
    </w:p>
    <w:p w14:paraId="0256398D" w14:textId="77777777" w:rsidR="002879EF" w:rsidRDefault="002879EF" w:rsidP="00AB5FA2">
      <w:pPr>
        <w:rPr>
          <w:rFonts w:ascii="Arial" w:hAnsi="Arial" w:cs="Arial"/>
          <w:shd w:val="clear" w:color="auto" w:fill="FFFFFF"/>
        </w:rPr>
      </w:pPr>
    </w:p>
    <w:p w14:paraId="0A32D5CB" w14:textId="29677DEA" w:rsidR="00AB5FA2" w:rsidRPr="00B64E5B" w:rsidRDefault="00AB5FA2" w:rsidP="00AB5FA2">
      <w:pPr>
        <w:rPr>
          <w:rFonts w:ascii="Arial" w:hAnsi="Arial" w:cs="Arial"/>
          <w:shd w:val="clear" w:color="auto" w:fill="FFFFFF"/>
        </w:rPr>
      </w:pPr>
      <w:r w:rsidRPr="00B64E5B">
        <w:rPr>
          <w:rFonts w:ascii="Arial" w:hAnsi="Arial" w:cs="Arial"/>
          <w:shd w:val="clear" w:color="auto" w:fill="FFFFFF"/>
        </w:rPr>
        <w:t>Sandi, C., Haller, J. Stress and the social brain: behavioural effects and neurobiological mechanisms. </w:t>
      </w:r>
      <w:r w:rsidRPr="00B64E5B">
        <w:rPr>
          <w:rFonts w:ascii="Arial" w:hAnsi="Arial" w:cs="Arial"/>
          <w:i/>
          <w:iCs/>
          <w:shd w:val="clear" w:color="auto" w:fill="FFFFFF"/>
        </w:rPr>
        <w:t>Nat Rev Neurosci</w:t>
      </w:r>
      <w:r w:rsidRPr="00B64E5B">
        <w:rPr>
          <w:rFonts w:ascii="Arial" w:hAnsi="Arial" w:cs="Arial"/>
          <w:shd w:val="clear" w:color="auto" w:fill="FFFFFF"/>
        </w:rPr>
        <w:t> </w:t>
      </w:r>
      <w:r w:rsidRPr="00B64E5B">
        <w:rPr>
          <w:rFonts w:ascii="Arial" w:hAnsi="Arial" w:cs="Arial"/>
          <w:b/>
          <w:bCs/>
          <w:shd w:val="clear" w:color="auto" w:fill="FFFFFF"/>
        </w:rPr>
        <w:t>16</w:t>
      </w:r>
      <w:r w:rsidRPr="00B64E5B">
        <w:rPr>
          <w:rFonts w:ascii="Arial" w:hAnsi="Arial" w:cs="Arial"/>
          <w:shd w:val="clear" w:color="auto" w:fill="FFFFFF"/>
        </w:rPr>
        <w:t xml:space="preserve">, 290–304 (2015).Available at:  </w:t>
      </w:r>
      <w:hyperlink r:id="rId32" w:history="1">
        <w:r w:rsidRPr="00B64E5B">
          <w:rPr>
            <w:rFonts w:ascii="Arial" w:hAnsi="Arial" w:cs="Arial"/>
            <w:u w:val="single"/>
            <w:shd w:val="clear" w:color="auto" w:fill="FFFFFF"/>
          </w:rPr>
          <w:t>https://doi.org/10.1038/nrn3918</w:t>
        </w:r>
      </w:hyperlink>
      <w:r w:rsidRPr="00B64E5B">
        <w:rPr>
          <w:rFonts w:ascii="Arial" w:hAnsi="Arial" w:cs="Arial"/>
          <w:shd w:val="clear" w:color="auto" w:fill="FFFFFF"/>
        </w:rPr>
        <w:t xml:space="preserve"> [Accessed on 3 January 2024].</w:t>
      </w:r>
    </w:p>
    <w:p w14:paraId="77331053" w14:textId="77777777" w:rsidR="00B64E5B" w:rsidRPr="00B64E5B" w:rsidRDefault="00B64E5B" w:rsidP="00AB5FA2">
      <w:pPr>
        <w:rPr>
          <w:rFonts w:ascii="Arial" w:hAnsi="Arial" w:cs="Arial"/>
        </w:rPr>
      </w:pPr>
    </w:p>
    <w:p w14:paraId="5B4085C4" w14:textId="36084B07" w:rsidR="00AB5FA2" w:rsidRPr="00B64E5B" w:rsidRDefault="00AB5FA2" w:rsidP="00AB5FA2">
      <w:pPr>
        <w:rPr>
          <w:rFonts w:ascii="Arial" w:hAnsi="Arial" w:cs="Arial"/>
        </w:rPr>
      </w:pPr>
      <w:r w:rsidRPr="00B64E5B">
        <w:rPr>
          <w:rFonts w:ascii="Arial" w:hAnsi="Arial" w:cs="Arial"/>
        </w:rPr>
        <w:lastRenderedPageBreak/>
        <w:t xml:space="preserve">Schonert-Reichl K A (2017, p.146) ‘Social and Emotional Learning </w:t>
      </w:r>
      <w:r w:rsidRPr="00B64E5B">
        <w:rPr>
          <w:rFonts w:ascii="Arial" w:hAnsi="Arial" w:cs="Arial"/>
          <w:i/>
          <w:iCs/>
        </w:rPr>
        <w:t xml:space="preserve">Teachers’ Social and Emotional Learning: Introducing the Issues. </w:t>
      </w:r>
      <w:r w:rsidRPr="00B64E5B">
        <w:rPr>
          <w:rFonts w:ascii="Arial" w:hAnsi="Arial" w:cs="Arial"/>
        </w:rPr>
        <w:t xml:space="preserve">Vol.27, No.1 (Spring), pp. 137-155. Available at: </w:t>
      </w:r>
      <w:hyperlink r:id="rId33" w:history="1">
        <w:r w:rsidRPr="00B64E5B">
          <w:rPr>
            <w:rFonts w:ascii="Arial" w:hAnsi="Arial" w:cs="Arial"/>
            <w:u w:val="single"/>
          </w:rPr>
          <w:t>Social and Emotional Learning and Teachers on JSTOR (uwtsd.ac.uk)</w:t>
        </w:r>
      </w:hyperlink>
      <w:r w:rsidRPr="00B64E5B">
        <w:rPr>
          <w:rFonts w:ascii="Arial" w:hAnsi="Arial" w:cs="Arial"/>
        </w:rPr>
        <w:t xml:space="preserve"> [Accessed on 5 January 2024].</w:t>
      </w:r>
    </w:p>
    <w:p w14:paraId="726A059D" w14:textId="77777777" w:rsidR="00B64E5B" w:rsidRPr="00B64E5B" w:rsidRDefault="00B64E5B" w:rsidP="00AB5FA2">
      <w:pPr>
        <w:rPr>
          <w:rFonts w:ascii="Arial" w:hAnsi="Arial" w:cs="Arial"/>
        </w:rPr>
      </w:pPr>
    </w:p>
    <w:p w14:paraId="555892CF" w14:textId="7D06369C" w:rsidR="00AB5FA2" w:rsidRPr="00B64E5B" w:rsidRDefault="00AB5FA2" w:rsidP="00AB5FA2">
      <w:pPr>
        <w:rPr>
          <w:rFonts w:ascii="Arial" w:hAnsi="Arial" w:cs="Arial"/>
        </w:rPr>
      </w:pPr>
      <w:r w:rsidRPr="00B64E5B">
        <w:rPr>
          <w:rFonts w:ascii="Arial" w:hAnsi="Arial" w:cs="Arial"/>
        </w:rPr>
        <w:t xml:space="preserve">Sharmer S and Sharmer R (2023) </w:t>
      </w:r>
      <w:r w:rsidRPr="00B64E5B">
        <w:rPr>
          <w:rFonts w:ascii="Arial" w:hAnsi="Arial" w:cs="Arial"/>
          <w:i/>
          <w:iCs/>
        </w:rPr>
        <w:t>Nursing Education and Education Technology: With Complimentary Handbook for Forensic Nursing</w:t>
      </w:r>
      <w:r w:rsidRPr="00B64E5B">
        <w:rPr>
          <w:rFonts w:ascii="Arial" w:hAnsi="Arial" w:cs="Arial"/>
        </w:rPr>
        <w:t>. 3</w:t>
      </w:r>
      <w:r w:rsidRPr="00B64E5B">
        <w:rPr>
          <w:rFonts w:ascii="Arial" w:hAnsi="Arial" w:cs="Arial"/>
          <w:vertAlign w:val="superscript"/>
        </w:rPr>
        <w:t>rd</w:t>
      </w:r>
      <w:r w:rsidRPr="00B64E5B">
        <w:rPr>
          <w:rFonts w:ascii="Arial" w:hAnsi="Arial" w:cs="Arial"/>
        </w:rPr>
        <w:t xml:space="preserve"> Edn. Exeter: Elsevier.</w:t>
      </w:r>
    </w:p>
    <w:p w14:paraId="3A1D24DB" w14:textId="77777777" w:rsidR="00B64E5B" w:rsidRPr="00B64E5B" w:rsidRDefault="00B64E5B" w:rsidP="00AB5FA2">
      <w:pPr>
        <w:rPr>
          <w:rFonts w:ascii="Arial" w:hAnsi="Arial" w:cs="Arial"/>
        </w:rPr>
      </w:pPr>
    </w:p>
    <w:p w14:paraId="4204EA89" w14:textId="68665D7B" w:rsidR="00AB5FA2" w:rsidRPr="00B64E5B" w:rsidRDefault="00AB5FA2" w:rsidP="00AB5FA2">
      <w:pPr>
        <w:rPr>
          <w:rFonts w:ascii="Arial" w:hAnsi="Arial" w:cs="Arial"/>
        </w:rPr>
      </w:pPr>
      <w:r w:rsidRPr="00B64E5B">
        <w:rPr>
          <w:rFonts w:ascii="Arial" w:hAnsi="Arial" w:cs="Arial"/>
        </w:rPr>
        <w:t xml:space="preserve">Sibakova (2023)  </w:t>
      </w:r>
      <w:r w:rsidRPr="00B64E5B">
        <w:rPr>
          <w:rFonts w:ascii="Arial" w:hAnsi="Arial" w:cs="Arial"/>
          <w:i/>
          <w:iCs/>
        </w:rPr>
        <w:t xml:space="preserve">Vygotsky's theory as a tool of imagination development in primary school. </w:t>
      </w:r>
      <w:r w:rsidRPr="00B64E5B">
        <w:rPr>
          <w:rFonts w:ascii="Arial" w:hAnsi="Arial" w:cs="Arial"/>
        </w:rPr>
        <w:t xml:space="preserve">The thesis submitted in fulfilment of the requirements for the degree of Doctor of Philosophy. The University of Adelaid. Available at: </w:t>
      </w:r>
      <w:hyperlink r:id="rId34" w:history="1">
        <w:r w:rsidRPr="00B64E5B">
          <w:rPr>
            <w:rFonts w:ascii="Arial" w:hAnsi="Arial" w:cs="Arial"/>
            <w:u w:val="single"/>
          </w:rPr>
          <w:t>Sibakova2023_PhD.pdf</w:t>
        </w:r>
      </w:hyperlink>
      <w:r w:rsidRPr="00B64E5B">
        <w:rPr>
          <w:rFonts w:ascii="Arial" w:hAnsi="Arial" w:cs="Arial"/>
        </w:rPr>
        <w:t xml:space="preserve"> [Accessed on 9 January 2024].</w:t>
      </w:r>
    </w:p>
    <w:p w14:paraId="4087F4E0" w14:textId="77777777" w:rsidR="00B64E5B" w:rsidRPr="00B64E5B" w:rsidRDefault="00B64E5B" w:rsidP="00AB5FA2">
      <w:pPr>
        <w:shd w:val="clear" w:color="auto" w:fill="FFFFFF"/>
        <w:rPr>
          <w:rFonts w:ascii="Arial" w:hAnsi="Arial" w:cs="Arial"/>
        </w:rPr>
      </w:pPr>
    </w:p>
    <w:p w14:paraId="51A673B8" w14:textId="0B1BB1FD" w:rsidR="00AB5FA2" w:rsidRPr="00B64E5B" w:rsidRDefault="00AB5FA2" w:rsidP="00AB5FA2">
      <w:pPr>
        <w:shd w:val="clear" w:color="auto" w:fill="FFFFFF"/>
        <w:rPr>
          <w:rFonts w:ascii="Arial" w:hAnsi="Arial" w:cs="Arial"/>
        </w:rPr>
      </w:pPr>
      <w:r w:rsidRPr="00B64E5B">
        <w:rPr>
          <w:rFonts w:ascii="Arial" w:hAnsi="Arial" w:cs="Arial"/>
        </w:rPr>
        <w:t xml:space="preserve">Slee P, Cambell M and Spears B (2012, p.323) </w:t>
      </w:r>
      <w:r w:rsidRPr="00B64E5B">
        <w:rPr>
          <w:rFonts w:ascii="Arial" w:hAnsi="Arial" w:cs="Arial"/>
          <w:i/>
          <w:iCs/>
        </w:rPr>
        <w:t>Child, Adolescence and Family Development</w:t>
      </w:r>
      <w:r w:rsidRPr="00B64E5B">
        <w:rPr>
          <w:rFonts w:ascii="Arial" w:hAnsi="Arial" w:cs="Arial"/>
        </w:rPr>
        <w:t>. 3</w:t>
      </w:r>
      <w:r w:rsidRPr="00B64E5B">
        <w:rPr>
          <w:rFonts w:ascii="Arial" w:hAnsi="Arial" w:cs="Arial"/>
          <w:vertAlign w:val="superscript"/>
        </w:rPr>
        <w:t>rd</w:t>
      </w:r>
      <w:r w:rsidRPr="00B64E5B">
        <w:rPr>
          <w:rFonts w:ascii="Arial" w:hAnsi="Arial" w:cs="Arial"/>
        </w:rPr>
        <w:t xml:space="preserve"> EDN. Cambridge: Cambridge University Press.</w:t>
      </w:r>
    </w:p>
    <w:p w14:paraId="75F5944B" w14:textId="77777777" w:rsidR="00B64E5B" w:rsidRPr="00B64E5B" w:rsidRDefault="00B64E5B" w:rsidP="00AB5FA2">
      <w:pPr>
        <w:rPr>
          <w:rFonts w:ascii="Arial" w:hAnsi="Arial" w:cs="Arial"/>
        </w:rPr>
      </w:pPr>
    </w:p>
    <w:p w14:paraId="79B22D89" w14:textId="3ACA1788" w:rsidR="00AB5FA2" w:rsidRPr="00B64E5B" w:rsidRDefault="00AB5FA2" w:rsidP="00AB5FA2">
      <w:pPr>
        <w:rPr>
          <w:rFonts w:ascii="Arial" w:hAnsi="Arial" w:cs="Arial"/>
        </w:rPr>
      </w:pPr>
      <w:r w:rsidRPr="00B64E5B">
        <w:rPr>
          <w:rFonts w:ascii="Arial" w:hAnsi="Arial" w:cs="Arial"/>
        </w:rPr>
        <w:t>Smutny J F, Walker S Y and Honeck E (2016</w:t>
      </w:r>
      <w:r w:rsidRPr="00B64E5B">
        <w:rPr>
          <w:rFonts w:ascii="Arial" w:hAnsi="Arial" w:cs="Arial"/>
          <w:i/>
          <w:iCs/>
        </w:rPr>
        <w:t>) Gifted Children in Todays Preschool and Primary Classrooms; Identifying, Nurturing and Challenging Children Aged 4-9</w:t>
      </w:r>
      <w:r w:rsidRPr="00B64E5B">
        <w:rPr>
          <w:rFonts w:ascii="Arial" w:hAnsi="Arial" w:cs="Arial"/>
        </w:rPr>
        <w:t>.  Sanburg Road: Free Spirit Publishing Inc.</w:t>
      </w:r>
    </w:p>
    <w:p w14:paraId="646E462E" w14:textId="77777777" w:rsidR="00B64E5B" w:rsidRPr="00B64E5B" w:rsidRDefault="00B64E5B" w:rsidP="00AB5FA2">
      <w:pPr>
        <w:rPr>
          <w:rFonts w:ascii="Arial" w:hAnsi="Arial" w:cs="Arial"/>
        </w:rPr>
      </w:pPr>
    </w:p>
    <w:p w14:paraId="4389DCDA" w14:textId="694703EB" w:rsidR="00AB5FA2" w:rsidRPr="00B64E5B" w:rsidRDefault="00AB5FA2" w:rsidP="00AB5FA2">
      <w:pPr>
        <w:rPr>
          <w:rFonts w:ascii="Arial" w:hAnsi="Arial" w:cs="Arial"/>
        </w:rPr>
      </w:pPr>
      <w:r w:rsidRPr="00B64E5B">
        <w:rPr>
          <w:rFonts w:ascii="Arial" w:hAnsi="Arial" w:cs="Arial"/>
        </w:rPr>
        <w:t xml:space="preserve">Sutton G W (2018) </w:t>
      </w:r>
      <w:r w:rsidRPr="00B64E5B">
        <w:rPr>
          <w:rFonts w:ascii="Arial" w:hAnsi="Arial" w:cs="Arial"/>
          <w:i/>
          <w:iCs/>
        </w:rPr>
        <w:t>Discipline with Respect in Caring Relationships.</w:t>
      </w:r>
      <w:r w:rsidRPr="00B64E5B">
        <w:rPr>
          <w:rFonts w:ascii="Arial" w:hAnsi="Arial" w:cs="Arial"/>
        </w:rPr>
        <w:t xml:space="preserve"> Missouri: Sunflower Press.</w:t>
      </w:r>
    </w:p>
    <w:p w14:paraId="60517189" w14:textId="77777777" w:rsidR="00B64E5B" w:rsidRPr="00B64E5B" w:rsidRDefault="00B64E5B" w:rsidP="00AB5FA2">
      <w:pPr>
        <w:rPr>
          <w:rFonts w:ascii="Arial" w:hAnsi="Arial" w:cs="Arial"/>
        </w:rPr>
      </w:pPr>
    </w:p>
    <w:p w14:paraId="1AEA693F" w14:textId="75873D8E" w:rsidR="00AB5FA2" w:rsidRPr="00B64E5B" w:rsidRDefault="00AB5FA2" w:rsidP="00AB5FA2">
      <w:pPr>
        <w:rPr>
          <w:rFonts w:ascii="Arial" w:hAnsi="Arial" w:cs="Arial"/>
        </w:rPr>
      </w:pPr>
      <w:r w:rsidRPr="00B64E5B">
        <w:rPr>
          <w:rFonts w:ascii="Arial" w:hAnsi="Arial" w:cs="Arial"/>
        </w:rPr>
        <w:t>Taggart B, Sylva K, Meluish E, Sams P and Siraj I (2015) Effective pre-school, primary and secondary education project (EPPSE 3-16+)</w:t>
      </w:r>
      <w:r w:rsidRPr="00B64E5B">
        <w:rPr>
          <w:rFonts w:ascii="Arial" w:hAnsi="Arial" w:cs="Arial"/>
          <w:i/>
          <w:iCs/>
        </w:rPr>
        <w:t xml:space="preserve"> How pre-school influences children and young people's attainment and developmental outcomes over time</w:t>
      </w:r>
      <w:r w:rsidRPr="00B64E5B">
        <w:rPr>
          <w:rFonts w:ascii="Arial" w:hAnsi="Arial" w:cs="Arial"/>
        </w:rPr>
        <w:t xml:space="preserve"> Research Brief</w:t>
      </w:r>
      <w:r w:rsidRPr="00B64E5B">
        <w:rPr>
          <w:rFonts w:ascii="Arial" w:hAnsi="Arial" w:cs="Arial"/>
          <w:i/>
          <w:iCs/>
        </w:rPr>
        <w:t xml:space="preserve">. </w:t>
      </w:r>
      <w:r w:rsidRPr="00B64E5B">
        <w:rPr>
          <w:rFonts w:ascii="Arial" w:hAnsi="Arial" w:cs="Arial"/>
        </w:rPr>
        <w:t xml:space="preserve">Available at: </w:t>
      </w:r>
      <w:hyperlink r:id="rId35" w:history="1">
        <w:r w:rsidRPr="00B64E5B">
          <w:rPr>
            <w:rFonts w:ascii="Arial" w:hAnsi="Arial" w:cs="Arial"/>
            <w:u w:val="single"/>
          </w:rPr>
          <w:t>Effective pre-school, primary and secondary education project (EPPSE 3-16+) (publishing.service.gov.uk)</w:t>
        </w:r>
      </w:hyperlink>
      <w:r w:rsidRPr="00B64E5B">
        <w:rPr>
          <w:rFonts w:ascii="Arial" w:hAnsi="Arial" w:cs="Arial"/>
        </w:rPr>
        <w:t xml:space="preserve"> [Accessed on 3 January 2024].</w:t>
      </w:r>
    </w:p>
    <w:p w14:paraId="7D844040" w14:textId="77777777" w:rsidR="00B64E5B" w:rsidRPr="00B64E5B" w:rsidRDefault="00B64E5B" w:rsidP="00AB5FA2">
      <w:pPr>
        <w:rPr>
          <w:rFonts w:ascii="Arial" w:hAnsi="Arial" w:cs="Arial"/>
        </w:rPr>
      </w:pPr>
    </w:p>
    <w:p w14:paraId="2DD44565" w14:textId="2F7D85D6" w:rsidR="00AB5FA2" w:rsidRPr="00B64E5B" w:rsidRDefault="00AB5FA2" w:rsidP="00AB5FA2">
      <w:pPr>
        <w:rPr>
          <w:rFonts w:ascii="Arial" w:hAnsi="Arial" w:cs="Arial"/>
        </w:rPr>
      </w:pPr>
      <w:r w:rsidRPr="00B64E5B">
        <w:rPr>
          <w:rFonts w:ascii="Arial" w:hAnsi="Arial" w:cs="Arial"/>
        </w:rPr>
        <w:t xml:space="preserve">Tassoni P (2018) </w:t>
      </w:r>
      <w:r w:rsidRPr="00B64E5B">
        <w:rPr>
          <w:rFonts w:ascii="Arial" w:hAnsi="Arial" w:cs="Arial"/>
          <w:i/>
          <w:iCs/>
        </w:rPr>
        <w:t xml:space="preserve">Understanding Childrens Behaviour: Learning to be with others in the Early Years. </w:t>
      </w:r>
      <w:r w:rsidRPr="00B64E5B">
        <w:rPr>
          <w:rFonts w:ascii="Arial" w:hAnsi="Arial" w:cs="Arial"/>
        </w:rPr>
        <w:t>(1</w:t>
      </w:r>
      <w:r w:rsidRPr="00B64E5B">
        <w:rPr>
          <w:rFonts w:ascii="Arial" w:hAnsi="Arial" w:cs="Arial"/>
          <w:vertAlign w:val="superscript"/>
        </w:rPr>
        <w:t>st</w:t>
      </w:r>
      <w:r w:rsidRPr="00B64E5B">
        <w:rPr>
          <w:rFonts w:ascii="Arial" w:hAnsi="Arial" w:cs="Arial"/>
        </w:rPr>
        <w:t xml:space="preserve"> ed). London: Featherstone. </w:t>
      </w:r>
    </w:p>
    <w:p w14:paraId="3B076395" w14:textId="77777777" w:rsidR="00B64E5B" w:rsidRPr="00B64E5B" w:rsidRDefault="00B64E5B" w:rsidP="00AB5FA2">
      <w:pPr>
        <w:spacing w:after="0" w:line="240" w:lineRule="auto"/>
        <w:rPr>
          <w:rFonts w:ascii="Arial" w:eastAsia="Times New Roman" w:hAnsi="Arial" w:cs="Arial"/>
          <w:kern w:val="0"/>
          <w:lang w:eastAsia="en-GB"/>
          <w14:ligatures w14:val="none"/>
        </w:rPr>
      </w:pPr>
    </w:p>
    <w:p w14:paraId="4376ED50" w14:textId="55A1CB76" w:rsidR="00AB5FA2" w:rsidRPr="00B64E5B" w:rsidRDefault="00AB5FA2" w:rsidP="00AB5FA2">
      <w:pPr>
        <w:spacing w:after="0" w:line="240" w:lineRule="auto"/>
        <w:rPr>
          <w:rFonts w:ascii="Arial" w:eastAsia="Times New Roman" w:hAnsi="Arial" w:cs="Arial"/>
          <w:kern w:val="0"/>
          <w:lang w:eastAsia="en-GB"/>
          <w14:ligatures w14:val="none"/>
        </w:rPr>
      </w:pPr>
      <w:r w:rsidRPr="00B64E5B">
        <w:rPr>
          <w:rFonts w:ascii="Arial" w:eastAsia="Times New Roman" w:hAnsi="Arial" w:cs="Arial"/>
          <w:kern w:val="0"/>
          <w:lang w:eastAsia="en-GB"/>
          <w14:ligatures w14:val="none"/>
        </w:rPr>
        <w:lastRenderedPageBreak/>
        <w:t xml:space="preserve">Taylor, S and Workman L. (2018). </w:t>
      </w:r>
      <w:r w:rsidRPr="00B64E5B">
        <w:rPr>
          <w:rFonts w:ascii="Arial" w:eastAsia="Times New Roman" w:hAnsi="Arial" w:cs="Arial"/>
          <w:i/>
          <w:iCs/>
          <w:kern w:val="0"/>
          <w:lang w:eastAsia="en-GB"/>
          <w14:ligatures w14:val="none"/>
        </w:rPr>
        <w:t>The Psychology of Human Social Development: From Infancy to Adolescence</w:t>
      </w:r>
      <w:r w:rsidRPr="00B64E5B">
        <w:rPr>
          <w:rFonts w:ascii="Arial" w:eastAsia="Times New Roman" w:hAnsi="Arial" w:cs="Arial"/>
          <w:kern w:val="0"/>
          <w:lang w:eastAsia="en-GB"/>
          <w14:ligatures w14:val="none"/>
        </w:rPr>
        <w:t xml:space="preserve"> (1st ed.). London: Routledge.</w:t>
      </w:r>
    </w:p>
    <w:p w14:paraId="397DB7AC" w14:textId="5AFB99DF" w:rsidR="00AB5FA2" w:rsidRPr="00B64E5B" w:rsidRDefault="00AB5FA2" w:rsidP="00AB5FA2">
      <w:pPr>
        <w:rPr>
          <w:rFonts w:ascii="Arial" w:hAnsi="Arial" w:cs="Arial"/>
        </w:rPr>
      </w:pPr>
      <w:r w:rsidRPr="00B64E5B">
        <w:rPr>
          <w:rFonts w:ascii="Arial" w:hAnsi="Arial" w:cs="Arial"/>
          <w:i/>
          <w:iCs/>
          <w:shd w:val="clear" w:color="auto" w:fill="FFFFFF"/>
        </w:rPr>
        <w:t xml:space="preserve">The Child Minding and Day Care (Wales) 2010, Regulation 23,  </w:t>
      </w:r>
      <w:r w:rsidRPr="00B64E5B">
        <w:rPr>
          <w:rFonts w:ascii="Arial" w:hAnsi="Arial" w:cs="Arial"/>
          <w:shd w:val="clear" w:color="auto" w:fill="FFFFFF"/>
        </w:rPr>
        <w:t xml:space="preserve">Available at: </w:t>
      </w:r>
      <w:hyperlink r:id="rId36" w:history="1">
        <w:r w:rsidRPr="00B64E5B">
          <w:rPr>
            <w:rFonts w:ascii="Arial" w:hAnsi="Arial" w:cs="Arial"/>
            <w:u w:val="single"/>
          </w:rPr>
          <w:t>The Child Minding and Day Care (Wales) Regulations 2010 (legislation.gov.uk)</w:t>
        </w:r>
      </w:hyperlink>
      <w:r w:rsidRPr="00B64E5B">
        <w:rPr>
          <w:rFonts w:ascii="Arial" w:hAnsi="Arial" w:cs="Arial"/>
        </w:rPr>
        <w:t xml:space="preserve"> [Accessed 29 November 2023]. </w:t>
      </w:r>
    </w:p>
    <w:p w14:paraId="26FC0812" w14:textId="77777777" w:rsidR="00AB5FA2" w:rsidRPr="00B64E5B" w:rsidRDefault="00AB5FA2" w:rsidP="00AB5FA2">
      <w:pPr>
        <w:rPr>
          <w:rFonts w:ascii="Arial" w:hAnsi="Arial" w:cs="Arial"/>
        </w:rPr>
      </w:pPr>
      <w:r w:rsidRPr="00B64E5B">
        <w:rPr>
          <w:rFonts w:ascii="Arial" w:hAnsi="Arial" w:cs="Arial"/>
          <w:shd w:val="clear" w:color="auto" w:fill="FFFFFF"/>
        </w:rPr>
        <w:t xml:space="preserve">UK Parliament (2021) </w:t>
      </w:r>
      <w:r w:rsidRPr="00B64E5B">
        <w:rPr>
          <w:rFonts w:ascii="Arial" w:hAnsi="Arial" w:cs="Arial"/>
          <w:i/>
          <w:iCs/>
          <w:shd w:val="clear" w:color="auto" w:fill="FFFFFF"/>
        </w:rPr>
        <w:t>Research Impact on Policy</w:t>
      </w:r>
      <w:r w:rsidRPr="00B64E5B">
        <w:rPr>
          <w:rFonts w:ascii="Arial" w:hAnsi="Arial" w:cs="Arial"/>
          <w:shd w:val="clear" w:color="auto" w:fill="FFFFFF"/>
        </w:rPr>
        <w:t xml:space="preserve"> [online]. Available from: </w:t>
      </w:r>
      <w:hyperlink r:id="rId37" w:history="1">
        <w:r w:rsidRPr="00B64E5B">
          <w:rPr>
            <w:rFonts w:ascii="Arial" w:hAnsi="Arial" w:cs="Arial"/>
            <w:u w:val="single"/>
          </w:rPr>
          <w:t>research_impact_on_policy_briefing_document_june21.pdf (uwtsd.ac.uk)</w:t>
        </w:r>
      </w:hyperlink>
      <w:r w:rsidRPr="00B64E5B">
        <w:rPr>
          <w:rFonts w:ascii="Arial" w:hAnsi="Arial" w:cs="Arial"/>
        </w:rPr>
        <w:t xml:space="preserve"> [Accessed 22 October 23].</w:t>
      </w:r>
    </w:p>
    <w:p w14:paraId="2EE7D9A1" w14:textId="77777777" w:rsidR="00B64E5B" w:rsidRPr="00B64E5B" w:rsidRDefault="00B64E5B" w:rsidP="00AB5FA2">
      <w:pPr>
        <w:rPr>
          <w:rFonts w:ascii="Arial" w:hAnsi="Arial" w:cs="Arial"/>
        </w:rPr>
      </w:pPr>
    </w:p>
    <w:p w14:paraId="2DCE5210" w14:textId="014AD55C" w:rsidR="00AB5FA2" w:rsidRPr="00B64E5B" w:rsidRDefault="00AB5FA2" w:rsidP="00AB5FA2">
      <w:pPr>
        <w:rPr>
          <w:rFonts w:ascii="Arial" w:hAnsi="Arial" w:cs="Arial"/>
        </w:rPr>
      </w:pPr>
      <w:r w:rsidRPr="00B64E5B">
        <w:rPr>
          <w:rFonts w:ascii="Arial" w:hAnsi="Arial" w:cs="Arial"/>
        </w:rPr>
        <w:t xml:space="preserve">UNCRC (1989) </w:t>
      </w:r>
      <w:r w:rsidRPr="00B64E5B">
        <w:rPr>
          <w:rFonts w:ascii="Arial" w:hAnsi="Arial" w:cs="Arial"/>
          <w:i/>
          <w:iCs/>
        </w:rPr>
        <w:t xml:space="preserve">A Summary of the UN Convention on the Rights of the Child </w:t>
      </w:r>
      <w:r w:rsidRPr="00B64E5B">
        <w:rPr>
          <w:rFonts w:ascii="Arial" w:hAnsi="Arial" w:cs="Arial"/>
        </w:rPr>
        <w:t xml:space="preserve">[online]. Available from: </w:t>
      </w:r>
      <w:hyperlink r:id="rId38" w:history="1">
        <w:r w:rsidRPr="00B64E5B">
          <w:rPr>
            <w:rFonts w:ascii="Arial" w:hAnsi="Arial" w:cs="Arial"/>
            <w:u w:val="single"/>
          </w:rPr>
          <w:t>UNCRC_summary-1_1.pdf (unicef.org.uk)</w:t>
        </w:r>
      </w:hyperlink>
      <w:r w:rsidRPr="00B64E5B">
        <w:rPr>
          <w:rFonts w:ascii="Arial" w:hAnsi="Arial" w:cs="Arial"/>
        </w:rPr>
        <w:t xml:space="preserve"> [Accessed on 22 October 23].</w:t>
      </w:r>
    </w:p>
    <w:p w14:paraId="57A10C31" w14:textId="77777777" w:rsidR="00B64E5B" w:rsidRPr="00B64E5B" w:rsidRDefault="00B64E5B" w:rsidP="00AB5FA2">
      <w:pPr>
        <w:shd w:val="clear" w:color="auto" w:fill="FFFFFF"/>
        <w:rPr>
          <w:rFonts w:ascii="Arial" w:hAnsi="Arial" w:cs="Arial"/>
        </w:rPr>
      </w:pPr>
    </w:p>
    <w:p w14:paraId="5F2EFA24" w14:textId="0F94B99A" w:rsidR="00AB5FA2" w:rsidRPr="00B64E5B" w:rsidRDefault="00AB5FA2" w:rsidP="00AB5FA2">
      <w:pPr>
        <w:shd w:val="clear" w:color="auto" w:fill="FFFFFF"/>
        <w:rPr>
          <w:rFonts w:ascii="Arial" w:hAnsi="Arial" w:cs="Arial"/>
        </w:rPr>
      </w:pPr>
      <w:r w:rsidRPr="00B64E5B">
        <w:rPr>
          <w:rFonts w:ascii="Arial" w:hAnsi="Arial" w:cs="Arial"/>
        </w:rPr>
        <w:t xml:space="preserve">Veraska A and Veraska N (2015) ‘Symbolic representation in early years learning: The acquisition of complex notions’. </w:t>
      </w:r>
      <w:r w:rsidRPr="00B64E5B">
        <w:rPr>
          <w:rFonts w:ascii="Arial" w:eastAsia="Times New Roman" w:hAnsi="Arial" w:cs="Arial"/>
          <w:i/>
          <w:iCs/>
          <w:kern w:val="0"/>
          <w:lang w:eastAsia="en-GB"/>
          <w14:ligatures w14:val="none"/>
        </w:rPr>
        <w:t>The acquisition of complex notions, European Early Childhood Education Research Journal</w:t>
      </w:r>
      <w:r w:rsidRPr="00B64E5B">
        <w:rPr>
          <w:rFonts w:ascii="Arial" w:eastAsia="Times New Roman" w:hAnsi="Arial" w:cs="Arial"/>
          <w:kern w:val="0"/>
          <w:lang w:eastAsia="en-GB"/>
          <w14:ligatures w14:val="none"/>
        </w:rPr>
        <w:t xml:space="preserve">, 24:5, 668-683. Available at:  </w:t>
      </w:r>
      <w:hyperlink r:id="rId39" w:history="1">
        <w:r w:rsidRPr="00B64E5B">
          <w:rPr>
            <w:rFonts w:ascii="Arial" w:hAnsi="Arial" w:cs="Arial"/>
            <w:u w:val="single"/>
          </w:rPr>
          <w:t>Citation Manager | Taylor &amp; Francis Online (tandfonline.com)</w:t>
        </w:r>
      </w:hyperlink>
      <w:r w:rsidRPr="00B64E5B">
        <w:rPr>
          <w:rFonts w:ascii="Arial" w:hAnsi="Arial" w:cs="Arial"/>
        </w:rPr>
        <w:t xml:space="preserve"> [Accessed 9 January 2024]. </w:t>
      </w:r>
    </w:p>
    <w:p w14:paraId="1B108BB2" w14:textId="77777777" w:rsidR="00B64E5B" w:rsidRPr="00B64E5B" w:rsidRDefault="00B64E5B" w:rsidP="00AB5FA2">
      <w:pPr>
        <w:rPr>
          <w:rFonts w:ascii="Arial" w:hAnsi="Arial" w:cs="Arial"/>
        </w:rPr>
      </w:pPr>
    </w:p>
    <w:p w14:paraId="283F181D" w14:textId="585DA1AF" w:rsidR="00AB5FA2" w:rsidRPr="00B64E5B" w:rsidRDefault="00AB5FA2" w:rsidP="00AB5FA2">
      <w:pPr>
        <w:rPr>
          <w:rFonts w:ascii="Arial" w:hAnsi="Arial" w:cs="Arial"/>
        </w:rPr>
      </w:pPr>
      <w:r w:rsidRPr="00B64E5B">
        <w:rPr>
          <w:rFonts w:ascii="Arial" w:hAnsi="Arial" w:cs="Arial"/>
        </w:rPr>
        <w:t xml:space="preserve">Viennet R and Pont B (2017) Education Policy Implementation, A Literature Review and Proposed Framework. </w:t>
      </w:r>
      <w:r w:rsidRPr="00B64E5B">
        <w:rPr>
          <w:rFonts w:ascii="Arial" w:hAnsi="Arial" w:cs="Arial"/>
          <w:i/>
          <w:iCs/>
        </w:rPr>
        <w:t>OECD Education Working Papers</w:t>
      </w:r>
      <w:r w:rsidRPr="00B64E5B">
        <w:rPr>
          <w:rFonts w:ascii="Arial" w:hAnsi="Arial" w:cs="Arial"/>
        </w:rPr>
        <w:t xml:space="preserve"> NO. 162 [online]. Available from: </w:t>
      </w:r>
      <w:hyperlink r:id="rId40" w:anchor="page2" w:history="1">
        <w:r w:rsidRPr="00B64E5B">
          <w:rPr>
            <w:rFonts w:ascii="Arial" w:hAnsi="Arial" w:cs="Arial"/>
            <w:u w:val="single"/>
          </w:rPr>
          <w:t>Education policy implementation: A literature review and proposed framework | READ online (oecd-ilibrary.org)</w:t>
        </w:r>
      </w:hyperlink>
      <w:r w:rsidRPr="00B64E5B">
        <w:rPr>
          <w:rFonts w:ascii="Arial" w:hAnsi="Arial" w:cs="Arial"/>
        </w:rPr>
        <w:t xml:space="preserve"> [Accessed on 3 November 2023].</w:t>
      </w:r>
    </w:p>
    <w:p w14:paraId="7E3622FC" w14:textId="77777777" w:rsidR="00B64E5B" w:rsidRPr="00B64E5B" w:rsidRDefault="00B64E5B" w:rsidP="00AB5FA2">
      <w:pPr>
        <w:rPr>
          <w:rFonts w:ascii="Arial" w:hAnsi="Arial" w:cs="Arial"/>
          <w:shd w:val="clear" w:color="auto" w:fill="FFFFFF"/>
        </w:rPr>
      </w:pPr>
    </w:p>
    <w:p w14:paraId="178CCCA1" w14:textId="64CBEC53" w:rsidR="00AB5FA2" w:rsidRPr="00B64E5B" w:rsidRDefault="00AB5FA2" w:rsidP="00AB5FA2">
      <w:pPr>
        <w:rPr>
          <w:rFonts w:ascii="Arial" w:hAnsi="Arial" w:cs="Arial"/>
        </w:rPr>
      </w:pPr>
      <w:r w:rsidRPr="00B64E5B">
        <w:rPr>
          <w:rFonts w:ascii="Arial" w:hAnsi="Arial" w:cs="Arial"/>
          <w:shd w:val="clear" w:color="auto" w:fill="FFFFFF"/>
        </w:rPr>
        <w:t>Webb G ,  Knight B, and Busch  G(2017) Children’s transitions to school: ‘so what about the parents’? or ‘so, what about the parents’?, </w:t>
      </w:r>
      <w:r w:rsidRPr="00B64E5B">
        <w:rPr>
          <w:rFonts w:ascii="Arial" w:hAnsi="Arial" w:cs="Arial"/>
          <w:i/>
          <w:iCs/>
          <w:shd w:val="clear" w:color="auto" w:fill="FFFFFF"/>
        </w:rPr>
        <w:t>International Journal of Early Years Education</w:t>
      </w:r>
      <w:r w:rsidRPr="00B64E5B">
        <w:rPr>
          <w:rFonts w:ascii="Arial" w:hAnsi="Arial" w:cs="Arial"/>
          <w:shd w:val="clear" w:color="auto" w:fill="FFFFFF"/>
        </w:rPr>
        <w:t xml:space="preserve">, 25:2, 204-217, Available at: </w:t>
      </w:r>
      <w:hyperlink r:id="rId41" w:history="1">
        <w:r w:rsidRPr="00B64E5B">
          <w:rPr>
            <w:rFonts w:ascii="Arial" w:hAnsi="Arial" w:cs="Arial"/>
            <w:u w:val="single"/>
          </w:rPr>
          <w:t>Citation Manager | Taylor &amp; Francis Online (tandfonline.com)</w:t>
        </w:r>
      </w:hyperlink>
      <w:r w:rsidRPr="00B64E5B">
        <w:rPr>
          <w:rFonts w:ascii="Arial" w:hAnsi="Arial" w:cs="Arial"/>
        </w:rPr>
        <w:t xml:space="preserve"> [Accessed on 3 January 2024].</w:t>
      </w:r>
    </w:p>
    <w:p w14:paraId="739FDB10" w14:textId="77777777" w:rsidR="00B64E5B" w:rsidRPr="00B64E5B" w:rsidRDefault="00B64E5B" w:rsidP="00AB5FA2">
      <w:pPr>
        <w:rPr>
          <w:rFonts w:ascii="Arial" w:hAnsi="Arial" w:cs="Arial"/>
        </w:rPr>
      </w:pPr>
    </w:p>
    <w:p w14:paraId="0F9309E4" w14:textId="7DE920E5" w:rsidR="00AB5FA2" w:rsidRPr="00B64E5B" w:rsidRDefault="00AB5FA2" w:rsidP="00AB5FA2">
      <w:pPr>
        <w:rPr>
          <w:rFonts w:ascii="Arial" w:hAnsi="Arial" w:cs="Arial"/>
        </w:rPr>
      </w:pPr>
      <w:r w:rsidRPr="00B64E5B">
        <w:rPr>
          <w:rFonts w:ascii="Arial" w:hAnsi="Arial" w:cs="Arial"/>
        </w:rPr>
        <w:t xml:space="preserve">Welsh Government (2022) </w:t>
      </w:r>
      <w:r w:rsidRPr="00B64E5B">
        <w:rPr>
          <w:rFonts w:ascii="Arial" w:hAnsi="Arial" w:cs="Arial"/>
          <w:i/>
          <w:iCs/>
        </w:rPr>
        <w:t xml:space="preserve">Review of School Spending in Wales Building in evidence, fairness, transparency and clear expectations. </w:t>
      </w:r>
      <w:r w:rsidRPr="00B64E5B">
        <w:rPr>
          <w:rFonts w:ascii="Arial" w:hAnsi="Arial" w:cs="Arial"/>
        </w:rPr>
        <w:t xml:space="preserve">Available at: </w:t>
      </w:r>
      <w:hyperlink r:id="rId42" w:history="1">
        <w:r w:rsidRPr="00B64E5B">
          <w:rPr>
            <w:rFonts w:ascii="Arial" w:hAnsi="Arial" w:cs="Arial"/>
            <w:u w:val="single"/>
          </w:rPr>
          <w:t>review-of-school-spending-in-wales.pdf (gov.wales)</w:t>
        </w:r>
      </w:hyperlink>
      <w:r w:rsidRPr="00B64E5B">
        <w:rPr>
          <w:rFonts w:ascii="Arial" w:hAnsi="Arial" w:cs="Arial"/>
        </w:rPr>
        <w:t xml:space="preserve"> [Accessed on 9 January 2024].</w:t>
      </w:r>
    </w:p>
    <w:p w14:paraId="690742B3" w14:textId="77777777" w:rsidR="00B64E5B" w:rsidRPr="00B64E5B" w:rsidRDefault="00B64E5B" w:rsidP="00AB5FA2">
      <w:pPr>
        <w:keepNext/>
        <w:keepLines/>
        <w:shd w:val="clear" w:color="auto" w:fill="FFFFFF"/>
        <w:spacing w:after="0"/>
        <w:textAlignment w:val="baseline"/>
        <w:outlineLvl w:val="0"/>
        <w:rPr>
          <w:rFonts w:ascii="Arial" w:eastAsiaTheme="majorEastAsia" w:hAnsi="Arial" w:cs="Arial"/>
        </w:rPr>
      </w:pPr>
    </w:p>
    <w:p w14:paraId="16EF3BA9" w14:textId="56A3E7FA" w:rsidR="00AB5FA2" w:rsidRPr="00B64E5B" w:rsidRDefault="00AB5FA2" w:rsidP="00AB5FA2">
      <w:pPr>
        <w:keepNext/>
        <w:keepLines/>
        <w:shd w:val="clear" w:color="auto" w:fill="FFFFFF"/>
        <w:spacing w:after="0"/>
        <w:textAlignment w:val="baseline"/>
        <w:outlineLvl w:val="0"/>
        <w:rPr>
          <w:rFonts w:ascii="Arial" w:hAnsi="Arial" w:cs="Arial"/>
        </w:rPr>
      </w:pPr>
      <w:r w:rsidRPr="00B64E5B">
        <w:rPr>
          <w:rFonts w:ascii="Arial" w:eastAsiaTheme="majorEastAsia" w:hAnsi="Arial" w:cs="Arial"/>
        </w:rPr>
        <w:t>Williams J (2023) ‘</w:t>
      </w:r>
      <w:r w:rsidRPr="00B64E5B">
        <w:rPr>
          <w:rFonts w:ascii="Arial" w:eastAsia="Times New Roman" w:hAnsi="Arial" w:cs="Arial"/>
          <w:kern w:val="36"/>
          <w:lang w:eastAsia="en-GB"/>
          <w14:ligatures w14:val="none"/>
        </w:rPr>
        <w:t xml:space="preserve">Pisa: Welsh curriculum not full answer to improve school tests – minister’, </w:t>
      </w:r>
      <w:r w:rsidRPr="00B64E5B">
        <w:rPr>
          <w:rFonts w:ascii="Arial" w:eastAsia="Times New Roman" w:hAnsi="Arial" w:cs="Arial"/>
          <w:i/>
          <w:iCs/>
          <w:kern w:val="36"/>
          <w:lang w:eastAsia="en-GB"/>
          <w14:ligatures w14:val="none"/>
        </w:rPr>
        <w:t>BBC News</w:t>
      </w:r>
      <w:r w:rsidRPr="00B64E5B">
        <w:rPr>
          <w:rFonts w:ascii="Arial" w:eastAsia="Times New Roman" w:hAnsi="Arial" w:cs="Arial"/>
          <w:kern w:val="36"/>
          <w:lang w:eastAsia="en-GB"/>
          <w14:ligatures w14:val="none"/>
        </w:rPr>
        <w:t xml:space="preserve">, 6 December. Available at: </w:t>
      </w:r>
      <w:hyperlink r:id="rId43" w:history="1">
        <w:r w:rsidRPr="00B64E5B">
          <w:rPr>
            <w:rFonts w:ascii="Arial" w:hAnsi="Arial" w:cs="Arial"/>
            <w:u w:val="single"/>
          </w:rPr>
          <w:t>Pisa: Welsh curriculum not full answer to improve school tests - minister - BBC News</w:t>
        </w:r>
      </w:hyperlink>
      <w:r w:rsidRPr="00B64E5B">
        <w:rPr>
          <w:rFonts w:ascii="Arial" w:hAnsi="Arial" w:cs="Arial"/>
        </w:rPr>
        <w:t xml:space="preserve"> [Accessed on 3 January 2024].</w:t>
      </w:r>
    </w:p>
    <w:p w14:paraId="71800B49" w14:textId="77777777" w:rsidR="00B64E5B" w:rsidRPr="00B64E5B" w:rsidRDefault="00B64E5B" w:rsidP="00AB5FA2">
      <w:pPr>
        <w:rPr>
          <w:rFonts w:ascii="Arial" w:hAnsi="Arial" w:cs="Arial"/>
          <w:shd w:val="clear" w:color="auto" w:fill="FFFFFF"/>
        </w:rPr>
      </w:pPr>
    </w:p>
    <w:p w14:paraId="72D06EF9" w14:textId="5696C7E9" w:rsidR="00AB5FA2" w:rsidRPr="00B64E5B" w:rsidRDefault="00AB5FA2" w:rsidP="00AB5FA2">
      <w:pPr>
        <w:rPr>
          <w:rFonts w:ascii="Arial" w:hAnsi="Arial" w:cs="Arial"/>
        </w:rPr>
      </w:pPr>
      <w:r w:rsidRPr="00B64E5B">
        <w:rPr>
          <w:rFonts w:ascii="Arial" w:hAnsi="Arial" w:cs="Arial"/>
          <w:shd w:val="clear" w:color="auto" w:fill="FFFFFF"/>
        </w:rPr>
        <w:t>Yeary (2022) Difficult Goodbyes: Supporting Toddlers Who Are Coping with Separation Anxiety. </w:t>
      </w:r>
      <w:r w:rsidRPr="00B64E5B">
        <w:rPr>
          <w:rFonts w:ascii="Arial" w:hAnsi="Arial" w:cs="Arial"/>
          <w:i/>
          <w:iCs/>
          <w:shd w:val="clear" w:color="auto" w:fill="FFFFFF"/>
        </w:rPr>
        <w:t>YC Young Children, </w:t>
      </w:r>
      <w:r w:rsidRPr="00B64E5B">
        <w:rPr>
          <w:rFonts w:ascii="Arial" w:hAnsi="Arial" w:cs="Arial"/>
          <w:b/>
          <w:bCs/>
          <w:shd w:val="clear" w:color="auto" w:fill="FFFFFF"/>
        </w:rPr>
        <w:t>75</w:t>
      </w:r>
      <w:r w:rsidRPr="00B64E5B">
        <w:rPr>
          <w:rFonts w:ascii="Arial" w:hAnsi="Arial" w:cs="Arial"/>
          <w:shd w:val="clear" w:color="auto" w:fill="FFFFFF"/>
        </w:rPr>
        <w:t xml:space="preserve">(3), pp. 90-93. Available at: </w:t>
      </w:r>
      <w:hyperlink r:id="rId44" w:history="1">
        <w:r w:rsidRPr="00B64E5B">
          <w:rPr>
            <w:rFonts w:ascii="Arial" w:hAnsi="Arial" w:cs="Arial"/>
            <w:u w:val="single"/>
          </w:rPr>
          <w:t>Difficult Goodbyes: Supporting Toddlers Who Are Coping with Separation Anxiety - ProQuest</w:t>
        </w:r>
      </w:hyperlink>
      <w:r w:rsidRPr="00B64E5B">
        <w:rPr>
          <w:rFonts w:ascii="Arial" w:hAnsi="Arial" w:cs="Arial"/>
        </w:rPr>
        <w:t xml:space="preserve"> [Accessed on 3 January 2024].</w:t>
      </w:r>
    </w:p>
    <w:p w14:paraId="2B84F284" w14:textId="77777777" w:rsidR="00237EF7" w:rsidRPr="00B64E5B" w:rsidRDefault="00237EF7" w:rsidP="000C589F">
      <w:pPr>
        <w:pStyle w:val="NormalWeb"/>
        <w:spacing w:line="480" w:lineRule="auto"/>
        <w:jc w:val="both"/>
        <w:rPr>
          <w:rFonts w:ascii="Arial" w:hAnsi="Arial" w:cs="Arial"/>
          <w:sz w:val="22"/>
          <w:szCs w:val="22"/>
        </w:rPr>
      </w:pPr>
    </w:p>
    <w:p w14:paraId="2BA1D752" w14:textId="77777777" w:rsidR="00237EF7" w:rsidRPr="00B64E5B" w:rsidRDefault="00237EF7" w:rsidP="000C589F">
      <w:pPr>
        <w:pStyle w:val="NormalWeb"/>
        <w:spacing w:line="480" w:lineRule="auto"/>
        <w:jc w:val="both"/>
        <w:rPr>
          <w:rFonts w:ascii="Arial" w:hAnsi="Arial" w:cs="Arial"/>
          <w:sz w:val="22"/>
          <w:szCs w:val="22"/>
        </w:rPr>
      </w:pPr>
    </w:p>
    <w:p w14:paraId="383C3B19" w14:textId="77777777" w:rsidR="000C589F" w:rsidRPr="00B64E5B" w:rsidRDefault="000C589F" w:rsidP="000C589F">
      <w:pPr>
        <w:pStyle w:val="NormalWeb"/>
        <w:rPr>
          <w:rFonts w:ascii="Arial" w:hAnsi="Arial" w:cs="Arial"/>
          <w:sz w:val="22"/>
          <w:szCs w:val="22"/>
        </w:rPr>
      </w:pPr>
    </w:p>
    <w:p w14:paraId="79B410FC" w14:textId="77777777" w:rsidR="000C589F" w:rsidRPr="00B64E5B" w:rsidRDefault="000C589F" w:rsidP="000C589F">
      <w:pPr>
        <w:pStyle w:val="NormalWeb"/>
        <w:rPr>
          <w:rFonts w:ascii="Arial" w:hAnsi="Arial" w:cs="Arial"/>
          <w:sz w:val="22"/>
          <w:szCs w:val="22"/>
        </w:rPr>
      </w:pPr>
    </w:p>
    <w:p w14:paraId="0BFC8AC3" w14:textId="77777777" w:rsidR="000C589F" w:rsidRPr="00B64E5B" w:rsidRDefault="000C589F" w:rsidP="000C589F">
      <w:pPr>
        <w:pStyle w:val="NormalWeb"/>
        <w:rPr>
          <w:rFonts w:ascii="Arial" w:hAnsi="Arial" w:cs="Arial"/>
          <w:sz w:val="22"/>
          <w:szCs w:val="22"/>
        </w:rPr>
      </w:pPr>
    </w:p>
    <w:p w14:paraId="72640E03" w14:textId="77777777" w:rsidR="000C589F" w:rsidRPr="00B64E5B" w:rsidRDefault="000C589F" w:rsidP="000C589F">
      <w:pPr>
        <w:pStyle w:val="NormalWeb"/>
        <w:rPr>
          <w:rFonts w:ascii="Arial" w:hAnsi="Arial" w:cs="Arial"/>
          <w:sz w:val="22"/>
          <w:szCs w:val="22"/>
        </w:rPr>
      </w:pPr>
    </w:p>
    <w:p w14:paraId="037A8B9E" w14:textId="77777777" w:rsidR="000C589F" w:rsidRPr="00B64E5B" w:rsidRDefault="000C589F" w:rsidP="000C589F">
      <w:pPr>
        <w:pStyle w:val="NormalWeb"/>
        <w:spacing w:line="480" w:lineRule="auto"/>
        <w:jc w:val="both"/>
        <w:rPr>
          <w:rFonts w:ascii="Arial" w:hAnsi="Arial" w:cs="Arial"/>
          <w:sz w:val="22"/>
          <w:szCs w:val="22"/>
        </w:rPr>
      </w:pPr>
    </w:p>
    <w:p w14:paraId="3159FF9D" w14:textId="77777777" w:rsidR="000C589F" w:rsidRPr="00B64E5B" w:rsidRDefault="000C589F" w:rsidP="00325717">
      <w:pPr>
        <w:pStyle w:val="NormalWeb"/>
        <w:spacing w:line="480" w:lineRule="auto"/>
        <w:jc w:val="both"/>
        <w:rPr>
          <w:rFonts w:ascii="Arial" w:hAnsi="Arial" w:cs="Arial"/>
          <w:sz w:val="22"/>
          <w:szCs w:val="22"/>
        </w:rPr>
      </w:pPr>
    </w:p>
    <w:p w14:paraId="666BB566" w14:textId="26F16BD2" w:rsidR="001C437F" w:rsidRPr="00B64E5B" w:rsidRDefault="001C437F" w:rsidP="00325717">
      <w:pPr>
        <w:pStyle w:val="NormalWeb"/>
        <w:spacing w:line="480" w:lineRule="auto"/>
        <w:jc w:val="both"/>
        <w:rPr>
          <w:rFonts w:ascii="Arial" w:hAnsi="Arial" w:cs="Arial"/>
          <w:sz w:val="22"/>
          <w:szCs w:val="22"/>
        </w:rPr>
      </w:pPr>
    </w:p>
    <w:p w14:paraId="77A8F4CD" w14:textId="4D1B066F" w:rsidR="001C1C3A" w:rsidRPr="00B64E5B" w:rsidRDefault="001C1C3A" w:rsidP="00325717">
      <w:pPr>
        <w:pStyle w:val="NormalWeb"/>
        <w:spacing w:line="480" w:lineRule="auto"/>
        <w:jc w:val="both"/>
        <w:rPr>
          <w:rFonts w:ascii="Arial" w:hAnsi="Arial" w:cs="Arial"/>
          <w:sz w:val="22"/>
          <w:szCs w:val="22"/>
        </w:rPr>
      </w:pPr>
    </w:p>
    <w:p w14:paraId="4FE7DFE1" w14:textId="77777777" w:rsidR="001C1C3A" w:rsidRPr="00B64E5B" w:rsidRDefault="001C1C3A" w:rsidP="00325717">
      <w:pPr>
        <w:pStyle w:val="NormalWeb"/>
        <w:spacing w:line="480" w:lineRule="auto"/>
        <w:jc w:val="both"/>
        <w:rPr>
          <w:rFonts w:ascii="Arial" w:hAnsi="Arial" w:cs="Arial"/>
          <w:sz w:val="22"/>
          <w:szCs w:val="22"/>
        </w:rPr>
      </w:pPr>
    </w:p>
    <w:p w14:paraId="54004CEE" w14:textId="77777777" w:rsidR="00D5342C" w:rsidRPr="00B64E5B" w:rsidRDefault="00D5342C" w:rsidP="00D800FB">
      <w:pPr>
        <w:jc w:val="both"/>
        <w:rPr>
          <w:rFonts w:ascii="Arial" w:hAnsi="Arial" w:cs="Arial"/>
        </w:rPr>
      </w:pPr>
    </w:p>
    <w:sectPr w:rsidR="00D5342C" w:rsidRPr="00B64E5B" w:rsidSect="00CB3D6C">
      <w:headerReference w:type="default" r:id="rId4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B5F35" w14:textId="77777777" w:rsidR="00193C64" w:rsidRDefault="00193C64" w:rsidP="00D800FB">
      <w:pPr>
        <w:spacing w:after="0" w:line="240" w:lineRule="auto"/>
      </w:pPr>
      <w:r>
        <w:separator/>
      </w:r>
    </w:p>
  </w:endnote>
  <w:endnote w:type="continuationSeparator" w:id="0">
    <w:p w14:paraId="4E876A3C" w14:textId="77777777" w:rsidR="00193C64" w:rsidRDefault="00193C64" w:rsidP="00D80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7A9CA" w14:textId="77777777" w:rsidR="00193C64" w:rsidRDefault="00193C64" w:rsidP="00D800FB">
      <w:pPr>
        <w:spacing w:after="0" w:line="240" w:lineRule="auto"/>
      </w:pPr>
      <w:r>
        <w:separator/>
      </w:r>
    </w:p>
  </w:footnote>
  <w:footnote w:type="continuationSeparator" w:id="0">
    <w:p w14:paraId="6CA1F51B" w14:textId="77777777" w:rsidR="00193C64" w:rsidRDefault="00193C64" w:rsidP="00D800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8C07F" w14:textId="77777777" w:rsidR="00A7787D" w:rsidRDefault="00A7787D" w:rsidP="00A7787D">
    <w:pPr>
      <w:pStyle w:val="Header"/>
      <w:jc w:val="right"/>
    </w:pPr>
    <w:r>
      <w:t>2316803</w:t>
    </w:r>
  </w:p>
  <w:p w14:paraId="37644867" w14:textId="57665F88" w:rsidR="00A6723E" w:rsidRDefault="00A7787D" w:rsidP="00A7787D">
    <w:pPr>
      <w:pStyle w:val="Header"/>
      <w:jc w:val="right"/>
    </w:pPr>
    <w:r>
      <w:t xml:space="preserve">Word Count </w:t>
    </w:r>
    <w:r w:rsidR="001A2749">
      <w:t>5826</w:t>
    </w:r>
    <w:r w:rsidR="00A60A0C">
      <w:t xml:space="preserve">                                                                           </w:t>
    </w:r>
    <w:r w:rsidR="008E2558">
      <w:t xml:space="preserve">                                 </w:t>
    </w:r>
    <w:r w:rsidR="00A60A0C">
      <w:t xml:space="preserve">                </w:t>
    </w:r>
  </w:p>
  <w:p w14:paraId="78DF8BB5" w14:textId="21248F92" w:rsidR="00080CF9" w:rsidRDefault="00080C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D3E"/>
    <w:rsid w:val="000364E2"/>
    <w:rsid w:val="000626C0"/>
    <w:rsid w:val="00080CF9"/>
    <w:rsid w:val="000B18DD"/>
    <w:rsid w:val="000C342E"/>
    <w:rsid w:val="000C589F"/>
    <w:rsid w:val="000F19AD"/>
    <w:rsid w:val="000F2283"/>
    <w:rsid w:val="001474DB"/>
    <w:rsid w:val="00193C64"/>
    <w:rsid w:val="001A2749"/>
    <w:rsid w:val="001B08F4"/>
    <w:rsid w:val="001C1C3A"/>
    <w:rsid w:val="001C437F"/>
    <w:rsid w:val="001E6A4D"/>
    <w:rsid w:val="00221D3B"/>
    <w:rsid w:val="00233843"/>
    <w:rsid w:val="00237EF7"/>
    <w:rsid w:val="002879EF"/>
    <w:rsid w:val="002F1D3E"/>
    <w:rsid w:val="002F7316"/>
    <w:rsid w:val="00323874"/>
    <w:rsid w:val="00325717"/>
    <w:rsid w:val="003337BC"/>
    <w:rsid w:val="00356788"/>
    <w:rsid w:val="00383F25"/>
    <w:rsid w:val="00392FB8"/>
    <w:rsid w:val="003A0585"/>
    <w:rsid w:val="003C0429"/>
    <w:rsid w:val="003C0D14"/>
    <w:rsid w:val="003D13BF"/>
    <w:rsid w:val="004301B7"/>
    <w:rsid w:val="00431906"/>
    <w:rsid w:val="0047366C"/>
    <w:rsid w:val="00484970"/>
    <w:rsid w:val="004C2ADF"/>
    <w:rsid w:val="005225F0"/>
    <w:rsid w:val="005318DF"/>
    <w:rsid w:val="005B2C25"/>
    <w:rsid w:val="005C07AC"/>
    <w:rsid w:val="005D0D31"/>
    <w:rsid w:val="005F777C"/>
    <w:rsid w:val="006253AD"/>
    <w:rsid w:val="0063619D"/>
    <w:rsid w:val="00681674"/>
    <w:rsid w:val="00685E59"/>
    <w:rsid w:val="006D30C3"/>
    <w:rsid w:val="006E61F2"/>
    <w:rsid w:val="007065F8"/>
    <w:rsid w:val="007C3875"/>
    <w:rsid w:val="007C5E43"/>
    <w:rsid w:val="00822AB4"/>
    <w:rsid w:val="00861552"/>
    <w:rsid w:val="00872889"/>
    <w:rsid w:val="00893AD8"/>
    <w:rsid w:val="008A2C9E"/>
    <w:rsid w:val="008A7E88"/>
    <w:rsid w:val="008E2558"/>
    <w:rsid w:val="008F7A64"/>
    <w:rsid w:val="00923590"/>
    <w:rsid w:val="009258E4"/>
    <w:rsid w:val="00933AE8"/>
    <w:rsid w:val="009734B7"/>
    <w:rsid w:val="009F1161"/>
    <w:rsid w:val="00A178A8"/>
    <w:rsid w:val="00A60A0C"/>
    <w:rsid w:val="00A6723E"/>
    <w:rsid w:val="00A7787D"/>
    <w:rsid w:val="00A914F6"/>
    <w:rsid w:val="00A9628D"/>
    <w:rsid w:val="00AA4FBC"/>
    <w:rsid w:val="00AB2AF0"/>
    <w:rsid w:val="00AB5FA2"/>
    <w:rsid w:val="00AF216F"/>
    <w:rsid w:val="00B64E5B"/>
    <w:rsid w:val="00B70A9F"/>
    <w:rsid w:val="00CB3D6C"/>
    <w:rsid w:val="00D2355D"/>
    <w:rsid w:val="00D41E2E"/>
    <w:rsid w:val="00D42E49"/>
    <w:rsid w:val="00D5342C"/>
    <w:rsid w:val="00D54D0D"/>
    <w:rsid w:val="00D57089"/>
    <w:rsid w:val="00D631E2"/>
    <w:rsid w:val="00D800FB"/>
    <w:rsid w:val="00D937D5"/>
    <w:rsid w:val="00E47AA7"/>
    <w:rsid w:val="00E50B9C"/>
    <w:rsid w:val="00E74950"/>
    <w:rsid w:val="00EF068C"/>
    <w:rsid w:val="00EF7DA8"/>
    <w:rsid w:val="00F227D7"/>
    <w:rsid w:val="00F65838"/>
    <w:rsid w:val="00F869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3516A"/>
  <w15:chartTrackingRefBased/>
  <w15:docId w15:val="{97F50A4F-D611-487D-96E3-502172F4F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F1D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D80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0FB"/>
  </w:style>
  <w:style w:type="paragraph" w:styleId="Footer">
    <w:name w:val="footer"/>
    <w:basedOn w:val="Normal"/>
    <w:link w:val="FooterChar"/>
    <w:uiPriority w:val="99"/>
    <w:unhideWhenUsed/>
    <w:rsid w:val="00D80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0FB"/>
  </w:style>
  <w:style w:type="character" w:customStyle="1" w:styleId="css-x5hiaf">
    <w:name w:val="css-x5hiaf"/>
    <w:basedOn w:val="DefaultParagraphFont"/>
    <w:rsid w:val="000C5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906795">
      <w:bodyDiv w:val="1"/>
      <w:marLeft w:val="0"/>
      <w:marRight w:val="0"/>
      <w:marTop w:val="0"/>
      <w:marBottom w:val="0"/>
      <w:divBdr>
        <w:top w:val="none" w:sz="0" w:space="0" w:color="auto"/>
        <w:left w:val="none" w:sz="0" w:space="0" w:color="auto"/>
        <w:bottom w:val="none" w:sz="0" w:space="0" w:color="auto"/>
        <w:right w:val="none" w:sz="0" w:space="0" w:color="auto"/>
      </w:divBdr>
    </w:div>
    <w:div w:id="375544530">
      <w:bodyDiv w:val="1"/>
      <w:marLeft w:val="0"/>
      <w:marRight w:val="0"/>
      <w:marTop w:val="0"/>
      <w:marBottom w:val="0"/>
      <w:divBdr>
        <w:top w:val="none" w:sz="0" w:space="0" w:color="auto"/>
        <w:left w:val="none" w:sz="0" w:space="0" w:color="auto"/>
        <w:bottom w:val="none" w:sz="0" w:space="0" w:color="auto"/>
        <w:right w:val="none" w:sz="0" w:space="0" w:color="auto"/>
      </w:divBdr>
    </w:div>
    <w:div w:id="1032993575">
      <w:bodyDiv w:val="1"/>
      <w:marLeft w:val="0"/>
      <w:marRight w:val="0"/>
      <w:marTop w:val="0"/>
      <w:marBottom w:val="0"/>
      <w:divBdr>
        <w:top w:val="none" w:sz="0" w:space="0" w:color="auto"/>
        <w:left w:val="none" w:sz="0" w:space="0" w:color="auto"/>
        <w:bottom w:val="none" w:sz="0" w:space="0" w:color="auto"/>
        <w:right w:val="none" w:sz="0" w:space="0" w:color="auto"/>
      </w:divBdr>
    </w:div>
    <w:div w:id="1422141430">
      <w:bodyDiv w:val="1"/>
      <w:marLeft w:val="0"/>
      <w:marRight w:val="0"/>
      <w:marTop w:val="0"/>
      <w:marBottom w:val="0"/>
      <w:divBdr>
        <w:top w:val="none" w:sz="0" w:space="0" w:color="auto"/>
        <w:left w:val="none" w:sz="0" w:space="0" w:color="auto"/>
        <w:bottom w:val="none" w:sz="0" w:space="0" w:color="auto"/>
        <w:right w:val="none" w:sz="0" w:space="0" w:color="auto"/>
      </w:divBdr>
    </w:div>
    <w:div w:id="1450928101">
      <w:bodyDiv w:val="1"/>
      <w:marLeft w:val="0"/>
      <w:marRight w:val="0"/>
      <w:marTop w:val="0"/>
      <w:marBottom w:val="0"/>
      <w:divBdr>
        <w:top w:val="none" w:sz="0" w:space="0" w:color="auto"/>
        <w:left w:val="none" w:sz="0" w:space="0" w:color="auto"/>
        <w:bottom w:val="none" w:sz="0" w:space="0" w:color="auto"/>
        <w:right w:val="none" w:sz="0" w:space="0" w:color="auto"/>
      </w:divBdr>
    </w:div>
    <w:div w:id="1478886610">
      <w:bodyDiv w:val="1"/>
      <w:marLeft w:val="0"/>
      <w:marRight w:val="0"/>
      <w:marTop w:val="0"/>
      <w:marBottom w:val="0"/>
      <w:divBdr>
        <w:top w:val="none" w:sz="0" w:space="0" w:color="auto"/>
        <w:left w:val="none" w:sz="0" w:space="0" w:color="auto"/>
        <w:bottom w:val="none" w:sz="0" w:space="0" w:color="auto"/>
        <w:right w:val="none" w:sz="0" w:space="0" w:color="auto"/>
      </w:divBdr>
    </w:div>
    <w:div w:id="1689258462">
      <w:bodyDiv w:val="1"/>
      <w:marLeft w:val="0"/>
      <w:marRight w:val="0"/>
      <w:marTop w:val="0"/>
      <w:marBottom w:val="0"/>
      <w:divBdr>
        <w:top w:val="none" w:sz="0" w:space="0" w:color="auto"/>
        <w:left w:val="none" w:sz="0" w:space="0" w:color="auto"/>
        <w:bottom w:val="none" w:sz="0" w:space="0" w:color="auto"/>
        <w:right w:val="none" w:sz="0" w:space="0" w:color="auto"/>
      </w:divBdr>
    </w:div>
    <w:div w:id="1752237037">
      <w:bodyDiv w:val="1"/>
      <w:marLeft w:val="0"/>
      <w:marRight w:val="0"/>
      <w:marTop w:val="0"/>
      <w:marBottom w:val="0"/>
      <w:divBdr>
        <w:top w:val="none" w:sz="0" w:space="0" w:color="auto"/>
        <w:left w:val="none" w:sz="0" w:space="0" w:color="auto"/>
        <w:bottom w:val="none" w:sz="0" w:space="0" w:color="auto"/>
        <w:right w:val="none" w:sz="0" w:space="0" w:color="auto"/>
      </w:divBdr>
    </w:div>
    <w:div w:id="1867061753">
      <w:bodyDiv w:val="1"/>
      <w:marLeft w:val="0"/>
      <w:marRight w:val="0"/>
      <w:marTop w:val="0"/>
      <w:marBottom w:val="0"/>
      <w:divBdr>
        <w:top w:val="none" w:sz="0" w:space="0" w:color="auto"/>
        <w:left w:val="none" w:sz="0" w:space="0" w:color="auto"/>
        <w:bottom w:val="none" w:sz="0" w:space="0" w:color="auto"/>
        <w:right w:val="none" w:sz="0" w:space="0" w:color="auto"/>
      </w:divBdr>
    </w:div>
    <w:div w:id="1954746711">
      <w:bodyDiv w:val="1"/>
      <w:marLeft w:val="0"/>
      <w:marRight w:val="0"/>
      <w:marTop w:val="0"/>
      <w:marBottom w:val="0"/>
      <w:divBdr>
        <w:top w:val="none" w:sz="0" w:space="0" w:color="auto"/>
        <w:left w:val="none" w:sz="0" w:space="0" w:color="auto"/>
        <w:bottom w:val="none" w:sz="0" w:space="0" w:color="auto"/>
        <w:right w:val="none" w:sz="0" w:space="0" w:color="auto"/>
      </w:divBdr>
    </w:div>
    <w:div w:id="212484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bronfenbrenner-ecological-model-7643403" TargetMode="External"/><Relationship Id="rId18" Type="http://schemas.openxmlformats.org/officeDocument/2006/relationships/hyperlink" Target="https://link.springer.com/referenceworkentry/10.1007/978-3-319-67286-1_60" TargetMode="External"/><Relationship Id="rId26" Type="http://schemas.openxmlformats.org/officeDocument/2006/relationships/hyperlink" Target="https://www.sciencedirect.com/science/article/abs/pii/S2210656112000049" TargetMode="External"/><Relationship Id="rId39" Type="http://schemas.openxmlformats.org/officeDocument/2006/relationships/hyperlink" Target="https://www.tandfonline.com/action/showCitFormats?doi=10.1080%2F1350293X.2015.1035539" TargetMode="External"/><Relationship Id="rId21" Type="http://schemas.openxmlformats.org/officeDocument/2006/relationships/hyperlink" Target="https://www-tandfonline-com.ezproxy.uwtsd.ac.uk/doi/full/10.1080/09575146.2021.1922362" TargetMode="External"/><Relationship Id="rId34" Type="http://schemas.openxmlformats.org/officeDocument/2006/relationships/hyperlink" Target="file:///C:\Users\hanjo\Downloads\Sibakova2023_PhD.pdf" TargetMode="External"/><Relationship Id="rId42" Type="http://schemas.openxmlformats.org/officeDocument/2006/relationships/hyperlink" Target="https://www.gov.wales/sites/default/files/publications/2020-10/review-of-school-spending-in-wales.pdf" TargetMode="External"/><Relationship Id="rId47" Type="http://schemas.openxmlformats.org/officeDocument/2006/relationships/theme" Target="theme/theme1.xml"/><Relationship Id="rId7" Type="http://schemas.openxmlformats.org/officeDocument/2006/relationships/hyperlink" Target="https://hwb.gov.wales/api/storage/b1801d78-38c3-4320-9818-d9996c21aef8/220914-a-curriculum-for-funded-non-maintained-nursery-settings.pdf" TargetMode="External"/><Relationship Id="rId2" Type="http://schemas.openxmlformats.org/officeDocument/2006/relationships/settings" Target="settings.xml"/><Relationship Id="rId16" Type="http://schemas.openxmlformats.org/officeDocument/2006/relationships/hyperlink" Target="file:///C:\Users\hanjo\Downloads\Davies%202016.pdf" TargetMode="External"/><Relationship Id="rId29" Type="http://schemas.openxmlformats.org/officeDocument/2006/relationships/hyperlink" Target="https://www-jstor-org.ezproxy.uwtsd.ac.uk/stable/1170409?seq=1" TargetMode="External"/><Relationship Id="rId1" Type="http://schemas.openxmlformats.org/officeDocument/2006/relationships/styles" Target="styles.xml"/><Relationship Id="rId6" Type="http://schemas.openxmlformats.org/officeDocument/2006/relationships/hyperlink" Target="https://hwb.gov.wales/api/storage/b1801d78-38c3-4320-9818-d9996c21aef8/220914-a-curriculum-for-funded-non-maintained-nursery-settings.pdf" TargetMode="External"/><Relationship Id="rId11" Type="http://schemas.openxmlformats.org/officeDocument/2006/relationships/hyperlink" Target="https://www.sciencedirect.com/science/article/pii/S1747938X1830229X" TargetMode="External"/><Relationship Id="rId24" Type="http://schemas.openxmlformats.org/officeDocument/2006/relationships/hyperlink" Target="file:///C:\Users\hanjo\Downloads\Wicked%20problems%20%20a%20mapping%20review%20of%20the%20literature%20(1).pdf" TargetMode="External"/><Relationship Id="rId32" Type="http://schemas.openxmlformats.org/officeDocument/2006/relationships/hyperlink" Target="https://doi.org/10.1038/nrn3918" TargetMode="External"/><Relationship Id="rId37" Type="http://schemas.openxmlformats.org/officeDocument/2006/relationships/hyperlink" Target="https://moodle.uwtsd.ac.uk/pluginfile.php/721268/mod_resource/content/1/research_impact_on_policy_briefing_document_june21.pdf" TargetMode="External"/><Relationship Id="rId40" Type="http://schemas.openxmlformats.org/officeDocument/2006/relationships/hyperlink" Target="https://read.oecd-ilibrary.org/education/education-policy-implementation_fc467a64-en" TargetMode="External"/><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bbc.co.uk/news/uk-wales-60875242" TargetMode="External"/><Relationship Id="rId23" Type="http://schemas.openxmlformats.org/officeDocument/2006/relationships/hyperlink" Target="https://www.bbc.co.uk/news/uk-wales-67616536" TargetMode="External"/><Relationship Id="rId28" Type="http://schemas.openxmlformats.org/officeDocument/2006/relationships/hyperlink" Target="https://www.gov.wales/sites/default/files/publications/2023-11/national-minimum-standards-for-regulated-childcare_0.pdf" TargetMode="External"/><Relationship Id="rId36" Type="http://schemas.openxmlformats.org/officeDocument/2006/relationships/hyperlink" Target="https://www.legislation.gov.uk/wsi/2010/2574/regulation/23" TargetMode="External"/><Relationship Id="rId10" Type="http://schemas.openxmlformats.org/officeDocument/2006/relationships/hyperlink" Target="https://www.researchgate.net/profile/Elena-Bodrova/publication/274898487_Learning_and_development_of_preschool_children_The_Vygotskian_perspective/links/552c49150cf21acb0920c6a3/Learning-and-development-of-preschool-children-The-Vygotskian-perspective.pdf" TargetMode="External"/><Relationship Id="rId19" Type="http://schemas.openxmlformats.org/officeDocument/2006/relationships/hyperlink" Target="https://www.gov.wales/sites/default/files/pdf-versions/2023/6/4/1686230038/flying-start-childcare-guidance.pdf" TargetMode="External"/><Relationship Id="rId31" Type="http://schemas.openxmlformats.org/officeDocument/2006/relationships/hyperlink" Target="file:///C:\Users\hanjo\Downloads\EEF_Improving_behaviour_in_schools_Report.pdf" TargetMode="External"/><Relationship Id="rId44" Type="http://schemas.openxmlformats.org/officeDocument/2006/relationships/hyperlink" Target="https://www.proquest.com/docview/2417377830?accountid=130472&amp;parentSessionId=c9k6yV64fjNmKvFofR9YRgUcCkX9aNkl23QOUIAaIO8%3D&amp;pq-origsite=primo&amp;sourcetype=Scholarly%20Journals" TargetMode="External"/><Relationship Id="rId4" Type="http://schemas.openxmlformats.org/officeDocument/2006/relationships/footnotes" Target="footnotes.xml"/><Relationship Id="rId9" Type="http://schemas.openxmlformats.org/officeDocument/2006/relationships/hyperlink" Target="https://www.cambridge.org/core/journals/journal-of-psychologists-and-counsellors-in-schools/article/development-and-validation-of-the-preschool-peer-bullying-scaleteacher-form/4D882A93BE032EDF6FA4EEA9718CB744" TargetMode="External"/><Relationship Id="rId14" Type="http://schemas.openxmlformats.org/officeDocument/2006/relationships/hyperlink" Target="https://files.eric.ed.gov/fulltext/ED606462.pdf" TargetMode="External"/><Relationship Id="rId22" Type="http://schemas.openxmlformats.org/officeDocument/2006/relationships/hyperlink" Target="https://mood.stanford.edu/wp-content/uploads/2020/10/Humphreys_et_al-2018-Developmental_Science.pdf" TargetMode="External"/><Relationship Id="rId27" Type="http://schemas.openxmlformats.org/officeDocument/2006/relationships/hyperlink" Target="https://www.gov.wales/sites/default/files/publications/2023-11/national-minimum-standards-for-regulated-childcare_0.pdf" TargetMode="External"/><Relationship Id="rId30" Type="http://schemas.openxmlformats.org/officeDocument/2006/relationships/hyperlink" Target="file:///C:\Users\hanjo\Downloads\9789463004886-37025.pdf" TargetMode="External"/><Relationship Id="rId35" Type="http://schemas.openxmlformats.org/officeDocument/2006/relationships/hyperlink" Target="https://assets.publishing.service.gov.uk/government/uploads/system/uploads/attachment_data/file/455670/RB455_Effective_pre-school_primary_and_secondary_education_project.pdf.pdf" TargetMode="External"/><Relationship Id="rId43" Type="http://schemas.openxmlformats.org/officeDocument/2006/relationships/hyperlink" Target="https://www.bbc.co.uk/news/uk-wales-politics-67636205" TargetMode="External"/><Relationship Id="rId8" Type="http://schemas.openxmlformats.org/officeDocument/2006/relationships/hyperlink" Target="https://doi.org/10.1177/2158244015590840" TargetMode="External"/><Relationship Id="rId3" Type="http://schemas.openxmlformats.org/officeDocument/2006/relationships/webSettings" Target="webSettings.xml"/><Relationship Id="rId12" Type="http://schemas.openxmlformats.org/officeDocument/2006/relationships/hyperlink" Target="https://link.springer.com/article/10.1007/s10802-015-0060-5" TargetMode="External"/><Relationship Id="rId17" Type="http://schemas.openxmlformats.org/officeDocument/2006/relationships/hyperlink" Target="https://birthto5matters.org.uk/wp-content/uploads/2021/04/Birthto5Matters-download.pdf" TargetMode="External"/><Relationship Id="rId25" Type="http://schemas.openxmlformats.org/officeDocument/2006/relationships/hyperlink" Target="https://www.simplypsychology.org/bandura.html" TargetMode="External"/><Relationship Id="rId33" Type="http://schemas.openxmlformats.org/officeDocument/2006/relationships/hyperlink" Target="https://www-jstor-org.ezproxy.uwtsd.ac.uk/stable/44219025?seq=2" TargetMode="External"/><Relationship Id="rId38" Type="http://schemas.openxmlformats.org/officeDocument/2006/relationships/hyperlink" Target="https://www.unicef.org.uk/wp-content/uploads/2019/10/UNCRC_summary-1_1.pdf" TargetMode="External"/><Relationship Id="rId46" Type="http://schemas.openxmlformats.org/officeDocument/2006/relationships/fontTable" Target="fontTable.xml"/><Relationship Id="rId20" Type="http://schemas.openxmlformats.org/officeDocument/2006/relationships/hyperlink" Target="https://www.gov.wales/sites/default/files/pdf-versions/2023/6/4/1686230038/flying-start-childcare-guidance.pdf" TargetMode="External"/><Relationship Id="rId41" Type="http://schemas.openxmlformats.org/officeDocument/2006/relationships/hyperlink" Target="https://www.tandfonline.com/action/showCitFormats?doi=10.1080%2F09669760.2017.13018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8937</Words>
  <Characters>50944</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dc:creator>
  <cp:keywords/>
  <dc:description/>
  <cp:lastModifiedBy>Natalie MacDonald</cp:lastModifiedBy>
  <cp:revision>4</cp:revision>
  <dcterms:created xsi:type="dcterms:W3CDTF">2024-01-15T09:26:00Z</dcterms:created>
  <dcterms:modified xsi:type="dcterms:W3CDTF">2024-01-15T09:43:00Z</dcterms:modified>
</cp:coreProperties>
</file>