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982B1" w14:textId="77777777" w:rsidR="00157CFA" w:rsidRPr="00D16148" w:rsidRDefault="00157CFA" w:rsidP="0066199D">
      <w:pPr>
        <w:pStyle w:val="Title"/>
        <w:jc w:val="center"/>
        <w:rPr>
          <w:rFonts w:ascii="Arial" w:hAnsi="Arial" w:cs="Arial"/>
          <w:sz w:val="28"/>
          <w:szCs w:val="28"/>
          <w:lang w:val="en-GB"/>
        </w:rPr>
      </w:pPr>
      <w:r w:rsidRPr="00D16148">
        <w:rPr>
          <w:rFonts w:ascii="Arial" w:hAnsi="Arial" w:cs="Arial"/>
          <w:noProof/>
          <w:sz w:val="28"/>
          <w:szCs w:val="28"/>
          <w:lang w:val="en-GB" w:bidi="hi-IN"/>
        </w:rPr>
        <w:drawing>
          <wp:inline distT="114300" distB="114300" distL="114300" distR="114300" wp14:anchorId="4969079F" wp14:editId="5D564783">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57677593" w14:textId="77777777" w:rsidR="00157CFA" w:rsidRPr="00D16148" w:rsidRDefault="00157CFA" w:rsidP="0066199D">
      <w:pPr>
        <w:pStyle w:val="Title"/>
        <w:jc w:val="center"/>
        <w:rPr>
          <w:rFonts w:ascii="Arial" w:hAnsi="Arial" w:cs="Arial"/>
          <w:sz w:val="28"/>
          <w:szCs w:val="28"/>
          <w:lang w:val="en-GB"/>
        </w:rPr>
      </w:pPr>
    </w:p>
    <w:p w14:paraId="371667DD" w14:textId="77777777" w:rsidR="00157CFA" w:rsidRPr="00D16148" w:rsidRDefault="00157CFA" w:rsidP="0066199D">
      <w:pPr>
        <w:pStyle w:val="Title"/>
        <w:jc w:val="center"/>
        <w:rPr>
          <w:rFonts w:ascii="Arial" w:hAnsi="Arial" w:cs="Arial"/>
          <w:sz w:val="28"/>
          <w:szCs w:val="28"/>
          <w:lang w:val="en-GB"/>
        </w:rPr>
      </w:pPr>
      <w:r w:rsidRPr="00D16148">
        <w:rPr>
          <w:rFonts w:ascii="Arial" w:hAnsi="Arial" w:cs="Arial"/>
          <w:sz w:val="28"/>
          <w:szCs w:val="28"/>
          <w:lang w:val="en-GB"/>
        </w:rPr>
        <w:t>Programme: MSc Public Health and Social Care in Practice</w:t>
      </w:r>
    </w:p>
    <w:p w14:paraId="719B4C7E" w14:textId="77777777" w:rsidR="00157CFA" w:rsidRPr="00D16148" w:rsidRDefault="00157CFA" w:rsidP="0066199D">
      <w:pPr>
        <w:pStyle w:val="Title"/>
        <w:jc w:val="center"/>
        <w:rPr>
          <w:rFonts w:ascii="Arial" w:hAnsi="Arial" w:cs="Arial"/>
          <w:sz w:val="28"/>
          <w:szCs w:val="28"/>
          <w:lang w:val="en-GB"/>
        </w:rPr>
      </w:pPr>
      <w:r w:rsidRPr="00D16148">
        <w:rPr>
          <w:rFonts w:ascii="Arial" w:hAnsi="Arial" w:cs="Arial"/>
          <w:sz w:val="28"/>
          <w:szCs w:val="28"/>
          <w:lang w:val="en-GB"/>
        </w:rPr>
        <w:t>Module code and Title: LCHS7003 Community care and Management of longer-term Conditions</w:t>
      </w:r>
    </w:p>
    <w:p w14:paraId="6DD27B5A" w14:textId="5887DFE6" w:rsidR="00157CFA" w:rsidRPr="00D16148" w:rsidRDefault="00157CFA" w:rsidP="0066199D">
      <w:pPr>
        <w:pStyle w:val="Title"/>
        <w:jc w:val="center"/>
        <w:rPr>
          <w:rFonts w:ascii="Arial" w:hAnsi="Arial" w:cs="Arial"/>
          <w:sz w:val="28"/>
          <w:szCs w:val="28"/>
          <w:lang w:val="en-GB"/>
        </w:rPr>
      </w:pPr>
      <w:r w:rsidRPr="00D16148">
        <w:rPr>
          <w:rFonts w:ascii="Arial" w:hAnsi="Arial" w:cs="Arial"/>
          <w:sz w:val="28"/>
          <w:szCs w:val="28"/>
          <w:lang w:val="en-GB"/>
        </w:rPr>
        <w:t xml:space="preserve">Student Name: </w:t>
      </w:r>
      <w:r w:rsidR="000007AB" w:rsidRPr="000007AB">
        <w:rPr>
          <w:rFonts w:ascii="Arial" w:hAnsi="Arial" w:cs="Arial"/>
          <w:sz w:val="28"/>
          <w:szCs w:val="28"/>
          <w:lang w:val="en-GB"/>
        </w:rPr>
        <w:t xml:space="preserve">Aditi </w:t>
      </w:r>
      <w:r w:rsidR="000007AB">
        <w:rPr>
          <w:rFonts w:ascii="Arial" w:hAnsi="Arial" w:cs="Arial"/>
          <w:sz w:val="28"/>
          <w:szCs w:val="28"/>
          <w:lang w:val="en-GB"/>
        </w:rPr>
        <w:t>N</w:t>
      </w:r>
      <w:r w:rsidR="000007AB" w:rsidRPr="000007AB">
        <w:rPr>
          <w:rFonts w:ascii="Arial" w:hAnsi="Arial" w:cs="Arial"/>
          <w:sz w:val="28"/>
          <w:szCs w:val="28"/>
          <w:lang w:val="en-GB"/>
        </w:rPr>
        <w:t xml:space="preserve">areshbhai </w:t>
      </w:r>
      <w:r w:rsidR="00BB6459">
        <w:rPr>
          <w:rFonts w:ascii="Arial" w:hAnsi="Arial" w:cs="Arial"/>
          <w:sz w:val="28"/>
          <w:szCs w:val="28"/>
          <w:lang w:val="en-GB"/>
        </w:rPr>
        <w:t>P</w:t>
      </w:r>
      <w:r w:rsidR="000007AB" w:rsidRPr="000007AB">
        <w:rPr>
          <w:rFonts w:ascii="Arial" w:hAnsi="Arial" w:cs="Arial"/>
          <w:sz w:val="28"/>
          <w:szCs w:val="28"/>
          <w:lang w:val="en-GB"/>
        </w:rPr>
        <w:t>atel</w:t>
      </w:r>
    </w:p>
    <w:p w14:paraId="3ED31605" w14:textId="685AE0CB" w:rsidR="00157CFA" w:rsidRPr="00D16148" w:rsidRDefault="00157CFA" w:rsidP="0066199D">
      <w:pPr>
        <w:pStyle w:val="Title"/>
        <w:jc w:val="center"/>
        <w:rPr>
          <w:rFonts w:ascii="Arial" w:hAnsi="Arial" w:cs="Arial"/>
          <w:sz w:val="28"/>
          <w:szCs w:val="28"/>
          <w:lang w:val="en-GB"/>
        </w:rPr>
      </w:pPr>
      <w:r w:rsidRPr="00D16148">
        <w:rPr>
          <w:rFonts w:ascii="Arial" w:hAnsi="Arial" w:cs="Arial"/>
          <w:sz w:val="28"/>
          <w:szCs w:val="28"/>
          <w:lang w:val="en-GB"/>
        </w:rPr>
        <w:t>Student ID:</w:t>
      </w:r>
      <w:r w:rsidR="000007AB" w:rsidRPr="000007AB">
        <w:t xml:space="preserve"> </w:t>
      </w:r>
      <w:r w:rsidR="000007AB" w:rsidRPr="000007AB">
        <w:rPr>
          <w:rFonts w:ascii="Arial" w:hAnsi="Arial" w:cs="Arial"/>
          <w:sz w:val="28"/>
          <w:szCs w:val="28"/>
          <w:lang w:val="en-GB"/>
        </w:rPr>
        <w:t>2525516</w:t>
      </w:r>
    </w:p>
    <w:p w14:paraId="096C7957" w14:textId="6937D7CC" w:rsidR="00157CFA" w:rsidRPr="00D16148" w:rsidRDefault="00157CFA" w:rsidP="0066199D">
      <w:pPr>
        <w:pStyle w:val="Title"/>
        <w:jc w:val="center"/>
        <w:rPr>
          <w:rFonts w:ascii="Arial" w:hAnsi="Arial" w:cs="Arial"/>
          <w:sz w:val="28"/>
          <w:szCs w:val="28"/>
          <w:lang w:val="en-GB"/>
        </w:rPr>
      </w:pPr>
      <w:r w:rsidRPr="00D16148">
        <w:rPr>
          <w:rFonts w:ascii="Arial" w:hAnsi="Arial" w:cs="Arial"/>
          <w:sz w:val="28"/>
          <w:szCs w:val="28"/>
          <w:lang w:val="en-GB"/>
        </w:rPr>
        <w:t xml:space="preserve">Component 1: Information Booklet of Long-term Condition Management </w:t>
      </w:r>
      <w:r w:rsidRPr="00D16148">
        <w:rPr>
          <w:rFonts w:ascii="Arial" w:hAnsi="Arial" w:cs="Arial"/>
          <w:sz w:val="28"/>
          <w:szCs w:val="28"/>
          <w:lang w:val="en-GB"/>
        </w:rPr>
        <w:t>(Hypertension)</w:t>
      </w:r>
    </w:p>
    <w:p w14:paraId="0756EA43" w14:textId="08F306D2" w:rsidR="00157CFA" w:rsidRPr="00D16148" w:rsidRDefault="00157CFA" w:rsidP="0066199D">
      <w:pPr>
        <w:pStyle w:val="Title"/>
        <w:jc w:val="center"/>
        <w:rPr>
          <w:rFonts w:ascii="Arial" w:hAnsi="Arial" w:cs="Arial"/>
          <w:sz w:val="28"/>
          <w:szCs w:val="28"/>
          <w:lang w:val="en-GB"/>
        </w:rPr>
      </w:pPr>
      <w:r w:rsidRPr="00D16148">
        <w:rPr>
          <w:rFonts w:ascii="Arial" w:hAnsi="Arial" w:cs="Arial"/>
          <w:sz w:val="28"/>
          <w:szCs w:val="28"/>
          <w:lang w:val="en-GB"/>
        </w:rPr>
        <w:t>Lecturer Name:</w:t>
      </w:r>
      <w:r w:rsidR="00F817EC">
        <w:rPr>
          <w:rFonts w:ascii="Arial" w:hAnsi="Arial" w:cs="Arial"/>
          <w:sz w:val="28"/>
          <w:szCs w:val="28"/>
          <w:lang w:val="en-GB"/>
        </w:rPr>
        <w:t xml:space="preserve"> </w:t>
      </w:r>
      <w:r w:rsidR="00F817EC" w:rsidRPr="00F817EC">
        <w:rPr>
          <w:rFonts w:ascii="Arial" w:hAnsi="Arial" w:cs="Arial"/>
          <w:sz w:val="28"/>
          <w:szCs w:val="28"/>
          <w:lang w:val="en-GB"/>
        </w:rPr>
        <w:t>Dr Aishat Bakre</w:t>
      </w:r>
    </w:p>
    <w:p w14:paraId="2C65B5C7" w14:textId="30CE9BA1" w:rsidR="00157CFA" w:rsidRPr="00D16148" w:rsidRDefault="00157CFA" w:rsidP="0066199D">
      <w:pPr>
        <w:pStyle w:val="Title"/>
        <w:jc w:val="center"/>
        <w:rPr>
          <w:rFonts w:ascii="Arial" w:hAnsi="Arial" w:cs="Arial"/>
          <w:sz w:val="28"/>
          <w:szCs w:val="28"/>
          <w:lang w:val="en-GB"/>
        </w:rPr>
      </w:pPr>
      <w:r w:rsidRPr="00D16148">
        <w:rPr>
          <w:rFonts w:ascii="Arial" w:hAnsi="Arial" w:cs="Arial"/>
          <w:sz w:val="28"/>
          <w:szCs w:val="28"/>
          <w:lang w:val="en-GB"/>
        </w:rPr>
        <w:t xml:space="preserve">Words: </w:t>
      </w:r>
      <w:r w:rsidR="00F061A7">
        <w:rPr>
          <w:rFonts w:ascii="Arial" w:hAnsi="Arial" w:cs="Arial"/>
          <w:sz w:val="28"/>
          <w:szCs w:val="28"/>
          <w:lang w:val="en-GB"/>
        </w:rPr>
        <w:t>3097</w:t>
      </w:r>
    </w:p>
    <w:p w14:paraId="54FB57ED" w14:textId="271210AC" w:rsidR="00157CFA" w:rsidRPr="00D16148" w:rsidRDefault="00157CFA" w:rsidP="0066199D">
      <w:pPr>
        <w:pStyle w:val="Title"/>
        <w:jc w:val="center"/>
        <w:rPr>
          <w:rFonts w:ascii="Arial" w:hAnsi="Arial" w:cs="Arial"/>
          <w:sz w:val="28"/>
          <w:szCs w:val="28"/>
          <w:lang w:val="en-GB"/>
        </w:rPr>
      </w:pPr>
      <w:r w:rsidRPr="00D16148">
        <w:rPr>
          <w:rFonts w:ascii="Arial" w:hAnsi="Arial" w:cs="Arial"/>
          <w:sz w:val="28"/>
          <w:szCs w:val="28"/>
          <w:lang w:val="en-GB"/>
        </w:rPr>
        <w:t xml:space="preserve">Submission Date: </w:t>
      </w:r>
      <w:r w:rsidR="0083371E" w:rsidRPr="00D16148">
        <w:rPr>
          <w:rFonts w:ascii="Arial" w:hAnsi="Arial" w:cs="Arial"/>
          <w:sz w:val="28"/>
          <w:szCs w:val="28"/>
          <w:lang w:val="en-GB"/>
        </w:rPr>
        <w:t xml:space="preserve">23 Oct </w:t>
      </w:r>
      <w:r w:rsidRPr="00D16148">
        <w:rPr>
          <w:rFonts w:ascii="Arial" w:hAnsi="Arial" w:cs="Arial"/>
          <w:sz w:val="28"/>
          <w:szCs w:val="28"/>
          <w:lang w:val="en-GB"/>
        </w:rPr>
        <w:t>2026</w:t>
      </w:r>
    </w:p>
    <w:p w14:paraId="5062C862" w14:textId="5D9418D5" w:rsidR="00DD041D" w:rsidRPr="00D16148" w:rsidRDefault="00DD041D" w:rsidP="00157CFA">
      <w:pPr>
        <w:spacing w:line="360" w:lineRule="auto"/>
        <w:jc w:val="center"/>
        <w:rPr>
          <w:rFonts w:cs="Times New Roman"/>
          <w:szCs w:val="24"/>
          <w:lang w:val="en-GB"/>
        </w:rPr>
      </w:pPr>
      <w:r w:rsidRPr="00D16148">
        <w:rPr>
          <w:rFonts w:cs="Times New Roman"/>
          <w:noProof/>
          <w:szCs w:val="24"/>
          <w:lang w:val="en-GB"/>
        </w:rPr>
        <w:drawing>
          <wp:inline distT="0" distB="0" distL="0" distR="0" wp14:anchorId="0B72E36F" wp14:editId="43F12E6B">
            <wp:extent cx="2123226" cy="1619250"/>
            <wp:effectExtent l="0" t="0" r="0" b="0"/>
            <wp:docPr id="10858185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0056" cy="1632085"/>
                    </a:xfrm>
                    <a:prstGeom prst="rect">
                      <a:avLst/>
                    </a:prstGeom>
                    <a:noFill/>
                    <a:ln>
                      <a:noFill/>
                    </a:ln>
                  </pic:spPr>
                </pic:pic>
              </a:graphicData>
            </a:graphic>
          </wp:inline>
        </w:drawing>
      </w:r>
    </w:p>
    <w:p w14:paraId="78AC0259" w14:textId="77777777" w:rsidR="009801E7" w:rsidRPr="00D16148" w:rsidRDefault="00000000" w:rsidP="004A12BB">
      <w:pPr>
        <w:spacing w:line="360" w:lineRule="auto"/>
        <w:rPr>
          <w:rFonts w:cs="Times New Roman"/>
          <w:szCs w:val="24"/>
          <w:lang w:val="en-GB"/>
        </w:rPr>
      </w:pPr>
      <w:r w:rsidRPr="00D16148">
        <w:rPr>
          <w:rFonts w:cs="Times New Roman"/>
          <w:szCs w:val="24"/>
          <w:lang w:val="en-GB"/>
        </w:rPr>
        <w:br w:type="page"/>
      </w:r>
    </w:p>
    <w:sdt>
      <w:sdtPr>
        <w:rPr>
          <w:rFonts w:ascii="Times New Roman" w:eastAsia="Times New Roman" w:hAnsi="Times New Roman" w:cstheme="minorBidi"/>
          <w:b w:val="0"/>
          <w:bCs w:val="0"/>
          <w:szCs w:val="22"/>
          <w:lang w:val="en-GB"/>
        </w:rPr>
        <w:id w:val="-1479148216"/>
        <w:docPartObj>
          <w:docPartGallery w:val="Table of Contents"/>
          <w:docPartUnique/>
        </w:docPartObj>
      </w:sdtPr>
      <w:sdtEndPr>
        <w:rPr>
          <w:noProof/>
        </w:rPr>
      </w:sdtEndPr>
      <w:sdtContent>
        <w:p w14:paraId="1E900B50" w14:textId="31F9B6EB" w:rsidR="006577B0" w:rsidRPr="00D16148" w:rsidRDefault="006577B0">
          <w:pPr>
            <w:pStyle w:val="TOCHeading"/>
            <w:rPr>
              <w:lang w:val="en-GB"/>
            </w:rPr>
          </w:pPr>
          <w:r w:rsidRPr="00D16148">
            <w:rPr>
              <w:lang w:val="en-GB"/>
            </w:rPr>
            <w:t>Table of Contents</w:t>
          </w:r>
        </w:p>
        <w:p w14:paraId="669E008F" w14:textId="6E7DE495" w:rsidR="00CC2AC3" w:rsidRDefault="006577B0">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r w:rsidRPr="00D16148">
            <w:rPr>
              <w:lang w:val="en-GB"/>
            </w:rPr>
            <w:fldChar w:fldCharType="begin"/>
          </w:r>
          <w:r w:rsidRPr="00D16148">
            <w:rPr>
              <w:lang w:val="en-GB"/>
            </w:rPr>
            <w:instrText xml:space="preserve"> TOC \o "1-3" \h \z \u </w:instrText>
          </w:r>
          <w:r w:rsidRPr="00D16148">
            <w:rPr>
              <w:lang w:val="en-GB"/>
            </w:rPr>
            <w:fldChar w:fldCharType="separate"/>
          </w:r>
          <w:hyperlink w:anchor="_Toc243645440" w:history="1">
            <w:r w:rsidR="00CC2AC3" w:rsidRPr="00123515">
              <w:rPr>
                <w:rStyle w:val="Hyperlink"/>
                <w:rFonts w:ascii="Arial" w:hAnsi="Arial" w:cs="Arial"/>
                <w:noProof/>
                <w:lang w:val="en-GB"/>
              </w:rPr>
              <w:t>Aim and definition</w:t>
            </w:r>
            <w:r w:rsidR="00CC2AC3">
              <w:rPr>
                <w:noProof/>
                <w:webHidden/>
              </w:rPr>
              <w:tab/>
            </w:r>
            <w:r w:rsidR="00CC2AC3">
              <w:rPr>
                <w:noProof/>
                <w:webHidden/>
              </w:rPr>
              <w:fldChar w:fldCharType="begin"/>
            </w:r>
            <w:r w:rsidR="00CC2AC3">
              <w:rPr>
                <w:noProof/>
                <w:webHidden/>
              </w:rPr>
              <w:instrText xml:space="preserve"> PAGEREF _Toc243645440 \h </w:instrText>
            </w:r>
            <w:r w:rsidR="00CC2AC3">
              <w:rPr>
                <w:noProof/>
                <w:webHidden/>
              </w:rPr>
            </w:r>
            <w:r w:rsidR="00CC2AC3">
              <w:rPr>
                <w:noProof/>
                <w:webHidden/>
              </w:rPr>
              <w:fldChar w:fldCharType="separate"/>
            </w:r>
            <w:r w:rsidR="00CC2AC3">
              <w:rPr>
                <w:noProof/>
                <w:webHidden/>
              </w:rPr>
              <w:t>4</w:t>
            </w:r>
            <w:r w:rsidR="00CC2AC3">
              <w:rPr>
                <w:noProof/>
                <w:webHidden/>
              </w:rPr>
              <w:fldChar w:fldCharType="end"/>
            </w:r>
          </w:hyperlink>
        </w:p>
        <w:p w14:paraId="5688556D" w14:textId="7FF58044"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1" w:history="1">
            <w:r w:rsidRPr="00123515">
              <w:rPr>
                <w:rStyle w:val="Hyperlink"/>
                <w:rFonts w:ascii="Arial" w:hAnsi="Arial" w:cs="Arial"/>
                <w:noProof/>
                <w:lang w:val="en-GB"/>
              </w:rPr>
              <w:t>Burden and prevalence</w:t>
            </w:r>
            <w:r>
              <w:rPr>
                <w:noProof/>
                <w:webHidden/>
              </w:rPr>
              <w:tab/>
            </w:r>
            <w:r>
              <w:rPr>
                <w:noProof/>
                <w:webHidden/>
              </w:rPr>
              <w:fldChar w:fldCharType="begin"/>
            </w:r>
            <w:r>
              <w:rPr>
                <w:noProof/>
                <w:webHidden/>
              </w:rPr>
              <w:instrText xml:space="preserve"> PAGEREF _Toc243645441 \h </w:instrText>
            </w:r>
            <w:r>
              <w:rPr>
                <w:noProof/>
                <w:webHidden/>
              </w:rPr>
            </w:r>
            <w:r>
              <w:rPr>
                <w:noProof/>
                <w:webHidden/>
              </w:rPr>
              <w:fldChar w:fldCharType="separate"/>
            </w:r>
            <w:r>
              <w:rPr>
                <w:noProof/>
                <w:webHidden/>
              </w:rPr>
              <w:t>4</w:t>
            </w:r>
            <w:r>
              <w:rPr>
                <w:noProof/>
                <w:webHidden/>
              </w:rPr>
              <w:fldChar w:fldCharType="end"/>
            </w:r>
          </w:hyperlink>
        </w:p>
        <w:p w14:paraId="47420A84" w14:textId="199ED5CF"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2" w:history="1">
            <w:r w:rsidRPr="00123515">
              <w:rPr>
                <w:rStyle w:val="Hyperlink"/>
                <w:rFonts w:ascii="Arial" w:hAnsi="Arial" w:cs="Arial"/>
                <w:noProof/>
                <w:lang w:val="en-GB"/>
              </w:rPr>
              <w:t>Aetiology and risk factors</w:t>
            </w:r>
            <w:r>
              <w:rPr>
                <w:noProof/>
                <w:webHidden/>
              </w:rPr>
              <w:tab/>
            </w:r>
            <w:r>
              <w:rPr>
                <w:noProof/>
                <w:webHidden/>
              </w:rPr>
              <w:fldChar w:fldCharType="begin"/>
            </w:r>
            <w:r>
              <w:rPr>
                <w:noProof/>
                <w:webHidden/>
              </w:rPr>
              <w:instrText xml:space="preserve"> PAGEREF _Toc243645442 \h </w:instrText>
            </w:r>
            <w:r>
              <w:rPr>
                <w:noProof/>
                <w:webHidden/>
              </w:rPr>
            </w:r>
            <w:r>
              <w:rPr>
                <w:noProof/>
                <w:webHidden/>
              </w:rPr>
              <w:fldChar w:fldCharType="separate"/>
            </w:r>
            <w:r>
              <w:rPr>
                <w:noProof/>
                <w:webHidden/>
              </w:rPr>
              <w:t>5</w:t>
            </w:r>
            <w:r>
              <w:rPr>
                <w:noProof/>
                <w:webHidden/>
              </w:rPr>
              <w:fldChar w:fldCharType="end"/>
            </w:r>
          </w:hyperlink>
        </w:p>
        <w:p w14:paraId="4B9A5493" w14:textId="44E42149" w:rsidR="00CC2AC3" w:rsidRDefault="00CC2AC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3" w:history="1">
            <w:r w:rsidRPr="00123515">
              <w:rPr>
                <w:rStyle w:val="Hyperlink"/>
                <w:rFonts w:ascii="Arial" w:hAnsi="Arial" w:cs="Arial"/>
                <w:noProof/>
                <w:lang w:val="en-GB"/>
              </w:rPr>
              <w:t>Impact on individuals and families</w:t>
            </w:r>
            <w:r>
              <w:rPr>
                <w:noProof/>
                <w:webHidden/>
              </w:rPr>
              <w:tab/>
            </w:r>
            <w:r>
              <w:rPr>
                <w:noProof/>
                <w:webHidden/>
              </w:rPr>
              <w:fldChar w:fldCharType="begin"/>
            </w:r>
            <w:r>
              <w:rPr>
                <w:noProof/>
                <w:webHidden/>
              </w:rPr>
              <w:instrText xml:space="preserve"> PAGEREF _Toc243645443 \h </w:instrText>
            </w:r>
            <w:r>
              <w:rPr>
                <w:noProof/>
                <w:webHidden/>
              </w:rPr>
            </w:r>
            <w:r>
              <w:rPr>
                <w:noProof/>
                <w:webHidden/>
              </w:rPr>
              <w:fldChar w:fldCharType="separate"/>
            </w:r>
            <w:r>
              <w:rPr>
                <w:noProof/>
                <w:webHidden/>
              </w:rPr>
              <w:t>6</w:t>
            </w:r>
            <w:r>
              <w:rPr>
                <w:noProof/>
                <w:webHidden/>
              </w:rPr>
              <w:fldChar w:fldCharType="end"/>
            </w:r>
          </w:hyperlink>
        </w:p>
        <w:p w14:paraId="7AAB7772" w14:textId="1C4FF071"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4" w:history="1">
            <w:r w:rsidRPr="00123515">
              <w:rPr>
                <w:rStyle w:val="Hyperlink"/>
                <w:rFonts w:ascii="Arial" w:hAnsi="Arial" w:cs="Arial"/>
                <w:noProof/>
                <w:lang w:val="en-GB"/>
              </w:rPr>
              <w:t>Physical consequences</w:t>
            </w:r>
            <w:r>
              <w:rPr>
                <w:noProof/>
                <w:webHidden/>
              </w:rPr>
              <w:tab/>
            </w:r>
            <w:r>
              <w:rPr>
                <w:noProof/>
                <w:webHidden/>
              </w:rPr>
              <w:fldChar w:fldCharType="begin"/>
            </w:r>
            <w:r>
              <w:rPr>
                <w:noProof/>
                <w:webHidden/>
              </w:rPr>
              <w:instrText xml:space="preserve"> PAGEREF _Toc243645444 \h </w:instrText>
            </w:r>
            <w:r>
              <w:rPr>
                <w:noProof/>
                <w:webHidden/>
              </w:rPr>
            </w:r>
            <w:r>
              <w:rPr>
                <w:noProof/>
                <w:webHidden/>
              </w:rPr>
              <w:fldChar w:fldCharType="separate"/>
            </w:r>
            <w:r>
              <w:rPr>
                <w:noProof/>
                <w:webHidden/>
              </w:rPr>
              <w:t>6</w:t>
            </w:r>
            <w:r>
              <w:rPr>
                <w:noProof/>
                <w:webHidden/>
              </w:rPr>
              <w:fldChar w:fldCharType="end"/>
            </w:r>
          </w:hyperlink>
        </w:p>
        <w:p w14:paraId="1F124DC5" w14:textId="2D42AFEB"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5" w:history="1">
            <w:r w:rsidRPr="00123515">
              <w:rPr>
                <w:rStyle w:val="Hyperlink"/>
                <w:rFonts w:ascii="Arial" w:hAnsi="Arial" w:cs="Arial"/>
                <w:noProof/>
                <w:lang w:val="en-GB"/>
              </w:rPr>
              <w:t>Psychological, social and family consequences</w:t>
            </w:r>
            <w:r>
              <w:rPr>
                <w:noProof/>
                <w:webHidden/>
              </w:rPr>
              <w:tab/>
            </w:r>
            <w:r>
              <w:rPr>
                <w:noProof/>
                <w:webHidden/>
              </w:rPr>
              <w:fldChar w:fldCharType="begin"/>
            </w:r>
            <w:r>
              <w:rPr>
                <w:noProof/>
                <w:webHidden/>
              </w:rPr>
              <w:instrText xml:space="preserve"> PAGEREF _Toc243645445 \h </w:instrText>
            </w:r>
            <w:r>
              <w:rPr>
                <w:noProof/>
                <w:webHidden/>
              </w:rPr>
            </w:r>
            <w:r>
              <w:rPr>
                <w:noProof/>
                <w:webHidden/>
              </w:rPr>
              <w:fldChar w:fldCharType="separate"/>
            </w:r>
            <w:r>
              <w:rPr>
                <w:noProof/>
                <w:webHidden/>
              </w:rPr>
              <w:t>6</w:t>
            </w:r>
            <w:r>
              <w:rPr>
                <w:noProof/>
                <w:webHidden/>
              </w:rPr>
              <w:fldChar w:fldCharType="end"/>
            </w:r>
          </w:hyperlink>
        </w:p>
        <w:p w14:paraId="1C3E5410" w14:textId="7240CD10"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6" w:history="1">
            <w:r w:rsidRPr="00123515">
              <w:rPr>
                <w:rStyle w:val="Hyperlink"/>
                <w:rFonts w:ascii="Arial" w:hAnsi="Arial" w:cs="Arial"/>
                <w:noProof/>
                <w:lang w:val="en-GB"/>
              </w:rPr>
              <w:t>Diagnosis and clinical assessment</w:t>
            </w:r>
            <w:r>
              <w:rPr>
                <w:noProof/>
                <w:webHidden/>
              </w:rPr>
              <w:tab/>
            </w:r>
            <w:r>
              <w:rPr>
                <w:noProof/>
                <w:webHidden/>
              </w:rPr>
              <w:fldChar w:fldCharType="begin"/>
            </w:r>
            <w:r>
              <w:rPr>
                <w:noProof/>
                <w:webHidden/>
              </w:rPr>
              <w:instrText xml:space="preserve"> PAGEREF _Toc243645446 \h </w:instrText>
            </w:r>
            <w:r>
              <w:rPr>
                <w:noProof/>
                <w:webHidden/>
              </w:rPr>
            </w:r>
            <w:r>
              <w:rPr>
                <w:noProof/>
                <w:webHidden/>
              </w:rPr>
              <w:fldChar w:fldCharType="separate"/>
            </w:r>
            <w:r>
              <w:rPr>
                <w:noProof/>
                <w:webHidden/>
              </w:rPr>
              <w:t>7</w:t>
            </w:r>
            <w:r>
              <w:rPr>
                <w:noProof/>
                <w:webHidden/>
              </w:rPr>
              <w:fldChar w:fldCharType="end"/>
            </w:r>
          </w:hyperlink>
        </w:p>
        <w:p w14:paraId="1E2BA6F5" w14:textId="388D67FE" w:rsidR="00CC2AC3" w:rsidRDefault="00CC2AC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7" w:history="1">
            <w:r w:rsidRPr="00123515">
              <w:rPr>
                <w:rStyle w:val="Hyperlink"/>
                <w:rFonts w:ascii="Arial" w:hAnsi="Arial" w:cs="Arial"/>
                <w:noProof/>
                <w:lang w:val="en-GB"/>
              </w:rPr>
              <w:t>Evidence-based treatment available through the NHS</w:t>
            </w:r>
            <w:r>
              <w:rPr>
                <w:noProof/>
                <w:webHidden/>
              </w:rPr>
              <w:tab/>
            </w:r>
            <w:r>
              <w:rPr>
                <w:noProof/>
                <w:webHidden/>
              </w:rPr>
              <w:fldChar w:fldCharType="begin"/>
            </w:r>
            <w:r>
              <w:rPr>
                <w:noProof/>
                <w:webHidden/>
              </w:rPr>
              <w:instrText xml:space="preserve"> PAGEREF _Toc243645447 \h </w:instrText>
            </w:r>
            <w:r>
              <w:rPr>
                <w:noProof/>
                <w:webHidden/>
              </w:rPr>
            </w:r>
            <w:r>
              <w:rPr>
                <w:noProof/>
                <w:webHidden/>
              </w:rPr>
              <w:fldChar w:fldCharType="separate"/>
            </w:r>
            <w:r>
              <w:rPr>
                <w:noProof/>
                <w:webHidden/>
              </w:rPr>
              <w:t>7</w:t>
            </w:r>
            <w:r>
              <w:rPr>
                <w:noProof/>
                <w:webHidden/>
              </w:rPr>
              <w:fldChar w:fldCharType="end"/>
            </w:r>
          </w:hyperlink>
        </w:p>
        <w:p w14:paraId="0BB0C0E0" w14:textId="30712A4E"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8" w:history="1">
            <w:r w:rsidRPr="00123515">
              <w:rPr>
                <w:rStyle w:val="Hyperlink"/>
                <w:rFonts w:ascii="Arial" w:hAnsi="Arial" w:cs="Arial"/>
                <w:noProof/>
                <w:lang w:val="en-GB"/>
              </w:rPr>
              <w:t>Medication and review</w:t>
            </w:r>
            <w:r>
              <w:rPr>
                <w:noProof/>
                <w:webHidden/>
              </w:rPr>
              <w:tab/>
            </w:r>
            <w:r>
              <w:rPr>
                <w:noProof/>
                <w:webHidden/>
              </w:rPr>
              <w:fldChar w:fldCharType="begin"/>
            </w:r>
            <w:r>
              <w:rPr>
                <w:noProof/>
                <w:webHidden/>
              </w:rPr>
              <w:instrText xml:space="preserve"> PAGEREF _Toc243645448 \h </w:instrText>
            </w:r>
            <w:r>
              <w:rPr>
                <w:noProof/>
                <w:webHidden/>
              </w:rPr>
            </w:r>
            <w:r>
              <w:rPr>
                <w:noProof/>
                <w:webHidden/>
              </w:rPr>
              <w:fldChar w:fldCharType="separate"/>
            </w:r>
            <w:r>
              <w:rPr>
                <w:noProof/>
                <w:webHidden/>
              </w:rPr>
              <w:t>7</w:t>
            </w:r>
            <w:r>
              <w:rPr>
                <w:noProof/>
                <w:webHidden/>
              </w:rPr>
              <w:fldChar w:fldCharType="end"/>
            </w:r>
          </w:hyperlink>
        </w:p>
        <w:p w14:paraId="16E409E0" w14:textId="7DF1BE95"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49" w:history="1">
            <w:r w:rsidRPr="00123515">
              <w:rPr>
                <w:rStyle w:val="Hyperlink"/>
                <w:rFonts w:ascii="Arial" w:hAnsi="Arial" w:cs="Arial"/>
                <w:noProof/>
                <w:lang w:val="en-GB"/>
              </w:rPr>
              <w:t>Lifestyle changes that complement medication</w:t>
            </w:r>
            <w:r>
              <w:rPr>
                <w:noProof/>
                <w:webHidden/>
              </w:rPr>
              <w:tab/>
            </w:r>
            <w:r>
              <w:rPr>
                <w:noProof/>
                <w:webHidden/>
              </w:rPr>
              <w:fldChar w:fldCharType="begin"/>
            </w:r>
            <w:r>
              <w:rPr>
                <w:noProof/>
                <w:webHidden/>
              </w:rPr>
              <w:instrText xml:space="preserve"> PAGEREF _Toc243645449 \h </w:instrText>
            </w:r>
            <w:r>
              <w:rPr>
                <w:noProof/>
                <w:webHidden/>
              </w:rPr>
            </w:r>
            <w:r>
              <w:rPr>
                <w:noProof/>
                <w:webHidden/>
              </w:rPr>
              <w:fldChar w:fldCharType="separate"/>
            </w:r>
            <w:r>
              <w:rPr>
                <w:noProof/>
                <w:webHidden/>
              </w:rPr>
              <w:t>9</w:t>
            </w:r>
            <w:r>
              <w:rPr>
                <w:noProof/>
                <w:webHidden/>
              </w:rPr>
              <w:fldChar w:fldCharType="end"/>
            </w:r>
          </w:hyperlink>
        </w:p>
        <w:p w14:paraId="455B8834" w14:textId="536CECBC" w:rsidR="00CC2AC3" w:rsidRDefault="00CC2AC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0" w:history="1">
            <w:r w:rsidRPr="00123515">
              <w:rPr>
                <w:rStyle w:val="Hyperlink"/>
                <w:rFonts w:ascii="Arial" w:hAnsi="Arial" w:cs="Arial"/>
                <w:noProof/>
                <w:lang w:val="en-GB"/>
              </w:rPr>
              <w:t>Theoretical models for better outcomes</w:t>
            </w:r>
            <w:r>
              <w:rPr>
                <w:noProof/>
                <w:webHidden/>
              </w:rPr>
              <w:tab/>
            </w:r>
            <w:r>
              <w:rPr>
                <w:noProof/>
                <w:webHidden/>
              </w:rPr>
              <w:fldChar w:fldCharType="begin"/>
            </w:r>
            <w:r>
              <w:rPr>
                <w:noProof/>
                <w:webHidden/>
              </w:rPr>
              <w:instrText xml:space="preserve"> PAGEREF _Toc243645450 \h </w:instrText>
            </w:r>
            <w:r>
              <w:rPr>
                <w:noProof/>
                <w:webHidden/>
              </w:rPr>
            </w:r>
            <w:r>
              <w:rPr>
                <w:noProof/>
                <w:webHidden/>
              </w:rPr>
              <w:fldChar w:fldCharType="separate"/>
            </w:r>
            <w:r>
              <w:rPr>
                <w:noProof/>
                <w:webHidden/>
              </w:rPr>
              <w:t>9</w:t>
            </w:r>
            <w:r>
              <w:rPr>
                <w:noProof/>
                <w:webHidden/>
              </w:rPr>
              <w:fldChar w:fldCharType="end"/>
            </w:r>
          </w:hyperlink>
        </w:p>
        <w:p w14:paraId="638504B6" w14:textId="117B8969"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1" w:history="1">
            <w:r w:rsidRPr="00123515">
              <w:rPr>
                <w:rStyle w:val="Hyperlink"/>
                <w:rFonts w:ascii="Arial" w:hAnsi="Arial" w:cs="Arial"/>
                <w:noProof/>
                <w:lang w:val="en-GB"/>
              </w:rPr>
              <w:t>UK model: House of Care and personalised care</w:t>
            </w:r>
            <w:r>
              <w:rPr>
                <w:noProof/>
                <w:webHidden/>
              </w:rPr>
              <w:tab/>
            </w:r>
            <w:r>
              <w:rPr>
                <w:noProof/>
                <w:webHidden/>
              </w:rPr>
              <w:fldChar w:fldCharType="begin"/>
            </w:r>
            <w:r>
              <w:rPr>
                <w:noProof/>
                <w:webHidden/>
              </w:rPr>
              <w:instrText xml:space="preserve"> PAGEREF _Toc243645451 \h </w:instrText>
            </w:r>
            <w:r>
              <w:rPr>
                <w:noProof/>
                <w:webHidden/>
              </w:rPr>
            </w:r>
            <w:r>
              <w:rPr>
                <w:noProof/>
                <w:webHidden/>
              </w:rPr>
              <w:fldChar w:fldCharType="separate"/>
            </w:r>
            <w:r>
              <w:rPr>
                <w:noProof/>
                <w:webHidden/>
              </w:rPr>
              <w:t>9</w:t>
            </w:r>
            <w:r>
              <w:rPr>
                <w:noProof/>
                <w:webHidden/>
              </w:rPr>
              <w:fldChar w:fldCharType="end"/>
            </w:r>
          </w:hyperlink>
        </w:p>
        <w:p w14:paraId="0112A173" w14:textId="558341FD"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2" w:history="1">
            <w:r w:rsidRPr="00123515">
              <w:rPr>
                <w:rStyle w:val="Hyperlink"/>
                <w:rFonts w:ascii="Arial" w:hAnsi="Arial" w:cs="Arial"/>
                <w:noProof/>
                <w:lang w:val="en-GB"/>
              </w:rPr>
              <w:t>International model: Chronic Care Model</w:t>
            </w:r>
            <w:r>
              <w:rPr>
                <w:noProof/>
                <w:webHidden/>
              </w:rPr>
              <w:tab/>
            </w:r>
            <w:r>
              <w:rPr>
                <w:noProof/>
                <w:webHidden/>
              </w:rPr>
              <w:fldChar w:fldCharType="begin"/>
            </w:r>
            <w:r>
              <w:rPr>
                <w:noProof/>
                <w:webHidden/>
              </w:rPr>
              <w:instrText xml:space="preserve"> PAGEREF _Toc243645452 \h </w:instrText>
            </w:r>
            <w:r>
              <w:rPr>
                <w:noProof/>
                <w:webHidden/>
              </w:rPr>
            </w:r>
            <w:r>
              <w:rPr>
                <w:noProof/>
                <w:webHidden/>
              </w:rPr>
              <w:fldChar w:fldCharType="separate"/>
            </w:r>
            <w:r>
              <w:rPr>
                <w:noProof/>
                <w:webHidden/>
              </w:rPr>
              <w:t>10</w:t>
            </w:r>
            <w:r>
              <w:rPr>
                <w:noProof/>
                <w:webHidden/>
              </w:rPr>
              <w:fldChar w:fldCharType="end"/>
            </w:r>
          </w:hyperlink>
        </w:p>
        <w:p w14:paraId="42C85866" w14:textId="10E2088D" w:rsidR="00CC2AC3" w:rsidRDefault="00CC2AC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3" w:history="1">
            <w:r w:rsidRPr="00123515">
              <w:rPr>
                <w:rStyle w:val="Hyperlink"/>
                <w:rFonts w:ascii="Arial" w:hAnsi="Arial" w:cs="Arial"/>
                <w:noProof/>
                <w:lang w:val="en-GB"/>
              </w:rPr>
              <w:t>Policy, implementation and inequalities</w:t>
            </w:r>
            <w:r>
              <w:rPr>
                <w:noProof/>
                <w:webHidden/>
              </w:rPr>
              <w:tab/>
            </w:r>
            <w:r>
              <w:rPr>
                <w:noProof/>
                <w:webHidden/>
              </w:rPr>
              <w:fldChar w:fldCharType="begin"/>
            </w:r>
            <w:r>
              <w:rPr>
                <w:noProof/>
                <w:webHidden/>
              </w:rPr>
              <w:instrText xml:space="preserve"> PAGEREF _Toc243645453 \h </w:instrText>
            </w:r>
            <w:r>
              <w:rPr>
                <w:noProof/>
                <w:webHidden/>
              </w:rPr>
            </w:r>
            <w:r>
              <w:rPr>
                <w:noProof/>
                <w:webHidden/>
              </w:rPr>
              <w:fldChar w:fldCharType="separate"/>
            </w:r>
            <w:r>
              <w:rPr>
                <w:noProof/>
                <w:webHidden/>
              </w:rPr>
              <w:t>10</w:t>
            </w:r>
            <w:r>
              <w:rPr>
                <w:noProof/>
                <w:webHidden/>
              </w:rPr>
              <w:fldChar w:fldCharType="end"/>
            </w:r>
          </w:hyperlink>
        </w:p>
        <w:p w14:paraId="1AF40D8F" w14:textId="18F026AC"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4" w:history="1">
            <w:r w:rsidRPr="00123515">
              <w:rPr>
                <w:rStyle w:val="Hyperlink"/>
                <w:rFonts w:ascii="Arial" w:hAnsi="Arial" w:cs="Arial"/>
                <w:noProof/>
                <w:lang w:val="en-GB"/>
              </w:rPr>
              <w:t>NHS Initiatives for Hypertension Detection and Management</w:t>
            </w:r>
            <w:r>
              <w:rPr>
                <w:noProof/>
                <w:webHidden/>
              </w:rPr>
              <w:tab/>
            </w:r>
            <w:r>
              <w:rPr>
                <w:noProof/>
                <w:webHidden/>
              </w:rPr>
              <w:fldChar w:fldCharType="begin"/>
            </w:r>
            <w:r>
              <w:rPr>
                <w:noProof/>
                <w:webHidden/>
              </w:rPr>
              <w:instrText xml:space="preserve"> PAGEREF _Toc243645454 \h </w:instrText>
            </w:r>
            <w:r>
              <w:rPr>
                <w:noProof/>
                <w:webHidden/>
              </w:rPr>
            </w:r>
            <w:r>
              <w:rPr>
                <w:noProof/>
                <w:webHidden/>
              </w:rPr>
              <w:fldChar w:fldCharType="separate"/>
            </w:r>
            <w:r>
              <w:rPr>
                <w:noProof/>
                <w:webHidden/>
              </w:rPr>
              <w:t>10</w:t>
            </w:r>
            <w:r>
              <w:rPr>
                <w:noProof/>
                <w:webHidden/>
              </w:rPr>
              <w:fldChar w:fldCharType="end"/>
            </w:r>
          </w:hyperlink>
        </w:p>
        <w:p w14:paraId="1FB8F759" w14:textId="692D94FE"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5" w:history="1">
            <w:r w:rsidRPr="00123515">
              <w:rPr>
                <w:rStyle w:val="Hyperlink"/>
                <w:rFonts w:ascii="Arial" w:hAnsi="Arial" w:cs="Arial"/>
                <w:noProof/>
                <w:lang w:val="en-GB"/>
              </w:rPr>
              <w:t>Health Inequalities and Wider Determinants of Health</w:t>
            </w:r>
            <w:r>
              <w:rPr>
                <w:noProof/>
                <w:webHidden/>
              </w:rPr>
              <w:tab/>
            </w:r>
            <w:r>
              <w:rPr>
                <w:noProof/>
                <w:webHidden/>
              </w:rPr>
              <w:fldChar w:fldCharType="begin"/>
            </w:r>
            <w:r>
              <w:rPr>
                <w:noProof/>
                <w:webHidden/>
              </w:rPr>
              <w:instrText xml:space="preserve"> PAGEREF _Toc243645455 \h </w:instrText>
            </w:r>
            <w:r>
              <w:rPr>
                <w:noProof/>
                <w:webHidden/>
              </w:rPr>
            </w:r>
            <w:r>
              <w:rPr>
                <w:noProof/>
                <w:webHidden/>
              </w:rPr>
              <w:fldChar w:fldCharType="separate"/>
            </w:r>
            <w:r>
              <w:rPr>
                <w:noProof/>
                <w:webHidden/>
              </w:rPr>
              <w:t>11</w:t>
            </w:r>
            <w:r>
              <w:rPr>
                <w:noProof/>
                <w:webHidden/>
              </w:rPr>
              <w:fldChar w:fldCharType="end"/>
            </w:r>
          </w:hyperlink>
        </w:p>
        <w:p w14:paraId="15F5E75A" w14:textId="36F10B50" w:rsidR="00CC2AC3" w:rsidRDefault="00CC2AC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6" w:history="1">
            <w:r w:rsidRPr="00123515">
              <w:rPr>
                <w:rStyle w:val="Hyperlink"/>
                <w:rFonts w:ascii="Arial" w:hAnsi="Arial" w:cs="Arial"/>
                <w:noProof/>
                <w:lang w:val="en-GB"/>
              </w:rPr>
              <w:t>Recommendations for person-centred practice</w:t>
            </w:r>
            <w:r>
              <w:rPr>
                <w:noProof/>
                <w:webHidden/>
              </w:rPr>
              <w:tab/>
            </w:r>
            <w:r>
              <w:rPr>
                <w:noProof/>
                <w:webHidden/>
              </w:rPr>
              <w:fldChar w:fldCharType="begin"/>
            </w:r>
            <w:r>
              <w:rPr>
                <w:noProof/>
                <w:webHidden/>
              </w:rPr>
              <w:instrText xml:space="preserve"> PAGEREF _Toc243645456 \h </w:instrText>
            </w:r>
            <w:r>
              <w:rPr>
                <w:noProof/>
                <w:webHidden/>
              </w:rPr>
            </w:r>
            <w:r>
              <w:rPr>
                <w:noProof/>
                <w:webHidden/>
              </w:rPr>
              <w:fldChar w:fldCharType="separate"/>
            </w:r>
            <w:r>
              <w:rPr>
                <w:noProof/>
                <w:webHidden/>
              </w:rPr>
              <w:t>11</w:t>
            </w:r>
            <w:r>
              <w:rPr>
                <w:noProof/>
                <w:webHidden/>
              </w:rPr>
              <w:fldChar w:fldCharType="end"/>
            </w:r>
          </w:hyperlink>
        </w:p>
        <w:p w14:paraId="15B92F41" w14:textId="70A76D18"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7" w:history="1">
            <w:r w:rsidRPr="00123515">
              <w:rPr>
                <w:rStyle w:val="Hyperlink"/>
                <w:rFonts w:ascii="Arial" w:hAnsi="Arial" w:cs="Arial"/>
                <w:noProof/>
                <w:lang w:val="en-GB"/>
              </w:rPr>
              <w:t>Improving Screening, Diagnosis and Medication Adherence</w:t>
            </w:r>
            <w:r>
              <w:rPr>
                <w:noProof/>
                <w:webHidden/>
              </w:rPr>
              <w:tab/>
            </w:r>
            <w:r>
              <w:rPr>
                <w:noProof/>
                <w:webHidden/>
              </w:rPr>
              <w:fldChar w:fldCharType="begin"/>
            </w:r>
            <w:r>
              <w:rPr>
                <w:noProof/>
                <w:webHidden/>
              </w:rPr>
              <w:instrText xml:space="preserve"> PAGEREF _Toc243645457 \h </w:instrText>
            </w:r>
            <w:r>
              <w:rPr>
                <w:noProof/>
                <w:webHidden/>
              </w:rPr>
            </w:r>
            <w:r>
              <w:rPr>
                <w:noProof/>
                <w:webHidden/>
              </w:rPr>
              <w:fldChar w:fldCharType="separate"/>
            </w:r>
            <w:r>
              <w:rPr>
                <w:noProof/>
                <w:webHidden/>
              </w:rPr>
              <w:t>11</w:t>
            </w:r>
            <w:r>
              <w:rPr>
                <w:noProof/>
                <w:webHidden/>
              </w:rPr>
              <w:fldChar w:fldCharType="end"/>
            </w:r>
          </w:hyperlink>
        </w:p>
        <w:p w14:paraId="7C5695FE" w14:textId="49365696"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8" w:history="1">
            <w:r w:rsidRPr="00123515">
              <w:rPr>
                <w:rStyle w:val="Hyperlink"/>
                <w:rFonts w:ascii="Arial" w:hAnsi="Arial" w:cs="Arial"/>
                <w:noProof/>
                <w:lang w:val="en-GB"/>
              </w:rPr>
              <w:t>Digital Monitoring, Outcome Measurement and Quality Improvement</w:t>
            </w:r>
            <w:r>
              <w:rPr>
                <w:noProof/>
                <w:webHidden/>
              </w:rPr>
              <w:tab/>
            </w:r>
            <w:r>
              <w:rPr>
                <w:noProof/>
                <w:webHidden/>
              </w:rPr>
              <w:fldChar w:fldCharType="begin"/>
            </w:r>
            <w:r>
              <w:rPr>
                <w:noProof/>
                <w:webHidden/>
              </w:rPr>
              <w:instrText xml:space="preserve"> PAGEREF _Toc243645458 \h </w:instrText>
            </w:r>
            <w:r>
              <w:rPr>
                <w:noProof/>
                <w:webHidden/>
              </w:rPr>
            </w:r>
            <w:r>
              <w:rPr>
                <w:noProof/>
                <w:webHidden/>
              </w:rPr>
              <w:fldChar w:fldCharType="separate"/>
            </w:r>
            <w:r>
              <w:rPr>
                <w:noProof/>
                <w:webHidden/>
              </w:rPr>
              <w:t>12</w:t>
            </w:r>
            <w:r>
              <w:rPr>
                <w:noProof/>
                <w:webHidden/>
              </w:rPr>
              <w:fldChar w:fldCharType="end"/>
            </w:r>
          </w:hyperlink>
        </w:p>
        <w:p w14:paraId="20C5391F" w14:textId="7971AE55"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59" w:history="1">
            <w:r w:rsidRPr="00123515">
              <w:rPr>
                <w:rStyle w:val="Hyperlink"/>
                <w:rFonts w:ascii="Arial" w:hAnsi="Arial" w:cs="Arial"/>
                <w:noProof/>
                <w:lang w:val="en-GB"/>
              </w:rPr>
              <w:t>End-of-life care</w:t>
            </w:r>
            <w:r>
              <w:rPr>
                <w:noProof/>
                <w:webHidden/>
              </w:rPr>
              <w:tab/>
            </w:r>
            <w:r>
              <w:rPr>
                <w:noProof/>
                <w:webHidden/>
              </w:rPr>
              <w:fldChar w:fldCharType="begin"/>
            </w:r>
            <w:r>
              <w:rPr>
                <w:noProof/>
                <w:webHidden/>
              </w:rPr>
              <w:instrText xml:space="preserve"> PAGEREF _Toc243645459 \h </w:instrText>
            </w:r>
            <w:r>
              <w:rPr>
                <w:noProof/>
                <w:webHidden/>
              </w:rPr>
            </w:r>
            <w:r>
              <w:rPr>
                <w:noProof/>
                <w:webHidden/>
              </w:rPr>
              <w:fldChar w:fldCharType="separate"/>
            </w:r>
            <w:r>
              <w:rPr>
                <w:noProof/>
                <w:webHidden/>
              </w:rPr>
              <w:t>12</w:t>
            </w:r>
            <w:r>
              <w:rPr>
                <w:noProof/>
                <w:webHidden/>
              </w:rPr>
              <w:fldChar w:fldCharType="end"/>
            </w:r>
          </w:hyperlink>
        </w:p>
        <w:p w14:paraId="492D19E0" w14:textId="5C523F47" w:rsidR="00CC2AC3" w:rsidRDefault="00CC2AC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60" w:history="1">
            <w:r w:rsidRPr="00123515">
              <w:rPr>
                <w:rStyle w:val="Hyperlink"/>
                <w:rFonts w:ascii="Arial" w:hAnsi="Arial" w:cs="Arial"/>
                <w:noProof/>
                <w:lang w:val="en-GB"/>
              </w:rPr>
              <w:t>Recommendations for Practice</w:t>
            </w:r>
            <w:r>
              <w:rPr>
                <w:noProof/>
                <w:webHidden/>
              </w:rPr>
              <w:tab/>
            </w:r>
            <w:r>
              <w:rPr>
                <w:noProof/>
                <w:webHidden/>
              </w:rPr>
              <w:fldChar w:fldCharType="begin"/>
            </w:r>
            <w:r>
              <w:rPr>
                <w:noProof/>
                <w:webHidden/>
              </w:rPr>
              <w:instrText xml:space="preserve"> PAGEREF _Toc243645460 \h </w:instrText>
            </w:r>
            <w:r>
              <w:rPr>
                <w:noProof/>
                <w:webHidden/>
              </w:rPr>
            </w:r>
            <w:r>
              <w:rPr>
                <w:noProof/>
                <w:webHidden/>
              </w:rPr>
              <w:fldChar w:fldCharType="separate"/>
            </w:r>
            <w:r>
              <w:rPr>
                <w:noProof/>
                <w:webHidden/>
              </w:rPr>
              <w:t>13</w:t>
            </w:r>
            <w:r>
              <w:rPr>
                <w:noProof/>
                <w:webHidden/>
              </w:rPr>
              <w:fldChar w:fldCharType="end"/>
            </w:r>
          </w:hyperlink>
        </w:p>
        <w:p w14:paraId="62468861" w14:textId="27827F4F" w:rsidR="00CC2AC3" w:rsidRDefault="00CC2AC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61" w:history="1">
            <w:r w:rsidRPr="00123515">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_Toc243645461 \h </w:instrText>
            </w:r>
            <w:r>
              <w:rPr>
                <w:noProof/>
                <w:webHidden/>
              </w:rPr>
            </w:r>
            <w:r>
              <w:rPr>
                <w:noProof/>
                <w:webHidden/>
              </w:rPr>
              <w:fldChar w:fldCharType="separate"/>
            </w:r>
            <w:r>
              <w:rPr>
                <w:noProof/>
                <w:webHidden/>
              </w:rPr>
              <w:t>13</w:t>
            </w:r>
            <w:r>
              <w:rPr>
                <w:noProof/>
                <w:webHidden/>
              </w:rPr>
              <w:fldChar w:fldCharType="end"/>
            </w:r>
          </w:hyperlink>
        </w:p>
        <w:p w14:paraId="46EAE18E" w14:textId="35EEC64E" w:rsidR="00CC2AC3" w:rsidRDefault="00CC2AC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43645462" w:history="1">
            <w:r w:rsidRPr="00123515">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_Toc243645462 \h </w:instrText>
            </w:r>
            <w:r>
              <w:rPr>
                <w:noProof/>
                <w:webHidden/>
              </w:rPr>
            </w:r>
            <w:r>
              <w:rPr>
                <w:noProof/>
                <w:webHidden/>
              </w:rPr>
              <w:fldChar w:fldCharType="separate"/>
            </w:r>
            <w:r>
              <w:rPr>
                <w:noProof/>
                <w:webHidden/>
              </w:rPr>
              <w:t>14</w:t>
            </w:r>
            <w:r>
              <w:rPr>
                <w:noProof/>
                <w:webHidden/>
              </w:rPr>
              <w:fldChar w:fldCharType="end"/>
            </w:r>
          </w:hyperlink>
        </w:p>
        <w:p w14:paraId="170EC7F8" w14:textId="3BDBE924" w:rsidR="006577B0" w:rsidRPr="00D16148" w:rsidRDefault="006577B0">
          <w:pPr>
            <w:rPr>
              <w:lang w:val="en-GB"/>
            </w:rPr>
          </w:pPr>
          <w:r w:rsidRPr="00D16148">
            <w:rPr>
              <w:b/>
              <w:bCs/>
              <w:noProof/>
              <w:lang w:val="en-GB"/>
            </w:rPr>
            <w:fldChar w:fldCharType="end"/>
          </w:r>
        </w:p>
      </w:sdtContent>
    </w:sdt>
    <w:p w14:paraId="491CFF1F" w14:textId="77777777" w:rsidR="00E969D3" w:rsidRPr="00D16148" w:rsidRDefault="00E969D3">
      <w:pPr>
        <w:spacing w:before="0" w:after="200" w:line="276" w:lineRule="auto"/>
        <w:jc w:val="left"/>
        <w:rPr>
          <w:rFonts w:eastAsiaTheme="majorEastAsia" w:cs="Times New Roman"/>
          <w:b/>
          <w:bCs/>
          <w:szCs w:val="24"/>
          <w:lang w:val="en-GB"/>
        </w:rPr>
      </w:pPr>
      <w:r w:rsidRPr="00D16148">
        <w:rPr>
          <w:rFonts w:cs="Times New Roman"/>
          <w:szCs w:val="24"/>
          <w:lang w:val="en-GB"/>
        </w:rPr>
        <w:br w:type="page"/>
      </w:r>
    </w:p>
    <w:p w14:paraId="65DF8500" w14:textId="77777777" w:rsidR="007208BD" w:rsidRDefault="007208BD" w:rsidP="00F345D7">
      <w:pPr>
        <w:pStyle w:val="Heading1"/>
        <w:spacing w:line="360" w:lineRule="auto"/>
        <w:jc w:val="both"/>
        <w:rPr>
          <w:rFonts w:ascii="Arial" w:hAnsi="Arial" w:cs="Arial"/>
          <w:sz w:val="22"/>
          <w:szCs w:val="22"/>
          <w:lang w:val="en-GB"/>
        </w:rPr>
        <w:sectPr w:rsidR="007208BD" w:rsidSect="00731D9A">
          <w:footerReference w:type="default" r:id="rId10"/>
          <w:pgSz w:w="11906" w:h="16838"/>
          <w:pgMar w:top="1440" w:right="1440" w:bottom="1440" w:left="1440" w:header="720" w:footer="720" w:gutter="0"/>
          <w:pgBorders w:offsetFrom="page">
            <w:top w:val="double" w:sz="18" w:space="18" w:color="000000"/>
            <w:left w:val="double" w:sz="18" w:space="18" w:color="000000"/>
            <w:bottom w:val="double" w:sz="18" w:space="18" w:color="000000"/>
            <w:right w:val="double" w:sz="18" w:space="18" w:color="000000"/>
          </w:pgBorders>
          <w:cols w:space="720"/>
          <w:docGrid w:linePitch="360"/>
        </w:sectPr>
      </w:pPr>
    </w:p>
    <w:p w14:paraId="7D56D7B2" w14:textId="559ED34C" w:rsidR="009801E7" w:rsidRPr="00D16148" w:rsidRDefault="00000000" w:rsidP="00F345D7">
      <w:pPr>
        <w:pStyle w:val="Heading1"/>
        <w:spacing w:line="360" w:lineRule="auto"/>
        <w:jc w:val="both"/>
        <w:rPr>
          <w:rFonts w:ascii="Arial" w:hAnsi="Arial" w:cs="Arial"/>
          <w:sz w:val="22"/>
          <w:szCs w:val="22"/>
          <w:lang w:val="en-GB"/>
        </w:rPr>
      </w:pPr>
      <w:bookmarkStart w:id="0" w:name="_Toc243645440"/>
      <w:r w:rsidRPr="00D16148">
        <w:rPr>
          <w:rFonts w:ascii="Arial" w:hAnsi="Arial" w:cs="Arial"/>
          <w:sz w:val="22"/>
          <w:szCs w:val="22"/>
          <w:lang w:val="en-GB"/>
        </w:rPr>
        <w:lastRenderedPageBreak/>
        <w:t>Aim and definition</w:t>
      </w:r>
      <w:bookmarkEnd w:id="0"/>
    </w:p>
    <w:p w14:paraId="2B4CA6C3" w14:textId="77777777"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High blood pressure is a chronic condition of elevated blood pressure which exerts more pressure on artery walls. Usually symptom-free, which means a person may feel well even as damage occurs in the heart, brain, kidneys and eyes. Routine measurements are more important than relying on symptoms – a headache does not necessarily point to hypertension; and a lack of symptoms does not mean it is safe (NHS, 2024). It is a book about adult supervision in the UK. NICE guidance allows for correct confirmation, cardiovascular risk assessment and continued management, but does not make a single elevated measurement a diagnosis (NICE, 2026).</w:t>
      </w:r>
    </w:p>
    <w:p w14:paraId="4B683D0D" w14:textId="77777777" w:rsidR="009801E7" w:rsidRPr="00D16148" w:rsidRDefault="00000000" w:rsidP="00F345D7">
      <w:pPr>
        <w:pStyle w:val="Heading2"/>
        <w:spacing w:line="360" w:lineRule="auto"/>
        <w:jc w:val="both"/>
        <w:rPr>
          <w:rFonts w:ascii="Arial" w:hAnsi="Arial" w:cs="Arial"/>
          <w:sz w:val="22"/>
          <w:szCs w:val="22"/>
          <w:lang w:val="en-GB"/>
        </w:rPr>
      </w:pPr>
      <w:bookmarkStart w:id="1" w:name="_Toc243645441"/>
      <w:r w:rsidRPr="00D16148">
        <w:rPr>
          <w:rFonts w:ascii="Arial" w:hAnsi="Arial" w:cs="Arial"/>
          <w:sz w:val="22"/>
          <w:szCs w:val="22"/>
          <w:lang w:val="en-GB"/>
        </w:rPr>
        <w:t>Burden and prevalence</w:t>
      </w:r>
      <w:bookmarkEnd w:id="1"/>
    </w:p>
    <w:p w14:paraId="548E14BB" w14:textId="77777777" w:rsidR="00F8169C" w:rsidRPr="00D16148" w:rsidRDefault="00F8169C" w:rsidP="00C42453">
      <w:pPr>
        <w:keepNext/>
        <w:spacing w:line="360" w:lineRule="auto"/>
        <w:jc w:val="center"/>
        <w:rPr>
          <w:rFonts w:ascii="Arial" w:hAnsi="Arial" w:cs="Arial"/>
          <w:sz w:val="22"/>
          <w:lang w:val="en-GB"/>
        </w:rPr>
      </w:pPr>
      <w:r w:rsidRPr="00D16148">
        <w:rPr>
          <w:rFonts w:ascii="Arial" w:hAnsi="Arial" w:cs="Arial"/>
          <w:noProof/>
          <w:sz w:val="22"/>
          <w:lang w:val="en-GB"/>
        </w:rPr>
        <w:drawing>
          <wp:inline distT="0" distB="0" distL="0" distR="0" wp14:anchorId="14D07896" wp14:editId="4498B38C">
            <wp:extent cx="2894589" cy="1657350"/>
            <wp:effectExtent l="0" t="0" r="1270" b="0"/>
            <wp:docPr id="1251466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466211" name=""/>
                    <pic:cNvPicPr/>
                  </pic:nvPicPr>
                  <pic:blipFill>
                    <a:blip r:embed="rId11"/>
                    <a:stretch>
                      <a:fillRect/>
                    </a:stretch>
                  </pic:blipFill>
                  <pic:spPr>
                    <a:xfrm>
                      <a:off x="0" y="0"/>
                      <a:ext cx="2909090" cy="1665653"/>
                    </a:xfrm>
                    <a:prstGeom prst="rect">
                      <a:avLst/>
                    </a:prstGeom>
                  </pic:spPr>
                </pic:pic>
              </a:graphicData>
            </a:graphic>
          </wp:inline>
        </w:drawing>
      </w:r>
    </w:p>
    <w:p w14:paraId="495ED03E" w14:textId="1DD7FE70" w:rsidR="00F8169C" w:rsidRPr="00D16148" w:rsidRDefault="00F8169C" w:rsidP="00C42453">
      <w:pPr>
        <w:pStyle w:val="Caption"/>
        <w:spacing w:line="360" w:lineRule="auto"/>
        <w:jc w:val="center"/>
        <w:rPr>
          <w:rFonts w:ascii="Arial" w:hAnsi="Arial" w:cs="Arial"/>
          <w:sz w:val="22"/>
          <w:szCs w:val="22"/>
          <w:lang w:val="en-GB"/>
        </w:rPr>
      </w:pPr>
      <w:r w:rsidRPr="00D16148">
        <w:rPr>
          <w:rFonts w:ascii="Arial" w:hAnsi="Arial" w:cs="Arial"/>
          <w:sz w:val="22"/>
          <w:szCs w:val="22"/>
          <w:lang w:val="en-GB"/>
        </w:rPr>
        <w:t xml:space="preserve">Figure </w:t>
      </w:r>
      <w:r w:rsidR="00A71ABB" w:rsidRPr="00D16148">
        <w:rPr>
          <w:rFonts w:ascii="Arial" w:hAnsi="Arial" w:cs="Arial"/>
          <w:sz w:val="22"/>
          <w:szCs w:val="22"/>
          <w:lang w:val="en-GB"/>
        </w:rPr>
        <w:fldChar w:fldCharType="begin"/>
      </w:r>
      <w:r w:rsidR="00A71ABB" w:rsidRPr="00D16148">
        <w:rPr>
          <w:rFonts w:ascii="Arial" w:hAnsi="Arial" w:cs="Arial"/>
          <w:sz w:val="22"/>
          <w:szCs w:val="22"/>
          <w:lang w:val="en-GB"/>
        </w:rPr>
        <w:instrText xml:space="preserve"> SEQ Figure \* ARABIC </w:instrText>
      </w:r>
      <w:r w:rsidR="00A71ABB" w:rsidRPr="00D16148">
        <w:rPr>
          <w:rFonts w:ascii="Arial" w:hAnsi="Arial" w:cs="Arial"/>
          <w:sz w:val="22"/>
          <w:szCs w:val="22"/>
          <w:lang w:val="en-GB"/>
        </w:rPr>
        <w:fldChar w:fldCharType="separate"/>
      </w:r>
      <w:r w:rsidR="00A71ABB" w:rsidRPr="00D16148">
        <w:rPr>
          <w:rFonts w:ascii="Arial" w:hAnsi="Arial" w:cs="Arial"/>
          <w:noProof/>
          <w:sz w:val="22"/>
          <w:szCs w:val="22"/>
          <w:lang w:val="en-GB"/>
        </w:rPr>
        <w:t>1</w:t>
      </w:r>
      <w:r w:rsidR="00A71ABB" w:rsidRPr="00D16148">
        <w:rPr>
          <w:rFonts w:ascii="Arial" w:hAnsi="Arial" w:cs="Arial"/>
          <w:noProof/>
          <w:sz w:val="22"/>
          <w:szCs w:val="22"/>
          <w:lang w:val="en-GB"/>
        </w:rPr>
        <w:fldChar w:fldCharType="end"/>
      </w:r>
      <w:r w:rsidRPr="00D16148">
        <w:rPr>
          <w:rFonts w:ascii="Arial" w:hAnsi="Arial" w:cs="Arial"/>
          <w:sz w:val="22"/>
          <w:szCs w:val="22"/>
          <w:lang w:val="en-GB"/>
        </w:rPr>
        <w:t>: Global and regional trends in hypertension diagnosis, treatment and blood pressure control, 1990–2019.</w:t>
      </w:r>
    </w:p>
    <w:p w14:paraId="0DCBCE38" w14:textId="2D0C24F8" w:rsidR="00F8169C" w:rsidRPr="00D16148" w:rsidRDefault="00F8169C" w:rsidP="00C42453">
      <w:pPr>
        <w:spacing w:line="360" w:lineRule="auto"/>
        <w:jc w:val="center"/>
        <w:rPr>
          <w:rFonts w:ascii="Arial" w:hAnsi="Arial" w:cs="Arial"/>
          <w:sz w:val="22"/>
          <w:lang w:val="en-GB"/>
        </w:rPr>
      </w:pPr>
      <w:r w:rsidRPr="00D16148">
        <w:rPr>
          <w:rFonts w:ascii="Arial" w:hAnsi="Arial" w:cs="Arial"/>
          <w:sz w:val="22"/>
          <w:lang w:val="en-GB"/>
        </w:rPr>
        <w:t>Source: (Chaturvedi et al., 2024).</w:t>
      </w:r>
    </w:p>
    <w:p w14:paraId="31FD2E15" w14:textId="1CA1AA5F"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Hypertension is one of the most important and modifiable risk factors for </w:t>
      </w:r>
      <w:r w:rsidRPr="00D16148">
        <w:rPr>
          <w:rFonts w:ascii="Arial" w:hAnsi="Arial" w:cs="Arial"/>
          <w:sz w:val="22"/>
          <w:lang w:val="en-GB"/>
        </w:rPr>
        <w:t>cardiovascular disease and premature death. In 2019, 1.28 billion population-representative studies estimated that there were 1.28 billion adults aged 30-79 who were living with hypertension, and that the treatment and control gaps were high, especially in lower resource settings (NCD-</w:t>
      </w:r>
      <w:proofErr w:type="spellStart"/>
      <w:r w:rsidRPr="00D16148">
        <w:rPr>
          <w:rFonts w:ascii="Arial" w:hAnsi="Arial" w:cs="Arial"/>
          <w:sz w:val="22"/>
          <w:lang w:val="en-GB"/>
        </w:rPr>
        <w:t>RisC</w:t>
      </w:r>
      <w:proofErr w:type="spellEnd"/>
      <w:r w:rsidRPr="00D16148">
        <w:rPr>
          <w:rFonts w:ascii="Arial" w:hAnsi="Arial" w:cs="Arial"/>
          <w:sz w:val="22"/>
          <w:lang w:val="en-GB"/>
        </w:rPr>
        <w:t xml:space="preserve">, 2021). </w:t>
      </w:r>
      <w:r w:rsidR="00E5421B" w:rsidRPr="00D16148">
        <w:rPr>
          <w:rFonts w:ascii="Arial" w:hAnsi="Arial" w:cs="Arial"/>
          <w:sz w:val="22"/>
          <w:lang w:val="en-GB"/>
        </w:rPr>
        <w:t>The problem does not lie only with prevalence – poor screening processes, disruptions in the provision of antihypertensive medication and lack of follow-up cause people to remain undiagnosed and uncontrolled (World Health Organization, 2023). Treatment, therefore, involves screening, availability of antihypertensive drugs and follow-up, not just lifestyle suggestions.</w:t>
      </w:r>
      <w:r w:rsidRPr="00D16148">
        <w:rPr>
          <w:rFonts w:ascii="Arial" w:hAnsi="Arial" w:cs="Arial"/>
          <w:sz w:val="22"/>
          <w:lang w:val="en-GB"/>
        </w:rPr>
        <w:t xml:space="preserve"> They prefer population prevention and consistent primary health, rather than simply lifestyle recommendations.</w:t>
      </w:r>
    </w:p>
    <w:p w14:paraId="5137E9A0" w14:textId="58DD9CE4" w:rsidR="009801E7"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The Health Survey for England 2024 found that for adults aged 16 and over, 30% would have been defined as having hypertension and prevalence would have increased significantly with age (NHS England Digital, 2026). There was also a significant age gradient identified in the 2022 survey, but it was noted that a single survey visit would not provide the continued elevation required for a clinical diagnosis (NHS England Digital, 2024). These do not reflect the number of actual clinical diagnoses. Both, however, refer to missed opportunities for case finding, especially in adults who don't go for regular checkups or believe that being </w:t>
      </w:r>
      <w:r w:rsidRPr="00D16148">
        <w:rPr>
          <w:rFonts w:ascii="Arial" w:hAnsi="Arial" w:cs="Arial"/>
          <w:sz w:val="22"/>
          <w:lang w:val="en-GB"/>
        </w:rPr>
        <w:lastRenderedPageBreak/>
        <w:t>healthy is synonymous with having a healthy blood pressure.</w:t>
      </w:r>
    </w:p>
    <w:p w14:paraId="690A9031" w14:textId="77777777" w:rsidR="009801E7" w:rsidRPr="00D16148" w:rsidRDefault="00000000" w:rsidP="00F345D7">
      <w:pPr>
        <w:pStyle w:val="Heading2"/>
        <w:spacing w:line="360" w:lineRule="auto"/>
        <w:jc w:val="both"/>
        <w:rPr>
          <w:rFonts w:ascii="Arial" w:hAnsi="Arial" w:cs="Arial"/>
          <w:sz w:val="22"/>
          <w:szCs w:val="22"/>
          <w:lang w:val="en-GB"/>
        </w:rPr>
      </w:pPr>
      <w:bookmarkStart w:id="2" w:name="_Toc243645442"/>
      <w:r w:rsidRPr="00D16148">
        <w:rPr>
          <w:rFonts w:ascii="Arial" w:hAnsi="Arial" w:cs="Arial"/>
          <w:sz w:val="22"/>
          <w:szCs w:val="22"/>
          <w:lang w:val="en-GB"/>
        </w:rPr>
        <w:t>Aetiology and risk factors</w:t>
      </w:r>
      <w:bookmarkEnd w:id="2"/>
    </w:p>
    <w:p w14:paraId="6D720525" w14:textId="77777777"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Primary hypertension is the most common type of adult cases, which involves multiple factors rather than a single cause. Risk increases with ageing, family history, excess body weight, excessive salt intake, lack of physical activity, harmful alcohol use, smoking and chronic stress - kidney disease, endocrine disorders and certain medications may be responsible for secondary hypertension and should be investigated (Chaturvedi et al., 2024). Inactivity is important because it works in tandem with diet, sleep, weight and the environment a person is in, not as a personal choice. (World Health Organization, 2020b). Assessment should </w:t>
      </w:r>
      <w:proofErr w:type="gramStart"/>
      <w:r w:rsidRPr="00D16148">
        <w:rPr>
          <w:rFonts w:ascii="Arial" w:hAnsi="Arial" w:cs="Arial"/>
          <w:sz w:val="22"/>
          <w:lang w:val="en-GB"/>
        </w:rPr>
        <w:t>take into account</w:t>
      </w:r>
      <w:proofErr w:type="gramEnd"/>
      <w:r w:rsidRPr="00D16148">
        <w:rPr>
          <w:rFonts w:ascii="Arial" w:hAnsi="Arial" w:cs="Arial"/>
          <w:sz w:val="22"/>
          <w:lang w:val="en-GB"/>
        </w:rPr>
        <w:t xml:space="preserve"> factors including work, affordability of food, mobility, caring responsibilities, medicines or family history; advice needs to be tailored to these.</w:t>
      </w:r>
    </w:p>
    <w:p w14:paraId="62062C98" w14:textId="77777777" w:rsidR="00F62A5C" w:rsidRPr="00D16148" w:rsidRDefault="00F62A5C" w:rsidP="00E27725">
      <w:pPr>
        <w:keepNext/>
        <w:spacing w:line="360" w:lineRule="auto"/>
        <w:jc w:val="center"/>
        <w:rPr>
          <w:rFonts w:ascii="Arial" w:hAnsi="Arial" w:cs="Arial"/>
          <w:sz w:val="22"/>
          <w:lang w:val="en-GB"/>
        </w:rPr>
      </w:pPr>
      <w:r w:rsidRPr="00D16148">
        <w:rPr>
          <w:rFonts w:ascii="Arial" w:hAnsi="Arial" w:cs="Arial"/>
          <w:noProof/>
          <w:sz w:val="22"/>
          <w:lang w:val="en-GB"/>
        </w:rPr>
        <w:drawing>
          <wp:inline distT="0" distB="0" distL="0" distR="0" wp14:anchorId="38C1375C" wp14:editId="2C096415">
            <wp:extent cx="2729852" cy="1563027"/>
            <wp:effectExtent l="0" t="0" r="0" b="0"/>
            <wp:docPr id="1450257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57436" name=""/>
                    <pic:cNvPicPr/>
                  </pic:nvPicPr>
                  <pic:blipFill>
                    <a:blip r:embed="rId12"/>
                    <a:stretch>
                      <a:fillRect/>
                    </a:stretch>
                  </pic:blipFill>
                  <pic:spPr>
                    <a:xfrm>
                      <a:off x="0" y="0"/>
                      <a:ext cx="2761479" cy="1581136"/>
                    </a:xfrm>
                    <a:prstGeom prst="rect">
                      <a:avLst/>
                    </a:prstGeom>
                  </pic:spPr>
                </pic:pic>
              </a:graphicData>
            </a:graphic>
          </wp:inline>
        </w:drawing>
      </w:r>
    </w:p>
    <w:p w14:paraId="1D7A7FB7" w14:textId="26E04038" w:rsidR="00F62A5C" w:rsidRPr="00D16148" w:rsidRDefault="00F62A5C" w:rsidP="00E27725">
      <w:pPr>
        <w:pStyle w:val="Caption"/>
        <w:spacing w:line="360" w:lineRule="auto"/>
        <w:jc w:val="center"/>
        <w:rPr>
          <w:rFonts w:ascii="Arial" w:hAnsi="Arial" w:cs="Arial"/>
          <w:sz w:val="22"/>
          <w:szCs w:val="22"/>
          <w:lang w:val="en-GB"/>
        </w:rPr>
      </w:pPr>
      <w:r w:rsidRPr="00D16148">
        <w:rPr>
          <w:rFonts w:ascii="Arial" w:hAnsi="Arial" w:cs="Arial"/>
          <w:sz w:val="22"/>
          <w:szCs w:val="22"/>
          <w:lang w:val="en-GB"/>
        </w:rPr>
        <w:t xml:space="preserve">Figure </w:t>
      </w:r>
      <w:r w:rsidR="00A71ABB" w:rsidRPr="00D16148">
        <w:rPr>
          <w:rFonts w:ascii="Arial" w:hAnsi="Arial" w:cs="Arial"/>
          <w:sz w:val="22"/>
          <w:szCs w:val="22"/>
          <w:lang w:val="en-GB"/>
        </w:rPr>
        <w:fldChar w:fldCharType="begin"/>
      </w:r>
      <w:r w:rsidR="00A71ABB" w:rsidRPr="00D16148">
        <w:rPr>
          <w:rFonts w:ascii="Arial" w:hAnsi="Arial" w:cs="Arial"/>
          <w:sz w:val="22"/>
          <w:szCs w:val="22"/>
          <w:lang w:val="en-GB"/>
        </w:rPr>
        <w:instrText xml:space="preserve"> SEQ Figure \* ARABIC </w:instrText>
      </w:r>
      <w:r w:rsidR="00A71ABB" w:rsidRPr="00D16148">
        <w:rPr>
          <w:rFonts w:ascii="Arial" w:hAnsi="Arial" w:cs="Arial"/>
          <w:sz w:val="22"/>
          <w:szCs w:val="22"/>
          <w:lang w:val="en-GB"/>
        </w:rPr>
        <w:fldChar w:fldCharType="separate"/>
      </w:r>
      <w:r w:rsidR="00A71ABB" w:rsidRPr="00D16148">
        <w:rPr>
          <w:rFonts w:ascii="Arial" w:hAnsi="Arial" w:cs="Arial"/>
          <w:noProof/>
          <w:sz w:val="22"/>
          <w:szCs w:val="22"/>
          <w:lang w:val="en-GB"/>
        </w:rPr>
        <w:t>2</w:t>
      </w:r>
      <w:r w:rsidR="00A71ABB" w:rsidRPr="00D16148">
        <w:rPr>
          <w:rFonts w:ascii="Arial" w:hAnsi="Arial" w:cs="Arial"/>
          <w:noProof/>
          <w:sz w:val="22"/>
          <w:szCs w:val="22"/>
          <w:lang w:val="en-GB"/>
        </w:rPr>
        <w:fldChar w:fldCharType="end"/>
      </w:r>
      <w:r w:rsidRPr="00D16148">
        <w:rPr>
          <w:rFonts w:ascii="Arial" w:hAnsi="Arial" w:cs="Arial"/>
          <w:sz w:val="22"/>
          <w:szCs w:val="22"/>
          <w:lang w:val="en-GB"/>
        </w:rPr>
        <w:t>:</w:t>
      </w:r>
      <w:r w:rsidR="00D010E2" w:rsidRPr="00D16148">
        <w:rPr>
          <w:rFonts w:ascii="Arial" w:hAnsi="Arial" w:cs="Arial"/>
          <w:sz w:val="22"/>
          <w:szCs w:val="22"/>
          <w:lang w:val="en-GB"/>
        </w:rPr>
        <w:t xml:space="preserve"> </w:t>
      </w:r>
      <w:r w:rsidRPr="00D16148">
        <w:rPr>
          <w:rFonts w:ascii="Arial" w:hAnsi="Arial" w:cs="Arial"/>
          <w:sz w:val="22"/>
          <w:szCs w:val="22"/>
          <w:lang w:val="en-GB"/>
        </w:rPr>
        <w:t xml:space="preserve">Structural, socioeconomic, political and environmental </w:t>
      </w:r>
      <w:r w:rsidRPr="00D16148">
        <w:rPr>
          <w:rFonts w:ascii="Arial" w:hAnsi="Arial" w:cs="Arial"/>
          <w:sz w:val="22"/>
          <w:szCs w:val="22"/>
          <w:lang w:val="en-GB"/>
        </w:rPr>
        <w:t>determinants of hypertension and cardiovascular disease</w:t>
      </w:r>
    </w:p>
    <w:p w14:paraId="59A6B632" w14:textId="77777777" w:rsidR="00A71ABB" w:rsidRPr="00D16148" w:rsidRDefault="00F62A5C" w:rsidP="00E27725">
      <w:pPr>
        <w:spacing w:line="360" w:lineRule="auto"/>
        <w:jc w:val="center"/>
        <w:rPr>
          <w:rFonts w:ascii="Arial" w:hAnsi="Arial" w:cs="Arial"/>
          <w:sz w:val="22"/>
          <w:lang w:val="en-GB"/>
        </w:rPr>
      </w:pPr>
      <w:r w:rsidRPr="00D16148">
        <w:rPr>
          <w:rFonts w:ascii="Arial" w:hAnsi="Arial" w:cs="Arial"/>
          <w:sz w:val="22"/>
          <w:lang w:val="en-GB"/>
        </w:rPr>
        <w:t xml:space="preserve">Source: (Chaturvedi et </w:t>
      </w:r>
      <w:r w:rsidR="00A71ABB" w:rsidRPr="00D16148">
        <w:rPr>
          <w:rFonts w:ascii="Arial" w:hAnsi="Arial" w:cs="Arial"/>
          <w:sz w:val="22"/>
          <w:lang w:val="en-GB"/>
        </w:rPr>
        <w:t>al., 2024).</w:t>
      </w:r>
    </w:p>
    <w:p w14:paraId="4E074077" w14:textId="6BA875ED" w:rsidR="00A71ABB" w:rsidRPr="00D16148" w:rsidRDefault="00A71ABB" w:rsidP="00E27725">
      <w:pPr>
        <w:keepNext/>
        <w:spacing w:line="360" w:lineRule="auto"/>
        <w:jc w:val="center"/>
        <w:rPr>
          <w:rFonts w:ascii="Arial" w:hAnsi="Arial" w:cs="Arial"/>
          <w:sz w:val="22"/>
          <w:lang w:val="en-GB"/>
        </w:rPr>
      </w:pPr>
      <w:r w:rsidRPr="00D16148">
        <w:rPr>
          <w:rFonts w:ascii="Arial" w:hAnsi="Arial" w:cs="Arial"/>
          <w:noProof/>
          <w:sz w:val="22"/>
          <w:lang w:val="en-GB"/>
        </w:rPr>
        <w:drawing>
          <wp:inline distT="0" distB="0" distL="0" distR="0" wp14:anchorId="7CCDF4F9" wp14:editId="3C9EBC92">
            <wp:extent cx="3085106" cy="3123046"/>
            <wp:effectExtent l="0" t="0" r="1270" b="1270"/>
            <wp:docPr id="289578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78681" name=""/>
                    <pic:cNvPicPr/>
                  </pic:nvPicPr>
                  <pic:blipFill>
                    <a:blip r:embed="rId13"/>
                    <a:stretch>
                      <a:fillRect/>
                    </a:stretch>
                  </pic:blipFill>
                  <pic:spPr>
                    <a:xfrm>
                      <a:off x="0" y="0"/>
                      <a:ext cx="3089874" cy="3127873"/>
                    </a:xfrm>
                    <a:prstGeom prst="rect">
                      <a:avLst/>
                    </a:prstGeom>
                  </pic:spPr>
                </pic:pic>
              </a:graphicData>
            </a:graphic>
          </wp:inline>
        </w:drawing>
      </w:r>
    </w:p>
    <w:p w14:paraId="0740F0CC" w14:textId="02B0D688" w:rsidR="00A71ABB" w:rsidRPr="00D16148" w:rsidRDefault="00A71ABB" w:rsidP="00E27725">
      <w:pPr>
        <w:pStyle w:val="Caption"/>
        <w:spacing w:line="360" w:lineRule="auto"/>
        <w:jc w:val="center"/>
        <w:rPr>
          <w:rFonts w:ascii="Arial" w:hAnsi="Arial" w:cs="Arial"/>
          <w:sz w:val="22"/>
          <w:szCs w:val="22"/>
          <w:lang w:val="en-GB"/>
        </w:rPr>
      </w:pPr>
      <w:r w:rsidRPr="00D16148">
        <w:rPr>
          <w:rFonts w:ascii="Arial" w:hAnsi="Arial" w:cs="Arial"/>
          <w:sz w:val="22"/>
          <w:szCs w:val="22"/>
          <w:lang w:val="en-GB"/>
        </w:rPr>
        <w:t xml:space="preserve">Figure </w:t>
      </w:r>
      <w:r w:rsidRPr="00D16148">
        <w:rPr>
          <w:rFonts w:ascii="Arial" w:hAnsi="Arial" w:cs="Arial"/>
          <w:sz w:val="22"/>
          <w:szCs w:val="22"/>
          <w:lang w:val="en-GB"/>
        </w:rPr>
        <w:fldChar w:fldCharType="begin"/>
      </w:r>
      <w:r w:rsidRPr="00D16148">
        <w:rPr>
          <w:rFonts w:ascii="Arial" w:hAnsi="Arial" w:cs="Arial"/>
          <w:sz w:val="22"/>
          <w:szCs w:val="22"/>
          <w:lang w:val="en-GB"/>
        </w:rPr>
        <w:instrText xml:space="preserve"> SEQ Figure \* ARABIC </w:instrText>
      </w:r>
      <w:r w:rsidRPr="00D16148">
        <w:rPr>
          <w:rFonts w:ascii="Arial" w:hAnsi="Arial" w:cs="Arial"/>
          <w:sz w:val="22"/>
          <w:szCs w:val="22"/>
          <w:lang w:val="en-GB"/>
        </w:rPr>
        <w:fldChar w:fldCharType="separate"/>
      </w:r>
      <w:r w:rsidRPr="00D16148">
        <w:rPr>
          <w:rFonts w:ascii="Arial" w:hAnsi="Arial" w:cs="Arial"/>
          <w:noProof/>
          <w:sz w:val="22"/>
          <w:szCs w:val="22"/>
          <w:lang w:val="en-GB"/>
        </w:rPr>
        <w:t>3</w:t>
      </w:r>
      <w:r w:rsidRPr="00D16148">
        <w:rPr>
          <w:rFonts w:ascii="Arial" w:hAnsi="Arial" w:cs="Arial"/>
          <w:noProof/>
          <w:sz w:val="22"/>
          <w:szCs w:val="22"/>
          <w:lang w:val="en-GB"/>
        </w:rPr>
        <w:fldChar w:fldCharType="end"/>
      </w:r>
      <w:r w:rsidRPr="00D16148">
        <w:rPr>
          <w:rFonts w:ascii="Arial" w:hAnsi="Arial" w:cs="Arial"/>
          <w:sz w:val="22"/>
          <w:szCs w:val="22"/>
          <w:lang w:val="en-GB"/>
        </w:rPr>
        <w:t>: Pathophysiology of elevated blood pressure and hypertension</w:t>
      </w:r>
    </w:p>
    <w:p w14:paraId="19B376E5" w14:textId="46757A7B" w:rsidR="00F50954" w:rsidRPr="00D16148" w:rsidRDefault="00C42DF4" w:rsidP="00E27725">
      <w:pPr>
        <w:spacing w:line="360" w:lineRule="auto"/>
        <w:jc w:val="center"/>
        <w:rPr>
          <w:rFonts w:ascii="Arial" w:eastAsiaTheme="majorEastAsia" w:hAnsi="Arial" w:cs="Arial"/>
          <w:b/>
          <w:bCs/>
          <w:sz w:val="22"/>
          <w:lang w:val="en-GB"/>
        </w:rPr>
      </w:pPr>
      <w:r w:rsidRPr="00D16148">
        <w:rPr>
          <w:rFonts w:ascii="Arial" w:hAnsi="Arial" w:cs="Arial"/>
          <w:sz w:val="22"/>
          <w:lang w:val="en-GB"/>
        </w:rPr>
        <w:t>Source: (Chiavaroli et al., 2020).</w:t>
      </w:r>
      <w:r w:rsidR="00F50954" w:rsidRPr="00D16148">
        <w:rPr>
          <w:rFonts w:ascii="Arial" w:hAnsi="Arial" w:cs="Arial"/>
          <w:sz w:val="22"/>
          <w:lang w:val="en-GB"/>
        </w:rPr>
        <w:br w:type="page"/>
      </w:r>
    </w:p>
    <w:p w14:paraId="26E91BEA" w14:textId="19EF7498" w:rsidR="009801E7" w:rsidRPr="00D16148" w:rsidRDefault="00000000" w:rsidP="00F345D7">
      <w:pPr>
        <w:pStyle w:val="Heading1"/>
        <w:spacing w:line="360" w:lineRule="auto"/>
        <w:jc w:val="both"/>
        <w:rPr>
          <w:rFonts w:ascii="Arial" w:hAnsi="Arial" w:cs="Arial"/>
          <w:sz w:val="22"/>
          <w:szCs w:val="22"/>
          <w:lang w:val="en-GB"/>
        </w:rPr>
      </w:pPr>
      <w:bookmarkStart w:id="3" w:name="_Toc243645443"/>
      <w:r w:rsidRPr="00D16148">
        <w:rPr>
          <w:rFonts w:ascii="Arial" w:hAnsi="Arial" w:cs="Arial"/>
          <w:sz w:val="22"/>
          <w:szCs w:val="22"/>
          <w:lang w:val="en-GB"/>
        </w:rPr>
        <w:lastRenderedPageBreak/>
        <w:t>Impact on individuals and families</w:t>
      </w:r>
      <w:bookmarkEnd w:id="3"/>
    </w:p>
    <w:p w14:paraId="1E4C14CC" w14:textId="77777777" w:rsidR="00F50954" w:rsidRPr="00D16148" w:rsidRDefault="00F50954" w:rsidP="00E27725">
      <w:pPr>
        <w:keepNext/>
        <w:spacing w:line="360" w:lineRule="auto"/>
        <w:jc w:val="center"/>
        <w:rPr>
          <w:rFonts w:ascii="Arial" w:hAnsi="Arial" w:cs="Arial"/>
          <w:sz w:val="22"/>
          <w:lang w:val="en-GB"/>
        </w:rPr>
      </w:pPr>
      <w:r w:rsidRPr="00D16148">
        <w:rPr>
          <w:rFonts w:ascii="Arial" w:hAnsi="Arial" w:cs="Arial"/>
          <w:noProof/>
          <w:sz w:val="22"/>
          <w:lang w:val="en-GB"/>
        </w:rPr>
        <w:drawing>
          <wp:inline distT="0" distB="0" distL="0" distR="0" wp14:anchorId="6F804AFD" wp14:editId="13E615F2">
            <wp:extent cx="2857818" cy="1600200"/>
            <wp:effectExtent l="0" t="0" r="0" b="0"/>
            <wp:docPr id="183940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03255" name=""/>
                    <pic:cNvPicPr/>
                  </pic:nvPicPr>
                  <pic:blipFill>
                    <a:blip r:embed="rId14"/>
                    <a:stretch>
                      <a:fillRect/>
                    </a:stretch>
                  </pic:blipFill>
                  <pic:spPr>
                    <a:xfrm>
                      <a:off x="0" y="0"/>
                      <a:ext cx="2875125" cy="1609891"/>
                    </a:xfrm>
                    <a:prstGeom prst="rect">
                      <a:avLst/>
                    </a:prstGeom>
                  </pic:spPr>
                </pic:pic>
              </a:graphicData>
            </a:graphic>
          </wp:inline>
        </w:drawing>
      </w:r>
    </w:p>
    <w:p w14:paraId="2DB5B654" w14:textId="610A368D" w:rsidR="00F50954" w:rsidRPr="00D16148" w:rsidRDefault="00F50954" w:rsidP="00E27725">
      <w:pPr>
        <w:pStyle w:val="Caption"/>
        <w:spacing w:line="360" w:lineRule="auto"/>
        <w:jc w:val="center"/>
        <w:rPr>
          <w:rFonts w:ascii="Arial" w:hAnsi="Arial" w:cs="Arial"/>
          <w:sz w:val="22"/>
          <w:szCs w:val="22"/>
          <w:lang w:val="en-GB"/>
        </w:rPr>
      </w:pPr>
      <w:r w:rsidRPr="00D16148">
        <w:rPr>
          <w:rFonts w:ascii="Arial" w:hAnsi="Arial" w:cs="Arial"/>
          <w:sz w:val="22"/>
          <w:szCs w:val="22"/>
          <w:lang w:val="en-GB"/>
        </w:rPr>
        <w:t xml:space="preserve">Figure </w:t>
      </w:r>
      <w:r w:rsidR="00A71ABB" w:rsidRPr="00D16148">
        <w:rPr>
          <w:rFonts w:ascii="Arial" w:hAnsi="Arial" w:cs="Arial"/>
          <w:sz w:val="22"/>
          <w:szCs w:val="22"/>
          <w:lang w:val="en-GB"/>
        </w:rPr>
        <w:fldChar w:fldCharType="begin"/>
      </w:r>
      <w:r w:rsidR="00A71ABB" w:rsidRPr="00D16148">
        <w:rPr>
          <w:rFonts w:ascii="Arial" w:hAnsi="Arial" w:cs="Arial"/>
          <w:sz w:val="22"/>
          <w:szCs w:val="22"/>
          <w:lang w:val="en-GB"/>
        </w:rPr>
        <w:instrText xml:space="preserve"> SEQ Figure \* ARABIC </w:instrText>
      </w:r>
      <w:r w:rsidR="00A71ABB" w:rsidRPr="00D16148">
        <w:rPr>
          <w:rFonts w:ascii="Arial" w:hAnsi="Arial" w:cs="Arial"/>
          <w:sz w:val="22"/>
          <w:szCs w:val="22"/>
          <w:lang w:val="en-GB"/>
        </w:rPr>
        <w:fldChar w:fldCharType="separate"/>
      </w:r>
      <w:r w:rsidR="00A71ABB" w:rsidRPr="00D16148">
        <w:rPr>
          <w:rFonts w:ascii="Arial" w:hAnsi="Arial" w:cs="Arial"/>
          <w:noProof/>
          <w:sz w:val="22"/>
          <w:szCs w:val="22"/>
          <w:lang w:val="en-GB"/>
        </w:rPr>
        <w:t>4</w:t>
      </w:r>
      <w:r w:rsidR="00A71ABB" w:rsidRPr="00D16148">
        <w:rPr>
          <w:rFonts w:ascii="Arial" w:hAnsi="Arial" w:cs="Arial"/>
          <w:noProof/>
          <w:sz w:val="22"/>
          <w:szCs w:val="22"/>
          <w:lang w:val="en-GB"/>
        </w:rPr>
        <w:fldChar w:fldCharType="end"/>
      </w:r>
      <w:r w:rsidRPr="00D16148">
        <w:rPr>
          <w:rFonts w:ascii="Arial" w:hAnsi="Arial" w:cs="Arial"/>
          <w:sz w:val="22"/>
          <w:szCs w:val="22"/>
          <w:lang w:val="en-GB"/>
        </w:rPr>
        <w:t>: Estimated age-adjusted cardiovascular disease mortality rates in the United States by racial group, 2000–2019.</w:t>
      </w:r>
    </w:p>
    <w:p w14:paraId="5E8FF2F7" w14:textId="7D957D83" w:rsidR="00F50954" w:rsidRPr="00D16148" w:rsidRDefault="00F50954" w:rsidP="00E27725">
      <w:pPr>
        <w:spacing w:line="360" w:lineRule="auto"/>
        <w:jc w:val="center"/>
        <w:rPr>
          <w:rFonts w:ascii="Arial" w:hAnsi="Arial" w:cs="Arial"/>
          <w:sz w:val="22"/>
          <w:lang w:val="en-GB"/>
        </w:rPr>
      </w:pPr>
      <w:r w:rsidRPr="00D16148">
        <w:rPr>
          <w:rFonts w:ascii="Arial" w:hAnsi="Arial" w:cs="Arial"/>
          <w:sz w:val="22"/>
          <w:lang w:val="en-GB"/>
        </w:rPr>
        <w:t>Source: (Chaturvedi et al., 2024).</w:t>
      </w:r>
    </w:p>
    <w:p w14:paraId="57E0AF48" w14:textId="77777777" w:rsidR="009801E7" w:rsidRPr="00D16148" w:rsidRDefault="00000000" w:rsidP="00F345D7">
      <w:pPr>
        <w:pStyle w:val="Heading2"/>
        <w:spacing w:line="360" w:lineRule="auto"/>
        <w:jc w:val="both"/>
        <w:rPr>
          <w:rFonts w:ascii="Arial" w:hAnsi="Arial" w:cs="Arial"/>
          <w:sz w:val="22"/>
          <w:szCs w:val="22"/>
          <w:lang w:val="en-GB"/>
        </w:rPr>
      </w:pPr>
      <w:bookmarkStart w:id="4" w:name="_Toc243645444"/>
      <w:r w:rsidRPr="00D16148">
        <w:rPr>
          <w:rFonts w:ascii="Arial" w:hAnsi="Arial" w:cs="Arial"/>
          <w:sz w:val="22"/>
          <w:szCs w:val="22"/>
          <w:lang w:val="en-GB"/>
        </w:rPr>
        <w:t>Physical consequences</w:t>
      </w:r>
      <w:bookmarkEnd w:id="4"/>
    </w:p>
    <w:p w14:paraId="6F3FFFB6" w14:textId="00F7AEB6"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If someone has high blood pressure, blood vessels are damaged, and the chances of stroke, coronary heart disease, heart failure, chronic kidney disease and vascular cognitive impairment are increased. Blood pressure and cardiovascular risk is not linear; risk can increase before the BP reaches a diagnostic threshold level, and decisions should be based on total risk and organ damage and not the number alone (European Society of Cardiology, 2024). NICE recommends that renal function is assessed and urine albumin, glucose, lipids, retinal changes and electrocardiographic evidence (where appropriate) are assessed as these can impact on the urgency and treatment choice (NICE, 2023). A lack of control can </w:t>
      </w:r>
      <w:r w:rsidRPr="00D16148">
        <w:rPr>
          <w:rFonts w:ascii="Arial" w:hAnsi="Arial" w:cs="Arial"/>
          <w:sz w:val="22"/>
          <w:lang w:val="en-GB"/>
        </w:rPr>
        <w:t xml:space="preserve">cause stroke or kidney disorders that decrease the independence of </w:t>
      </w:r>
      <w:r w:rsidR="00E27725" w:rsidRPr="00D16148">
        <w:rPr>
          <w:rFonts w:ascii="Arial" w:hAnsi="Arial" w:cs="Arial"/>
          <w:sz w:val="22"/>
          <w:lang w:val="en-GB"/>
        </w:rPr>
        <w:t>individuals and</w:t>
      </w:r>
      <w:r w:rsidRPr="00D16148">
        <w:rPr>
          <w:rFonts w:ascii="Arial" w:hAnsi="Arial" w:cs="Arial"/>
          <w:sz w:val="22"/>
          <w:lang w:val="en-GB"/>
        </w:rPr>
        <w:t xml:space="preserve"> increase the need for family members and community services.</w:t>
      </w:r>
    </w:p>
    <w:p w14:paraId="679A5AAB" w14:textId="77777777" w:rsidR="009801E7" w:rsidRPr="00D16148" w:rsidRDefault="00000000" w:rsidP="00F345D7">
      <w:pPr>
        <w:pStyle w:val="Heading2"/>
        <w:spacing w:line="360" w:lineRule="auto"/>
        <w:jc w:val="both"/>
        <w:rPr>
          <w:rFonts w:ascii="Arial" w:hAnsi="Arial" w:cs="Arial"/>
          <w:sz w:val="22"/>
          <w:szCs w:val="22"/>
          <w:lang w:val="en-GB"/>
        </w:rPr>
      </w:pPr>
      <w:bookmarkStart w:id="5" w:name="_Toc243645445"/>
      <w:r w:rsidRPr="00D16148">
        <w:rPr>
          <w:rFonts w:ascii="Arial" w:hAnsi="Arial" w:cs="Arial"/>
          <w:sz w:val="22"/>
          <w:szCs w:val="22"/>
          <w:lang w:val="en-GB"/>
        </w:rPr>
        <w:t>Psychological, social and family consequences</w:t>
      </w:r>
      <w:bookmarkEnd w:id="5"/>
    </w:p>
    <w:p w14:paraId="45F1FD41" w14:textId="6DFBF443"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An undiagnostic symptom can lead to a unique self-management challenge: When people feel the same as they did when they first started using the medication, why should they need to take tablets for life or undergo repeated testing? The nonadherence of antihypertensive medication (ATM) is prevalent and has been shown to be linked to suboptimal control, though with varying degrees depending on country and the method of assessment used (Lee et al., 2022). Families can assist in routines, appointments, shopping and interpreting readings, but should not be forced. There is also evidence from the UK for multiple </w:t>
      </w:r>
      <w:r w:rsidR="00C87931" w:rsidRPr="00D16148">
        <w:rPr>
          <w:rFonts w:ascii="Arial" w:hAnsi="Arial" w:cs="Arial"/>
          <w:sz w:val="22"/>
          <w:lang w:val="en-GB"/>
        </w:rPr>
        <w:t>long-term</w:t>
      </w:r>
      <w:r w:rsidRPr="00D16148">
        <w:rPr>
          <w:rFonts w:ascii="Arial" w:hAnsi="Arial" w:cs="Arial"/>
          <w:sz w:val="22"/>
          <w:lang w:val="en-GB"/>
        </w:rPr>
        <w:t xml:space="preserve"> conditions, where some minoritised ethnic groups experience inequities in illness burden at an earlier age, thus highlighting the need for continuity and culturally responsive communication (</w:t>
      </w:r>
      <w:proofErr w:type="spellStart"/>
      <w:r w:rsidRPr="00D16148">
        <w:rPr>
          <w:rFonts w:ascii="Arial" w:hAnsi="Arial" w:cs="Arial"/>
          <w:sz w:val="22"/>
          <w:lang w:val="en-GB"/>
        </w:rPr>
        <w:t>Hayanga</w:t>
      </w:r>
      <w:proofErr w:type="spellEnd"/>
      <w:r w:rsidRPr="00D16148">
        <w:rPr>
          <w:rFonts w:ascii="Arial" w:hAnsi="Arial" w:cs="Arial"/>
          <w:sz w:val="22"/>
          <w:lang w:val="en-GB"/>
        </w:rPr>
        <w:t xml:space="preserve"> et al., 2023). Clinicians should inquire about anxiety, explore and discuss barriers without assuming the missed doses were an error in judgment.</w:t>
      </w:r>
    </w:p>
    <w:p w14:paraId="229BB8D5" w14:textId="77777777" w:rsidR="009801E7" w:rsidRPr="00D16148" w:rsidRDefault="00000000" w:rsidP="00F345D7">
      <w:pPr>
        <w:pStyle w:val="Heading2"/>
        <w:spacing w:line="360" w:lineRule="auto"/>
        <w:jc w:val="both"/>
        <w:rPr>
          <w:rFonts w:ascii="Arial" w:hAnsi="Arial" w:cs="Arial"/>
          <w:sz w:val="22"/>
          <w:szCs w:val="22"/>
          <w:lang w:val="en-GB"/>
        </w:rPr>
      </w:pPr>
      <w:bookmarkStart w:id="6" w:name="_Toc243645446"/>
      <w:r w:rsidRPr="00D16148">
        <w:rPr>
          <w:rFonts w:ascii="Arial" w:hAnsi="Arial" w:cs="Arial"/>
          <w:sz w:val="22"/>
          <w:szCs w:val="22"/>
          <w:lang w:val="en-GB"/>
        </w:rPr>
        <w:lastRenderedPageBreak/>
        <w:t>Diagnosis and clinical assessment</w:t>
      </w:r>
      <w:bookmarkEnd w:id="6"/>
    </w:p>
    <w:p w14:paraId="227023F9" w14:textId="77777777"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Blood pressure readings consist of the pressure that the blood exerts on the blood vessels during contraction (systolic pressure) and the pressure during relaxation (diastolic pressure). In UK practice, a clinic reading of 140/90 or more is likely to lead to further confirmation rather than lead to a diagnosis and, according to the NHS, in the UK hypertension is generally diagnosed with a blood pressure reading of 140/90 mmHg in the clinic or 135/85 on average from home readings (NHS, 2025). For most people whose clinic blood pressure is in the range 140/90 to 180/120, NICE recommends that their blood pressure is measured in both arms and repeated readings should be taken, and for those who cannot take ambulatory readings, home monitoring is an alternative (NICE, 2026). Use of a cuff of the proper size, seat rest position and a validated device reduces errors. If there are severe readings with chest pain, confusion, breathlessness or new neurological symptoms, immediate evaluation is required.</w:t>
      </w:r>
    </w:p>
    <w:p w14:paraId="0714A8AA" w14:textId="77777777" w:rsidR="009801E7" w:rsidRPr="00D16148" w:rsidRDefault="00000000" w:rsidP="00E27725">
      <w:pPr>
        <w:spacing w:line="360" w:lineRule="auto"/>
        <w:jc w:val="center"/>
        <w:rPr>
          <w:rFonts w:ascii="Arial" w:hAnsi="Arial" w:cs="Arial"/>
          <w:sz w:val="22"/>
          <w:lang w:val="en-GB"/>
        </w:rPr>
      </w:pPr>
      <w:r w:rsidRPr="00D16148">
        <w:rPr>
          <w:rFonts w:ascii="Arial" w:hAnsi="Arial" w:cs="Arial"/>
          <w:noProof/>
          <w:sz w:val="22"/>
          <w:lang w:val="en-GB"/>
        </w:rPr>
        <w:drawing>
          <wp:inline distT="0" distB="0" distL="0" distR="0" wp14:anchorId="3D726A78" wp14:editId="5C7728F3">
            <wp:extent cx="2810786" cy="78702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ypertension_management_pathway.png"/>
                    <pic:cNvPicPr/>
                  </pic:nvPicPr>
                  <pic:blipFill>
                    <a:blip r:embed="rId15"/>
                    <a:stretch>
                      <a:fillRect/>
                    </a:stretch>
                  </pic:blipFill>
                  <pic:spPr>
                    <a:xfrm>
                      <a:off x="0" y="0"/>
                      <a:ext cx="2834047" cy="793533"/>
                    </a:xfrm>
                    <a:prstGeom prst="rect">
                      <a:avLst/>
                    </a:prstGeom>
                  </pic:spPr>
                </pic:pic>
              </a:graphicData>
            </a:graphic>
          </wp:inline>
        </w:drawing>
      </w:r>
    </w:p>
    <w:p w14:paraId="3E97250D" w14:textId="77777777" w:rsidR="009801E7" w:rsidRPr="00D16148" w:rsidRDefault="00000000" w:rsidP="00E27725">
      <w:pPr>
        <w:spacing w:line="360" w:lineRule="auto"/>
        <w:jc w:val="center"/>
        <w:rPr>
          <w:rFonts w:ascii="Arial" w:hAnsi="Arial" w:cs="Arial"/>
          <w:sz w:val="22"/>
          <w:lang w:val="en-GB"/>
        </w:rPr>
      </w:pPr>
      <w:r w:rsidRPr="00D16148">
        <w:rPr>
          <w:rFonts w:ascii="Arial" w:hAnsi="Arial" w:cs="Arial"/>
          <w:i/>
          <w:sz w:val="22"/>
          <w:lang w:val="en-GB"/>
        </w:rPr>
        <w:t xml:space="preserve">Figure 1. Person-centred hypertension management cycle. Source: author synthesis based on guidance from (NICE, </w:t>
      </w:r>
      <w:r w:rsidRPr="00D16148">
        <w:rPr>
          <w:rFonts w:ascii="Arial" w:hAnsi="Arial" w:cs="Arial"/>
          <w:i/>
          <w:sz w:val="22"/>
          <w:lang w:val="en-GB"/>
        </w:rPr>
        <w:t>2026) and (World Health Organization, 2021b).</w:t>
      </w:r>
    </w:p>
    <w:p w14:paraId="47752C67" w14:textId="77777777" w:rsidR="009801E7" w:rsidRPr="00D16148" w:rsidRDefault="00000000" w:rsidP="00F345D7">
      <w:pPr>
        <w:pStyle w:val="Heading1"/>
        <w:spacing w:line="360" w:lineRule="auto"/>
        <w:jc w:val="both"/>
        <w:rPr>
          <w:rFonts w:ascii="Arial" w:hAnsi="Arial" w:cs="Arial"/>
          <w:sz w:val="22"/>
          <w:szCs w:val="22"/>
          <w:lang w:val="en-GB"/>
        </w:rPr>
      </w:pPr>
      <w:bookmarkStart w:id="7" w:name="_Toc243645447"/>
      <w:r w:rsidRPr="00D16148">
        <w:rPr>
          <w:rFonts w:ascii="Arial" w:hAnsi="Arial" w:cs="Arial"/>
          <w:sz w:val="22"/>
          <w:szCs w:val="22"/>
          <w:lang w:val="en-GB"/>
        </w:rPr>
        <w:t>Evidence-based treatment available through the NHS</w:t>
      </w:r>
      <w:bookmarkEnd w:id="7"/>
    </w:p>
    <w:p w14:paraId="75354C99" w14:textId="77777777" w:rsidR="009801E7" w:rsidRPr="00D16148" w:rsidRDefault="00000000" w:rsidP="00F345D7">
      <w:pPr>
        <w:pStyle w:val="Heading2"/>
        <w:spacing w:line="360" w:lineRule="auto"/>
        <w:jc w:val="both"/>
        <w:rPr>
          <w:rFonts w:ascii="Arial" w:hAnsi="Arial" w:cs="Arial"/>
          <w:sz w:val="22"/>
          <w:szCs w:val="22"/>
          <w:lang w:val="en-GB"/>
        </w:rPr>
      </w:pPr>
      <w:bookmarkStart w:id="8" w:name="_Toc243645448"/>
      <w:r w:rsidRPr="00D16148">
        <w:rPr>
          <w:rFonts w:ascii="Arial" w:hAnsi="Arial" w:cs="Arial"/>
          <w:sz w:val="22"/>
          <w:szCs w:val="22"/>
          <w:lang w:val="en-GB"/>
        </w:rPr>
        <w:t>Medication and review</w:t>
      </w:r>
      <w:bookmarkEnd w:id="8"/>
    </w:p>
    <w:p w14:paraId="6091F1C0" w14:textId="5A0B712A"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Treatment is based on lifestyle support and, if necessary, blood pressure, age, cardiovascular risk, organ damage, comorbidity and the person's preferences. NICE recommends considering drug treatment for persistent stage 1 hypertension with additional risk factors or organ damage; and treatment for stage 2 hypertension – thresholds and targets need to be tailored for frailty and multimorbidity (NICE, 2026). WHO recommendations also recommend protocol-based pharmacologic treatment following diagnosis and </w:t>
      </w:r>
      <w:r w:rsidR="007827C6" w:rsidRPr="00D16148">
        <w:rPr>
          <w:rFonts w:ascii="Arial" w:hAnsi="Arial" w:cs="Arial"/>
          <w:sz w:val="22"/>
          <w:lang w:val="en-GB"/>
        </w:rPr>
        <w:t>counselling</w:t>
      </w:r>
      <w:r w:rsidRPr="00D16148">
        <w:rPr>
          <w:rFonts w:ascii="Arial" w:hAnsi="Arial" w:cs="Arial"/>
          <w:sz w:val="22"/>
          <w:lang w:val="en-GB"/>
        </w:rPr>
        <w:t xml:space="preserve"> on lifestyle changes, including periodic check-ups for side effects and effectiveness of treatment (World Health Organization, 2021a). First line treatment includes an ACE inhibitor/angiotensin receptor blocker, calcium-channel blocker, thiazide-like diuretic depending on age, ethnicity, diabetes status and tolerability. Patients are not to alter their prescribed drugs without the advice of a prescriber.</w:t>
      </w:r>
    </w:p>
    <w:p w14:paraId="700840AF" w14:textId="77777777"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It is preferable to review, rather than prescribe automatically. The clinical team should ensure that the blood pressure is measured, that the patient has had a home reading, and that the dose has been </w:t>
      </w:r>
      <w:r w:rsidRPr="00D16148">
        <w:rPr>
          <w:rFonts w:ascii="Arial" w:hAnsi="Arial" w:cs="Arial"/>
          <w:sz w:val="22"/>
          <w:lang w:val="en-GB"/>
        </w:rPr>
        <w:lastRenderedPageBreak/>
        <w:t>optimised, that the patient hasn't missed doses, that there are no side effects to consider, that there are no interacting medicines to consider, and that there might be a secondary cause for the high blood pressure before adding another medicine. These should be established by the clinical team before escalating treatment (NICE, 2026). Three practice-oriented elements of successful, large-scale hypertension control were identified during the programme review conducted by WHO across countries: standardised protocols, reliable medicine supply, and team-based care, as well as routine quality monitoring (World Health Organization, 2020a). Medication Review should include benefits, side effects, steps to take if doses are missed, and blood tests needed. In suitable cases, rationalise drug administration and synchronise repeat prescribing to enable issues to be raised early.</w:t>
      </w:r>
    </w:p>
    <w:p w14:paraId="2A56FAFB" w14:textId="77777777" w:rsidR="00EB23D0" w:rsidRPr="00D16148" w:rsidRDefault="00EB23D0" w:rsidP="00F345D7">
      <w:pPr>
        <w:spacing w:line="360" w:lineRule="auto"/>
        <w:rPr>
          <w:rFonts w:ascii="Arial" w:eastAsiaTheme="majorEastAsia" w:hAnsi="Arial" w:cs="Arial"/>
          <w:b/>
          <w:bCs/>
          <w:sz w:val="22"/>
          <w:lang w:val="en-GB"/>
        </w:rPr>
      </w:pPr>
      <w:r w:rsidRPr="00D16148">
        <w:rPr>
          <w:rFonts w:ascii="Arial" w:hAnsi="Arial" w:cs="Arial"/>
          <w:sz w:val="22"/>
          <w:lang w:val="en-GB"/>
        </w:rPr>
        <w:br w:type="page"/>
      </w:r>
    </w:p>
    <w:p w14:paraId="2EEFD9C3" w14:textId="2C614313" w:rsidR="009801E7" w:rsidRPr="00D16148" w:rsidRDefault="00000000" w:rsidP="00F345D7">
      <w:pPr>
        <w:pStyle w:val="Heading2"/>
        <w:spacing w:line="360" w:lineRule="auto"/>
        <w:jc w:val="both"/>
        <w:rPr>
          <w:rFonts w:ascii="Arial" w:hAnsi="Arial" w:cs="Arial"/>
          <w:sz w:val="22"/>
          <w:szCs w:val="22"/>
          <w:lang w:val="en-GB"/>
        </w:rPr>
      </w:pPr>
      <w:bookmarkStart w:id="9" w:name="_Toc243645449"/>
      <w:r w:rsidRPr="00D16148">
        <w:rPr>
          <w:rFonts w:ascii="Arial" w:hAnsi="Arial" w:cs="Arial"/>
          <w:sz w:val="22"/>
          <w:szCs w:val="22"/>
          <w:lang w:val="en-GB"/>
        </w:rPr>
        <w:lastRenderedPageBreak/>
        <w:t>Lifestyle changes that complement medication</w:t>
      </w:r>
      <w:bookmarkEnd w:id="9"/>
    </w:p>
    <w:p w14:paraId="39355F86" w14:textId="31C14471" w:rsidR="00EB23D0"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Dietary change can reduce </w:t>
      </w:r>
      <w:r w:rsidR="00AC5166" w:rsidRPr="00D16148">
        <w:rPr>
          <w:rFonts w:ascii="Arial" w:hAnsi="Arial" w:cs="Arial"/>
          <w:sz w:val="22"/>
          <w:lang w:val="en-GB"/>
        </w:rPr>
        <w:t>BP but</w:t>
      </w:r>
      <w:r w:rsidRPr="00D16148">
        <w:rPr>
          <w:rFonts w:ascii="Arial" w:hAnsi="Arial" w:cs="Arial"/>
          <w:sz w:val="22"/>
          <w:lang w:val="en-GB"/>
        </w:rPr>
        <w:t xml:space="preserve"> must be tailored and budget friendly. A systematic review of RCTs showed that a DASH-type diet (high in vegetables, fruits, whole grains and less fat from dairy foods) was effective in lowering both systolic and diastolic blood pressure relative to control diets, but effects varied across studies (Guo et al., 2021). A second systematic review also concluded that DASH dietary pattern was </w:t>
      </w:r>
      <w:r w:rsidR="00AC5166" w:rsidRPr="00D16148">
        <w:rPr>
          <w:rFonts w:ascii="Arial" w:hAnsi="Arial" w:cs="Arial"/>
          <w:sz w:val="22"/>
          <w:lang w:val="en-GB"/>
        </w:rPr>
        <w:t>beneficial but</w:t>
      </w:r>
      <w:r w:rsidRPr="00D16148">
        <w:rPr>
          <w:rFonts w:ascii="Arial" w:hAnsi="Arial" w:cs="Arial"/>
          <w:sz w:val="22"/>
          <w:lang w:val="en-GB"/>
        </w:rPr>
        <w:t xml:space="preserve"> commented on the variation in trial study design and patient population (Chiavaroli et al., 2020). Another meta-analysis of 133 trials with 12,197 people showed that decreasing sodium intake had a beneficial effect on blood pressure on average, and that it is important to read labels and limit processed foods and table salt (He et al., 2020). Frozen vegetables and beans, lentils, and home-prepared meals are affordable options. Kidney disease and medication that increase potassium may make salt substitutes containing potassium unsafe; see medical advice.</w:t>
      </w:r>
    </w:p>
    <w:p w14:paraId="0A8B27F1" w14:textId="4FF2B046" w:rsidR="009801E7" w:rsidRPr="00D16148" w:rsidRDefault="00EB23D0" w:rsidP="00F345D7">
      <w:pPr>
        <w:spacing w:line="360" w:lineRule="auto"/>
        <w:rPr>
          <w:rFonts w:ascii="Arial" w:hAnsi="Arial" w:cs="Arial"/>
          <w:sz w:val="22"/>
          <w:lang w:val="en-GB"/>
        </w:rPr>
      </w:pPr>
      <w:r w:rsidRPr="00D16148">
        <w:rPr>
          <w:rFonts w:ascii="Arial" w:hAnsi="Arial" w:cs="Arial"/>
          <w:sz w:val="22"/>
          <w:lang w:val="en-GB"/>
        </w:rPr>
        <w:t xml:space="preserve">Physical activity helps to lower blood pressure, maintain a healthy weight, sleep and mental health; the World Health Organization (WHO) guidelines for adults are to be active for 150 – 300 minutes of moderate-intensity aerobic activity per week, depending on ability and health status (World Health Organization, </w:t>
      </w:r>
      <w:r w:rsidRPr="00D16148">
        <w:rPr>
          <w:rFonts w:ascii="Arial" w:hAnsi="Arial" w:cs="Arial"/>
          <w:sz w:val="22"/>
          <w:lang w:val="en-GB"/>
        </w:rPr>
        <w:t>2020b). A meta-analysis of RCTs revealed that exercise reduced SBP, DBP, and some measures of vascular function, but the results were inconsistent among the different types of exercise and study designs (Zhou et al., 2022). There is also some evidence for benefits from high-intensity intervals training compared with continuous training; however, the best programme has yet to be determined (Li et al., 2022). Walking, cycling, swimming (or chair-based activity) may be modified. Tackle pain, disability, safety, caring and confidence—not inactivity.</w:t>
      </w:r>
    </w:p>
    <w:p w14:paraId="1787FAD5" w14:textId="77777777" w:rsidR="009801E7" w:rsidRPr="00D16148" w:rsidRDefault="00000000" w:rsidP="00F345D7">
      <w:pPr>
        <w:pStyle w:val="Heading1"/>
        <w:spacing w:line="360" w:lineRule="auto"/>
        <w:jc w:val="both"/>
        <w:rPr>
          <w:rFonts w:ascii="Arial" w:hAnsi="Arial" w:cs="Arial"/>
          <w:sz w:val="22"/>
          <w:szCs w:val="22"/>
          <w:lang w:val="en-GB"/>
        </w:rPr>
      </w:pPr>
      <w:bookmarkStart w:id="10" w:name="_Toc243645450"/>
      <w:r w:rsidRPr="00D16148">
        <w:rPr>
          <w:rFonts w:ascii="Arial" w:hAnsi="Arial" w:cs="Arial"/>
          <w:sz w:val="22"/>
          <w:szCs w:val="22"/>
          <w:lang w:val="en-GB"/>
        </w:rPr>
        <w:t>Theoretical models for better outcomes</w:t>
      </w:r>
      <w:bookmarkEnd w:id="10"/>
    </w:p>
    <w:p w14:paraId="56AE6C48" w14:textId="77777777" w:rsidR="009801E7" w:rsidRPr="00D16148" w:rsidRDefault="00000000" w:rsidP="00F345D7">
      <w:pPr>
        <w:pStyle w:val="Heading2"/>
        <w:spacing w:line="360" w:lineRule="auto"/>
        <w:jc w:val="both"/>
        <w:rPr>
          <w:rFonts w:ascii="Arial" w:hAnsi="Arial" w:cs="Arial"/>
          <w:sz w:val="22"/>
          <w:szCs w:val="22"/>
          <w:lang w:val="en-GB"/>
        </w:rPr>
      </w:pPr>
      <w:bookmarkStart w:id="11" w:name="_Toc243645451"/>
      <w:r w:rsidRPr="00D16148">
        <w:rPr>
          <w:rFonts w:ascii="Arial" w:hAnsi="Arial" w:cs="Arial"/>
          <w:sz w:val="22"/>
          <w:szCs w:val="22"/>
          <w:lang w:val="en-GB"/>
        </w:rPr>
        <w:t>UK model: House of Care and personalised care</w:t>
      </w:r>
      <w:bookmarkEnd w:id="11"/>
    </w:p>
    <w:p w14:paraId="5A8AB5D6" w14:textId="77777777" w:rsidR="00E57BDF" w:rsidRPr="00D16148" w:rsidRDefault="00E57BDF" w:rsidP="00F345D7">
      <w:pPr>
        <w:spacing w:line="360" w:lineRule="auto"/>
        <w:rPr>
          <w:rFonts w:ascii="Arial" w:hAnsi="Arial" w:cs="Arial"/>
          <w:sz w:val="22"/>
          <w:lang w:val="en-GB"/>
        </w:rPr>
      </w:pPr>
      <w:r w:rsidRPr="00D16148">
        <w:rPr>
          <w:rFonts w:ascii="Arial" w:hAnsi="Arial" w:cs="Arial"/>
          <w:sz w:val="22"/>
          <w:lang w:val="en-GB"/>
        </w:rPr>
        <w:t xml:space="preserve">The House of Care framework is a useful one that places an informed, engaged person and dedicated health professionals in organisational support and commissioning frameworks in the UK. In the context of hypertension, it involves co-creating a desired outcome with the individual, developing a realistic plan with the person, giving someone access to trustworthy information, and planning a review rather than waiting for a problem to arise. Shared decision making is guidance from NICE which outlines a decision as being a 'collaborative conversation about options, benefits, risks and personal priorities', particularly relevant where treatment may be long-term (NICE, 2021). The guidance on personalised care and </w:t>
      </w:r>
      <w:r w:rsidRPr="00D16148">
        <w:rPr>
          <w:rFonts w:ascii="Arial" w:hAnsi="Arial" w:cs="Arial"/>
          <w:sz w:val="22"/>
          <w:lang w:val="en-GB"/>
        </w:rPr>
        <w:lastRenderedPageBreak/>
        <w:t>support planning from NHS England also highlights priorities based on the person's life, family circumstances and strengths and resources (NHS England, 2023). Requires scheduling time, trained personnel, consistency and availability of interpretation.</w:t>
      </w:r>
    </w:p>
    <w:p w14:paraId="61BA9C7E" w14:textId="166EC72F" w:rsidR="009801E7" w:rsidRPr="00D16148" w:rsidRDefault="00E57BDF" w:rsidP="00F345D7">
      <w:pPr>
        <w:spacing w:line="360" w:lineRule="auto"/>
        <w:rPr>
          <w:rFonts w:ascii="Arial" w:hAnsi="Arial" w:cs="Arial"/>
          <w:sz w:val="22"/>
          <w:lang w:val="en-GB"/>
        </w:rPr>
      </w:pPr>
      <w:r w:rsidRPr="00D16148">
        <w:rPr>
          <w:rFonts w:ascii="Arial" w:hAnsi="Arial" w:cs="Arial"/>
          <w:sz w:val="22"/>
          <w:lang w:val="en-GB"/>
        </w:rPr>
        <w:t>The House of Care also makes it possible to reveal the distinction between providing a service and allowing someone to use it. A plan should include the individual's goal and medicines, their consented lifestyle changes, preferred method of contact, monitoring plan and escalation plan; a family member or carer should only be involved with consent. NHS England's Core20PLUS5 approach prioritises hypertension case-finding and optimal management as a key focus of reducing avoidable cardiovascular harm for underserved populations (NHS England, 2021a). The NHS personalised care plan standard provides for information to be shared between sections of the care team, rather than the person repeatedly reliving their history (NHS England, 2021c). Review that plans are not uploaded but understood and reviewed.</w:t>
      </w:r>
    </w:p>
    <w:p w14:paraId="4F126B82" w14:textId="77777777" w:rsidR="009801E7" w:rsidRPr="00D16148" w:rsidRDefault="00000000" w:rsidP="00F345D7">
      <w:pPr>
        <w:pStyle w:val="Heading2"/>
        <w:spacing w:line="360" w:lineRule="auto"/>
        <w:jc w:val="both"/>
        <w:rPr>
          <w:rFonts w:ascii="Arial" w:hAnsi="Arial" w:cs="Arial"/>
          <w:sz w:val="22"/>
          <w:szCs w:val="22"/>
          <w:lang w:val="en-GB"/>
        </w:rPr>
      </w:pPr>
      <w:bookmarkStart w:id="12" w:name="_Toc243645452"/>
      <w:r w:rsidRPr="00D16148">
        <w:rPr>
          <w:rFonts w:ascii="Arial" w:hAnsi="Arial" w:cs="Arial"/>
          <w:sz w:val="22"/>
          <w:szCs w:val="22"/>
          <w:lang w:val="en-GB"/>
        </w:rPr>
        <w:t>International model: Chronic Care Model</w:t>
      </w:r>
      <w:bookmarkEnd w:id="12"/>
    </w:p>
    <w:p w14:paraId="541C17DF" w14:textId="77777777" w:rsidR="00E57BDF" w:rsidRPr="00D16148" w:rsidRDefault="00E57BDF" w:rsidP="00F345D7">
      <w:pPr>
        <w:spacing w:line="360" w:lineRule="auto"/>
        <w:rPr>
          <w:rFonts w:ascii="Arial" w:hAnsi="Arial" w:cs="Arial"/>
          <w:sz w:val="22"/>
          <w:lang w:val="en-GB"/>
        </w:rPr>
      </w:pPr>
      <w:r w:rsidRPr="00D16148">
        <w:rPr>
          <w:rFonts w:ascii="Arial" w:hAnsi="Arial" w:cs="Arial"/>
          <w:sz w:val="22"/>
          <w:lang w:val="en-GB"/>
        </w:rPr>
        <w:t xml:space="preserve">The Chronic Care Model (CCM) provides an international system-level viewpoint: better outcomes emerge when the right multidisciplinary team meets the right informed, active patient, aided by the right </w:t>
      </w:r>
      <w:r w:rsidRPr="00D16148">
        <w:rPr>
          <w:rFonts w:ascii="Arial" w:hAnsi="Arial" w:cs="Arial"/>
          <w:sz w:val="22"/>
          <w:lang w:val="en-GB"/>
        </w:rPr>
        <w:t>community resources, decision support, delivery system design, self-management support, and clinical information systems, working together in a productive fashion. Modest but statistically significant reductions in systolic and diastolic blood pressure among adults with type 2 diabetes were observed in a systematic review and meta-analysis of CCM interventions in primary care, indicating that coordinated chronic care may have a positive impact on blood pressure as part of managing multimorbidity (Goh et al., 2022). The WHO HEARTS technical package supports this logic by providing standardised treatment protocols, access to essential medicines, team-based care and monitoring for quality improvement (WHO, 2021b). The CCM should be localized, supported with data, have workforce capacity, and connect people across care settings.</w:t>
      </w:r>
    </w:p>
    <w:p w14:paraId="47375275" w14:textId="77777777" w:rsidR="009801E7" w:rsidRPr="00D16148" w:rsidRDefault="00000000" w:rsidP="00F345D7">
      <w:pPr>
        <w:pStyle w:val="Heading1"/>
        <w:spacing w:line="360" w:lineRule="auto"/>
        <w:jc w:val="both"/>
        <w:rPr>
          <w:rFonts w:ascii="Arial" w:hAnsi="Arial" w:cs="Arial"/>
          <w:sz w:val="22"/>
          <w:szCs w:val="22"/>
          <w:lang w:val="en-GB"/>
        </w:rPr>
      </w:pPr>
      <w:bookmarkStart w:id="13" w:name="_Toc243645453"/>
      <w:r w:rsidRPr="00D16148">
        <w:rPr>
          <w:rFonts w:ascii="Arial" w:hAnsi="Arial" w:cs="Arial"/>
          <w:sz w:val="22"/>
          <w:szCs w:val="22"/>
          <w:lang w:val="en-GB"/>
        </w:rPr>
        <w:t>Policy, implementation and inequalities</w:t>
      </w:r>
      <w:bookmarkEnd w:id="13"/>
    </w:p>
    <w:p w14:paraId="4C40E806" w14:textId="3858311F" w:rsidR="003301F0" w:rsidRPr="00D16148" w:rsidRDefault="003301F0" w:rsidP="00F345D7">
      <w:pPr>
        <w:pStyle w:val="Heading2"/>
        <w:spacing w:line="360" w:lineRule="auto"/>
        <w:jc w:val="both"/>
        <w:rPr>
          <w:rFonts w:ascii="Arial" w:hAnsi="Arial" w:cs="Arial"/>
          <w:sz w:val="22"/>
          <w:szCs w:val="22"/>
          <w:lang w:val="en-GB"/>
        </w:rPr>
      </w:pPr>
      <w:bookmarkStart w:id="14" w:name="_Toc243645454"/>
      <w:r w:rsidRPr="00D16148">
        <w:rPr>
          <w:rFonts w:ascii="Arial" w:hAnsi="Arial" w:cs="Arial"/>
          <w:sz w:val="22"/>
          <w:szCs w:val="22"/>
          <w:lang w:val="en-GB"/>
        </w:rPr>
        <w:t>NHS Initiatives for Hypertension Detection and Management</w:t>
      </w:r>
      <w:bookmarkEnd w:id="14"/>
    </w:p>
    <w:p w14:paraId="449FDA23" w14:textId="77777777" w:rsidR="00E57BDF" w:rsidRPr="00D16148" w:rsidRDefault="00E57BDF" w:rsidP="00F345D7">
      <w:pPr>
        <w:spacing w:line="360" w:lineRule="auto"/>
        <w:rPr>
          <w:rFonts w:ascii="Arial" w:hAnsi="Arial" w:cs="Arial"/>
          <w:sz w:val="22"/>
          <w:lang w:val="en-GB"/>
        </w:rPr>
      </w:pPr>
      <w:r w:rsidRPr="00D16148">
        <w:rPr>
          <w:rFonts w:ascii="Arial" w:hAnsi="Arial" w:cs="Arial"/>
          <w:sz w:val="22"/>
          <w:lang w:val="en-GB"/>
        </w:rPr>
        <w:t xml:space="preserve">The control of hypertension is growing in importance as a preventive task, not just a task that could be performed during routine consultations in GP surgeries. The home blood pressure initiative was introduced by NHS England to provide a home monitoring system for individuals with uncontrolled hypertension to enable their blood pressure to be reviewed at home rather than in a clinic, with the aim </w:t>
      </w:r>
      <w:r w:rsidRPr="00D16148">
        <w:rPr>
          <w:rFonts w:ascii="Arial" w:hAnsi="Arial" w:cs="Arial"/>
          <w:sz w:val="22"/>
          <w:lang w:val="en-GB"/>
        </w:rPr>
        <w:lastRenderedPageBreak/>
        <w:t>of enhancing the control of people with high blood pressure with fewer unnecessary journeys and additional demand on clinics (NHS England, 2021b). It also highlights community pharmacy case-finding and treatment optimisation as opportunities to pick up hypertension earlier and improve control, through its cardiovascular high impact interventions (HIE) (NHS England, 2024). This can help to widen reach, but not equal the care gap – digital exclusion, language barriers, poor housing, time constraints and lack of confidence can limit take-up. There should be agreed referral pathways between local integrated care boards and primary care networks, and a clear responsibility for any abnormal results and timely review of medication.</w:t>
      </w:r>
    </w:p>
    <w:p w14:paraId="01DD3C27" w14:textId="32B1A068" w:rsidR="00035958" w:rsidRPr="00D16148" w:rsidRDefault="00035958" w:rsidP="00F345D7">
      <w:pPr>
        <w:pStyle w:val="Heading2"/>
        <w:spacing w:line="360" w:lineRule="auto"/>
        <w:jc w:val="both"/>
        <w:rPr>
          <w:rFonts w:ascii="Arial" w:hAnsi="Arial" w:cs="Arial"/>
          <w:sz w:val="22"/>
          <w:szCs w:val="22"/>
          <w:lang w:val="en-GB"/>
        </w:rPr>
      </w:pPr>
      <w:bookmarkStart w:id="15" w:name="_Toc243645455"/>
      <w:r w:rsidRPr="00D16148">
        <w:rPr>
          <w:rFonts w:ascii="Arial" w:hAnsi="Arial" w:cs="Arial"/>
          <w:sz w:val="22"/>
          <w:szCs w:val="22"/>
          <w:lang w:val="en-GB"/>
        </w:rPr>
        <w:t>Health Inequalities and Wider Determinants of Health</w:t>
      </w:r>
      <w:bookmarkEnd w:id="15"/>
    </w:p>
    <w:p w14:paraId="68D6D00F" w14:textId="6112C357" w:rsidR="009801E7" w:rsidRPr="00D16148" w:rsidRDefault="00E57BDF" w:rsidP="00F345D7">
      <w:pPr>
        <w:spacing w:line="360" w:lineRule="auto"/>
        <w:rPr>
          <w:rFonts w:ascii="Arial" w:hAnsi="Arial" w:cs="Arial"/>
          <w:sz w:val="22"/>
          <w:lang w:val="en-GB"/>
        </w:rPr>
      </w:pPr>
      <w:r w:rsidRPr="00D16148">
        <w:rPr>
          <w:rFonts w:ascii="Arial" w:hAnsi="Arial" w:cs="Arial"/>
          <w:sz w:val="22"/>
          <w:lang w:val="en-GB"/>
        </w:rPr>
        <w:t xml:space="preserve">Risk exposure and access to treatment must be addressed simultaneously, and with the understanding that there is an unequal exposure to risk, as well as an unequal access to treatment. There </w:t>
      </w:r>
      <w:r w:rsidR="005853AF" w:rsidRPr="00D16148">
        <w:rPr>
          <w:rFonts w:ascii="Arial" w:hAnsi="Arial" w:cs="Arial"/>
          <w:sz w:val="22"/>
          <w:lang w:val="en-GB"/>
        </w:rPr>
        <w:t>is</w:t>
      </w:r>
      <w:r w:rsidRPr="00D16148">
        <w:rPr>
          <w:rFonts w:ascii="Arial" w:hAnsi="Arial" w:cs="Arial"/>
          <w:sz w:val="22"/>
          <w:lang w:val="en-GB"/>
        </w:rPr>
        <w:t xml:space="preserve"> also significant health inequalities in the UK associated with deprivation and other wider determinants of health, such as employment, housing and education and supportive environments (Health Foundation, 2023). Ethnic disparities in multiple long-term conditions are also complex, and there has been some variation in how conditions are recorded, </w:t>
      </w:r>
      <w:r w:rsidRPr="00D16148">
        <w:rPr>
          <w:rFonts w:ascii="Arial" w:hAnsi="Arial" w:cs="Arial"/>
          <w:sz w:val="22"/>
          <w:lang w:val="en-GB"/>
        </w:rPr>
        <w:t>with some ethnic groups being more likely to be recorded as having a specific condition than others, which can mask the disparities (</w:t>
      </w:r>
      <w:proofErr w:type="spellStart"/>
      <w:r w:rsidRPr="00D16148">
        <w:rPr>
          <w:rFonts w:ascii="Arial" w:hAnsi="Arial" w:cs="Arial"/>
          <w:sz w:val="22"/>
          <w:lang w:val="en-GB"/>
        </w:rPr>
        <w:t>Hayanga</w:t>
      </w:r>
      <w:proofErr w:type="spellEnd"/>
      <w:r w:rsidRPr="00D16148">
        <w:rPr>
          <w:rFonts w:ascii="Arial" w:hAnsi="Arial" w:cs="Arial"/>
          <w:sz w:val="22"/>
          <w:lang w:val="en-GB"/>
        </w:rPr>
        <w:t xml:space="preserve"> et al., 2023); </w:t>
      </w:r>
      <w:r w:rsidR="00783437" w:rsidRPr="00D16148">
        <w:rPr>
          <w:rFonts w:ascii="Arial" w:hAnsi="Arial" w:cs="Arial"/>
          <w:sz w:val="22"/>
          <w:lang w:val="en-GB"/>
        </w:rPr>
        <w:t>so,</w:t>
      </w:r>
      <w:r w:rsidRPr="00D16148">
        <w:rPr>
          <w:rFonts w:ascii="Arial" w:hAnsi="Arial" w:cs="Arial"/>
          <w:sz w:val="22"/>
          <w:lang w:val="en-GB"/>
        </w:rPr>
        <w:t xml:space="preserve"> services need not presume that all communities have the same needs. Proportionate universalism is a practical option as it means providing blood pressure checks to everyone who is eligible, with extra outreach efforts in deprived neighbourhoods and groups with less engagement and poorer control. There are ways of improving access without stereotyping such as trusted organisations, interpreters, flexibility and non-digital routes.</w:t>
      </w:r>
    </w:p>
    <w:p w14:paraId="13F8C47D" w14:textId="77777777" w:rsidR="009801E7" w:rsidRPr="00D16148" w:rsidRDefault="00000000" w:rsidP="00F345D7">
      <w:pPr>
        <w:pStyle w:val="Heading1"/>
        <w:spacing w:line="360" w:lineRule="auto"/>
        <w:jc w:val="both"/>
        <w:rPr>
          <w:rFonts w:ascii="Arial" w:hAnsi="Arial" w:cs="Arial"/>
          <w:sz w:val="22"/>
          <w:szCs w:val="22"/>
          <w:lang w:val="en-GB"/>
        </w:rPr>
      </w:pPr>
      <w:bookmarkStart w:id="16" w:name="_Toc243645456"/>
      <w:r w:rsidRPr="00D16148">
        <w:rPr>
          <w:rFonts w:ascii="Arial" w:hAnsi="Arial" w:cs="Arial"/>
          <w:sz w:val="22"/>
          <w:szCs w:val="22"/>
          <w:lang w:val="en-GB"/>
        </w:rPr>
        <w:t>Recommendations for person-centred practice</w:t>
      </w:r>
      <w:bookmarkEnd w:id="16"/>
    </w:p>
    <w:p w14:paraId="4E71A455" w14:textId="035CB81E" w:rsidR="000762EA" w:rsidRPr="00D16148" w:rsidRDefault="000762EA" w:rsidP="00F345D7">
      <w:pPr>
        <w:pStyle w:val="Heading2"/>
        <w:spacing w:line="360" w:lineRule="auto"/>
        <w:jc w:val="both"/>
        <w:rPr>
          <w:rFonts w:ascii="Arial" w:hAnsi="Arial" w:cs="Arial"/>
          <w:sz w:val="22"/>
          <w:szCs w:val="22"/>
          <w:lang w:val="en-GB"/>
        </w:rPr>
      </w:pPr>
      <w:bookmarkStart w:id="17" w:name="_Toc243645457"/>
      <w:r w:rsidRPr="00D16148">
        <w:rPr>
          <w:rFonts w:ascii="Arial" w:hAnsi="Arial" w:cs="Arial"/>
          <w:sz w:val="22"/>
          <w:szCs w:val="22"/>
          <w:lang w:val="en-GB"/>
        </w:rPr>
        <w:t>Improving Screening, Diagnosis and Medication Adherence</w:t>
      </w:r>
      <w:bookmarkEnd w:id="17"/>
    </w:p>
    <w:p w14:paraId="333FA9FD" w14:textId="77777777" w:rsidR="00917568" w:rsidRPr="00D16148" w:rsidRDefault="00917568" w:rsidP="00F345D7">
      <w:pPr>
        <w:spacing w:line="360" w:lineRule="auto"/>
        <w:rPr>
          <w:rFonts w:ascii="Arial" w:hAnsi="Arial" w:cs="Arial"/>
          <w:sz w:val="22"/>
          <w:lang w:val="en-GB"/>
        </w:rPr>
      </w:pPr>
      <w:r w:rsidRPr="00D16148">
        <w:rPr>
          <w:rFonts w:ascii="Arial" w:hAnsi="Arial" w:cs="Arial"/>
          <w:sz w:val="22"/>
          <w:lang w:val="en-GB"/>
        </w:rPr>
        <w:t xml:space="preserve">Instruct routine assessment of measurement in Primary care, community pharmacy and other accessible settings, and then validate raised measurements at the clinic with ambulatory or home measurement. Second, have a shared plan of a clinically appropriate target + cardiovascular risk reduction + medicine review + one or two behaviour goals achievable. Third, educate teams on how to have a non-judgemental discussion about adherence, and to explore factors that make adherence plans challenging such as cost, side effects, low health literacy, caring commitments or cultural </w:t>
      </w:r>
      <w:r w:rsidRPr="00D16148">
        <w:rPr>
          <w:rFonts w:ascii="Arial" w:hAnsi="Arial" w:cs="Arial"/>
          <w:sz w:val="22"/>
          <w:lang w:val="en-GB"/>
        </w:rPr>
        <w:lastRenderedPageBreak/>
        <w:t>preferences. Referrals from the NHS community pharmacy service will extend case-finding beyond those attending general practice by identifying adults who haven't had a check within the past 5 years for referral to be assessed appropriately for suspected hypertension (NHS England, 2024). The result of the WHO's India Hypertension Control Initiative demonstrates that standard protocols, the secure supply of medicines, follow-up registers and team-based implementation, can help increase the proportion of people with controlled blood pressure at scale (World Health Organization, 2022).</w:t>
      </w:r>
    </w:p>
    <w:p w14:paraId="3FAE3B97" w14:textId="0E0B32B0" w:rsidR="00DA4C42" w:rsidRPr="00D16148" w:rsidRDefault="00DA4C42" w:rsidP="00F345D7">
      <w:pPr>
        <w:pStyle w:val="Heading2"/>
        <w:spacing w:line="360" w:lineRule="auto"/>
        <w:jc w:val="both"/>
        <w:rPr>
          <w:rFonts w:ascii="Arial" w:hAnsi="Arial" w:cs="Arial"/>
          <w:sz w:val="22"/>
          <w:szCs w:val="22"/>
          <w:lang w:val="en-GB"/>
        </w:rPr>
      </w:pPr>
      <w:bookmarkStart w:id="18" w:name="_Toc243645458"/>
      <w:r w:rsidRPr="00D16148">
        <w:rPr>
          <w:rFonts w:ascii="Arial" w:hAnsi="Arial" w:cs="Arial"/>
          <w:sz w:val="22"/>
          <w:szCs w:val="22"/>
          <w:lang w:val="en-GB"/>
        </w:rPr>
        <w:t>Digital Monitoring, Outcome Measurement and Quality Improvement</w:t>
      </w:r>
      <w:bookmarkEnd w:id="18"/>
    </w:p>
    <w:p w14:paraId="18AC3E88" w14:textId="77777777" w:rsidR="00A9406C" w:rsidRDefault="00917568" w:rsidP="00F345D7">
      <w:pPr>
        <w:spacing w:line="360" w:lineRule="auto"/>
        <w:rPr>
          <w:rFonts w:ascii="Arial" w:hAnsi="Arial" w:cs="Arial"/>
          <w:sz w:val="22"/>
          <w:lang w:val="en-GB"/>
        </w:rPr>
      </w:pPr>
      <w:r w:rsidRPr="00D16148">
        <w:rPr>
          <w:rFonts w:ascii="Arial" w:hAnsi="Arial" w:cs="Arial"/>
          <w:sz w:val="22"/>
          <w:lang w:val="en-GB"/>
        </w:rPr>
        <w:t xml:space="preserve">Digital monitoring should be provided on an optional basis, not as a requirement to care. There are also some published studies that show that the addition of pharmacist-led home blood pressure telemonitoring to usual care is effective in reducing both systolic and diastolic blood pressure; however, six of these studies were conducted in a systematic review, and there was a lack of consistency in the results of these studies, so the impact is not necessarily the same across all NHS settings (Baral et al., 2023). Standardisation of data definitions and follow-up responsibility are also key for quality improvement in hypertension </w:t>
      </w:r>
      <w:r w:rsidRPr="00D16148">
        <w:rPr>
          <w:rFonts w:ascii="Arial" w:hAnsi="Arial" w:cs="Arial"/>
          <w:sz w:val="22"/>
          <w:lang w:val="en-GB"/>
        </w:rPr>
        <w:t xml:space="preserve">programmes (World Health Organization, 2021b). </w:t>
      </w:r>
    </w:p>
    <w:p w14:paraId="371B4049" w14:textId="26940C65" w:rsidR="009801E7" w:rsidRPr="00D16148" w:rsidRDefault="00917568" w:rsidP="00F345D7">
      <w:pPr>
        <w:spacing w:line="360" w:lineRule="auto"/>
        <w:rPr>
          <w:rFonts w:ascii="Arial" w:hAnsi="Arial" w:cs="Arial"/>
          <w:sz w:val="22"/>
          <w:lang w:val="en-GB"/>
        </w:rPr>
      </w:pPr>
      <w:r w:rsidRPr="00D16148">
        <w:rPr>
          <w:rFonts w:ascii="Arial" w:hAnsi="Arial" w:cs="Arial"/>
          <w:sz w:val="22"/>
          <w:lang w:val="en-GB"/>
        </w:rPr>
        <w:t>Local services need to demonstrate outcomes that matter – the percentage of adults eligible for assessment who have been assessed; the time taken from raised reading to diagnostic confirmation; percentage of those who are diagnosed and at an agreed target; medicine review completion; missed appointments; patients' reported level of confidence; and gaps by deprivation, ethnicity, disability and age. A realistic improvement cycle would start with setting up a baseline, then try a targeted outreach for three months, review the data with patients and staff, and fine-tune the intervention prior to spreading it out. Targets should be challenging but not incentivize overtreatment.</w:t>
      </w:r>
    </w:p>
    <w:p w14:paraId="2B7E13A7" w14:textId="46349C5D" w:rsidR="009801E7" w:rsidRPr="00D16148" w:rsidRDefault="00000000" w:rsidP="00F345D7">
      <w:pPr>
        <w:pStyle w:val="Heading2"/>
        <w:spacing w:line="360" w:lineRule="auto"/>
        <w:jc w:val="both"/>
        <w:rPr>
          <w:rFonts w:ascii="Arial" w:hAnsi="Arial" w:cs="Arial"/>
          <w:sz w:val="22"/>
          <w:szCs w:val="22"/>
          <w:lang w:val="en-GB"/>
        </w:rPr>
      </w:pPr>
      <w:bookmarkStart w:id="19" w:name="_Toc243645459"/>
      <w:r w:rsidRPr="00D16148">
        <w:rPr>
          <w:rFonts w:ascii="Arial" w:hAnsi="Arial" w:cs="Arial"/>
          <w:sz w:val="22"/>
          <w:szCs w:val="22"/>
          <w:lang w:val="en-GB"/>
        </w:rPr>
        <w:t>End-of-life care</w:t>
      </w:r>
      <w:bookmarkEnd w:id="19"/>
      <w:r w:rsidRPr="00D16148">
        <w:rPr>
          <w:rFonts w:ascii="Arial" w:hAnsi="Arial" w:cs="Arial"/>
          <w:sz w:val="22"/>
          <w:szCs w:val="22"/>
          <w:lang w:val="en-GB"/>
        </w:rPr>
        <w:t xml:space="preserve"> </w:t>
      </w:r>
    </w:p>
    <w:p w14:paraId="105591EB" w14:textId="77777777" w:rsidR="007D67EA" w:rsidRPr="00D16148" w:rsidRDefault="007D67EA" w:rsidP="00F345D7">
      <w:pPr>
        <w:spacing w:line="360" w:lineRule="auto"/>
        <w:rPr>
          <w:rFonts w:ascii="Arial" w:hAnsi="Arial" w:cs="Arial"/>
          <w:sz w:val="22"/>
          <w:lang w:val="en-GB"/>
        </w:rPr>
      </w:pPr>
      <w:r w:rsidRPr="00D16148">
        <w:rPr>
          <w:rFonts w:ascii="Arial" w:hAnsi="Arial" w:cs="Arial"/>
          <w:sz w:val="22"/>
          <w:lang w:val="en-GB"/>
        </w:rPr>
        <w:t xml:space="preserve">As the management of hypertension typically involves a long-term approach, planning for end of life will only be relevant if the individual develops advanced illness, severe frailty or limited life expectancy (European Society of Cardiology, 2024). Under those conditions the rationale of treating blood pressure, the demands of monitoring, dizziness or falls, swallowing problems, the person's priorities and the potential for interaction are all worth revisiting. There is no single target to apply for clinical judgement around frailty and multimorbidity, and this is </w:t>
      </w:r>
      <w:r w:rsidRPr="00D16148">
        <w:rPr>
          <w:rFonts w:ascii="Arial" w:hAnsi="Arial" w:cs="Arial"/>
          <w:sz w:val="22"/>
          <w:lang w:val="en-GB"/>
        </w:rPr>
        <w:lastRenderedPageBreak/>
        <w:t>recommended in NICE guidance (NICE, 2026). Individual decisions to reduce treatment should be made and monitored—not based on age alone or palliative treatment. To maintain comfort, function and choice without avoiding unnecessary harm, involving relatives as they wish and are able.</w:t>
      </w:r>
    </w:p>
    <w:p w14:paraId="15A5DA84" w14:textId="77777777" w:rsidR="00350E0F" w:rsidRPr="00D16148" w:rsidRDefault="00350E0F" w:rsidP="00F345D7">
      <w:pPr>
        <w:pStyle w:val="Heading2"/>
        <w:spacing w:line="360" w:lineRule="auto"/>
        <w:jc w:val="both"/>
        <w:rPr>
          <w:rFonts w:ascii="Arial" w:hAnsi="Arial" w:cs="Arial"/>
          <w:sz w:val="22"/>
          <w:szCs w:val="22"/>
          <w:lang w:val="en-GB"/>
        </w:rPr>
      </w:pPr>
      <w:bookmarkStart w:id="20" w:name="_Toc243645460"/>
      <w:r w:rsidRPr="00D16148">
        <w:rPr>
          <w:rFonts w:ascii="Arial" w:hAnsi="Arial" w:cs="Arial"/>
          <w:sz w:val="22"/>
          <w:szCs w:val="22"/>
          <w:lang w:val="en-GB"/>
        </w:rPr>
        <w:t>Recommendations for Practice</w:t>
      </w:r>
      <w:bookmarkEnd w:id="20"/>
    </w:p>
    <w:p w14:paraId="16BCA869" w14:textId="77777777" w:rsidR="00350E0F" w:rsidRPr="00A9406C" w:rsidRDefault="00350E0F" w:rsidP="00A9406C">
      <w:pPr>
        <w:pStyle w:val="ListParagraph"/>
        <w:numPr>
          <w:ilvl w:val="0"/>
          <w:numId w:val="12"/>
        </w:numPr>
        <w:tabs>
          <w:tab w:val="num" w:pos="720"/>
        </w:tabs>
        <w:spacing w:line="360" w:lineRule="auto"/>
        <w:rPr>
          <w:rFonts w:ascii="Arial" w:hAnsi="Arial" w:cs="Arial"/>
          <w:sz w:val="22"/>
          <w:lang w:val="en-GB"/>
        </w:rPr>
      </w:pPr>
      <w:r w:rsidRPr="00A9406C">
        <w:rPr>
          <w:rFonts w:ascii="Arial" w:hAnsi="Arial" w:cs="Arial"/>
          <w:sz w:val="22"/>
          <w:lang w:val="en-GB"/>
        </w:rPr>
        <w:t>Ensure regular blood pressure screening and timely diagnostic confirmation.</w:t>
      </w:r>
    </w:p>
    <w:p w14:paraId="5E958F4C" w14:textId="77777777" w:rsidR="00350E0F" w:rsidRPr="00A9406C" w:rsidRDefault="00350E0F" w:rsidP="00A9406C">
      <w:pPr>
        <w:pStyle w:val="ListParagraph"/>
        <w:numPr>
          <w:ilvl w:val="0"/>
          <w:numId w:val="12"/>
        </w:numPr>
        <w:tabs>
          <w:tab w:val="num" w:pos="720"/>
        </w:tabs>
        <w:spacing w:line="360" w:lineRule="auto"/>
        <w:rPr>
          <w:rFonts w:ascii="Arial" w:hAnsi="Arial" w:cs="Arial"/>
          <w:sz w:val="22"/>
          <w:lang w:val="en-GB"/>
        </w:rPr>
      </w:pPr>
      <w:r w:rsidRPr="00A9406C">
        <w:rPr>
          <w:rFonts w:ascii="Arial" w:hAnsi="Arial" w:cs="Arial"/>
          <w:sz w:val="22"/>
          <w:lang w:val="en-GB"/>
        </w:rPr>
        <w:t>Develop personalised care plans with achievable blood pressure targets and lifestyle goals.</w:t>
      </w:r>
    </w:p>
    <w:p w14:paraId="2AA73791" w14:textId="77777777" w:rsidR="00350E0F" w:rsidRPr="00A9406C" w:rsidRDefault="00350E0F" w:rsidP="00A9406C">
      <w:pPr>
        <w:pStyle w:val="ListParagraph"/>
        <w:numPr>
          <w:ilvl w:val="0"/>
          <w:numId w:val="12"/>
        </w:numPr>
        <w:tabs>
          <w:tab w:val="num" w:pos="720"/>
        </w:tabs>
        <w:spacing w:line="360" w:lineRule="auto"/>
        <w:rPr>
          <w:rFonts w:ascii="Arial" w:hAnsi="Arial" w:cs="Arial"/>
          <w:sz w:val="22"/>
          <w:lang w:val="en-GB"/>
        </w:rPr>
      </w:pPr>
      <w:r w:rsidRPr="00A9406C">
        <w:rPr>
          <w:rFonts w:ascii="Arial" w:hAnsi="Arial" w:cs="Arial"/>
          <w:sz w:val="22"/>
          <w:lang w:val="en-GB"/>
        </w:rPr>
        <w:t>Improve access to treatment through collaboration between GPs, nurses and community pharmacists.</w:t>
      </w:r>
    </w:p>
    <w:p w14:paraId="6C0B9129" w14:textId="77777777" w:rsidR="00350E0F" w:rsidRPr="00A9406C" w:rsidRDefault="00350E0F" w:rsidP="00A9406C">
      <w:pPr>
        <w:pStyle w:val="ListParagraph"/>
        <w:numPr>
          <w:ilvl w:val="0"/>
          <w:numId w:val="12"/>
        </w:numPr>
        <w:tabs>
          <w:tab w:val="num" w:pos="720"/>
        </w:tabs>
        <w:spacing w:line="360" w:lineRule="auto"/>
        <w:rPr>
          <w:rFonts w:ascii="Arial" w:hAnsi="Arial" w:cs="Arial"/>
          <w:sz w:val="22"/>
          <w:lang w:val="en-GB"/>
        </w:rPr>
      </w:pPr>
      <w:r w:rsidRPr="00A9406C">
        <w:rPr>
          <w:rFonts w:ascii="Arial" w:hAnsi="Arial" w:cs="Arial"/>
          <w:sz w:val="22"/>
          <w:lang w:val="en-GB"/>
        </w:rPr>
        <w:t>Promote healthy diets, reduced salt intake, physical activity and smoking cessation.</w:t>
      </w:r>
    </w:p>
    <w:p w14:paraId="12CCC9C8" w14:textId="77777777" w:rsidR="00350E0F" w:rsidRPr="00A9406C" w:rsidRDefault="00350E0F" w:rsidP="00A9406C">
      <w:pPr>
        <w:pStyle w:val="ListParagraph"/>
        <w:numPr>
          <w:ilvl w:val="0"/>
          <w:numId w:val="12"/>
        </w:numPr>
        <w:tabs>
          <w:tab w:val="num" w:pos="720"/>
        </w:tabs>
        <w:spacing w:line="360" w:lineRule="auto"/>
        <w:rPr>
          <w:rFonts w:ascii="Arial" w:hAnsi="Arial" w:cs="Arial"/>
          <w:sz w:val="22"/>
          <w:lang w:val="en-GB"/>
        </w:rPr>
      </w:pPr>
      <w:r w:rsidRPr="00A9406C">
        <w:rPr>
          <w:rFonts w:ascii="Arial" w:hAnsi="Arial" w:cs="Arial"/>
          <w:sz w:val="22"/>
          <w:lang w:val="en-GB"/>
        </w:rPr>
        <w:t>Provide accessible digital monitoring alongside non-digital support and culturally appropriate education.</w:t>
      </w:r>
    </w:p>
    <w:p w14:paraId="5565C91C" w14:textId="77777777" w:rsidR="00350E0F" w:rsidRPr="00A9406C" w:rsidRDefault="00350E0F" w:rsidP="00A9406C">
      <w:pPr>
        <w:pStyle w:val="ListParagraph"/>
        <w:numPr>
          <w:ilvl w:val="0"/>
          <w:numId w:val="12"/>
        </w:numPr>
        <w:tabs>
          <w:tab w:val="num" w:pos="720"/>
        </w:tabs>
        <w:spacing w:line="360" w:lineRule="auto"/>
        <w:rPr>
          <w:rFonts w:ascii="Arial" w:hAnsi="Arial" w:cs="Arial"/>
          <w:sz w:val="22"/>
          <w:lang w:val="en-GB"/>
        </w:rPr>
      </w:pPr>
      <w:r w:rsidRPr="00A9406C">
        <w:rPr>
          <w:rFonts w:ascii="Arial" w:hAnsi="Arial" w:cs="Arial"/>
          <w:sz w:val="22"/>
          <w:lang w:val="en-GB"/>
        </w:rPr>
        <w:t>Evaluate outcomes through blood pressure control, medication adherence, patient confidence and reduced health inequalities.</w:t>
      </w:r>
    </w:p>
    <w:p w14:paraId="4833427D" w14:textId="075EBB0B" w:rsidR="00E60EE8" w:rsidRPr="00D16148" w:rsidRDefault="00E60EE8" w:rsidP="00F345D7">
      <w:pPr>
        <w:pStyle w:val="Heading1"/>
        <w:spacing w:line="360" w:lineRule="auto"/>
        <w:jc w:val="both"/>
        <w:rPr>
          <w:rFonts w:ascii="Arial" w:hAnsi="Arial" w:cs="Arial"/>
          <w:sz w:val="22"/>
          <w:szCs w:val="22"/>
          <w:lang w:val="en-GB"/>
        </w:rPr>
      </w:pPr>
      <w:bookmarkStart w:id="21" w:name="_Toc243645461"/>
      <w:r w:rsidRPr="00D16148">
        <w:rPr>
          <w:rFonts w:ascii="Arial" w:hAnsi="Arial" w:cs="Arial"/>
          <w:sz w:val="22"/>
          <w:szCs w:val="22"/>
          <w:lang w:val="en-GB"/>
        </w:rPr>
        <w:t>Conclusion</w:t>
      </w:r>
      <w:bookmarkEnd w:id="21"/>
    </w:p>
    <w:p w14:paraId="7A2FE58C" w14:textId="3DCB99DF" w:rsidR="009801E7" w:rsidRPr="00D16148" w:rsidRDefault="007D67EA" w:rsidP="00F345D7">
      <w:pPr>
        <w:spacing w:line="360" w:lineRule="auto"/>
        <w:rPr>
          <w:rFonts w:ascii="Arial" w:hAnsi="Arial" w:cs="Arial"/>
          <w:sz w:val="22"/>
          <w:lang w:val="en-GB"/>
        </w:rPr>
      </w:pPr>
      <w:r w:rsidRPr="00D16148">
        <w:rPr>
          <w:rFonts w:ascii="Arial" w:hAnsi="Arial" w:cs="Arial"/>
          <w:sz w:val="22"/>
          <w:lang w:val="en-GB"/>
        </w:rPr>
        <w:t xml:space="preserve">It is easily detected and is very well controlled with evidence-based medications and good lifestyle advice, but it is often undiagnosed, undocumented, and very significant. The worldwide data </w:t>
      </w:r>
      <w:r w:rsidRPr="00D16148">
        <w:rPr>
          <w:rFonts w:ascii="Arial" w:hAnsi="Arial" w:cs="Arial"/>
          <w:sz w:val="22"/>
          <w:lang w:val="en-GB"/>
        </w:rPr>
        <w:t>indicates that high blood pressure is under-diagnosed and under-treated and that it is more prevalent with age (World Health Organization, 2023), and UK data reveals that a significant percentage of adults are living with high blood pressure and that this increases as they get older (WRAP, 2019). The central challenge for services is implementation: turning the NICE recommendations into accessible culturally responsive services with clear accountability for follow-up, shared decision making and equity monitoring (NICE, 2026). The focus should be on identifying those to be identified early, ensuring accurate diagnosis, setting achievable care plans and closing the loop if these are not met. Measure success not by number of checks, but by sustained control, reduction in cardiovascular event rates, and increased confidence and smaller inequalities. Follow-up responsibilities are made clear, enhancing team accountability.</w:t>
      </w:r>
    </w:p>
    <w:p w14:paraId="1A86288B" w14:textId="77777777" w:rsidR="009801E7" w:rsidRPr="00D16148" w:rsidRDefault="00000000" w:rsidP="00F345D7">
      <w:pPr>
        <w:spacing w:line="360" w:lineRule="auto"/>
        <w:rPr>
          <w:rFonts w:ascii="Arial" w:hAnsi="Arial" w:cs="Arial"/>
          <w:sz w:val="22"/>
          <w:lang w:val="en-GB"/>
        </w:rPr>
      </w:pPr>
      <w:r w:rsidRPr="00D16148">
        <w:rPr>
          <w:rFonts w:ascii="Arial" w:hAnsi="Arial" w:cs="Arial"/>
          <w:sz w:val="22"/>
          <w:lang w:val="en-GB"/>
        </w:rPr>
        <w:br w:type="page"/>
      </w:r>
    </w:p>
    <w:p w14:paraId="27CE1991" w14:textId="77777777" w:rsidR="009801E7" w:rsidRPr="00D16148" w:rsidRDefault="00000000" w:rsidP="00F345D7">
      <w:pPr>
        <w:pStyle w:val="Heading1"/>
        <w:spacing w:line="360" w:lineRule="auto"/>
        <w:jc w:val="both"/>
        <w:rPr>
          <w:rFonts w:ascii="Arial" w:hAnsi="Arial" w:cs="Arial"/>
          <w:sz w:val="22"/>
          <w:szCs w:val="22"/>
          <w:lang w:val="en-GB"/>
        </w:rPr>
      </w:pPr>
      <w:bookmarkStart w:id="22" w:name="_Toc243645462"/>
      <w:r w:rsidRPr="00D16148">
        <w:rPr>
          <w:rFonts w:ascii="Arial" w:hAnsi="Arial" w:cs="Arial"/>
          <w:sz w:val="22"/>
          <w:szCs w:val="22"/>
          <w:lang w:val="en-GB"/>
        </w:rPr>
        <w:lastRenderedPageBreak/>
        <w:t>References</w:t>
      </w:r>
      <w:bookmarkEnd w:id="22"/>
    </w:p>
    <w:p w14:paraId="1B606A41"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Baral, N., </w:t>
      </w:r>
      <w:proofErr w:type="spellStart"/>
      <w:r w:rsidRPr="00D16148">
        <w:rPr>
          <w:rFonts w:ascii="Arial" w:hAnsi="Arial" w:cs="Arial"/>
          <w:sz w:val="22"/>
          <w:lang w:val="en-GB"/>
        </w:rPr>
        <w:t>Volgman</w:t>
      </w:r>
      <w:proofErr w:type="spellEnd"/>
      <w:r w:rsidRPr="00D16148">
        <w:rPr>
          <w:rFonts w:ascii="Arial" w:hAnsi="Arial" w:cs="Arial"/>
          <w:sz w:val="22"/>
          <w:lang w:val="en-GB"/>
        </w:rPr>
        <w:t xml:space="preserve">, A.S., Seri, A., </w:t>
      </w:r>
      <w:proofErr w:type="spellStart"/>
      <w:r w:rsidRPr="00D16148">
        <w:rPr>
          <w:rFonts w:ascii="Arial" w:hAnsi="Arial" w:cs="Arial"/>
          <w:sz w:val="22"/>
          <w:lang w:val="en-GB"/>
        </w:rPr>
        <w:t>Chelikani</w:t>
      </w:r>
      <w:proofErr w:type="spellEnd"/>
      <w:r w:rsidRPr="00D16148">
        <w:rPr>
          <w:rFonts w:ascii="Arial" w:hAnsi="Arial" w:cs="Arial"/>
          <w:sz w:val="22"/>
          <w:lang w:val="en-GB"/>
        </w:rPr>
        <w:t xml:space="preserve">, V., Isa, S., </w:t>
      </w:r>
      <w:proofErr w:type="spellStart"/>
      <w:r w:rsidRPr="00D16148">
        <w:rPr>
          <w:rFonts w:ascii="Arial" w:hAnsi="Arial" w:cs="Arial"/>
          <w:sz w:val="22"/>
          <w:lang w:val="en-GB"/>
        </w:rPr>
        <w:t>Javvadi</w:t>
      </w:r>
      <w:proofErr w:type="spellEnd"/>
      <w:r w:rsidRPr="00D16148">
        <w:rPr>
          <w:rFonts w:ascii="Arial" w:hAnsi="Arial" w:cs="Arial"/>
          <w:sz w:val="22"/>
          <w:lang w:val="en-GB"/>
        </w:rPr>
        <w:t xml:space="preserve">, S.L.P., Paul, T.K. and Mitchell, J.D., 2023. ‘Adding pharmacist-led home blood pressure telemonitoring to usual care for blood pressure control: a systematic review and meta-analysis’. </w:t>
      </w:r>
      <w:r w:rsidRPr="00D16148">
        <w:rPr>
          <w:rFonts w:ascii="Arial" w:hAnsi="Arial" w:cs="Arial"/>
          <w:i/>
          <w:iCs/>
          <w:sz w:val="22"/>
          <w:lang w:val="en-GB"/>
        </w:rPr>
        <w:t>The American Journal of Cardiology</w:t>
      </w:r>
      <w:r w:rsidRPr="00D16148">
        <w:rPr>
          <w:rFonts w:ascii="Arial" w:hAnsi="Arial" w:cs="Arial"/>
          <w:sz w:val="22"/>
          <w:lang w:val="en-GB"/>
        </w:rPr>
        <w:t xml:space="preserve">, 203, pp. 161–168. Available at: </w:t>
      </w:r>
      <w:hyperlink r:id="rId16" w:history="1">
        <w:r w:rsidRPr="00D16148">
          <w:rPr>
            <w:rStyle w:val="Hyperlink"/>
            <w:rFonts w:ascii="Arial" w:hAnsi="Arial" w:cs="Arial"/>
            <w:sz w:val="22"/>
            <w:lang w:val="en-GB"/>
          </w:rPr>
          <w:t>https://doi.org/10.1016/j.amjcard.2023.06.109</w:t>
        </w:r>
      </w:hyperlink>
      <w:r w:rsidRPr="00D16148">
        <w:rPr>
          <w:rFonts w:ascii="Arial" w:hAnsi="Arial" w:cs="Arial"/>
          <w:sz w:val="22"/>
          <w:lang w:val="en-GB"/>
        </w:rPr>
        <w:t xml:space="preserve"> (Accessed: 20 October 2026).</w:t>
      </w:r>
    </w:p>
    <w:p w14:paraId="5CD8F32A"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Chaturvedi, A., Zhu, A., </w:t>
      </w:r>
      <w:proofErr w:type="spellStart"/>
      <w:r w:rsidRPr="00D16148">
        <w:rPr>
          <w:rFonts w:ascii="Arial" w:hAnsi="Arial" w:cs="Arial"/>
          <w:sz w:val="22"/>
          <w:lang w:val="en-GB"/>
        </w:rPr>
        <w:t>Gadela</w:t>
      </w:r>
      <w:proofErr w:type="spellEnd"/>
      <w:r w:rsidRPr="00D16148">
        <w:rPr>
          <w:rFonts w:ascii="Arial" w:hAnsi="Arial" w:cs="Arial"/>
          <w:sz w:val="22"/>
          <w:lang w:val="en-GB"/>
        </w:rPr>
        <w:t xml:space="preserve">, N.V., Prabhakaran, D. and Jafar, T.H., 2024. ‘Social determinants of health and disparities in hypertension and cardiovascular </w:t>
      </w:r>
      <w:proofErr w:type="gramStart"/>
      <w:r w:rsidRPr="00D16148">
        <w:rPr>
          <w:rFonts w:ascii="Arial" w:hAnsi="Arial" w:cs="Arial"/>
          <w:sz w:val="22"/>
          <w:lang w:val="en-GB"/>
        </w:rPr>
        <w:t>diseases’</w:t>
      </w:r>
      <w:proofErr w:type="gramEnd"/>
      <w:r w:rsidRPr="00D16148">
        <w:rPr>
          <w:rFonts w:ascii="Arial" w:hAnsi="Arial" w:cs="Arial"/>
          <w:sz w:val="22"/>
          <w:lang w:val="en-GB"/>
        </w:rPr>
        <w:t xml:space="preserve">. </w:t>
      </w:r>
      <w:r w:rsidRPr="00D16148">
        <w:rPr>
          <w:rFonts w:ascii="Arial" w:hAnsi="Arial" w:cs="Arial"/>
          <w:i/>
          <w:iCs/>
          <w:sz w:val="22"/>
          <w:lang w:val="en-GB"/>
        </w:rPr>
        <w:t>Hypertension</w:t>
      </w:r>
      <w:r w:rsidRPr="00D16148">
        <w:rPr>
          <w:rFonts w:ascii="Arial" w:hAnsi="Arial" w:cs="Arial"/>
          <w:sz w:val="22"/>
          <w:lang w:val="en-GB"/>
        </w:rPr>
        <w:t xml:space="preserve">, 81(3), pp. 387–399. Available at: </w:t>
      </w:r>
      <w:hyperlink r:id="rId17" w:history="1">
        <w:r w:rsidRPr="00D16148">
          <w:rPr>
            <w:rStyle w:val="Hyperlink"/>
            <w:rFonts w:ascii="Arial" w:hAnsi="Arial" w:cs="Arial"/>
            <w:sz w:val="22"/>
            <w:lang w:val="en-GB"/>
          </w:rPr>
          <w:t>https://pmc.ncbi.nlm.nih.gov/articles/PMC10863660/</w:t>
        </w:r>
      </w:hyperlink>
      <w:r w:rsidRPr="00D16148">
        <w:rPr>
          <w:rFonts w:ascii="Arial" w:hAnsi="Arial" w:cs="Arial"/>
          <w:sz w:val="22"/>
          <w:lang w:val="en-GB"/>
        </w:rPr>
        <w:t xml:space="preserve"> (Accessed: 20 October 2026).</w:t>
      </w:r>
    </w:p>
    <w:p w14:paraId="09F56AE7"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Chiavaroli, L., </w:t>
      </w:r>
      <w:proofErr w:type="spellStart"/>
      <w:r w:rsidRPr="00D16148">
        <w:rPr>
          <w:rFonts w:ascii="Arial" w:hAnsi="Arial" w:cs="Arial"/>
          <w:sz w:val="22"/>
          <w:lang w:val="en-GB"/>
        </w:rPr>
        <w:t>Viguiliouk</w:t>
      </w:r>
      <w:proofErr w:type="spellEnd"/>
      <w:r w:rsidRPr="00D16148">
        <w:rPr>
          <w:rFonts w:ascii="Arial" w:hAnsi="Arial" w:cs="Arial"/>
          <w:sz w:val="22"/>
          <w:lang w:val="en-GB"/>
        </w:rPr>
        <w:t xml:space="preserve">, E., Nishi, S.K., Blanco Mejia, S., Rahelić, D., </w:t>
      </w:r>
      <w:proofErr w:type="spellStart"/>
      <w:r w:rsidRPr="00D16148">
        <w:rPr>
          <w:rFonts w:ascii="Arial" w:hAnsi="Arial" w:cs="Arial"/>
          <w:sz w:val="22"/>
          <w:lang w:val="en-GB"/>
        </w:rPr>
        <w:t>Kahleová</w:t>
      </w:r>
      <w:proofErr w:type="spellEnd"/>
      <w:r w:rsidRPr="00D16148">
        <w:rPr>
          <w:rFonts w:ascii="Arial" w:hAnsi="Arial" w:cs="Arial"/>
          <w:sz w:val="22"/>
          <w:lang w:val="en-GB"/>
        </w:rPr>
        <w:t>, H., Salas-</w:t>
      </w:r>
      <w:proofErr w:type="spellStart"/>
      <w:r w:rsidRPr="00D16148">
        <w:rPr>
          <w:rFonts w:ascii="Arial" w:hAnsi="Arial" w:cs="Arial"/>
          <w:sz w:val="22"/>
          <w:lang w:val="en-GB"/>
        </w:rPr>
        <w:t>Salvadó</w:t>
      </w:r>
      <w:proofErr w:type="spellEnd"/>
      <w:r w:rsidRPr="00D16148">
        <w:rPr>
          <w:rFonts w:ascii="Arial" w:hAnsi="Arial" w:cs="Arial"/>
          <w:sz w:val="22"/>
          <w:lang w:val="en-GB"/>
        </w:rPr>
        <w:t xml:space="preserve">, J., Kendall, C.W.C. and </w:t>
      </w:r>
      <w:proofErr w:type="spellStart"/>
      <w:r w:rsidRPr="00D16148">
        <w:rPr>
          <w:rFonts w:ascii="Arial" w:hAnsi="Arial" w:cs="Arial"/>
          <w:sz w:val="22"/>
          <w:lang w:val="en-GB"/>
        </w:rPr>
        <w:t>Sievenpiper</w:t>
      </w:r>
      <w:proofErr w:type="spellEnd"/>
      <w:r w:rsidRPr="00D16148">
        <w:rPr>
          <w:rFonts w:ascii="Arial" w:hAnsi="Arial" w:cs="Arial"/>
          <w:sz w:val="22"/>
          <w:lang w:val="en-GB"/>
        </w:rPr>
        <w:t xml:space="preserve">, J.L., 2020. ‘Dietary Approaches to Stop Hypertension (DASH) diet and blood pressure reduction in adults with and without hypertension: a systematic review and meta-analysis of randomized controlled </w:t>
      </w:r>
      <w:proofErr w:type="gramStart"/>
      <w:r w:rsidRPr="00D16148">
        <w:rPr>
          <w:rFonts w:ascii="Arial" w:hAnsi="Arial" w:cs="Arial"/>
          <w:sz w:val="22"/>
          <w:lang w:val="en-GB"/>
        </w:rPr>
        <w:t>trials’</w:t>
      </w:r>
      <w:proofErr w:type="gramEnd"/>
      <w:r w:rsidRPr="00D16148">
        <w:rPr>
          <w:rFonts w:ascii="Arial" w:hAnsi="Arial" w:cs="Arial"/>
          <w:sz w:val="22"/>
          <w:lang w:val="en-GB"/>
        </w:rPr>
        <w:t xml:space="preserve">. </w:t>
      </w:r>
      <w:r w:rsidRPr="00D16148">
        <w:rPr>
          <w:rFonts w:ascii="Arial" w:hAnsi="Arial" w:cs="Arial"/>
          <w:i/>
          <w:iCs/>
          <w:sz w:val="22"/>
          <w:lang w:val="en-GB"/>
        </w:rPr>
        <w:t>Advances in Nutrition</w:t>
      </w:r>
      <w:r w:rsidRPr="00D16148">
        <w:rPr>
          <w:rFonts w:ascii="Arial" w:hAnsi="Arial" w:cs="Arial"/>
          <w:sz w:val="22"/>
          <w:lang w:val="en-GB"/>
        </w:rPr>
        <w:t xml:space="preserve">, 11(5), pp. 1150–1160. Available at: </w:t>
      </w:r>
      <w:hyperlink r:id="rId18" w:history="1">
        <w:r w:rsidRPr="00D16148">
          <w:rPr>
            <w:rStyle w:val="Hyperlink"/>
            <w:rFonts w:ascii="Arial" w:hAnsi="Arial" w:cs="Arial"/>
            <w:sz w:val="22"/>
            <w:lang w:val="en-GB"/>
          </w:rPr>
          <w:t>https://pmc.ncbi.nlm.nih.gov/articles/PMC7490167/</w:t>
        </w:r>
      </w:hyperlink>
      <w:r w:rsidRPr="00D16148">
        <w:rPr>
          <w:rFonts w:ascii="Arial" w:hAnsi="Arial" w:cs="Arial"/>
          <w:sz w:val="22"/>
          <w:lang w:val="en-GB"/>
        </w:rPr>
        <w:t xml:space="preserve"> (Accessed: 20 October 2026).</w:t>
      </w:r>
    </w:p>
    <w:p w14:paraId="2712CED3"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European Society of Cardiology., 2024. ‘2024 ESC Guidelines for the management of elevated blood pressure and hypertension’. </w:t>
      </w:r>
      <w:r w:rsidRPr="00D16148">
        <w:rPr>
          <w:rFonts w:ascii="Arial" w:hAnsi="Arial" w:cs="Arial"/>
          <w:i/>
          <w:iCs/>
          <w:sz w:val="22"/>
          <w:lang w:val="en-GB"/>
        </w:rPr>
        <w:t>European Heart Journal</w:t>
      </w:r>
      <w:r w:rsidRPr="00D16148">
        <w:rPr>
          <w:rFonts w:ascii="Arial" w:hAnsi="Arial" w:cs="Arial"/>
          <w:sz w:val="22"/>
          <w:lang w:val="en-GB"/>
        </w:rPr>
        <w:t xml:space="preserve">, 45(38), pp. 3912–4018. Available at: </w:t>
      </w:r>
      <w:hyperlink r:id="rId19" w:history="1">
        <w:r w:rsidRPr="00D16148">
          <w:rPr>
            <w:rStyle w:val="Hyperlink"/>
            <w:rFonts w:ascii="Arial" w:hAnsi="Arial" w:cs="Arial"/>
            <w:sz w:val="22"/>
            <w:lang w:val="en-GB"/>
          </w:rPr>
          <w:t>https://academic.oup.com/eurheartj/article/45/38/3912/7741010</w:t>
        </w:r>
      </w:hyperlink>
      <w:r w:rsidRPr="00D16148">
        <w:rPr>
          <w:rFonts w:ascii="Arial" w:hAnsi="Arial" w:cs="Arial"/>
          <w:sz w:val="22"/>
          <w:lang w:val="en-GB"/>
        </w:rPr>
        <w:t xml:space="preserve"> (Accessed: 20 October 2026).</w:t>
      </w:r>
    </w:p>
    <w:p w14:paraId="17954341"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Goh, L.H., Siah, C.J.R., Tam, W.W.S., Tai, E.S. and Young, D.Y.L., 2022. ‘Effectiveness of the chronic care model for adults with type 2 diabetes in primary care: a systematic review and meta-analysis’. </w:t>
      </w:r>
      <w:r w:rsidRPr="00D16148">
        <w:rPr>
          <w:rFonts w:ascii="Arial" w:hAnsi="Arial" w:cs="Arial"/>
          <w:i/>
          <w:iCs/>
          <w:sz w:val="22"/>
          <w:lang w:val="en-GB"/>
        </w:rPr>
        <w:t>Systematic Reviews</w:t>
      </w:r>
      <w:r w:rsidRPr="00D16148">
        <w:rPr>
          <w:rFonts w:ascii="Arial" w:hAnsi="Arial" w:cs="Arial"/>
          <w:sz w:val="22"/>
          <w:lang w:val="en-GB"/>
        </w:rPr>
        <w:t xml:space="preserve">, 11, article 273. Available at: </w:t>
      </w:r>
      <w:hyperlink r:id="rId20" w:history="1">
        <w:r w:rsidRPr="00D16148">
          <w:rPr>
            <w:rStyle w:val="Hyperlink"/>
            <w:rFonts w:ascii="Arial" w:hAnsi="Arial" w:cs="Arial"/>
            <w:sz w:val="22"/>
            <w:lang w:val="en-GB"/>
          </w:rPr>
          <w:t>https://pmc.ncbi.nlm.nih.gov/articles/PMC9753411/</w:t>
        </w:r>
      </w:hyperlink>
      <w:r w:rsidRPr="00D16148">
        <w:rPr>
          <w:rFonts w:ascii="Arial" w:hAnsi="Arial" w:cs="Arial"/>
          <w:sz w:val="22"/>
          <w:lang w:val="en-GB"/>
        </w:rPr>
        <w:t xml:space="preserve"> (Accessed: 20 October 2026).</w:t>
      </w:r>
    </w:p>
    <w:p w14:paraId="5441DCD8"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Guo, R., Li, N., Yang, R., Liao, X.-Y., Zhang, Y.-G., Zhu, P., Zhao, Q., Chen, R., Zhang, M. and Lei, Y., 2021. ‘Effects of the modified DASH diet on adults with elevated blood pressure or hypertension: a systematic review and meta-analysis’. </w:t>
      </w:r>
      <w:r w:rsidRPr="00D16148">
        <w:rPr>
          <w:rFonts w:ascii="Arial" w:hAnsi="Arial" w:cs="Arial"/>
          <w:i/>
          <w:iCs/>
          <w:sz w:val="22"/>
          <w:lang w:val="en-GB"/>
        </w:rPr>
        <w:t>Frontiers in Nutrition</w:t>
      </w:r>
      <w:r w:rsidRPr="00D16148">
        <w:rPr>
          <w:rFonts w:ascii="Arial" w:hAnsi="Arial" w:cs="Arial"/>
          <w:sz w:val="22"/>
          <w:lang w:val="en-GB"/>
        </w:rPr>
        <w:t xml:space="preserve">, 8, article 725020. Available at: </w:t>
      </w:r>
      <w:hyperlink r:id="rId21" w:history="1">
        <w:r w:rsidRPr="00D16148">
          <w:rPr>
            <w:rStyle w:val="Hyperlink"/>
            <w:rFonts w:ascii="Arial" w:hAnsi="Arial" w:cs="Arial"/>
            <w:sz w:val="22"/>
            <w:lang w:val="en-GB"/>
          </w:rPr>
          <w:t>https://pmc.ncbi.nlm.nih.gov/articles/PMC8452928/</w:t>
        </w:r>
      </w:hyperlink>
      <w:r w:rsidRPr="00D16148">
        <w:rPr>
          <w:rFonts w:ascii="Arial" w:hAnsi="Arial" w:cs="Arial"/>
          <w:sz w:val="22"/>
          <w:lang w:val="en-GB"/>
        </w:rPr>
        <w:t xml:space="preserve"> (Accessed: 20 October 2026).</w:t>
      </w:r>
    </w:p>
    <w:p w14:paraId="7DC22833" w14:textId="77777777" w:rsidR="004A12BB" w:rsidRPr="00D16148" w:rsidRDefault="004A12BB" w:rsidP="00F345D7">
      <w:pPr>
        <w:spacing w:line="360" w:lineRule="auto"/>
        <w:rPr>
          <w:rFonts w:ascii="Arial" w:hAnsi="Arial" w:cs="Arial"/>
          <w:sz w:val="22"/>
          <w:lang w:val="en-GB"/>
        </w:rPr>
      </w:pPr>
      <w:proofErr w:type="spellStart"/>
      <w:r w:rsidRPr="00D16148">
        <w:rPr>
          <w:rFonts w:ascii="Arial" w:hAnsi="Arial" w:cs="Arial"/>
          <w:sz w:val="22"/>
          <w:lang w:val="en-GB"/>
        </w:rPr>
        <w:t>Hayanga</w:t>
      </w:r>
      <w:proofErr w:type="spellEnd"/>
      <w:r w:rsidRPr="00D16148">
        <w:rPr>
          <w:rFonts w:ascii="Arial" w:hAnsi="Arial" w:cs="Arial"/>
          <w:sz w:val="22"/>
          <w:lang w:val="en-GB"/>
        </w:rPr>
        <w:t xml:space="preserve">, B., Stafford, M. and </w:t>
      </w:r>
      <w:proofErr w:type="spellStart"/>
      <w:r w:rsidRPr="00D16148">
        <w:rPr>
          <w:rFonts w:ascii="Arial" w:hAnsi="Arial" w:cs="Arial"/>
          <w:sz w:val="22"/>
          <w:lang w:val="en-GB"/>
        </w:rPr>
        <w:t>Bécares</w:t>
      </w:r>
      <w:proofErr w:type="spellEnd"/>
      <w:r w:rsidRPr="00D16148">
        <w:rPr>
          <w:rFonts w:ascii="Arial" w:hAnsi="Arial" w:cs="Arial"/>
          <w:sz w:val="22"/>
          <w:lang w:val="en-GB"/>
        </w:rPr>
        <w:t xml:space="preserve">, L., 2023. ‘Ethnic inequalities in multiple long-term health conditions in the United Kingdom: a systematic review and narrative synthesis’. </w:t>
      </w:r>
      <w:r w:rsidRPr="00D16148">
        <w:rPr>
          <w:rFonts w:ascii="Arial" w:hAnsi="Arial" w:cs="Arial"/>
          <w:i/>
          <w:iCs/>
          <w:sz w:val="22"/>
          <w:lang w:val="en-GB"/>
        </w:rPr>
        <w:t>BMC Public Health</w:t>
      </w:r>
      <w:r w:rsidRPr="00D16148">
        <w:rPr>
          <w:rFonts w:ascii="Arial" w:hAnsi="Arial" w:cs="Arial"/>
          <w:sz w:val="22"/>
          <w:lang w:val="en-GB"/>
        </w:rPr>
        <w:t xml:space="preserve">, 23, article 178. Available at: </w:t>
      </w:r>
      <w:hyperlink r:id="rId22" w:history="1">
        <w:r w:rsidRPr="00D16148">
          <w:rPr>
            <w:rStyle w:val="Hyperlink"/>
            <w:rFonts w:ascii="Arial" w:hAnsi="Arial" w:cs="Arial"/>
            <w:sz w:val="22"/>
            <w:lang w:val="en-GB"/>
          </w:rPr>
          <w:t>https://link.springer.com/article/10.1186/s1</w:t>
        </w:r>
        <w:r w:rsidRPr="00D16148">
          <w:rPr>
            <w:rStyle w:val="Hyperlink"/>
            <w:rFonts w:ascii="Arial" w:hAnsi="Arial" w:cs="Arial"/>
            <w:sz w:val="22"/>
            <w:lang w:val="en-GB"/>
          </w:rPr>
          <w:lastRenderedPageBreak/>
          <w:t>2889-022-14940-w</w:t>
        </w:r>
      </w:hyperlink>
      <w:r w:rsidRPr="00D16148">
        <w:rPr>
          <w:rFonts w:ascii="Arial" w:hAnsi="Arial" w:cs="Arial"/>
          <w:sz w:val="22"/>
          <w:lang w:val="en-GB"/>
        </w:rPr>
        <w:t xml:space="preserve"> (Accessed: 20 October 2026).</w:t>
      </w:r>
    </w:p>
    <w:p w14:paraId="1C8D35A6"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He, F.J., Tan, M., Ma, Y. and MacGregor, G.A., 2020. ‘Effect of dose and duration of reduction in dietary sodium on blood pressure levels: systematic review and meta-analysis of randomised </w:t>
      </w:r>
      <w:proofErr w:type="gramStart"/>
      <w:r w:rsidRPr="00D16148">
        <w:rPr>
          <w:rFonts w:ascii="Arial" w:hAnsi="Arial" w:cs="Arial"/>
          <w:sz w:val="22"/>
          <w:lang w:val="en-GB"/>
        </w:rPr>
        <w:t>trials’</w:t>
      </w:r>
      <w:proofErr w:type="gramEnd"/>
      <w:r w:rsidRPr="00D16148">
        <w:rPr>
          <w:rFonts w:ascii="Arial" w:hAnsi="Arial" w:cs="Arial"/>
          <w:sz w:val="22"/>
          <w:lang w:val="en-GB"/>
        </w:rPr>
        <w:t xml:space="preserve">. </w:t>
      </w:r>
      <w:r w:rsidRPr="00D16148">
        <w:rPr>
          <w:rFonts w:ascii="Arial" w:hAnsi="Arial" w:cs="Arial"/>
          <w:i/>
          <w:iCs/>
          <w:sz w:val="22"/>
          <w:lang w:val="en-GB"/>
        </w:rPr>
        <w:t>BMJ</w:t>
      </w:r>
      <w:r w:rsidRPr="00D16148">
        <w:rPr>
          <w:rFonts w:ascii="Arial" w:hAnsi="Arial" w:cs="Arial"/>
          <w:sz w:val="22"/>
          <w:lang w:val="en-GB"/>
        </w:rPr>
        <w:t xml:space="preserve">, 368, m315. Available at: </w:t>
      </w:r>
      <w:hyperlink r:id="rId23" w:history="1">
        <w:r w:rsidRPr="00D16148">
          <w:rPr>
            <w:rStyle w:val="Hyperlink"/>
            <w:rFonts w:ascii="Arial" w:hAnsi="Arial" w:cs="Arial"/>
            <w:sz w:val="22"/>
            <w:lang w:val="en-GB"/>
          </w:rPr>
          <w:t>https://www.bmj.com/content/368/bmj.m315.long</w:t>
        </w:r>
      </w:hyperlink>
      <w:r w:rsidRPr="00D16148">
        <w:rPr>
          <w:rFonts w:ascii="Arial" w:hAnsi="Arial" w:cs="Arial"/>
          <w:sz w:val="22"/>
          <w:lang w:val="en-GB"/>
        </w:rPr>
        <w:t xml:space="preserve"> (Accessed: 20 October 2026).</w:t>
      </w:r>
    </w:p>
    <w:p w14:paraId="704FE45D"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Health Foundation., 2023. </w:t>
      </w:r>
      <w:r w:rsidRPr="00D16148">
        <w:rPr>
          <w:rFonts w:ascii="Arial" w:hAnsi="Arial" w:cs="Arial"/>
          <w:i/>
          <w:iCs/>
          <w:sz w:val="22"/>
          <w:lang w:val="en-GB"/>
        </w:rPr>
        <w:t>Targeting health inequalities: realising the potential of targets in addressing health inequalities</w:t>
      </w:r>
      <w:r w:rsidRPr="00D16148">
        <w:rPr>
          <w:rFonts w:ascii="Arial" w:hAnsi="Arial" w:cs="Arial"/>
          <w:sz w:val="22"/>
          <w:lang w:val="en-GB"/>
        </w:rPr>
        <w:t xml:space="preserve">. Available at: </w:t>
      </w:r>
      <w:hyperlink r:id="rId24" w:history="1">
        <w:r w:rsidRPr="00D16148">
          <w:rPr>
            <w:rStyle w:val="Hyperlink"/>
            <w:rFonts w:ascii="Arial" w:hAnsi="Arial" w:cs="Arial"/>
            <w:sz w:val="22"/>
            <w:lang w:val="en-GB"/>
          </w:rPr>
          <w:t>https://www.health.org.uk/reports-and-analysis/reports/targeting-health-inequalities-realising-the-potential-of-targets-in</w:t>
        </w:r>
      </w:hyperlink>
      <w:r w:rsidRPr="00D16148">
        <w:rPr>
          <w:rFonts w:ascii="Arial" w:hAnsi="Arial" w:cs="Arial"/>
          <w:sz w:val="22"/>
          <w:lang w:val="en-GB"/>
        </w:rPr>
        <w:t xml:space="preserve"> (Accessed: 20 October 2026).</w:t>
      </w:r>
    </w:p>
    <w:p w14:paraId="43F8B36E"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Lee, E.K.P., Poon, P., Yip, B.H.K., Bo, Y., Zhu, M.-T., Yu, C.-P., Ngai, A.C.H., Wong, M.C.S. and Wong, S.Y.S., 2022. ‘Global burden, regional differences, trends, and health consequences of medication nonadherence for hypertension during 2010 to 2020: a meta-analysis involving 27 million </w:t>
      </w:r>
      <w:proofErr w:type="gramStart"/>
      <w:r w:rsidRPr="00D16148">
        <w:rPr>
          <w:rFonts w:ascii="Arial" w:hAnsi="Arial" w:cs="Arial"/>
          <w:sz w:val="22"/>
          <w:lang w:val="en-GB"/>
        </w:rPr>
        <w:t>patients’</w:t>
      </w:r>
      <w:proofErr w:type="gramEnd"/>
      <w:r w:rsidRPr="00D16148">
        <w:rPr>
          <w:rFonts w:ascii="Arial" w:hAnsi="Arial" w:cs="Arial"/>
          <w:sz w:val="22"/>
          <w:lang w:val="en-GB"/>
        </w:rPr>
        <w:t xml:space="preserve">. </w:t>
      </w:r>
      <w:r w:rsidRPr="00D16148">
        <w:rPr>
          <w:rFonts w:ascii="Arial" w:hAnsi="Arial" w:cs="Arial"/>
          <w:i/>
          <w:iCs/>
          <w:sz w:val="22"/>
          <w:lang w:val="en-GB"/>
        </w:rPr>
        <w:t>Journal of the American Heart Association</w:t>
      </w:r>
      <w:r w:rsidRPr="00D16148">
        <w:rPr>
          <w:rFonts w:ascii="Arial" w:hAnsi="Arial" w:cs="Arial"/>
          <w:sz w:val="22"/>
          <w:lang w:val="en-GB"/>
        </w:rPr>
        <w:t xml:space="preserve">, 11(17), e026582. Available at: </w:t>
      </w:r>
      <w:hyperlink r:id="rId25" w:history="1">
        <w:r w:rsidRPr="00D16148">
          <w:rPr>
            <w:rStyle w:val="Hyperlink"/>
            <w:rFonts w:ascii="Arial" w:hAnsi="Arial" w:cs="Arial"/>
            <w:sz w:val="22"/>
            <w:lang w:val="en-GB"/>
          </w:rPr>
          <w:t>https://pmc.ncbi.nlm.nih.gov/articles/PMC9496433/</w:t>
        </w:r>
      </w:hyperlink>
      <w:r w:rsidRPr="00D16148">
        <w:rPr>
          <w:rFonts w:ascii="Arial" w:hAnsi="Arial" w:cs="Arial"/>
          <w:sz w:val="22"/>
          <w:lang w:val="en-GB"/>
        </w:rPr>
        <w:t xml:space="preserve"> (Accessed: 20 October 2026).</w:t>
      </w:r>
    </w:p>
    <w:p w14:paraId="37084F50"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Li, L., Liu, X., Shen, F., Xu, N. and Li, Y., 2022. ‘Effects of high-intensity interval training versus moderate-intensity continuous training on blood pressure in </w:t>
      </w:r>
      <w:r w:rsidRPr="00D16148">
        <w:rPr>
          <w:rFonts w:ascii="Arial" w:hAnsi="Arial" w:cs="Arial"/>
          <w:sz w:val="22"/>
          <w:lang w:val="en-GB"/>
        </w:rPr>
        <w:t xml:space="preserve">patients with hypertension: a meta-analysis’. </w:t>
      </w:r>
      <w:r w:rsidRPr="00D16148">
        <w:rPr>
          <w:rFonts w:ascii="Arial" w:hAnsi="Arial" w:cs="Arial"/>
          <w:i/>
          <w:iCs/>
          <w:sz w:val="22"/>
          <w:lang w:val="en-GB"/>
        </w:rPr>
        <w:t>Medicine</w:t>
      </w:r>
      <w:r w:rsidRPr="00D16148">
        <w:rPr>
          <w:rFonts w:ascii="Arial" w:hAnsi="Arial" w:cs="Arial"/>
          <w:sz w:val="22"/>
          <w:lang w:val="en-GB"/>
        </w:rPr>
        <w:t xml:space="preserve">, 101(50), e32246. Available at: </w:t>
      </w:r>
      <w:hyperlink r:id="rId26" w:history="1">
        <w:r w:rsidRPr="00D16148">
          <w:rPr>
            <w:rStyle w:val="Hyperlink"/>
            <w:rFonts w:ascii="Arial" w:hAnsi="Arial" w:cs="Arial"/>
            <w:sz w:val="22"/>
            <w:lang w:val="en-GB"/>
          </w:rPr>
          <w:t>https://pmc.ncbi.nlm.nih.gov/articles/PMC9771301/</w:t>
        </w:r>
      </w:hyperlink>
      <w:r w:rsidRPr="00D16148">
        <w:rPr>
          <w:rFonts w:ascii="Arial" w:hAnsi="Arial" w:cs="Arial"/>
          <w:sz w:val="22"/>
          <w:lang w:val="en-GB"/>
        </w:rPr>
        <w:t xml:space="preserve"> (Accessed: 20 October 2026).</w:t>
      </w:r>
    </w:p>
    <w:p w14:paraId="54D78D6C"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National Institute for Health and Care Excellence (NICE)., 2021. </w:t>
      </w:r>
      <w:r w:rsidRPr="00D16148">
        <w:rPr>
          <w:rFonts w:ascii="Arial" w:hAnsi="Arial" w:cs="Arial"/>
          <w:i/>
          <w:iCs/>
          <w:sz w:val="22"/>
          <w:lang w:val="en-GB"/>
        </w:rPr>
        <w:t>Shared decision making</w:t>
      </w:r>
      <w:r w:rsidRPr="00D16148">
        <w:rPr>
          <w:rFonts w:ascii="Arial" w:hAnsi="Arial" w:cs="Arial"/>
          <w:sz w:val="22"/>
          <w:lang w:val="en-GB"/>
        </w:rPr>
        <w:t xml:space="preserve">. NICE guideline NG197. Available at: </w:t>
      </w:r>
      <w:hyperlink r:id="rId27" w:history="1">
        <w:r w:rsidRPr="00D16148">
          <w:rPr>
            <w:rStyle w:val="Hyperlink"/>
            <w:rFonts w:ascii="Arial" w:hAnsi="Arial" w:cs="Arial"/>
            <w:sz w:val="22"/>
            <w:lang w:val="en-GB"/>
          </w:rPr>
          <w:t>https://www.nice.org.uk/guidance/ng197/chapter/Recommendations</w:t>
        </w:r>
      </w:hyperlink>
      <w:r w:rsidRPr="00D16148">
        <w:rPr>
          <w:rFonts w:ascii="Arial" w:hAnsi="Arial" w:cs="Arial"/>
          <w:sz w:val="22"/>
          <w:lang w:val="en-GB"/>
        </w:rPr>
        <w:t xml:space="preserve"> (Accessed: 20 October 2026).</w:t>
      </w:r>
    </w:p>
    <w:p w14:paraId="6C594E82"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National Institute for Health and Care Excellence (NICE)., 2023. </w:t>
      </w:r>
      <w:r w:rsidRPr="00D16148">
        <w:rPr>
          <w:rFonts w:ascii="Arial" w:hAnsi="Arial" w:cs="Arial"/>
          <w:i/>
          <w:iCs/>
          <w:sz w:val="22"/>
          <w:lang w:val="en-GB"/>
        </w:rPr>
        <w:t>Cardiovascular disease: risk assessment and reduction, including lipid modification</w:t>
      </w:r>
      <w:r w:rsidRPr="00D16148">
        <w:rPr>
          <w:rFonts w:ascii="Arial" w:hAnsi="Arial" w:cs="Arial"/>
          <w:sz w:val="22"/>
          <w:lang w:val="en-GB"/>
        </w:rPr>
        <w:t xml:space="preserve">. NICE guideline NG238. Available at: </w:t>
      </w:r>
      <w:hyperlink r:id="rId28" w:history="1">
        <w:r w:rsidRPr="00D16148">
          <w:rPr>
            <w:rStyle w:val="Hyperlink"/>
            <w:rFonts w:ascii="Arial" w:hAnsi="Arial" w:cs="Arial"/>
            <w:sz w:val="22"/>
            <w:lang w:val="en-GB"/>
          </w:rPr>
          <w:t>https://www.nice.org.uk/guidance/ng238/chapter/recommendations</w:t>
        </w:r>
      </w:hyperlink>
      <w:r w:rsidRPr="00D16148">
        <w:rPr>
          <w:rFonts w:ascii="Arial" w:hAnsi="Arial" w:cs="Arial"/>
          <w:sz w:val="22"/>
          <w:lang w:val="en-GB"/>
        </w:rPr>
        <w:t xml:space="preserve"> (Accessed: 20 October 2026).</w:t>
      </w:r>
    </w:p>
    <w:p w14:paraId="3925CF1B"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National Institute for Health and Care Excellence (NICE)., 2026. </w:t>
      </w:r>
      <w:r w:rsidRPr="00D16148">
        <w:rPr>
          <w:rFonts w:ascii="Arial" w:hAnsi="Arial" w:cs="Arial"/>
          <w:i/>
          <w:iCs/>
          <w:sz w:val="22"/>
          <w:lang w:val="en-GB"/>
        </w:rPr>
        <w:t>Hypertension in adults: diagnosis and management</w:t>
      </w:r>
      <w:r w:rsidRPr="00D16148">
        <w:rPr>
          <w:rFonts w:ascii="Arial" w:hAnsi="Arial" w:cs="Arial"/>
          <w:sz w:val="22"/>
          <w:lang w:val="en-GB"/>
        </w:rPr>
        <w:t xml:space="preserve">. NICE guideline NG136, updated 26 February 2026. Available at: </w:t>
      </w:r>
      <w:hyperlink r:id="rId29" w:history="1">
        <w:r w:rsidRPr="00D16148">
          <w:rPr>
            <w:rStyle w:val="Hyperlink"/>
            <w:rFonts w:ascii="Arial" w:hAnsi="Arial" w:cs="Arial"/>
            <w:sz w:val="22"/>
            <w:lang w:val="en-GB"/>
          </w:rPr>
          <w:t>https://www.nice.org.uk/guidance/ng136/chapter/recommendations</w:t>
        </w:r>
      </w:hyperlink>
      <w:r w:rsidRPr="00D16148">
        <w:rPr>
          <w:rFonts w:ascii="Arial" w:hAnsi="Arial" w:cs="Arial"/>
          <w:sz w:val="22"/>
          <w:lang w:val="en-GB"/>
        </w:rPr>
        <w:t xml:space="preserve"> (Accessed: 20 October 2026).</w:t>
      </w:r>
    </w:p>
    <w:p w14:paraId="7A871EA3"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NCD Risk Factor Collaboration (NCD-</w:t>
      </w:r>
      <w:proofErr w:type="spellStart"/>
      <w:r w:rsidRPr="00D16148">
        <w:rPr>
          <w:rFonts w:ascii="Arial" w:hAnsi="Arial" w:cs="Arial"/>
          <w:sz w:val="22"/>
          <w:lang w:val="en-GB"/>
        </w:rPr>
        <w:t>RisC</w:t>
      </w:r>
      <w:proofErr w:type="spellEnd"/>
      <w:r w:rsidRPr="00D16148">
        <w:rPr>
          <w:rFonts w:ascii="Arial" w:hAnsi="Arial" w:cs="Arial"/>
          <w:sz w:val="22"/>
          <w:lang w:val="en-GB"/>
        </w:rPr>
        <w:t xml:space="preserve">)., 2021. ‘Worldwide trends in hypertension prevalence and progress in treatment and control from 1990 to 2019: a pooled analysis of 1,201 population-representative studies with 104 million </w:t>
      </w:r>
      <w:proofErr w:type="gramStart"/>
      <w:r w:rsidRPr="00D16148">
        <w:rPr>
          <w:rFonts w:ascii="Arial" w:hAnsi="Arial" w:cs="Arial"/>
          <w:sz w:val="22"/>
          <w:lang w:val="en-GB"/>
        </w:rPr>
        <w:lastRenderedPageBreak/>
        <w:t>participants’</w:t>
      </w:r>
      <w:proofErr w:type="gramEnd"/>
      <w:r w:rsidRPr="00D16148">
        <w:rPr>
          <w:rFonts w:ascii="Arial" w:hAnsi="Arial" w:cs="Arial"/>
          <w:sz w:val="22"/>
          <w:lang w:val="en-GB"/>
        </w:rPr>
        <w:t xml:space="preserve">. </w:t>
      </w:r>
      <w:r w:rsidRPr="00D16148">
        <w:rPr>
          <w:rFonts w:ascii="Arial" w:hAnsi="Arial" w:cs="Arial"/>
          <w:i/>
          <w:iCs/>
          <w:sz w:val="22"/>
          <w:lang w:val="en-GB"/>
        </w:rPr>
        <w:t>The Lancet</w:t>
      </w:r>
      <w:r w:rsidRPr="00D16148">
        <w:rPr>
          <w:rFonts w:ascii="Arial" w:hAnsi="Arial" w:cs="Arial"/>
          <w:sz w:val="22"/>
          <w:lang w:val="en-GB"/>
        </w:rPr>
        <w:t xml:space="preserve">, 398(10304), pp. 957–980. Available at: </w:t>
      </w:r>
      <w:hyperlink r:id="rId30" w:history="1">
        <w:r w:rsidRPr="00D16148">
          <w:rPr>
            <w:rStyle w:val="Hyperlink"/>
            <w:rFonts w:ascii="Arial" w:hAnsi="Arial" w:cs="Arial"/>
            <w:sz w:val="22"/>
            <w:lang w:val="en-GB"/>
          </w:rPr>
          <w:t>https://pmc.ncbi.nlm.nih.gov/articles/PMC8446938/</w:t>
        </w:r>
      </w:hyperlink>
      <w:r w:rsidRPr="00D16148">
        <w:rPr>
          <w:rFonts w:ascii="Arial" w:hAnsi="Arial" w:cs="Arial"/>
          <w:sz w:val="22"/>
          <w:lang w:val="en-GB"/>
        </w:rPr>
        <w:t xml:space="preserve"> (Accessed: 20 October 2026).</w:t>
      </w:r>
    </w:p>
    <w:p w14:paraId="2CAF5FA2"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2024. </w:t>
      </w:r>
      <w:r w:rsidRPr="00D16148">
        <w:rPr>
          <w:rFonts w:ascii="Arial" w:hAnsi="Arial" w:cs="Arial"/>
          <w:i/>
          <w:iCs/>
          <w:sz w:val="22"/>
          <w:lang w:val="en-GB"/>
        </w:rPr>
        <w:t>High blood pressure</w:t>
      </w:r>
      <w:r w:rsidRPr="00D16148">
        <w:rPr>
          <w:rFonts w:ascii="Arial" w:hAnsi="Arial" w:cs="Arial"/>
          <w:sz w:val="22"/>
          <w:lang w:val="en-GB"/>
        </w:rPr>
        <w:t xml:space="preserve">. Page last reviewed 19 July 2024. Available at: </w:t>
      </w:r>
      <w:hyperlink r:id="rId31" w:history="1">
        <w:r w:rsidRPr="00D16148">
          <w:rPr>
            <w:rStyle w:val="Hyperlink"/>
            <w:rFonts w:ascii="Arial" w:hAnsi="Arial" w:cs="Arial"/>
            <w:sz w:val="22"/>
            <w:lang w:val="en-GB"/>
          </w:rPr>
          <w:t>https://www.nhs.uk/conditions/high-blood-pressure/</w:t>
        </w:r>
      </w:hyperlink>
      <w:r w:rsidRPr="00D16148">
        <w:rPr>
          <w:rFonts w:ascii="Arial" w:hAnsi="Arial" w:cs="Arial"/>
          <w:sz w:val="22"/>
          <w:lang w:val="en-GB"/>
        </w:rPr>
        <w:t xml:space="preserve"> (Accessed: 20 October 2026).</w:t>
      </w:r>
    </w:p>
    <w:p w14:paraId="5EF48C9C"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2025. </w:t>
      </w:r>
      <w:r w:rsidRPr="00D16148">
        <w:rPr>
          <w:rFonts w:ascii="Arial" w:hAnsi="Arial" w:cs="Arial"/>
          <w:i/>
          <w:iCs/>
          <w:sz w:val="22"/>
          <w:lang w:val="en-GB"/>
        </w:rPr>
        <w:t>Blood pressure test</w:t>
      </w:r>
      <w:r w:rsidRPr="00D16148">
        <w:rPr>
          <w:rFonts w:ascii="Arial" w:hAnsi="Arial" w:cs="Arial"/>
          <w:sz w:val="22"/>
          <w:lang w:val="en-GB"/>
        </w:rPr>
        <w:t xml:space="preserve">. Page last reviewed 25 November 2025. Available at: </w:t>
      </w:r>
      <w:hyperlink r:id="rId32" w:history="1">
        <w:r w:rsidRPr="00D16148">
          <w:rPr>
            <w:rStyle w:val="Hyperlink"/>
            <w:rFonts w:ascii="Arial" w:hAnsi="Arial" w:cs="Arial"/>
            <w:sz w:val="22"/>
            <w:lang w:val="en-GB"/>
          </w:rPr>
          <w:t>https://www.nhs.uk/tests-and-treatments/blood-pressure-test/</w:t>
        </w:r>
      </w:hyperlink>
      <w:r w:rsidRPr="00D16148">
        <w:rPr>
          <w:rFonts w:ascii="Arial" w:hAnsi="Arial" w:cs="Arial"/>
          <w:sz w:val="22"/>
          <w:lang w:val="en-GB"/>
        </w:rPr>
        <w:t xml:space="preserve"> (Accessed: 20 October 2026).</w:t>
      </w:r>
    </w:p>
    <w:p w14:paraId="66C336CE"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England., 2021a. </w:t>
      </w:r>
      <w:r w:rsidRPr="00D16148">
        <w:rPr>
          <w:rFonts w:ascii="Arial" w:hAnsi="Arial" w:cs="Arial"/>
          <w:i/>
          <w:iCs/>
          <w:sz w:val="22"/>
          <w:lang w:val="en-GB"/>
        </w:rPr>
        <w:t>Core20PLUS5 (adults): an approach to reducing healthcare inequalities</w:t>
      </w:r>
      <w:r w:rsidRPr="00D16148">
        <w:rPr>
          <w:rFonts w:ascii="Arial" w:hAnsi="Arial" w:cs="Arial"/>
          <w:sz w:val="22"/>
          <w:lang w:val="en-GB"/>
        </w:rPr>
        <w:t xml:space="preserve">. Available at: </w:t>
      </w:r>
      <w:hyperlink r:id="rId33" w:history="1">
        <w:r w:rsidRPr="00D16148">
          <w:rPr>
            <w:rStyle w:val="Hyperlink"/>
            <w:rFonts w:ascii="Arial" w:hAnsi="Arial" w:cs="Arial"/>
            <w:sz w:val="22"/>
            <w:lang w:val="en-GB"/>
          </w:rPr>
          <w:t>https://www.england.nhs.uk/about/equality/equality-hub/national-healthcare-inequalities-improvement-programme/core20plus5/</w:t>
        </w:r>
      </w:hyperlink>
      <w:r w:rsidRPr="00D16148">
        <w:rPr>
          <w:rFonts w:ascii="Arial" w:hAnsi="Arial" w:cs="Arial"/>
          <w:sz w:val="22"/>
          <w:lang w:val="en-GB"/>
        </w:rPr>
        <w:t xml:space="preserve"> (Accessed: 20 October 2026).</w:t>
      </w:r>
    </w:p>
    <w:p w14:paraId="6A1A5985"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England., 2021b. ‘NHS offers home blood pressure checks to save thousands of lives’, 3 November. Available at: </w:t>
      </w:r>
      <w:hyperlink r:id="rId34" w:history="1">
        <w:r w:rsidRPr="00D16148">
          <w:rPr>
            <w:rStyle w:val="Hyperlink"/>
            <w:rFonts w:ascii="Arial" w:hAnsi="Arial" w:cs="Arial"/>
            <w:sz w:val="22"/>
            <w:lang w:val="en-GB"/>
          </w:rPr>
          <w:t>https://www.england.nhs.uk/2021/11/nhs-offers-home-blood-pressure-checks-to-save-thousands-of-lives/</w:t>
        </w:r>
      </w:hyperlink>
      <w:r w:rsidRPr="00D16148">
        <w:rPr>
          <w:rFonts w:ascii="Arial" w:hAnsi="Arial" w:cs="Arial"/>
          <w:sz w:val="22"/>
          <w:lang w:val="en-GB"/>
        </w:rPr>
        <w:t xml:space="preserve"> (Accessed: 20 October 2026).</w:t>
      </w:r>
    </w:p>
    <w:p w14:paraId="0FE9379C"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England., 2021c. </w:t>
      </w:r>
      <w:r w:rsidRPr="00D16148">
        <w:rPr>
          <w:rFonts w:ascii="Arial" w:hAnsi="Arial" w:cs="Arial"/>
          <w:i/>
          <w:iCs/>
          <w:sz w:val="22"/>
          <w:lang w:val="en-GB"/>
        </w:rPr>
        <w:t xml:space="preserve">Personalised care and support plan: NHS standard DAPB4022 </w:t>
      </w:r>
      <w:proofErr w:type="spellStart"/>
      <w:r w:rsidRPr="00D16148">
        <w:rPr>
          <w:rFonts w:ascii="Arial" w:hAnsi="Arial" w:cs="Arial"/>
          <w:i/>
          <w:iCs/>
          <w:sz w:val="22"/>
          <w:lang w:val="en-GB"/>
        </w:rPr>
        <w:t>Amd</w:t>
      </w:r>
      <w:proofErr w:type="spellEnd"/>
      <w:r w:rsidRPr="00D16148">
        <w:rPr>
          <w:rFonts w:ascii="Arial" w:hAnsi="Arial" w:cs="Arial"/>
          <w:i/>
          <w:iCs/>
          <w:sz w:val="22"/>
          <w:lang w:val="en-GB"/>
        </w:rPr>
        <w:t xml:space="preserve"> 38/2021</w:t>
      </w:r>
      <w:r w:rsidRPr="00D16148">
        <w:rPr>
          <w:rFonts w:ascii="Arial" w:hAnsi="Arial" w:cs="Arial"/>
          <w:sz w:val="22"/>
          <w:lang w:val="en-GB"/>
        </w:rPr>
        <w:t xml:space="preserve">. Available at: </w:t>
      </w:r>
      <w:hyperlink r:id="rId35" w:history="1">
        <w:r w:rsidRPr="00D16148">
          <w:rPr>
            <w:rStyle w:val="Hyperlink"/>
            <w:rFonts w:ascii="Arial" w:hAnsi="Arial" w:cs="Arial"/>
            <w:sz w:val="22"/>
            <w:lang w:val="en-GB"/>
          </w:rPr>
          <w:t>https://standards.nhs.uk/published-</w:t>
        </w:r>
        <w:r w:rsidRPr="00D16148">
          <w:rPr>
            <w:rStyle w:val="Hyperlink"/>
            <w:rFonts w:ascii="Arial" w:hAnsi="Arial" w:cs="Arial"/>
            <w:sz w:val="22"/>
            <w:lang w:val="en-GB"/>
          </w:rPr>
          <w:t>standards/personalised-care-and-support-plan</w:t>
        </w:r>
      </w:hyperlink>
      <w:r w:rsidRPr="00D16148">
        <w:rPr>
          <w:rFonts w:ascii="Arial" w:hAnsi="Arial" w:cs="Arial"/>
          <w:sz w:val="22"/>
          <w:lang w:val="en-GB"/>
        </w:rPr>
        <w:t xml:space="preserve"> (Accessed: 20 October 2026).</w:t>
      </w:r>
    </w:p>
    <w:p w14:paraId="01070B8E"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England., 2023. </w:t>
      </w:r>
      <w:r w:rsidRPr="00D16148">
        <w:rPr>
          <w:rFonts w:ascii="Arial" w:hAnsi="Arial" w:cs="Arial"/>
          <w:i/>
          <w:iCs/>
          <w:sz w:val="22"/>
          <w:lang w:val="en-GB"/>
        </w:rPr>
        <w:t>Personalised care and support planning</w:t>
      </w:r>
      <w:r w:rsidRPr="00D16148">
        <w:rPr>
          <w:rFonts w:ascii="Arial" w:hAnsi="Arial" w:cs="Arial"/>
          <w:sz w:val="22"/>
          <w:lang w:val="en-GB"/>
        </w:rPr>
        <w:t xml:space="preserve">. Guidance page updated 31 August 2023. Available at: </w:t>
      </w:r>
      <w:hyperlink r:id="rId36" w:history="1">
        <w:r w:rsidRPr="00D16148">
          <w:rPr>
            <w:rStyle w:val="Hyperlink"/>
            <w:rFonts w:ascii="Arial" w:hAnsi="Arial" w:cs="Arial"/>
            <w:sz w:val="22"/>
            <w:lang w:val="en-GB"/>
          </w:rPr>
          <w:t>https://www.england.nhs.uk/publication/personalised-care-and-support-planning/</w:t>
        </w:r>
      </w:hyperlink>
      <w:r w:rsidRPr="00D16148">
        <w:rPr>
          <w:rFonts w:ascii="Arial" w:hAnsi="Arial" w:cs="Arial"/>
          <w:sz w:val="22"/>
          <w:lang w:val="en-GB"/>
        </w:rPr>
        <w:t xml:space="preserve"> (Accessed: 20 October 2026).</w:t>
      </w:r>
    </w:p>
    <w:p w14:paraId="0652FCB0"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England., 2024. </w:t>
      </w:r>
      <w:r w:rsidRPr="00D16148">
        <w:rPr>
          <w:rFonts w:ascii="Arial" w:hAnsi="Arial" w:cs="Arial"/>
          <w:i/>
          <w:iCs/>
          <w:sz w:val="22"/>
          <w:lang w:val="en-GB"/>
        </w:rPr>
        <w:t>Cardiovascular disease high impact interventions</w:t>
      </w:r>
      <w:r w:rsidRPr="00D16148">
        <w:rPr>
          <w:rFonts w:ascii="Arial" w:hAnsi="Arial" w:cs="Arial"/>
          <w:sz w:val="22"/>
          <w:lang w:val="en-GB"/>
        </w:rPr>
        <w:t xml:space="preserve">. Available at: </w:t>
      </w:r>
      <w:hyperlink r:id="rId37" w:history="1">
        <w:r w:rsidRPr="00D16148">
          <w:rPr>
            <w:rStyle w:val="Hyperlink"/>
            <w:rFonts w:ascii="Arial" w:hAnsi="Arial" w:cs="Arial"/>
            <w:sz w:val="22"/>
            <w:lang w:val="en-GB"/>
          </w:rPr>
          <w:t>https://www.england.nhs.uk/ourwork/prevention/secondary-prevention/cardiovascular-disease-high-impact-interventions/</w:t>
        </w:r>
      </w:hyperlink>
      <w:r w:rsidRPr="00D16148">
        <w:rPr>
          <w:rFonts w:ascii="Arial" w:hAnsi="Arial" w:cs="Arial"/>
          <w:sz w:val="22"/>
          <w:lang w:val="en-GB"/>
        </w:rPr>
        <w:t xml:space="preserve"> (Accessed: 20 October 2026).</w:t>
      </w:r>
    </w:p>
    <w:p w14:paraId="38B4A4F6"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England Digital., 2024. </w:t>
      </w:r>
      <w:r w:rsidRPr="00D16148">
        <w:rPr>
          <w:rFonts w:ascii="Arial" w:hAnsi="Arial" w:cs="Arial"/>
          <w:i/>
          <w:iCs/>
          <w:sz w:val="22"/>
          <w:lang w:val="en-GB"/>
        </w:rPr>
        <w:t>Health Survey for England 2022: adults’ health</w:t>
      </w:r>
      <w:r w:rsidRPr="00D16148">
        <w:rPr>
          <w:rFonts w:ascii="Arial" w:hAnsi="Arial" w:cs="Arial"/>
          <w:sz w:val="22"/>
          <w:lang w:val="en-GB"/>
        </w:rPr>
        <w:t xml:space="preserve">. Available at: </w:t>
      </w:r>
      <w:hyperlink r:id="rId38" w:history="1">
        <w:r w:rsidRPr="00D16148">
          <w:rPr>
            <w:rStyle w:val="Hyperlink"/>
            <w:rFonts w:ascii="Arial" w:hAnsi="Arial" w:cs="Arial"/>
            <w:sz w:val="22"/>
            <w:lang w:val="en-GB"/>
          </w:rPr>
          <w:t>https://digital.nhs.uk/data-and-information/publications/statistical/health-survey-for-england/2022-part-2/adult-health</w:t>
        </w:r>
      </w:hyperlink>
      <w:r w:rsidRPr="00D16148">
        <w:rPr>
          <w:rFonts w:ascii="Arial" w:hAnsi="Arial" w:cs="Arial"/>
          <w:sz w:val="22"/>
          <w:lang w:val="en-GB"/>
        </w:rPr>
        <w:t xml:space="preserve"> (Accessed: 20 October 2026).</w:t>
      </w:r>
    </w:p>
    <w:p w14:paraId="0529391C"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NHS England Digital., 2026. </w:t>
      </w:r>
      <w:r w:rsidRPr="00D16148">
        <w:rPr>
          <w:rFonts w:ascii="Arial" w:hAnsi="Arial" w:cs="Arial"/>
          <w:i/>
          <w:iCs/>
          <w:sz w:val="22"/>
          <w:lang w:val="en-GB"/>
        </w:rPr>
        <w:t>Health Survey for England 2024: adults’ health</w:t>
      </w:r>
      <w:r w:rsidRPr="00D16148">
        <w:rPr>
          <w:rFonts w:ascii="Arial" w:hAnsi="Arial" w:cs="Arial"/>
          <w:sz w:val="22"/>
          <w:lang w:val="en-GB"/>
        </w:rPr>
        <w:t xml:space="preserve">. Available at: </w:t>
      </w:r>
      <w:hyperlink r:id="rId39" w:history="1">
        <w:r w:rsidRPr="00D16148">
          <w:rPr>
            <w:rStyle w:val="Hyperlink"/>
            <w:rFonts w:ascii="Arial" w:hAnsi="Arial" w:cs="Arial"/>
            <w:sz w:val="22"/>
            <w:lang w:val="en-GB"/>
          </w:rPr>
          <w:t>https://digital.nhs.uk/data-and-information/publications/statistical/health-survey-for-england/2024/adults-health</w:t>
        </w:r>
      </w:hyperlink>
      <w:r w:rsidRPr="00D16148">
        <w:rPr>
          <w:rFonts w:ascii="Arial" w:hAnsi="Arial" w:cs="Arial"/>
          <w:sz w:val="22"/>
          <w:lang w:val="en-GB"/>
        </w:rPr>
        <w:t xml:space="preserve"> (Accessed: 20 October 2026).</w:t>
      </w:r>
    </w:p>
    <w:p w14:paraId="1980A331"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World Health Organization (WHO)., 2020a. </w:t>
      </w:r>
      <w:r w:rsidRPr="00D16148">
        <w:rPr>
          <w:rFonts w:ascii="Arial" w:hAnsi="Arial" w:cs="Arial"/>
          <w:i/>
          <w:iCs/>
          <w:sz w:val="22"/>
          <w:lang w:val="en-GB"/>
        </w:rPr>
        <w:t xml:space="preserve">Improving hypertension control in 3 million people: country experiences of </w:t>
      </w:r>
      <w:r w:rsidRPr="00D16148">
        <w:rPr>
          <w:rFonts w:ascii="Arial" w:hAnsi="Arial" w:cs="Arial"/>
          <w:i/>
          <w:iCs/>
          <w:sz w:val="22"/>
          <w:lang w:val="en-GB"/>
        </w:rPr>
        <w:lastRenderedPageBreak/>
        <w:t>programme development and implementation</w:t>
      </w:r>
      <w:r w:rsidRPr="00D16148">
        <w:rPr>
          <w:rFonts w:ascii="Arial" w:hAnsi="Arial" w:cs="Arial"/>
          <w:sz w:val="22"/>
          <w:lang w:val="en-GB"/>
        </w:rPr>
        <w:t xml:space="preserve">. Available at: </w:t>
      </w:r>
      <w:hyperlink r:id="rId40" w:history="1">
        <w:r w:rsidRPr="00D16148">
          <w:rPr>
            <w:rStyle w:val="Hyperlink"/>
            <w:rFonts w:ascii="Arial" w:hAnsi="Arial" w:cs="Arial"/>
            <w:sz w:val="22"/>
            <w:lang w:val="en-GB"/>
          </w:rPr>
          <w:t>https://fctc.who.int/publications/i/item/improving-hypertension-control-in-3-million-people-country-experiences-of-programme-development-and-implementation</w:t>
        </w:r>
      </w:hyperlink>
      <w:r w:rsidRPr="00D16148">
        <w:rPr>
          <w:rFonts w:ascii="Arial" w:hAnsi="Arial" w:cs="Arial"/>
          <w:sz w:val="22"/>
          <w:lang w:val="en-GB"/>
        </w:rPr>
        <w:t xml:space="preserve"> (Accessed: 20 October 2026).</w:t>
      </w:r>
    </w:p>
    <w:p w14:paraId="7701553B"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World Health Organization (WHO)., 2020b. </w:t>
      </w:r>
      <w:r w:rsidRPr="00D16148">
        <w:rPr>
          <w:rFonts w:ascii="Arial" w:hAnsi="Arial" w:cs="Arial"/>
          <w:i/>
          <w:iCs/>
          <w:sz w:val="22"/>
          <w:lang w:val="en-GB"/>
        </w:rPr>
        <w:t>WHO guidelines on physical activity and sedentary behaviour</w:t>
      </w:r>
      <w:r w:rsidRPr="00D16148">
        <w:rPr>
          <w:rFonts w:ascii="Arial" w:hAnsi="Arial" w:cs="Arial"/>
          <w:sz w:val="22"/>
          <w:lang w:val="en-GB"/>
        </w:rPr>
        <w:t xml:space="preserve">. Available at: </w:t>
      </w:r>
      <w:hyperlink r:id="rId41" w:history="1">
        <w:r w:rsidRPr="00D16148">
          <w:rPr>
            <w:rStyle w:val="Hyperlink"/>
            <w:rFonts w:ascii="Arial" w:hAnsi="Arial" w:cs="Arial"/>
            <w:sz w:val="22"/>
            <w:lang w:val="en-GB"/>
          </w:rPr>
          <w:t>https://www.who.int/publications/i/item/9789240015128</w:t>
        </w:r>
      </w:hyperlink>
      <w:r w:rsidRPr="00D16148">
        <w:rPr>
          <w:rFonts w:ascii="Arial" w:hAnsi="Arial" w:cs="Arial"/>
          <w:sz w:val="22"/>
          <w:lang w:val="en-GB"/>
        </w:rPr>
        <w:t xml:space="preserve"> (Accessed: 20 October 2026).</w:t>
      </w:r>
    </w:p>
    <w:p w14:paraId="092FAEC0"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World Health Organization (WHO)., 2021a. </w:t>
      </w:r>
      <w:r w:rsidRPr="00D16148">
        <w:rPr>
          <w:rFonts w:ascii="Arial" w:hAnsi="Arial" w:cs="Arial"/>
          <w:i/>
          <w:iCs/>
          <w:sz w:val="22"/>
          <w:lang w:val="en-GB"/>
        </w:rPr>
        <w:t>Guideline for the pharmacological treatment of hypertension in adults</w:t>
      </w:r>
      <w:r w:rsidRPr="00D16148">
        <w:rPr>
          <w:rFonts w:ascii="Arial" w:hAnsi="Arial" w:cs="Arial"/>
          <w:sz w:val="22"/>
          <w:lang w:val="en-GB"/>
        </w:rPr>
        <w:t xml:space="preserve">. Geneva: WHO. Available at: </w:t>
      </w:r>
      <w:hyperlink r:id="rId42" w:history="1">
        <w:r w:rsidRPr="00D16148">
          <w:rPr>
            <w:rStyle w:val="Hyperlink"/>
            <w:rFonts w:ascii="Arial" w:hAnsi="Arial" w:cs="Arial"/>
            <w:sz w:val="22"/>
            <w:lang w:val="en-GB"/>
          </w:rPr>
          <w:t>https://www.who.int/publications/i/item/9789240033986</w:t>
        </w:r>
      </w:hyperlink>
      <w:r w:rsidRPr="00D16148">
        <w:rPr>
          <w:rFonts w:ascii="Arial" w:hAnsi="Arial" w:cs="Arial"/>
          <w:sz w:val="22"/>
          <w:lang w:val="en-GB"/>
        </w:rPr>
        <w:t xml:space="preserve"> (Accessed: 20 October 2026).</w:t>
      </w:r>
    </w:p>
    <w:p w14:paraId="054FA809"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World Health Organization (WHO)., 2021b. </w:t>
      </w:r>
      <w:r w:rsidRPr="00D16148">
        <w:rPr>
          <w:rFonts w:ascii="Arial" w:hAnsi="Arial" w:cs="Arial"/>
          <w:i/>
          <w:iCs/>
          <w:sz w:val="22"/>
          <w:lang w:val="en-GB"/>
        </w:rPr>
        <w:t>HEARTS: technical package for cardiovascular disease management in primary health care: tool for the development of a consensus protocol for treatment of hypertension</w:t>
      </w:r>
      <w:r w:rsidRPr="00D16148">
        <w:rPr>
          <w:rFonts w:ascii="Arial" w:hAnsi="Arial" w:cs="Arial"/>
          <w:sz w:val="22"/>
          <w:lang w:val="en-GB"/>
        </w:rPr>
        <w:t xml:space="preserve">. Available at: </w:t>
      </w:r>
      <w:hyperlink r:id="rId43" w:history="1">
        <w:r w:rsidRPr="00D16148">
          <w:rPr>
            <w:rStyle w:val="Hyperlink"/>
            <w:rFonts w:ascii="Arial" w:hAnsi="Arial" w:cs="Arial"/>
            <w:sz w:val="22"/>
            <w:lang w:val="en-GB"/>
          </w:rPr>
          <w:t>https://www.who.int/publications/i/item/WH</w:t>
        </w:r>
        <w:r w:rsidRPr="00D16148">
          <w:rPr>
            <w:rStyle w:val="Hyperlink"/>
            <w:rFonts w:ascii="Arial" w:hAnsi="Arial" w:cs="Arial"/>
            <w:sz w:val="22"/>
            <w:lang w:val="en-GB"/>
          </w:rPr>
          <w:t>O-NMH-NVI-19-8</w:t>
        </w:r>
      </w:hyperlink>
      <w:r w:rsidRPr="00D16148">
        <w:rPr>
          <w:rFonts w:ascii="Arial" w:hAnsi="Arial" w:cs="Arial"/>
          <w:sz w:val="22"/>
          <w:lang w:val="en-GB"/>
        </w:rPr>
        <w:t xml:space="preserve"> (Accessed: 20 October 2026).</w:t>
      </w:r>
    </w:p>
    <w:p w14:paraId="5BEE2228"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World Health Organization (WHO)., 2022. </w:t>
      </w:r>
      <w:r w:rsidRPr="00D16148">
        <w:rPr>
          <w:rFonts w:ascii="Arial" w:hAnsi="Arial" w:cs="Arial"/>
          <w:i/>
          <w:iCs/>
          <w:sz w:val="22"/>
          <w:lang w:val="en-GB"/>
        </w:rPr>
        <w:t>India Hypertension Control Initiative: a patient-centred approach to control hypertension at the primary care level</w:t>
      </w:r>
      <w:r w:rsidRPr="00D16148">
        <w:rPr>
          <w:rFonts w:ascii="Arial" w:hAnsi="Arial" w:cs="Arial"/>
          <w:sz w:val="22"/>
          <w:lang w:val="en-GB"/>
        </w:rPr>
        <w:t xml:space="preserve">. Available at: </w:t>
      </w:r>
      <w:hyperlink r:id="rId44" w:history="1">
        <w:r w:rsidRPr="00D16148">
          <w:rPr>
            <w:rStyle w:val="Hyperlink"/>
            <w:rFonts w:ascii="Arial" w:hAnsi="Arial" w:cs="Arial"/>
            <w:sz w:val="22"/>
            <w:lang w:val="en-GB"/>
          </w:rPr>
          <w:t>https://www.who.int/about/accountability/results/who-results-report-2020-mtr/country-story/2022/india-hypertension-control-initiative---a-patient-centred-approach-to-control-hypertension-at-the-primary-care-level</w:t>
        </w:r>
      </w:hyperlink>
      <w:r w:rsidRPr="00D16148">
        <w:rPr>
          <w:rFonts w:ascii="Arial" w:hAnsi="Arial" w:cs="Arial"/>
          <w:sz w:val="22"/>
          <w:lang w:val="en-GB"/>
        </w:rPr>
        <w:t xml:space="preserve"> (Accessed: 20 October 2026).</w:t>
      </w:r>
    </w:p>
    <w:p w14:paraId="59A13DE8" w14:textId="77777777"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World Health Organization (WHO)., 2023. </w:t>
      </w:r>
      <w:r w:rsidRPr="00D16148">
        <w:rPr>
          <w:rFonts w:ascii="Arial" w:hAnsi="Arial" w:cs="Arial"/>
          <w:i/>
          <w:iCs/>
          <w:sz w:val="22"/>
          <w:lang w:val="en-GB"/>
        </w:rPr>
        <w:t>Global report on hypertension: the race against a silent killer</w:t>
      </w:r>
      <w:r w:rsidRPr="00D16148">
        <w:rPr>
          <w:rFonts w:ascii="Arial" w:hAnsi="Arial" w:cs="Arial"/>
          <w:sz w:val="22"/>
          <w:lang w:val="en-GB"/>
        </w:rPr>
        <w:t xml:space="preserve">. Geneva: WHO. Available at: </w:t>
      </w:r>
      <w:hyperlink r:id="rId45" w:history="1">
        <w:r w:rsidRPr="00D16148">
          <w:rPr>
            <w:rStyle w:val="Hyperlink"/>
            <w:rFonts w:ascii="Arial" w:hAnsi="Arial" w:cs="Arial"/>
            <w:sz w:val="22"/>
            <w:lang w:val="en-GB"/>
          </w:rPr>
          <w:t>https://www.who.int/publications/i/item/9789240081062</w:t>
        </w:r>
      </w:hyperlink>
      <w:r w:rsidRPr="00D16148">
        <w:rPr>
          <w:rFonts w:ascii="Arial" w:hAnsi="Arial" w:cs="Arial"/>
          <w:sz w:val="22"/>
          <w:lang w:val="en-GB"/>
        </w:rPr>
        <w:t xml:space="preserve"> (Accessed: 20 October 2026).</w:t>
      </w:r>
    </w:p>
    <w:p w14:paraId="19D0E445" w14:textId="252E27C3" w:rsidR="004A12BB" w:rsidRPr="00D16148" w:rsidRDefault="004A12BB" w:rsidP="00F345D7">
      <w:pPr>
        <w:spacing w:line="360" w:lineRule="auto"/>
        <w:rPr>
          <w:rFonts w:ascii="Arial" w:hAnsi="Arial" w:cs="Arial"/>
          <w:sz w:val="22"/>
          <w:lang w:val="en-GB"/>
        </w:rPr>
      </w:pPr>
      <w:r w:rsidRPr="00D16148">
        <w:rPr>
          <w:rFonts w:ascii="Arial" w:hAnsi="Arial" w:cs="Arial"/>
          <w:sz w:val="22"/>
          <w:lang w:val="en-GB"/>
        </w:rPr>
        <w:t xml:space="preserve">Zhou, H., Wang, S., Zhao, C. and He, H., 2022. ‘Effect of exercise on vascular function in hypertension patients: a meta-analysis of randomized controlled </w:t>
      </w:r>
      <w:proofErr w:type="gramStart"/>
      <w:r w:rsidRPr="00D16148">
        <w:rPr>
          <w:rFonts w:ascii="Arial" w:hAnsi="Arial" w:cs="Arial"/>
          <w:sz w:val="22"/>
          <w:lang w:val="en-GB"/>
        </w:rPr>
        <w:t>trials’</w:t>
      </w:r>
      <w:proofErr w:type="gramEnd"/>
      <w:r w:rsidRPr="00D16148">
        <w:rPr>
          <w:rFonts w:ascii="Arial" w:hAnsi="Arial" w:cs="Arial"/>
          <w:sz w:val="22"/>
          <w:lang w:val="en-GB"/>
        </w:rPr>
        <w:t xml:space="preserve">. </w:t>
      </w:r>
      <w:r w:rsidRPr="00D16148">
        <w:rPr>
          <w:rFonts w:ascii="Arial" w:hAnsi="Arial" w:cs="Arial"/>
          <w:i/>
          <w:iCs/>
          <w:sz w:val="22"/>
          <w:lang w:val="en-GB"/>
        </w:rPr>
        <w:t>Frontiers in Cardiovascular Medicine</w:t>
      </w:r>
      <w:r w:rsidRPr="00D16148">
        <w:rPr>
          <w:rFonts w:ascii="Arial" w:hAnsi="Arial" w:cs="Arial"/>
          <w:sz w:val="22"/>
          <w:lang w:val="en-GB"/>
        </w:rPr>
        <w:t xml:space="preserve">, 9, article 1013490. Available at: </w:t>
      </w:r>
      <w:hyperlink r:id="rId46" w:history="1">
        <w:r w:rsidRPr="00D16148">
          <w:rPr>
            <w:rStyle w:val="Hyperlink"/>
            <w:rFonts w:ascii="Arial" w:hAnsi="Arial" w:cs="Arial"/>
            <w:sz w:val="22"/>
            <w:lang w:val="en-GB"/>
          </w:rPr>
          <w:t>https://pmc.ncbi.nlm.nih.gov/articles/PMC9812646/</w:t>
        </w:r>
      </w:hyperlink>
      <w:r w:rsidRPr="00D16148">
        <w:rPr>
          <w:rFonts w:ascii="Arial" w:hAnsi="Arial" w:cs="Arial"/>
          <w:sz w:val="22"/>
          <w:lang w:val="en-GB"/>
        </w:rPr>
        <w:t xml:space="preserve"> (Accessed: 20 October 2026).</w:t>
      </w:r>
      <w:r w:rsidR="00DB6A3E">
        <w:rPr>
          <w:rFonts w:ascii="Arial" w:hAnsi="Arial" w:cs="Arial"/>
          <w:sz w:val="22"/>
          <w:lang w:val="en-GB"/>
        </w:rPr>
        <w:t xml:space="preserve"> </w:t>
      </w:r>
    </w:p>
    <w:p w14:paraId="4AFE460A" w14:textId="77777777" w:rsidR="007208BD" w:rsidRDefault="007208BD" w:rsidP="00F345D7">
      <w:pPr>
        <w:spacing w:line="360" w:lineRule="auto"/>
        <w:rPr>
          <w:rFonts w:ascii="Arial" w:hAnsi="Arial" w:cs="Arial"/>
          <w:sz w:val="22"/>
          <w:lang w:val="en-GB"/>
        </w:rPr>
        <w:sectPr w:rsidR="007208BD" w:rsidSect="007208BD">
          <w:type w:val="continuous"/>
          <w:pgSz w:w="11906" w:h="16838"/>
          <w:pgMar w:top="1440" w:right="1440" w:bottom="1440" w:left="1440" w:header="720" w:footer="720" w:gutter="0"/>
          <w:pgBorders w:offsetFrom="page">
            <w:top w:val="double" w:sz="18" w:space="18" w:color="000000"/>
            <w:left w:val="double" w:sz="18" w:space="18" w:color="000000"/>
            <w:bottom w:val="double" w:sz="18" w:space="18" w:color="000000"/>
            <w:right w:val="double" w:sz="18" w:space="18" w:color="000000"/>
          </w:pgBorders>
          <w:cols w:num="2" w:space="720"/>
          <w:docGrid w:linePitch="360"/>
        </w:sectPr>
      </w:pPr>
    </w:p>
    <w:p w14:paraId="2CE729D0" w14:textId="77777777" w:rsidR="004A12BB" w:rsidRPr="00D16148" w:rsidRDefault="004A12BB" w:rsidP="00F345D7">
      <w:pPr>
        <w:spacing w:line="360" w:lineRule="auto"/>
        <w:rPr>
          <w:rFonts w:ascii="Arial" w:hAnsi="Arial" w:cs="Arial"/>
          <w:sz w:val="22"/>
          <w:lang w:val="en-GB"/>
        </w:rPr>
      </w:pPr>
    </w:p>
    <w:p w14:paraId="75D7C872" w14:textId="77777777" w:rsidR="00DB7F7C" w:rsidRPr="00D16148" w:rsidRDefault="00DB7F7C" w:rsidP="00F345D7">
      <w:pPr>
        <w:spacing w:line="360" w:lineRule="auto"/>
        <w:rPr>
          <w:rFonts w:ascii="Arial" w:hAnsi="Arial" w:cs="Arial"/>
          <w:sz w:val="22"/>
          <w:lang w:val="en-GB"/>
        </w:rPr>
      </w:pPr>
    </w:p>
    <w:p w14:paraId="7A8339DD" w14:textId="77777777" w:rsidR="00DB7F7C" w:rsidRPr="00D16148" w:rsidRDefault="00DB7F7C" w:rsidP="00F345D7">
      <w:pPr>
        <w:spacing w:line="360" w:lineRule="auto"/>
        <w:rPr>
          <w:rFonts w:ascii="Arial" w:hAnsi="Arial" w:cs="Arial"/>
          <w:sz w:val="22"/>
          <w:lang w:val="en-GB"/>
        </w:rPr>
      </w:pPr>
    </w:p>
    <w:sectPr w:rsidR="00DB7F7C" w:rsidRPr="00D16148" w:rsidSect="007208BD">
      <w:type w:val="continuous"/>
      <w:pgSz w:w="11906" w:h="16838"/>
      <w:pgMar w:top="1440" w:right="1440" w:bottom="1440" w:left="1440" w:header="720" w:footer="720" w:gutter="0"/>
      <w:pgBorders w:offsetFrom="page">
        <w:top w:val="double" w:sz="18" w:space="18" w:color="000000"/>
        <w:left w:val="double" w:sz="18" w:space="18" w:color="000000"/>
        <w:bottom w:val="double" w:sz="18" w:space="18" w:color="000000"/>
        <w:right w:val="double" w:sz="18" w:space="18" w:color="00000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CC366" w14:textId="77777777" w:rsidR="00DE14F7" w:rsidRDefault="00DE14F7">
      <w:pPr>
        <w:spacing w:before="0" w:after="0" w:line="240" w:lineRule="auto"/>
      </w:pPr>
      <w:r>
        <w:separator/>
      </w:r>
    </w:p>
  </w:endnote>
  <w:endnote w:type="continuationSeparator" w:id="0">
    <w:p w14:paraId="0DEB00A5" w14:textId="77777777" w:rsidR="00DE14F7" w:rsidRDefault="00DE14F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8061259"/>
      <w:docPartObj>
        <w:docPartGallery w:val="Page Numbers (Bottom of Page)"/>
        <w:docPartUnique/>
      </w:docPartObj>
    </w:sdtPr>
    <w:sdtEndPr>
      <w:rPr>
        <w:noProof/>
      </w:rPr>
    </w:sdtEndPr>
    <w:sdtContent>
      <w:p w14:paraId="581CEB39" w14:textId="2666247E" w:rsidR="00731D9A" w:rsidRDefault="00731D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1393B2" w14:textId="475D0F33" w:rsidR="009801E7" w:rsidRDefault="009801E7">
    <w:pPr>
      <w:pStyle w:val="Footer"/>
      <w:spacing w:before="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FFF60" w14:textId="77777777" w:rsidR="00DE14F7" w:rsidRDefault="00DE14F7">
      <w:pPr>
        <w:spacing w:before="0" w:after="0" w:line="240" w:lineRule="auto"/>
      </w:pPr>
      <w:r>
        <w:separator/>
      </w:r>
    </w:p>
  </w:footnote>
  <w:footnote w:type="continuationSeparator" w:id="0">
    <w:p w14:paraId="7274E823" w14:textId="77777777" w:rsidR="00DE14F7" w:rsidRDefault="00DE14F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71A0E73"/>
    <w:multiLevelType w:val="hybridMultilevel"/>
    <w:tmpl w:val="1C6477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5167D28"/>
    <w:multiLevelType w:val="multilevel"/>
    <w:tmpl w:val="717C16E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74C56CB8"/>
    <w:multiLevelType w:val="hybridMultilevel"/>
    <w:tmpl w:val="1A9AF1E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114134905">
    <w:abstractNumId w:val="8"/>
  </w:num>
  <w:num w:numId="2" w16cid:durableId="55863100">
    <w:abstractNumId w:val="6"/>
  </w:num>
  <w:num w:numId="3" w16cid:durableId="368379772">
    <w:abstractNumId w:val="5"/>
  </w:num>
  <w:num w:numId="4" w16cid:durableId="326521006">
    <w:abstractNumId w:val="4"/>
  </w:num>
  <w:num w:numId="5" w16cid:durableId="1358000554">
    <w:abstractNumId w:val="7"/>
  </w:num>
  <w:num w:numId="6" w16cid:durableId="154565342">
    <w:abstractNumId w:val="3"/>
  </w:num>
  <w:num w:numId="7" w16cid:durableId="42756488">
    <w:abstractNumId w:val="2"/>
  </w:num>
  <w:num w:numId="8" w16cid:durableId="1632711186">
    <w:abstractNumId w:val="1"/>
  </w:num>
  <w:num w:numId="9" w16cid:durableId="1277643776">
    <w:abstractNumId w:val="0"/>
  </w:num>
  <w:num w:numId="10" w16cid:durableId="1337420581">
    <w:abstractNumId w:val="9"/>
  </w:num>
  <w:num w:numId="11" w16cid:durableId="733237926">
    <w:abstractNumId w:val="10"/>
  </w:num>
  <w:num w:numId="12" w16cid:durableId="14798072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7AB"/>
    <w:rsid w:val="00034616"/>
    <w:rsid w:val="00035958"/>
    <w:rsid w:val="0006063C"/>
    <w:rsid w:val="000657E2"/>
    <w:rsid w:val="000762EA"/>
    <w:rsid w:val="00080955"/>
    <w:rsid w:val="000C26D4"/>
    <w:rsid w:val="00143D32"/>
    <w:rsid w:val="0015074B"/>
    <w:rsid w:val="00157CFA"/>
    <w:rsid w:val="001C71DD"/>
    <w:rsid w:val="00236C26"/>
    <w:rsid w:val="002507DC"/>
    <w:rsid w:val="0029639D"/>
    <w:rsid w:val="003142D9"/>
    <w:rsid w:val="00326F90"/>
    <w:rsid w:val="003301F0"/>
    <w:rsid w:val="00335FEE"/>
    <w:rsid w:val="00350E0F"/>
    <w:rsid w:val="00396E16"/>
    <w:rsid w:val="003A0034"/>
    <w:rsid w:val="003B6B72"/>
    <w:rsid w:val="0041099E"/>
    <w:rsid w:val="004A12BB"/>
    <w:rsid w:val="004C717A"/>
    <w:rsid w:val="004E4876"/>
    <w:rsid w:val="004F37F9"/>
    <w:rsid w:val="004F3B28"/>
    <w:rsid w:val="00503819"/>
    <w:rsid w:val="005134EF"/>
    <w:rsid w:val="005853AF"/>
    <w:rsid w:val="005A14C5"/>
    <w:rsid w:val="005B016F"/>
    <w:rsid w:val="006577B0"/>
    <w:rsid w:val="0066199D"/>
    <w:rsid w:val="006970C3"/>
    <w:rsid w:val="006A2821"/>
    <w:rsid w:val="006C5815"/>
    <w:rsid w:val="007208BD"/>
    <w:rsid w:val="00730AFD"/>
    <w:rsid w:val="00731D9A"/>
    <w:rsid w:val="007520B7"/>
    <w:rsid w:val="007827C6"/>
    <w:rsid w:val="00783437"/>
    <w:rsid w:val="007A594A"/>
    <w:rsid w:val="007D5C85"/>
    <w:rsid w:val="007D67EA"/>
    <w:rsid w:val="007E6805"/>
    <w:rsid w:val="0083371E"/>
    <w:rsid w:val="00872791"/>
    <w:rsid w:val="0088036A"/>
    <w:rsid w:val="00911AD5"/>
    <w:rsid w:val="00917568"/>
    <w:rsid w:val="00926A54"/>
    <w:rsid w:val="009801E7"/>
    <w:rsid w:val="009B2E6A"/>
    <w:rsid w:val="009E7CD2"/>
    <w:rsid w:val="00A217BF"/>
    <w:rsid w:val="00A63098"/>
    <w:rsid w:val="00A71ABB"/>
    <w:rsid w:val="00A75264"/>
    <w:rsid w:val="00A9406C"/>
    <w:rsid w:val="00AA1D8D"/>
    <w:rsid w:val="00AC5166"/>
    <w:rsid w:val="00B47730"/>
    <w:rsid w:val="00B6314C"/>
    <w:rsid w:val="00B73D17"/>
    <w:rsid w:val="00B93AD9"/>
    <w:rsid w:val="00BB6459"/>
    <w:rsid w:val="00C10FD9"/>
    <w:rsid w:val="00C27760"/>
    <w:rsid w:val="00C42453"/>
    <w:rsid w:val="00C42DF4"/>
    <w:rsid w:val="00C76A05"/>
    <w:rsid w:val="00C80DFD"/>
    <w:rsid w:val="00C8607B"/>
    <w:rsid w:val="00C87931"/>
    <w:rsid w:val="00CB0664"/>
    <w:rsid w:val="00CC2AC3"/>
    <w:rsid w:val="00D010E2"/>
    <w:rsid w:val="00D02112"/>
    <w:rsid w:val="00D16148"/>
    <w:rsid w:val="00DA4C42"/>
    <w:rsid w:val="00DB1E2F"/>
    <w:rsid w:val="00DB6A3E"/>
    <w:rsid w:val="00DB7F7C"/>
    <w:rsid w:val="00DD041D"/>
    <w:rsid w:val="00DE14F7"/>
    <w:rsid w:val="00E27725"/>
    <w:rsid w:val="00E5421B"/>
    <w:rsid w:val="00E5689D"/>
    <w:rsid w:val="00E57BDF"/>
    <w:rsid w:val="00E60EE8"/>
    <w:rsid w:val="00E969D3"/>
    <w:rsid w:val="00EB23D0"/>
    <w:rsid w:val="00ED20D1"/>
    <w:rsid w:val="00F061A7"/>
    <w:rsid w:val="00F345D7"/>
    <w:rsid w:val="00F440E7"/>
    <w:rsid w:val="00F50954"/>
    <w:rsid w:val="00F62A5C"/>
    <w:rsid w:val="00F6548D"/>
    <w:rsid w:val="00F8169C"/>
    <w:rsid w:val="00F817E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CA384B4"/>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69C"/>
    <w:pPr>
      <w:spacing w:before="240" w:after="240" w:line="480" w:lineRule="auto"/>
      <w:jc w:val="both"/>
    </w:pPr>
    <w:rPr>
      <w:rFonts w:ascii="Times New Roman" w:eastAsia="Times New Roman" w:hAnsi="Times New Roman"/>
      <w:color w:val="000000"/>
      <w:sz w:val="24"/>
    </w:rPr>
  </w:style>
  <w:style w:type="paragraph" w:styleId="Heading1">
    <w:name w:val="heading 1"/>
    <w:basedOn w:val="Normal"/>
    <w:next w:val="Normal"/>
    <w:link w:val="Heading1Char"/>
    <w:uiPriority w:val="9"/>
    <w:qFormat/>
    <w:rsid w:val="00FC693F"/>
    <w:pPr>
      <w:keepNext/>
      <w:keepLines/>
      <w:jc w:val="left"/>
      <w:outlineLvl w:val="0"/>
    </w:pPr>
    <w:rPr>
      <w:rFonts w:asciiTheme="majorHAnsi" w:eastAsiaTheme="majorEastAsia" w:hAnsiTheme="majorHAnsi" w:cstheme="majorBidi"/>
      <w:b/>
      <w:bCs/>
      <w:szCs w:val="28"/>
    </w:rPr>
  </w:style>
  <w:style w:type="paragraph" w:styleId="Heading2">
    <w:name w:val="heading 2"/>
    <w:basedOn w:val="Normal"/>
    <w:next w:val="Normal"/>
    <w:link w:val="Heading2Char"/>
    <w:uiPriority w:val="9"/>
    <w:unhideWhenUsed/>
    <w:qFormat/>
    <w:rsid w:val="00FC693F"/>
    <w:pPr>
      <w:keepNext/>
      <w:keepLines/>
      <w:jc w:val="left"/>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A12BB"/>
    <w:rPr>
      <w:color w:val="0000FF" w:themeColor="hyperlink"/>
      <w:u w:val="single"/>
    </w:rPr>
  </w:style>
  <w:style w:type="character" w:styleId="UnresolvedMention">
    <w:name w:val="Unresolved Mention"/>
    <w:basedOn w:val="DefaultParagraphFont"/>
    <w:uiPriority w:val="99"/>
    <w:semiHidden/>
    <w:unhideWhenUsed/>
    <w:rsid w:val="004A12BB"/>
    <w:rPr>
      <w:color w:val="605E5C"/>
      <w:shd w:val="clear" w:color="auto" w:fill="E1DFDD"/>
    </w:rPr>
  </w:style>
  <w:style w:type="paragraph" w:styleId="TOC1">
    <w:name w:val="toc 1"/>
    <w:basedOn w:val="Normal"/>
    <w:next w:val="Normal"/>
    <w:autoRedefine/>
    <w:uiPriority w:val="39"/>
    <w:unhideWhenUsed/>
    <w:rsid w:val="006577B0"/>
    <w:pPr>
      <w:spacing w:after="100"/>
    </w:pPr>
  </w:style>
  <w:style w:type="paragraph" w:styleId="TOC2">
    <w:name w:val="toc 2"/>
    <w:basedOn w:val="Normal"/>
    <w:next w:val="Normal"/>
    <w:autoRedefine/>
    <w:uiPriority w:val="39"/>
    <w:unhideWhenUsed/>
    <w:rsid w:val="006577B0"/>
    <w:pPr>
      <w:spacing w:after="100"/>
      <w:ind w:left="240"/>
    </w:pPr>
  </w:style>
  <w:style w:type="character" w:styleId="FollowedHyperlink">
    <w:name w:val="FollowedHyperlink"/>
    <w:basedOn w:val="DefaultParagraphFont"/>
    <w:uiPriority w:val="99"/>
    <w:semiHidden/>
    <w:unhideWhenUsed/>
    <w:rsid w:val="00F62A5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pmc.ncbi.nlm.nih.gov/articles/PMC7490167/" TargetMode="External"/><Relationship Id="rId26" Type="http://schemas.openxmlformats.org/officeDocument/2006/relationships/hyperlink" Target="https://pmc.ncbi.nlm.nih.gov/articles/PMC9771301/" TargetMode="External"/><Relationship Id="rId39" Type="http://schemas.openxmlformats.org/officeDocument/2006/relationships/hyperlink" Target="https://digital.nhs.uk/data-and-information/publications/statistical/health-survey-for-england/2024/adults-health" TargetMode="External"/><Relationship Id="rId21" Type="http://schemas.openxmlformats.org/officeDocument/2006/relationships/hyperlink" Target="https://pmc.ncbi.nlm.nih.gov/articles/PMC8452928/" TargetMode="External"/><Relationship Id="rId34" Type="http://schemas.openxmlformats.org/officeDocument/2006/relationships/hyperlink" Target="https://www.england.nhs.uk/2021/11/nhs-offers-home-blood-pressure-checks-to-save-thousands-of-lives/" TargetMode="External"/><Relationship Id="rId42" Type="http://schemas.openxmlformats.org/officeDocument/2006/relationships/hyperlink" Target="https://www.who.int/publications/i/item/9789240033986"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amjcard.2023.06.109" TargetMode="External"/><Relationship Id="rId29" Type="http://schemas.openxmlformats.org/officeDocument/2006/relationships/hyperlink" Target="https://www.nice.org.uk/guidance/ng136/chapter/recomme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health.org.uk/reports-and-analysis/reports/targeting-health-inequalities-realising-the-potential-of-targets-in" TargetMode="External"/><Relationship Id="rId32" Type="http://schemas.openxmlformats.org/officeDocument/2006/relationships/hyperlink" Target="https://www.nhs.uk/tests-and-treatments/blood-pressure-test/" TargetMode="External"/><Relationship Id="rId37" Type="http://schemas.openxmlformats.org/officeDocument/2006/relationships/hyperlink" Target="https://www.england.nhs.uk/ourwork/prevention/secondary-prevention/cardiovascular-disease-high-impact-interventions/" TargetMode="External"/><Relationship Id="rId40" Type="http://schemas.openxmlformats.org/officeDocument/2006/relationships/hyperlink" Target="https://fctc.who.int/publications/i/item/improving-hypertension-control-in-3-million-people-country-experiences-of-programme-development-and-implementation" TargetMode="External"/><Relationship Id="rId45" Type="http://schemas.openxmlformats.org/officeDocument/2006/relationships/hyperlink" Target="https://www.who.int/publications/i/item/9789240081062"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bmj.com/content/368/bmj.m315.long" TargetMode="External"/><Relationship Id="rId28" Type="http://schemas.openxmlformats.org/officeDocument/2006/relationships/hyperlink" Target="https://www.nice.org.uk/guidance/ng238/chapter/recommendations" TargetMode="External"/><Relationship Id="rId36" Type="http://schemas.openxmlformats.org/officeDocument/2006/relationships/hyperlink" Target="https://www.england.nhs.uk/publication/personalised-care-and-support-planning/" TargetMode="External"/><Relationship Id="rId10" Type="http://schemas.openxmlformats.org/officeDocument/2006/relationships/footer" Target="footer1.xml"/><Relationship Id="rId19" Type="http://schemas.openxmlformats.org/officeDocument/2006/relationships/hyperlink" Target="https://academic.oup.com/eurheartj/article/45/38/3912/7741010" TargetMode="External"/><Relationship Id="rId31" Type="http://schemas.openxmlformats.org/officeDocument/2006/relationships/hyperlink" Target="https://www.nhs.uk/conditions/high-blood-pressure/" TargetMode="External"/><Relationship Id="rId44" Type="http://schemas.openxmlformats.org/officeDocument/2006/relationships/hyperlink" Target="https://www.who.int/about/accountability/results/who-results-report-2020-mtr/country-story/2022/india-hypertension-control-initiative---a-patient-centred-approach-to-control-hypertension-at-the-primary-care-lev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link.springer.com/article/10.1186/s12889-022-14940-w" TargetMode="External"/><Relationship Id="rId27" Type="http://schemas.openxmlformats.org/officeDocument/2006/relationships/hyperlink" Target="https://www.nice.org.uk/guidance/ng197/chapter/Recommendations" TargetMode="External"/><Relationship Id="rId30" Type="http://schemas.openxmlformats.org/officeDocument/2006/relationships/hyperlink" Target="https://pmc.ncbi.nlm.nih.gov/articles/PMC8446938/" TargetMode="External"/><Relationship Id="rId35" Type="http://schemas.openxmlformats.org/officeDocument/2006/relationships/hyperlink" Target="https://standards.nhs.uk/published-standards/personalised-care-and-support-plan" TargetMode="External"/><Relationship Id="rId43" Type="http://schemas.openxmlformats.org/officeDocument/2006/relationships/hyperlink" Target="https://www.who.int/publications/i/item/WHO-NMH-NVI-19-8"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pmc.ncbi.nlm.nih.gov/articles/PMC10863660/" TargetMode="External"/><Relationship Id="rId25" Type="http://schemas.openxmlformats.org/officeDocument/2006/relationships/hyperlink" Target="https://pmc.ncbi.nlm.nih.gov/articles/PMC9496433/" TargetMode="External"/><Relationship Id="rId33" Type="http://schemas.openxmlformats.org/officeDocument/2006/relationships/hyperlink" Target="https://www.england.nhs.uk/about/equality/equality-hub/national-healthcare-inequalities-improvement-programme/core20plus5/" TargetMode="External"/><Relationship Id="rId38" Type="http://schemas.openxmlformats.org/officeDocument/2006/relationships/hyperlink" Target="https://digital.nhs.uk/data-and-information/publications/statistical/health-survey-for-england/2022-part-2/adult-health" TargetMode="External"/><Relationship Id="rId46" Type="http://schemas.openxmlformats.org/officeDocument/2006/relationships/hyperlink" Target="https://pmc.ncbi.nlm.nih.gov/articles/PMC9812646/" TargetMode="External"/><Relationship Id="rId20" Type="http://schemas.openxmlformats.org/officeDocument/2006/relationships/hyperlink" Target="https://pmc.ncbi.nlm.nih.gov/articles/PMC9753411/" TargetMode="External"/><Relationship Id="rId41" Type="http://schemas.openxmlformats.org/officeDocument/2006/relationships/hyperlink" Target="https://www.who.int/publications/i/item/9789240015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5398</Words>
  <Characters>30773</Characters>
  <Application>Microsoft Office Word</Application>
  <DocSecurity>0</DocSecurity>
  <Lines>256</Lines>
  <Paragraphs>72</Paragraphs>
  <ScaleCrop>false</ScaleCrop>
  <Manager/>
  <Company/>
  <LinksUpToDate>false</LinksUpToDate>
  <CharactersWithSpaces>36099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2026-10-20T02:54:00Z</dcterms:created>
  <dcterms:modified xsi:type="dcterms:W3CDTF">2026-10-23T05:27:00Z</dcterms:modified>
  <cp:category/>
  <dc:identifier/>
  <dc:language/>
  <cp:version/>
</cp:coreProperties>
</file>