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A8912"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Arial" w:hAnsi="Arial" w:cs="Arial"/>
          <w:noProof/>
          <w:kern w:val="0"/>
          <w:sz w:val="24"/>
          <w:lang w:val="en-US"/>
          <w14:ligatures w14:val="none"/>
        </w:rPr>
        <w:drawing>
          <wp:anchor distT="0" distB="0" distL="114300" distR="114300" simplePos="0" relativeHeight="251659264" behindDoc="0" locked="0" layoutInCell="1" allowOverlap="1" wp14:anchorId="6521BFEF" wp14:editId="5ACD1DB2">
            <wp:simplePos x="0" y="0"/>
            <wp:positionH relativeFrom="column">
              <wp:posOffset>0</wp:posOffset>
            </wp:positionH>
            <wp:positionV relativeFrom="paragraph">
              <wp:posOffset>390525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B396BFA" w14:textId="77777777" w:rsidR="009B684C" w:rsidRPr="009B684C" w:rsidRDefault="009B684C"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p>
    <w:p w14:paraId="14F03A27" w14:textId="77777777" w:rsidR="009B684C" w:rsidRPr="009B684C" w:rsidRDefault="009B684C" w:rsidP="009B684C">
      <w:pPr>
        <w:spacing w:after="200" w:line="360" w:lineRule="auto"/>
        <w:jc w:val="both"/>
        <w:rPr>
          <w:rFonts w:asciiTheme="majorBidi" w:hAnsiTheme="majorBidi"/>
          <w:kern w:val="0"/>
          <w:sz w:val="24"/>
          <w14:ligatures w14:val="none"/>
        </w:rPr>
      </w:pPr>
    </w:p>
    <w:p w14:paraId="5EF3A609" w14:textId="77777777" w:rsidR="009B684C" w:rsidRDefault="009B684C"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r w:rsidRPr="009B684C">
        <w:rPr>
          <w:rFonts w:asciiTheme="majorBidi" w:eastAsiaTheme="majorEastAsia" w:hAnsiTheme="majorBidi" w:cstheme="majorBidi"/>
          <w:i/>
          <w:spacing w:val="-10"/>
          <w:kern w:val="28"/>
          <w:sz w:val="56"/>
          <w:szCs w:val="56"/>
          <w14:ligatures w14:val="none"/>
        </w:rPr>
        <w:t>Principles of Professional Legal Practice</w:t>
      </w:r>
    </w:p>
    <w:p w14:paraId="40B84FF1" w14:textId="77777777" w:rsidR="0062748D" w:rsidRDefault="0062748D"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p>
    <w:p w14:paraId="13763D11" w14:textId="77777777" w:rsidR="0062748D" w:rsidRDefault="0062748D"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p>
    <w:p w14:paraId="59A2BCFA" w14:textId="77777777" w:rsidR="00056B9A" w:rsidRDefault="00056B9A"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p>
    <w:p w14:paraId="40711373" w14:textId="77777777" w:rsidR="00056B9A" w:rsidRPr="009B684C" w:rsidRDefault="00056B9A" w:rsidP="009B684C">
      <w:pPr>
        <w:spacing w:after="200" w:line="360" w:lineRule="auto"/>
        <w:contextualSpacing/>
        <w:jc w:val="center"/>
        <w:rPr>
          <w:rFonts w:asciiTheme="majorBidi" w:eastAsiaTheme="majorEastAsia" w:hAnsiTheme="majorBidi" w:cstheme="majorBidi"/>
          <w:i/>
          <w:spacing w:val="-10"/>
          <w:kern w:val="28"/>
          <w:sz w:val="56"/>
          <w:szCs w:val="56"/>
          <w14:ligatures w14:val="none"/>
        </w:rPr>
      </w:pPr>
    </w:p>
    <w:p w14:paraId="44358621" w14:textId="7B4E26D4" w:rsidR="009B684C" w:rsidRPr="00E313FD" w:rsidRDefault="009B684C" w:rsidP="009B684C">
      <w:pPr>
        <w:spacing w:after="200" w:line="360" w:lineRule="auto"/>
        <w:jc w:val="both"/>
        <w:rPr>
          <w:rFonts w:asciiTheme="majorBidi" w:hAnsiTheme="majorBidi"/>
          <w:kern w:val="0"/>
          <w:sz w:val="24"/>
          <w14:ligatures w14:val="none"/>
        </w:rPr>
      </w:pPr>
      <w:r w:rsidRPr="00E313FD">
        <w:rPr>
          <w:rFonts w:asciiTheme="majorBidi" w:hAnsiTheme="majorBidi"/>
          <w:kern w:val="0"/>
          <w:sz w:val="24"/>
          <w14:ligatures w14:val="none"/>
        </w:rPr>
        <w:t>Studen</w:t>
      </w:r>
      <w:r w:rsidR="0062748D" w:rsidRPr="00E313FD">
        <w:rPr>
          <w:rFonts w:asciiTheme="majorBidi" w:hAnsiTheme="majorBidi"/>
          <w:kern w:val="0"/>
          <w:sz w:val="24"/>
          <w14:ligatures w14:val="none"/>
        </w:rPr>
        <w:t>t</w:t>
      </w:r>
      <w:r w:rsidRPr="00E313FD">
        <w:rPr>
          <w:rFonts w:asciiTheme="majorBidi" w:hAnsiTheme="majorBidi"/>
          <w:kern w:val="0"/>
          <w:sz w:val="24"/>
          <w14:ligatures w14:val="none"/>
        </w:rPr>
        <w:t xml:space="preserve"> Name:</w:t>
      </w:r>
      <w:r w:rsidR="0062748D" w:rsidRPr="00E313FD">
        <w:rPr>
          <w:rFonts w:asciiTheme="majorBidi" w:hAnsiTheme="majorBidi"/>
          <w:kern w:val="0"/>
          <w:sz w:val="24"/>
          <w14:ligatures w14:val="none"/>
        </w:rPr>
        <w:t xml:space="preserve"> Iuliana Violeta Vlasceanu</w:t>
      </w:r>
    </w:p>
    <w:p w14:paraId="5467782E" w14:textId="4A90C5F2"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Student</w:t>
      </w:r>
      <w:r w:rsidR="0062748D">
        <w:rPr>
          <w:rFonts w:asciiTheme="majorBidi" w:hAnsiTheme="majorBidi"/>
          <w:kern w:val="0"/>
          <w:sz w:val="24"/>
          <w14:ligatures w14:val="none"/>
        </w:rPr>
        <w:t xml:space="preserve"> </w:t>
      </w:r>
      <w:r w:rsidRPr="009B684C">
        <w:rPr>
          <w:rFonts w:asciiTheme="majorBidi" w:hAnsiTheme="majorBidi"/>
          <w:kern w:val="0"/>
          <w:sz w:val="24"/>
          <w14:ligatures w14:val="none"/>
        </w:rPr>
        <w:t xml:space="preserve"> ID:</w:t>
      </w:r>
      <w:r w:rsidR="00E313FD">
        <w:rPr>
          <w:rFonts w:asciiTheme="majorBidi" w:hAnsiTheme="majorBidi"/>
          <w:kern w:val="0"/>
          <w:sz w:val="24"/>
          <w14:ligatures w14:val="none"/>
        </w:rPr>
        <w:t xml:space="preserve"> 2214468</w:t>
      </w:r>
    </w:p>
    <w:p w14:paraId="207A4E89" w14:textId="77777777" w:rsidR="009B684C" w:rsidRPr="009B684C" w:rsidRDefault="009B684C" w:rsidP="009B684C">
      <w:pPr>
        <w:rPr>
          <w:rFonts w:asciiTheme="majorBidi" w:hAnsiTheme="majorBidi"/>
          <w:kern w:val="0"/>
          <w:sz w:val="24"/>
          <w14:ligatures w14:val="none"/>
        </w:rPr>
      </w:pPr>
      <w:r w:rsidRPr="009B684C">
        <w:rPr>
          <w:rFonts w:asciiTheme="majorBidi" w:hAnsiTheme="majorBidi"/>
          <w:kern w:val="0"/>
          <w:sz w:val="24"/>
          <w14:ligatures w14:val="none"/>
        </w:rPr>
        <w:br w:type="page"/>
      </w:r>
    </w:p>
    <w:bookmarkStart w:id="0" w:name="_Toc134095032" w:displacedByCustomXml="next"/>
    <w:sdt>
      <w:sdtPr>
        <w:rPr>
          <w:rFonts w:asciiTheme="majorBidi" w:hAnsiTheme="majorBidi"/>
          <w:kern w:val="0"/>
          <w:sz w:val="24"/>
          <w14:ligatures w14:val="none"/>
        </w:rPr>
        <w:id w:val="-1536345235"/>
        <w:docPartObj>
          <w:docPartGallery w:val="Table of Contents"/>
          <w:docPartUnique/>
        </w:docPartObj>
      </w:sdtPr>
      <w:sdtEndPr>
        <w:rPr>
          <w:b/>
          <w:bCs/>
          <w:noProof/>
        </w:rPr>
      </w:sdtEndPr>
      <w:sdtContent>
        <w:p w14:paraId="0F239EBC" w14:textId="77777777" w:rsidR="009B684C" w:rsidRPr="009B684C" w:rsidRDefault="009B684C" w:rsidP="009B684C">
          <w:pPr>
            <w:keepNext/>
            <w:keepLines/>
            <w:spacing w:before="240" w:after="0"/>
            <w:rPr>
              <w:rFonts w:asciiTheme="majorHAnsi" w:eastAsiaTheme="majorEastAsia" w:hAnsiTheme="majorHAnsi" w:cstheme="majorBidi"/>
              <w:color w:val="2F5496" w:themeColor="accent1" w:themeShade="BF"/>
              <w:kern w:val="0"/>
              <w:sz w:val="32"/>
              <w:szCs w:val="32"/>
              <w:lang w:val="en-US"/>
              <w14:ligatures w14:val="none"/>
            </w:rPr>
          </w:pPr>
          <w:r w:rsidRPr="009B684C">
            <w:rPr>
              <w:rFonts w:asciiTheme="majorHAnsi" w:eastAsiaTheme="majorEastAsia" w:hAnsiTheme="majorHAnsi" w:cstheme="majorBidi"/>
              <w:color w:val="2F5496" w:themeColor="accent1" w:themeShade="BF"/>
              <w:kern w:val="0"/>
              <w:sz w:val="32"/>
              <w:szCs w:val="32"/>
              <w:lang w:val="en-US"/>
              <w14:ligatures w14:val="none"/>
            </w:rPr>
            <w:t>Table of Contents</w:t>
          </w:r>
        </w:p>
        <w:p w14:paraId="648D5847" w14:textId="77777777" w:rsidR="009B684C" w:rsidRPr="009B684C" w:rsidRDefault="009B684C" w:rsidP="009B684C">
          <w:pPr>
            <w:tabs>
              <w:tab w:val="right" w:leader="dot" w:pos="9350"/>
            </w:tabs>
            <w:spacing w:after="100" w:line="360" w:lineRule="auto"/>
            <w:jc w:val="both"/>
            <w:rPr>
              <w:rFonts w:eastAsiaTheme="minorEastAsia"/>
              <w:noProof/>
              <w:kern w:val="0"/>
              <w:lang w:val="en-US"/>
              <w14:ligatures w14:val="none"/>
            </w:rPr>
          </w:pPr>
          <w:r w:rsidRPr="009B684C">
            <w:rPr>
              <w:rFonts w:asciiTheme="majorBidi" w:hAnsiTheme="majorBidi"/>
              <w:kern w:val="0"/>
              <w:sz w:val="24"/>
              <w14:ligatures w14:val="none"/>
            </w:rPr>
            <w:fldChar w:fldCharType="begin"/>
          </w:r>
          <w:r w:rsidRPr="009B684C">
            <w:rPr>
              <w:rFonts w:asciiTheme="majorBidi" w:hAnsiTheme="majorBidi"/>
              <w:kern w:val="0"/>
              <w:sz w:val="24"/>
              <w14:ligatures w14:val="none"/>
            </w:rPr>
            <w:instrText xml:space="preserve"> TOC \o "1-3" \h \z \u </w:instrText>
          </w:r>
          <w:r w:rsidRPr="009B684C">
            <w:rPr>
              <w:rFonts w:asciiTheme="majorBidi" w:hAnsiTheme="majorBidi"/>
              <w:kern w:val="0"/>
              <w:sz w:val="24"/>
              <w14:ligatures w14:val="none"/>
            </w:rPr>
            <w:fldChar w:fldCharType="separate"/>
          </w:r>
          <w:hyperlink w:anchor="_Toc134110232" w:history="1">
            <w:r w:rsidRPr="009B684C">
              <w:rPr>
                <w:rFonts w:asciiTheme="majorBidi" w:hAnsiTheme="majorBidi"/>
                <w:noProof/>
                <w:color w:val="0563C1" w:themeColor="hyperlink"/>
                <w:kern w:val="0"/>
                <w:sz w:val="24"/>
                <w:u w:val="single"/>
                <w14:ligatures w14:val="none"/>
              </w:rPr>
              <w:t>Introduction</w:t>
            </w:r>
            <w:r w:rsidRPr="009B684C">
              <w:rPr>
                <w:rFonts w:asciiTheme="majorBidi" w:hAnsiTheme="majorBidi"/>
                <w:noProof/>
                <w:webHidden/>
                <w:kern w:val="0"/>
                <w:sz w:val="24"/>
                <w14:ligatures w14:val="none"/>
              </w:rPr>
              <w:tab/>
            </w:r>
            <w:r w:rsidRPr="009B684C">
              <w:rPr>
                <w:rFonts w:asciiTheme="majorBidi" w:hAnsiTheme="majorBidi"/>
                <w:noProof/>
                <w:webHidden/>
                <w:kern w:val="0"/>
                <w:sz w:val="24"/>
                <w14:ligatures w14:val="none"/>
              </w:rPr>
              <w:fldChar w:fldCharType="begin"/>
            </w:r>
            <w:r w:rsidRPr="009B684C">
              <w:rPr>
                <w:rFonts w:asciiTheme="majorBidi" w:hAnsiTheme="majorBidi"/>
                <w:noProof/>
                <w:webHidden/>
                <w:kern w:val="0"/>
                <w:sz w:val="24"/>
                <w14:ligatures w14:val="none"/>
              </w:rPr>
              <w:instrText xml:space="preserve"> PAGEREF _Toc134110232 \h </w:instrText>
            </w:r>
            <w:r w:rsidRPr="009B684C">
              <w:rPr>
                <w:rFonts w:asciiTheme="majorBidi" w:hAnsiTheme="majorBidi"/>
                <w:noProof/>
                <w:webHidden/>
                <w:kern w:val="0"/>
                <w:sz w:val="24"/>
                <w14:ligatures w14:val="none"/>
              </w:rPr>
            </w:r>
            <w:r w:rsidRPr="009B684C">
              <w:rPr>
                <w:rFonts w:asciiTheme="majorBidi" w:hAnsiTheme="majorBidi"/>
                <w:noProof/>
                <w:webHidden/>
                <w:kern w:val="0"/>
                <w:sz w:val="24"/>
                <w14:ligatures w14:val="none"/>
              </w:rPr>
              <w:fldChar w:fldCharType="separate"/>
            </w:r>
            <w:r w:rsidRPr="009B684C">
              <w:rPr>
                <w:rFonts w:asciiTheme="majorBidi" w:hAnsiTheme="majorBidi"/>
                <w:noProof/>
                <w:webHidden/>
                <w:kern w:val="0"/>
                <w:sz w:val="24"/>
                <w14:ligatures w14:val="none"/>
              </w:rPr>
              <w:t>3</w:t>
            </w:r>
            <w:r w:rsidRPr="009B684C">
              <w:rPr>
                <w:rFonts w:asciiTheme="majorBidi" w:hAnsiTheme="majorBidi"/>
                <w:noProof/>
                <w:webHidden/>
                <w:kern w:val="0"/>
                <w:sz w:val="24"/>
                <w14:ligatures w14:val="none"/>
              </w:rPr>
              <w:fldChar w:fldCharType="end"/>
            </w:r>
          </w:hyperlink>
        </w:p>
        <w:p w14:paraId="1D808EA9" w14:textId="77777777" w:rsidR="009B684C" w:rsidRPr="009B684C" w:rsidRDefault="00056B9A" w:rsidP="009B684C">
          <w:pPr>
            <w:tabs>
              <w:tab w:val="right" w:leader="dot" w:pos="9350"/>
            </w:tabs>
            <w:spacing w:after="100" w:line="360" w:lineRule="auto"/>
            <w:jc w:val="both"/>
            <w:rPr>
              <w:rFonts w:eastAsiaTheme="minorEastAsia"/>
              <w:noProof/>
              <w:kern w:val="0"/>
              <w:lang w:val="en-US"/>
              <w14:ligatures w14:val="none"/>
            </w:rPr>
          </w:pPr>
          <w:hyperlink w:anchor="_Toc134110233" w:history="1">
            <w:r w:rsidR="009B684C" w:rsidRPr="009B684C">
              <w:rPr>
                <w:rFonts w:asciiTheme="majorBidi" w:hAnsiTheme="majorBidi"/>
                <w:noProof/>
                <w:color w:val="0563C1" w:themeColor="hyperlink"/>
                <w:kern w:val="0"/>
                <w:sz w:val="24"/>
                <w:u w:val="single"/>
                <w14:ligatures w14:val="none"/>
              </w:rPr>
              <w:t>Explanation of the reason of equality and diversity is important within the legal profession.</w:t>
            </w:r>
            <w:r w:rsidR="009B684C" w:rsidRPr="009B684C">
              <w:rPr>
                <w:rFonts w:asciiTheme="majorBidi" w:hAnsiTheme="majorBidi"/>
                <w:noProof/>
                <w:webHidden/>
                <w:kern w:val="0"/>
                <w:sz w:val="24"/>
                <w14:ligatures w14:val="none"/>
              </w:rPr>
              <w:tab/>
            </w:r>
            <w:r w:rsidR="009B684C" w:rsidRPr="009B684C">
              <w:rPr>
                <w:rFonts w:asciiTheme="majorBidi" w:hAnsiTheme="majorBidi"/>
                <w:noProof/>
                <w:webHidden/>
                <w:kern w:val="0"/>
                <w:sz w:val="24"/>
                <w14:ligatures w14:val="none"/>
              </w:rPr>
              <w:fldChar w:fldCharType="begin"/>
            </w:r>
            <w:r w:rsidR="009B684C" w:rsidRPr="009B684C">
              <w:rPr>
                <w:rFonts w:asciiTheme="majorBidi" w:hAnsiTheme="majorBidi"/>
                <w:noProof/>
                <w:webHidden/>
                <w:kern w:val="0"/>
                <w:sz w:val="24"/>
                <w14:ligatures w14:val="none"/>
              </w:rPr>
              <w:instrText xml:space="preserve"> PAGEREF _Toc134110233 \h </w:instrText>
            </w:r>
            <w:r w:rsidR="009B684C" w:rsidRPr="009B684C">
              <w:rPr>
                <w:rFonts w:asciiTheme="majorBidi" w:hAnsiTheme="majorBidi"/>
                <w:noProof/>
                <w:webHidden/>
                <w:kern w:val="0"/>
                <w:sz w:val="24"/>
                <w14:ligatures w14:val="none"/>
              </w:rPr>
            </w:r>
            <w:r w:rsidR="009B684C" w:rsidRPr="009B684C">
              <w:rPr>
                <w:rFonts w:asciiTheme="majorBidi" w:hAnsiTheme="majorBidi"/>
                <w:noProof/>
                <w:webHidden/>
                <w:kern w:val="0"/>
                <w:sz w:val="24"/>
                <w14:ligatures w14:val="none"/>
              </w:rPr>
              <w:fldChar w:fldCharType="separate"/>
            </w:r>
            <w:r w:rsidR="009B684C" w:rsidRPr="009B684C">
              <w:rPr>
                <w:rFonts w:asciiTheme="majorBidi" w:hAnsiTheme="majorBidi"/>
                <w:noProof/>
                <w:webHidden/>
                <w:kern w:val="0"/>
                <w:sz w:val="24"/>
                <w14:ligatures w14:val="none"/>
              </w:rPr>
              <w:t>4</w:t>
            </w:r>
            <w:r w:rsidR="009B684C" w:rsidRPr="009B684C">
              <w:rPr>
                <w:rFonts w:asciiTheme="majorBidi" w:hAnsiTheme="majorBidi"/>
                <w:noProof/>
                <w:webHidden/>
                <w:kern w:val="0"/>
                <w:sz w:val="24"/>
                <w14:ligatures w14:val="none"/>
              </w:rPr>
              <w:fldChar w:fldCharType="end"/>
            </w:r>
          </w:hyperlink>
        </w:p>
        <w:p w14:paraId="67EDAE54" w14:textId="77777777" w:rsidR="009B684C" w:rsidRPr="009B684C" w:rsidRDefault="00056B9A" w:rsidP="009B684C">
          <w:pPr>
            <w:tabs>
              <w:tab w:val="right" w:leader="dot" w:pos="9350"/>
            </w:tabs>
            <w:spacing w:after="100" w:line="360" w:lineRule="auto"/>
            <w:jc w:val="both"/>
            <w:rPr>
              <w:rFonts w:eastAsiaTheme="minorEastAsia"/>
              <w:noProof/>
              <w:kern w:val="0"/>
              <w:lang w:val="en-US"/>
              <w14:ligatures w14:val="none"/>
            </w:rPr>
          </w:pPr>
          <w:hyperlink w:anchor="_Toc134110234" w:history="1">
            <w:r w:rsidR="009B684C" w:rsidRPr="009B684C">
              <w:rPr>
                <w:rFonts w:asciiTheme="majorBidi" w:hAnsiTheme="majorBidi"/>
                <w:noProof/>
                <w:color w:val="0563C1" w:themeColor="hyperlink"/>
                <w:kern w:val="0"/>
                <w:sz w:val="24"/>
                <w:u w:val="single"/>
                <w14:ligatures w14:val="none"/>
              </w:rPr>
              <w:t>Conclusion</w:t>
            </w:r>
            <w:r w:rsidR="009B684C" w:rsidRPr="009B684C">
              <w:rPr>
                <w:rFonts w:asciiTheme="majorBidi" w:hAnsiTheme="majorBidi"/>
                <w:noProof/>
                <w:webHidden/>
                <w:kern w:val="0"/>
                <w:sz w:val="24"/>
                <w14:ligatures w14:val="none"/>
              </w:rPr>
              <w:tab/>
            </w:r>
            <w:r w:rsidR="009B684C" w:rsidRPr="009B684C">
              <w:rPr>
                <w:rFonts w:asciiTheme="majorBidi" w:hAnsiTheme="majorBidi"/>
                <w:noProof/>
                <w:webHidden/>
                <w:kern w:val="0"/>
                <w:sz w:val="24"/>
                <w14:ligatures w14:val="none"/>
              </w:rPr>
              <w:fldChar w:fldCharType="begin"/>
            </w:r>
            <w:r w:rsidR="009B684C" w:rsidRPr="009B684C">
              <w:rPr>
                <w:rFonts w:asciiTheme="majorBidi" w:hAnsiTheme="majorBidi"/>
                <w:noProof/>
                <w:webHidden/>
                <w:kern w:val="0"/>
                <w:sz w:val="24"/>
                <w14:ligatures w14:val="none"/>
              </w:rPr>
              <w:instrText xml:space="preserve"> PAGEREF _Toc134110234 \h </w:instrText>
            </w:r>
            <w:r w:rsidR="009B684C" w:rsidRPr="009B684C">
              <w:rPr>
                <w:rFonts w:asciiTheme="majorBidi" w:hAnsiTheme="majorBidi"/>
                <w:noProof/>
                <w:webHidden/>
                <w:kern w:val="0"/>
                <w:sz w:val="24"/>
                <w14:ligatures w14:val="none"/>
              </w:rPr>
            </w:r>
            <w:r w:rsidR="009B684C" w:rsidRPr="009B684C">
              <w:rPr>
                <w:rFonts w:asciiTheme="majorBidi" w:hAnsiTheme="majorBidi"/>
                <w:noProof/>
                <w:webHidden/>
                <w:kern w:val="0"/>
                <w:sz w:val="24"/>
                <w14:ligatures w14:val="none"/>
              </w:rPr>
              <w:fldChar w:fldCharType="separate"/>
            </w:r>
            <w:r w:rsidR="009B684C" w:rsidRPr="009B684C">
              <w:rPr>
                <w:rFonts w:asciiTheme="majorBidi" w:hAnsiTheme="majorBidi"/>
                <w:noProof/>
                <w:webHidden/>
                <w:kern w:val="0"/>
                <w:sz w:val="24"/>
                <w14:ligatures w14:val="none"/>
              </w:rPr>
              <w:t>7</w:t>
            </w:r>
            <w:r w:rsidR="009B684C" w:rsidRPr="009B684C">
              <w:rPr>
                <w:rFonts w:asciiTheme="majorBidi" w:hAnsiTheme="majorBidi"/>
                <w:noProof/>
                <w:webHidden/>
                <w:kern w:val="0"/>
                <w:sz w:val="24"/>
                <w14:ligatures w14:val="none"/>
              </w:rPr>
              <w:fldChar w:fldCharType="end"/>
            </w:r>
          </w:hyperlink>
        </w:p>
        <w:p w14:paraId="2445AA8D" w14:textId="77777777" w:rsidR="009B684C" w:rsidRPr="009B684C" w:rsidRDefault="00056B9A" w:rsidP="009B684C">
          <w:pPr>
            <w:tabs>
              <w:tab w:val="right" w:leader="dot" w:pos="9350"/>
            </w:tabs>
            <w:spacing w:after="100" w:line="360" w:lineRule="auto"/>
            <w:jc w:val="both"/>
            <w:rPr>
              <w:rFonts w:eastAsiaTheme="minorEastAsia"/>
              <w:noProof/>
              <w:kern w:val="0"/>
              <w:lang w:val="en-US"/>
              <w14:ligatures w14:val="none"/>
            </w:rPr>
          </w:pPr>
          <w:hyperlink w:anchor="_Toc134110235" w:history="1">
            <w:r w:rsidR="009B684C" w:rsidRPr="009B684C">
              <w:rPr>
                <w:rFonts w:asciiTheme="majorBidi" w:hAnsiTheme="majorBidi"/>
                <w:noProof/>
                <w:color w:val="0563C1" w:themeColor="hyperlink"/>
                <w:kern w:val="0"/>
                <w:sz w:val="24"/>
                <w:u w:val="single"/>
                <w14:ligatures w14:val="none"/>
              </w:rPr>
              <w:t>Reference list</w:t>
            </w:r>
            <w:r w:rsidR="009B684C" w:rsidRPr="009B684C">
              <w:rPr>
                <w:rFonts w:asciiTheme="majorBidi" w:hAnsiTheme="majorBidi"/>
                <w:noProof/>
                <w:webHidden/>
                <w:kern w:val="0"/>
                <w:sz w:val="24"/>
                <w14:ligatures w14:val="none"/>
              </w:rPr>
              <w:tab/>
            </w:r>
            <w:r w:rsidR="009B684C" w:rsidRPr="009B684C">
              <w:rPr>
                <w:rFonts w:asciiTheme="majorBidi" w:hAnsiTheme="majorBidi"/>
                <w:noProof/>
                <w:webHidden/>
                <w:kern w:val="0"/>
                <w:sz w:val="24"/>
                <w14:ligatures w14:val="none"/>
              </w:rPr>
              <w:fldChar w:fldCharType="begin"/>
            </w:r>
            <w:r w:rsidR="009B684C" w:rsidRPr="009B684C">
              <w:rPr>
                <w:rFonts w:asciiTheme="majorBidi" w:hAnsiTheme="majorBidi"/>
                <w:noProof/>
                <w:webHidden/>
                <w:kern w:val="0"/>
                <w:sz w:val="24"/>
                <w14:ligatures w14:val="none"/>
              </w:rPr>
              <w:instrText xml:space="preserve"> PAGEREF _Toc134110235 \h </w:instrText>
            </w:r>
            <w:r w:rsidR="009B684C" w:rsidRPr="009B684C">
              <w:rPr>
                <w:rFonts w:asciiTheme="majorBidi" w:hAnsiTheme="majorBidi"/>
                <w:noProof/>
                <w:webHidden/>
                <w:kern w:val="0"/>
                <w:sz w:val="24"/>
                <w14:ligatures w14:val="none"/>
              </w:rPr>
            </w:r>
            <w:r w:rsidR="009B684C" w:rsidRPr="009B684C">
              <w:rPr>
                <w:rFonts w:asciiTheme="majorBidi" w:hAnsiTheme="majorBidi"/>
                <w:noProof/>
                <w:webHidden/>
                <w:kern w:val="0"/>
                <w:sz w:val="24"/>
                <w14:ligatures w14:val="none"/>
              </w:rPr>
              <w:fldChar w:fldCharType="separate"/>
            </w:r>
            <w:r w:rsidR="009B684C" w:rsidRPr="009B684C">
              <w:rPr>
                <w:rFonts w:asciiTheme="majorBidi" w:hAnsiTheme="majorBidi"/>
                <w:noProof/>
                <w:webHidden/>
                <w:kern w:val="0"/>
                <w:sz w:val="24"/>
                <w14:ligatures w14:val="none"/>
              </w:rPr>
              <w:t>8</w:t>
            </w:r>
            <w:r w:rsidR="009B684C" w:rsidRPr="009B684C">
              <w:rPr>
                <w:rFonts w:asciiTheme="majorBidi" w:hAnsiTheme="majorBidi"/>
                <w:noProof/>
                <w:webHidden/>
                <w:kern w:val="0"/>
                <w:sz w:val="24"/>
                <w14:ligatures w14:val="none"/>
              </w:rPr>
              <w:fldChar w:fldCharType="end"/>
            </w:r>
          </w:hyperlink>
        </w:p>
        <w:p w14:paraId="1FACBB7E"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b/>
              <w:bCs/>
              <w:noProof/>
              <w:kern w:val="0"/>
              <w:sz w:val="24"/>
              <w14:ligatures w14:val="none"/>
            </w:rPr>
            <w:fldChar w:fldCharType="end"/>
          </w:r>
        </w:p>
      </w:sdtContent>
    </w:sdt>
    <w:p w14:paraId="40A18333" w14:textId="77777777" w:rsidR="009B684C" w:rsidRPr="009B684C" w:rsidRDefault="009B684C" w:rsidP="009B684C">
      <w:pPr>
        <w:rPr>
          <w:rFonts w:asciiTheme="majorBidi" w:hAnsiTheme="majorBidi"/>
          <w:b/>
          <w:kern w:val="0"/>
          <w:sz w:val="32"/>
          <w:szCs w:val="40"/>
          <w14:ligatures w14:val="none"/>
        </w:rPr>
      </w:pPr>
      <w:r w:rsidRPr="009B684C">
        <w:rPr>
          <w:rFonts w:asciiTheme="majorBidi" w:hAnsiTheme="majorBidi"/>
          <w:kern w:val="0"/>
          <w:sz w:val="24"/>
          <w14:ligatures w14:val="none"/>
        </w:rPr>
        <w:br w:type="page"/>
      </w:r>
    </w:p>
    <w:p w14:paraId="0F331EBC" w14:textId="77777777" w:rsidR="009B684C" w:rsidRPr="009B684C" w:rsidRDefault="009B684C" w:rsidP="009B684C">
      <w:pPr>
        <w:keepNext/>
        <w:keepLines/>
        <w:spacing w:before="400" w:after="120" w:line="360" w:lineRule="auto"/>
        <w:jc w:val="both"/>
        <w:outlineLvl w:val="0"/>
        <w:rPr>
          <w:rFonts w:asciiTheme="majorBidi" w:hAnsiTheme="majorBidi"/>
          <w:b/>
          <w:kern w:val="0"/>
          <w:sz w:val="32"/>
          <w:szCs w:val="40"/>
          <w14:ligatures w14:val="none"/>
        </w:rPr>
      </w:pPr>
      <w:bookmarkStart w:id="1" w:name="_Toc134110232"/>
      <w:r w:rsidRPr="009B684C">
        <w:rPr>
          <w:rFonts w:asciiTheme="majorBidi" w:hAnsiTheme="majorBidi"/>
          <w:b/>
          <w:kern w:val="0"/>
          <w:sz w:val="32"/>
          <w:szCs w:val="40"/>
          <w14:ligatures w14:val="none"/>
        </w:rPr>
        <w:lastRenderedPageBreak/>
        <w:t>Introduction</w:t>
      </w:r>
      <w:bookmarkEnd w:id="1"/>
      <w:bookmarkEnd w:id="0"/>
    </w:p>
    <w:p w14:paraId="372ED8A8"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Equality and diversity are the concepts which are being applied in every profession and rightly so. It is very important to ensure equality everywhere people go and explore themselves because it makes people feel equal and free (</w:t>
      </w:r>
      <w:proofErr w:type="spellStart"/>
      <w:r w:rsidRPr="009B684C">
        <w:rPr>
          <w:rFonts w:asciiTheme="majorBidi" w:hAnsiTheme="majorBidi"/>
          <w:kern w:val="0"/>
          <w:sz w:val="24"/>
          <w14:ligatures w14:val="none"/>
        </w:rPr>
        <w:t>Amdur</w:t>
      </w:r>
      <w:proofErr w:type="spellEnd"/>
      <w:r w:rsidRPr="009B684C">
        <w:rPr>
          <w:rFonts w:asciiTheme="majorBidi" w:hAnsiTheme="majorBidi"/>
          <w:kern w:val="0"/>
          <w:sz w:val="24"/>
          <w14:ligatures w14:val="none"/>
        </w:rPr>
        <w:t xml:space="preserve"> and Yeung, 2021).</w:t>
      </w:r>
    </w:p>
    <w:p w14:paraId="1B3A6E04" w14:textId="617D29C0" w:rsidR="009B684C" w:rsidRPr="009B684C" w:rsidRDefault="009B684C" w:rsidP="009B684C">
      <w:pPr>
        <w:rPr>
          <w:rFonts w:asciiTheme="majorBidi" w:hAnsiTheme="majorBidi"/>
          <w:b/>
          <w:kern w:val="0"/>
          <w:sz w:val="32"/>
          <w:szCs w:val="40"/>
          <w14:ligatures w14:val="none"/>
        </w:rPr>
      </w:pPr>
    </w:p>
    <w:p w14:paraId="2B9B3FC9" w14:textId="77777777" w:rsidR="009B684C" w:rsidRPr="009B684C" w:rsidRDefault="009B684C" w:rsidP="009B684C">
      <w:pPr>
        <w:keepNext/>
        <w:keepLines/>
        <w:spacing w:before="400" w:after="120" w:line="360" w:lineRule="auto"/>
        <w:jc w:val="both"/>
        <w:outlineLvl w:val="0"/>
        <w:rPr>
          <w:rFonts w:asciiTheme="majorBidi" w:hAnsiTheme="majorBidi"/>
          <w:b/>
          <w:kern w:val="0"/>
          <w:sz w:val="32"/>
          <w:szCs w:val="40"/>
          <w14:ligatures w14:val="none"/>
        </w:rPr>
      </w:pPr>
      <w:bookmarkStart w:id="2" w:name="_Toc134110233"/>
      <w:r w:rsidRPr="009B684C">
        <w:rPr>
          <w:rFonts w:asciiTheme="majorBidi" w:hAnsiTheme="majorBidi"/>
          <w:b/>
          <w:kern w:val="0"/>
          <w:sz w:val="32"/>
          <w:szCs w:val="40"/>
          <w14:ligatures w14:val="none"/>
        </w:rPr>
        <w:t>Explanation of the reason of equality and diversity is important within the legal profession.</w:t>
      </w:r>
      <w:bookmarkEnd w:id="2"/>
    </w:p>
    <w:p w14:paraId="7DEABB90"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All individuals from different professions deserve to be treated the same way and not be judged based on their attire, colour etc. discrimination is seen as a very inappropriate thing to have at any workplace as it spoils the work environment and creates divide among the people working there (</w:t>
      </w:r>
      <w:proofErr w:type="spellStart"/>
      <w:r w:rsidRPr="009B684C">
        <w:rPr>
          <w:rFonts w:asciiTheme="majorBidi" w:hAnsiTheme="majorBidi"/>
          <w:kern w:val="0"/>
          <w:sz w:val="24"/>
          <w14:ligatures w14:val="none"/>
        </w:rPr>
        <w:t>Röer</w:t>
      </w:r>
      <w:proofErr w:type="spellEnd"/>
      <w:r w:rsidRPr="009B684C">
        <w:rPr>
          <w:rFonts w:asciiTheme="majorBidi" w:hAnsiTheme="majorBidi"/>
          <w:kern w:val="0"/>
          <w:sz w:val="24"/>
          <w14:ligatures w14:val="none"/>
        </w:rPr>
        <w:t>, 2018). The Equality Act 2010 shows clear way of how to deal with principles of equality and diversity related things in legal profession. It is encouraging to see equality and diversity promoted across all fields of work. Equal treatment under the law should be enforced everywhere individuals go to learn about themselves and the world around them. Everyone, regardless of their field, should be treated equally and not evaluated by their appearance. Discrimination is seen as very unacceptable since it ruins the work atmosphere and causes strife among employees. The Equality Act of 2010 provides a transparent framework for addressing issues of diversity and equality in the judicial system. It isn't, and if you think otherwise, you're a fool. Promoting or hiring someone only because of their race or another protected class is discrimination. It's unethical and terrible for business. Instead of considering affiliations, try evaluating candidates individually (</w:t>
      </w:r>
      <w:proofErr w:type="spellStart"/>
      <w:r w:rsidRPr="009B684C">
        <w:rPr>
          <w:rFonts w:asciiTheme="majorBidi" w:hAnsiTheme="majorBidi"/>
          <w:kern w:val="0"/>
          <w:sz w:val="24"/>
          <w14:ligatures w14:val="none"/>
        </w:rPr>
        <w:t>Abuelenin</w:t>
      </w:r>
      <w:proofErr w:type="spellEnd"/>
      <w:r w:rsidRPr="009B684C">
        <w:rPr>
          <w:rFonts w:asciiTheme="majorBidi" w:hAnsiTheme="majorBidi"/>
          <w:kern w:val="0"/>
          <w:sz w:val="24"/>
          <w14:ligatures w14:val="none"/>
        </w:rPr>
        <w:t>, 2013). Get the most intelligent and capable people you can find to work with you, and you can accomplish much more on behalf of the poor.</w:t>
      </w:r>
    </w:p>
    <w:p w14:paraId="312A7056"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The legal framework regarding any topic helps the citizens by providing information related to the problem and how to act appropriately. The Equality Act 2010 explains the way how people can avoid discrimination and stay as friendly as possible with the people they are with. The act explains the prohibition of discrimination based on a number of facts and topics which include race, religion, sexual orientation, age, social belief etc. Some inclusions also include disability, obesity, pregnancy and related things. The act encourages the employees to obey the rules of behaving and </w:t>
      </w:r>
      <w:r w:rsidRPr="009B684C">
        <w:rPr>
          <w:rFonts w:asciiTheme="majorBidi" w:hAnsiTheme="majorBidi"/>
          <w:kern w:val="0"/>
          <w:sz w:val="24"/>
          <w14:ligatures w14:val="none"/>
        </w:rPr>
        <w:lastRenderedPageBreak/>
        <w:t>apply law if someone breaks it regarding the diversity and discrimination of other employees in the work field. The legal profession is a very important one to avoid any kind of discrimination because they are the ones who come forward to help the general citizens when they face these kinds of bad situations. So, they need to have a very clear understanding what this means and they must be able to understand the depth of the problem and they should be the ones who completely avoid the inappropriate thigs related to it (</w:t>
      </w:r>
      <w:proofErr w:type="spellStart"/>
      <w:r w:rsidRPr="009B684C">
        <w:rPr>
          <w:rFonts w:asciiTheme="majorBidi" w:hAnsiTheme="majorBidi"/>
          <w:kern w:val="0"/>
          <w:sz w:val="24"/>
          <w14:ligatures w14:val="none"/>
        </w:rPr>
        <w:t>Yankovskiy</w:t>
      </w:r>
      <w:proofErr w:type="spellEnd"/>
      <w:r w:rsidRPr="009B684C">
        <w:rPr>
          <w:rFonts w:asciiTheme="majorBidi" w:hAnsiTheme="majorBidi"/>
          <w:kern w:val="0"/>
          <w:sz w:val="24"/>
          <w14:ligatures w14:val="none"/>
        </w:rPr>
        <w:t>, 2021). Citizens benefit from the legal framework on any issue since it provides context for the problem and guidance on how to address it. The Equality Act of 2010 details the steps that may be taken to prevent prejudice and maintain positive relationships with others. Discrimination on the basis of race, religion, sexual orientation, age, social belief, and other characteristics is explicitly forbidden under the act. Disabilities, obesity, and pregnancy are also included in certain contexts. The legislation promotes compliance with the law and encourages workers to report any violations including workplace discrimination or harassment. Avoiding prejudice depends greatly on the legal community, since they are the first to step up and provide aid to ordinary people in times of need (Narayan, 2022). Consequently, they should know exactly what this means, comprehend the full scope of the issue, and refrain from doing anything even remotely inappropriate.</w:t>
      </w:r>
    </w:p>
    <w:p w14:paraId="22F2799A" w14:textId="77777777" w:rsidR="00EA7644"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The people in legal professions are the ones who get the opportunity to promoting equality and diversity among the people in their society and all. They must create a very welcoming place for all their clients regarding their religion, sexual orientation, age group, ethnicity etc. When they practice the equality concept, they are able to understand what the clients need from them and the clients feel welcomed to share their problems without any second thought. By following this pathway, they can provide a better scope and advice to their clients which is why they come to the legal offices. People who work in legal professions are the ones who are given the opportunity to promote equality and diversity among the members of their society and all members of society as a whole (</w:t>
      </w:r>
      <w:proofErr w:type="spellStart"/>
      <w:r w:rsidRPr="009B684C">
        <w:rPr>
          <w:rFonts w:asciiTheme="majorBidi" w:hAnsiTheme="majorBidi"/>
          <w:kern w:val="0"/>
          <w:sz w:val="24"/>
          <w14:ligatures w14:val="none"/>
        </w:rPr>
        <w:t>Torjesen</w:t>
      </w:r>
      <w:proofErr w:type="spellEnd"/>
      <w:r w:rsidRPr="009B684C">
        <w:rPr>
          <w:rFonts w:asciiTheme="majorBidi" w:hAnsiTheme="majorBidi"/>
          <w:kern w:val="0"/>
          <w:sz w:val="24"/>
          <w14:ligatures w14:val="none"/>
        </w:rPr>
        <w:t xml:space="preserve">, 2012). They are obligated to make the environment they provide for their customers extremely warm and inviting, regardless of the client's religion, sexual orientation, age group, ethnicity, etc. When they put the equality principle into reality, not only are they able to comprehend what the customers want from them, but the customers also get the impression that they are welcome to discuss their issues without any kind of inhibition. Because they take this route, they are able to give their customers a more comprehensive perspective as well as sound advice, which is the primary reason those customers visit legal offices. </w:t>
      </w:r>
    </w:p>
    <w:p w14:paraId="442451CF" w14:textId="6E82974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lastRenderedPageBreak/>
        <w:t xml:space="preserve"> The advantages that the social groups create can be used to reduce the number of crimes that occurs due to the problems created by inequality.  It is also a valid point and matter of ethics for the legal profession holders to act equally to all the people and provide social justice for them with a positive intension (Mu, 2018). Legal profession always focuses on using their voice to remove social problems and aid the society with sufficient social justice. </w:t>
      </w:r>
    </w:p>
    <w:p w14:paraId="40633F60"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If we dig into the history, we may see that the legal field is dominated by males, more specifically white males who are mostly from healthy family background. This practice was so common even int the 90s and there were lesser girls too in that time or they are told not to come in this religion regarding any kind of matter. But the time has changed, if we look into today’s legal professional workplaces, we may see equality there with equal number of female professionals who come from diversified backgrounds. The environment here is very much welcoming for them compared the past times which has led them to look more affordable and approachable for their clients and normal people of the society who seek social justice (</w:t>
      </w:r>
      <w:proofErr w:type="spellStart"/>
      <w:r w:rsidRPr="009B684C">
        <w:rPr>
          <w:rFonts w:asciiTheme="majorBidi" w:hAnsiTheme="majorBidi"/>
          <w:kern w:val="0"/>
          <w:sz w:val="24"/>
          <w14:ligatures w14:val="none"/>
        </w:rPr>
        <w:t>Schyma</w:t>
      </w:r>
      <w:proofErr w:type="spellEnd"/>
      <w:r w:rsidRPr="009B684C">
        <w:rPr>
          <w:rFonts w:asciiTheme="majorBidi" w:hAnsiTheme="majorBidi"/>
          <w:kern w:val="0"/>
          <w:sz w:val="24"/>
          <w14:ligatures w14:val="none"/>
        </w:rPr>
        <w:t xml:space="preserve">, 2019).  By leveraging the benefits that social organizations provide, we can lessen the incidence of crime caused by inequality.  Legal professionals have an ethical and moral obligation to treat all members of society fairly and to work for a just society on their behalf. The goal of the legal community is to eliminate social issues and promote adequate social justice via the employment of their voices. </w:t>
      </w:r>
    </w:p>
    <w:p w14:paraId="3A832329"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Following the Equality Act 2010 makes the legal professionals ensure that their legal service is eligible for all kind of people. They plan to reduce discrimination in all kind of legal proceedings.  The cases like suffering from disabilities, being sensitive of the perspective of others can be treated in a better way by following this method. In order to attract a more diversified clientele, law firms should mirror the world at large. To further increase their competitive edge, businesses should hire lawyers who are fluent in more than one language (Robinson, 2011). The firm's capacity to connect with and represent clients from a wide range of backgrounds will increase as a result. Having a greater number of customers is good for business as a whole, since it increases profits and helps the economy expand. A legal team with members from a wide range of experiences and viewpoints will be better equipped to handle complex cases. Intellectual discussion is sparked while coming up with legal tactics when there are people with different perspectives and backgrounds in the room. Attorneys who are forced to thoroughly consider their views and the best way to advocate for them benefit from the improved critical thinking and advocacy that comes from having other </w:t>
      </w:r>
      <w:r w:rsidRPr="009B684C">
        <w:rPr>
          <w:rFonts w:asciiTheme="majorBidi" w:hAnsiTheme="majorBidi"/>
          <w:kern w:val="0"/>
          <w:sz w:val="24"/>
          <w14:ligatures w14:val="none"/>
        </w:rPr>
        <w:lastRenderedPageBreak/>
        <w:t>viewpoints represented in the room (</w:t>
      </w:r>
      <w:proofErr w:type="spellStart"/>
      <w:r w:rsidRPr="009B684C">
        <w:rPr>
          <w:rFonts w:asciiTheme="majorBidi" w:hAnsiTheme="majorBidi"/>
          <w:kern w:val="0"/>
          <w:sz w:val="24"/>
          <w14:ligatures w14:val="none"/>
        </w:rPr>
        <w:t>Killman</w:t>
      </w:r>
      <w:proofErr w:type="spellEnd"/>
      <w:r w:rsidRPr="009B684C">
        <w:rPr>
          <w:rFonts w:asciiTheme="majorBidi" w:hAnsiTheme="majorBidi"/>
          <w:kern w:val="0"/>
          <w:sz w:val="24"/>
          <w14:ligatures w14:val="none"/>
        </w:rPr>
        <w:t>, 2019). Happier attorneys might be found working in firms with a greater percentage of minorities and women. People of colour and other members of underrepresented groups in the legal profession are less likely to feel alienated from society and more likely to experience a sense of belonging in their professional communities. Increased output and lower turnover are two outcomes of this strong feeling of community.</w:t>
      </w:r>
    </w:p>
    <w:p w14:paraId="53E8BB34" w14:textId="77777777" w:rsidR="009B684C" w:rsidRPr="009B684C" w:rsidRDefault="009B684C" w:rsidP="009B684C">
      <w:pPr>
        <w:keepNext/>
        <w:keepLines/>
        <w:spacing w:before="400" w:after="120" w:line="360" w:lineRule="auto"/>
        <w:jc w:val="both"/>
        <w:outlineLvl w:val="0"/>
        <w:rPr>
          <w:rFonts w:asciiTheme="majorBidi" w:hAnsiTheme="majorBidi"/>
          <w:b/>
          <w:kern w:val="0"/>
          <w:sz w:val="32"/>
          <w:szCs w:val="40"/>
          <w14:ligatures w14:val="none"/>
        </w:rPr>
      </w:pPr>
      <w:r w:rsidRPr="009B684C">
        <w:rPr>
          <w:rFonts w:asciiTheme="majorBidi" w:hAnsiTheme="majorBidi"/>
          <w:b/>
          <w:kern w:val="0"/>
          <w:sz w:val="32"/>
          <w:szCs w:val="40"/>
          <w14:ligatures w14:val="none"/>
        </w:rPr>
        <w:br w:type="page"/>
      </w:r>
      <w:bookmarkStart w:id="3" w:name="_Toc134110234"/>
      <w:r w:rsidRPr="009B684C">
        <w:rPr>
          <w:rFonts w:asciiTheme="majorBidi" w:hAnsiTheme="majorBidi"/>
          <w:b/>
          <w:kern w:val="0"/>
          <w:sz w:val="32"/>
          <w:szCs w:val="40"/>
          <w14:ligatures w14:val="none"/>
        </w:rPr>
        <w:lastRenderedPageBreak/>
        <w:t>Conclusion</w:t>
      </w:r>
      <w:bookmarkEnd w:id="3"/>
    </w:p>
    <w:p w14:paraId="22629588" w14:textId="77777777"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It is a legitimate argument as well as a question of ethics for those who occupy positions in the legal profession to behave equally to all members of society and create social justice for them with the intention of doing what is right (Carlsen, 2014). The goal of those in the legal profession should always be to utilize their influence to eliminate societal issues and to assist society in achieving an appropriate level of social justice.</w:t>
      </w:r>
    </w:p>
    <w:p w14:paraId="3B0F3B81" w14:textId="77777777" w:rsidR="009B684C" w:rsidRPr="009B684C" w:rsidRDefault="009B684C" w:rsidP="009B684C">
      <w:pPr>
        <w:rPr>
          <w:rFonts w:asciiTheme="majorBidi" w:hAnsiTheme="majorBidi"/>
          <w:kern w:val="0"/>
          <w:sz w:val="24"/>
          <w14:ligatures w14:val="none"/>
        </w:rPr>
      </w:pPr>
      <w:r w:rsidRPr="009B684C">
        <w:rPr>
          <w:rFonts w:asciiTheme="majorBidi" w:hAnsiTheme="majorBidi"/>
          <w:kern w:val="0"/>
          <w:sz w:val="24"/>
          <w14:ligatures w14:val="none"/>
        </w:rPr>
        <w:br w:type="page"/>
      </w:r>
    </w:p>
    <w:p w14:paraId="526A8713" w14:textId="77777777" w:rsidR="009B684C" w:rsidRPr="009B684C" w:rsidRDefault="009B684C" w:rsidP="009B684C">
      <w:pPr>
        <w:keepNext/>
        <w:keepLines/>
        <w:spacing w:before="400" w:after="120" w:line="360" w:lineRule="auto"/>
        <w:jc w:val="both"/>
        <w:outlineLvl w:val="0"/>
        <w:rPr>
          <w:rFonts w:ascii="Times New Roman" w:hAnsi="Times New Roman"/>
          <w:b/>
          <w:kern w:val="0"/>
          <w:sz w:val="32"/>
          <w:szCs w:val="40"/>
          <w14:ligatures w14:val="none"/>
        </w:rPr>
      </w:pPr>
      <w:bookmarkStart w:id="4" w:name="_Toc134110235"/>
      <w:r w:rsidRPr="009B684C">
        <w:rPr>
          <w:rFonts w:asciiTheme="majorBidi" w:hAnsiTheme="majorBidi"/>
          <w:b/>
          <w:kern w:val="0"/>
          <w:sz w:val="32"/>
          <w:szCs w:val="40"/>
          <w14:ligatures w14:val="none"/>
        </w:rPr>
        <w:lastRenderedPageBreak/>
        <w:t>Reference list</w:t>
      </w:r>
      <w:bookmarkEnd w:id="4"/>
    </w:p>
    <w:p w14:paraId="5BCCBB1E" w14:textId="46A81FC0" w:rsidR="009B684C" w:rsidRPr="009B684C" w:rsidRDefault="009B684C" w:rsidP="009B684C">
      <w:pPr>
        <w:spacing w:after="200" w:line="360" w:lineRule="auto"/>
        <w:jc w:val="both"/>
        <w:rPr>
          <w:rFonts w:asciiTheme="majorBidi" w:hAnsiTheme="majorBidi"/>
          <w:kern w:val="0"/>
          <w:sz w:val="24"/>
          <w14:ligatures w14:val="none"/>
        </w:rPr>
      </w:pPr>
      <w:proofErr w:type="spellStart"/>
      <w:r w:rsidRPr="009B684C">
        <w:rPr>
          <w:rFonts w:asciiTheme="majorBidi" w:hAnsiTheme="majorBidi"/>
          <w:kern w:val="0"/>
          <w:sz w:val="24"/>
          <w14:ligatures w14:val="none"/>
        </w:rPr>
        <w:t>Abuelenin</w:t>
      </w:r>
      <w:proofErr w:type="spellEnd"/>
      <w:r w:rsidRPr="009B684C">
        <w:rPr>
          <w:rFonts w:asciiTheme="majorBidi" w:hAnsiTheme="majorBidi"/>
          <w:kern w:val="0"/>
          <w:sz w:val="24"/>
          <w14:ligatures w14:val="none"/>
        </w:rPr>
        <w:t xml:space="preserve">, </w:t>
      </w:r>
      <w:proofErr w:type="spellStart"/>
      <w:r w:rsidRPr="009B684C">
        <w:rPr>
          <w:rFonts w:asciiTheme="majorBidi" w:hAnsiTheme="majorBidi"/>
          <w:kern w:val="0"/>
          <w:sz w:val="24"/>
          <w14:ligatures w14:val="none"/>
        </w:rPr>
        <w:t>Dr.A.H.M</w:t>
      </w:r>
      <w:proofErr w:type="spellEnd"/>
      <w:r w:rsidRPr="009B684C">
        <w:rPr>
          <w:rFonts w:asciiTheme="majorBidi" w:hAnsiTheme="majorBidi"/>
          <w:kern w:val="0"/>
          <w:sz w:val="24"/>
          <w14:ligatures w14:val="none"/>
        </w:rPr>
        <w:t xml:space="preserve">. (2013). Legal Framework of Port State Control and Flag State Implementation regarding the Safe Management of Ballast Water. </w:t>
      </w:r>
      <w:r w:rsidRPr="009B684C">
        <w:rPr>
          <w:rFonts w:asciiTheme="majorBidi" w:hAnsiTheme="majorBidi"/>
          <w:i/>
          <w:iCs/>
          <w:kern w:val="0"/>
          <w:sz w:val="24"/>
          <w14:ligatures w14:val="none"/>
        </w:rPr>
        <w:t>International Journal of Multidisciplinary and Current Research</w:t>
      </w:r>
      <w:r w:rsidRPr="009B684C">
        <w:rPr>
          <w:rFonts w:asciiTheme="majorBidi" w:hAnsiTheme="majorBidi"/>
          <w:kern w:val="0"/>
          <w:sz w:val="24"/>
          <w14:ligatures w14:val="none"/>
        </w:rPr>
        <w:t xml:space="preserve">, pp.1142–1148. </w:t>
      </w:r>
    </w:p>
    <w:p w14:paraId="58335838" w14:textId="5FD9EEB9" w:rsidR="009B684C" w:rsidRPr="009B684C" w:rsidRDefault="009B684C" w:rsidP="009B684C">
      <w:pPr>
        <w:spacing w:after="200" w:line="360" w:lineRule="auto"/>
        <w:jc w:val="both"/>
        <w:rPr>
          <w:rFonts w:asciiTheme="majorBidi" w:hAnsiTheme="majorBidi"/>
          <w:kern w:val="0"/>
          <w:sz w:val="24"/>
          <w14:ligatures w14:val="none"/>
        </w:rPr>
      </w:pPr>
      <w:proofErr w:type="spellStart"/>
      <w:r w:rsidRPr="009B684C">
        <w:rPr>
          <w:rFonts w:asciiTheme="majorBidi" w:hAnsiTheme="majorBidi"/>
          <w:kern w:val="0"/>
          <w:sz w:val="24"/>
          <w14:ligatures w14:val="none"/>
        </w:rPr>
        <w:t>Amdur</w:t>
      </w:r>
      <w:proofErr w:type="spellEnd"/>
      <w:r w:rsidRPr="009B684C">
        <w:rPr>
          <w:rFonts w:asciiTheme="majorBidi" w:hAnsiTheme="majorBidi"/>
          <w:kern w:val="0"/>
          <w:sz w:val="24"/>
          <w14:ligatures w14:val="none"/>
        </w:rPr>
        <w:t xml:space="preserve">, R.J. and Yeung, A. (2021). Equality, Equity, and Diversity: Definitions and Basic Concepts. </w:t>
      </w:r>
      <w:r w:rsidRPr="009B684C">
        <w:rPr>
          <w:rFonts w:asciiTheme="majorBidi" w:hAnsiTheme="majorBidi"/>
          <w:i/>
          <w:iCs/>
          <w:kern w:val="0"/>
          <w:sz w:val="24"/>
          <w14:ligatures w14:val="none"/>
        </w:rPr>
        <w:t>Practical Radiation Oncology</w:t>
      </w:r>
    </w:p>
    <w:p w14:paraId="44CC52E1" w14:textId="1B6DD6E6"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Carlsen, K. (2014). Constructing a legitimate argument — Narrative techniques in the Ghana-EU VPA. </w:t>
      </w:r>
      <w:r w:rsidRPr="009B684C">
        <w:rPr>
          <w:rFonts w:asciiTheme="majorBidi" w:hAnsiTheme="majorBidi"/>
          <w:i/>
          <w:iCs/>
          <w:kern w:val="0"/>
          <w:sz w:val="24"/>
          <w14:ligatures w14:val="none"/>
        </w:rPr>
        <w:t>Forest Policy and Economics</w:t>
      </w:r>
      <w:r w:rsidRPr="009B684C">
        <w:rPr>
          <w:rFonts w:asciiTheme="majorBidi" w:hAnsiTheme="majorBidi"/>
          <w:kern w:val="0"/>
          <w:sz w:val="24"/>
          <w14:ligatures w14:val="none"/>
        </w:rPr>
        <w:t xml:space="preserve">, 48, pp.63–71. </w:t>
      </w:r>
    </w:p>
    <w:p w14:paraId="6D946936" w14:textId="73E46118" w:rsidR="009B684C" w:rsidRPr="009B684C" w:rsidRDefault="009B684C" w:rsidP="009B684C">
      <w:pPr>
        <w:spacing w:after="200" w:line="360" w:lineRule="auto"/>
        <w:jc w:val="both"/>
        <w:rPr>
          <w:rFonts w:asciiTheme="majorBidi" w:hAnsiTheme="majorBidi"/>
          <w:kern w:val="0"/>
          <w:sz w:val="24"/>
          <w14:ligatures w14:val="none"/>
        </w:rPr>
      </w:pPr>
      <w:proofErr w:type="spellStart"/>
      <w:r w:rsidRPr="009B684C">
        <w:rPr>
          <w:rFonts w:asciiTheme="majorBidi" w:hAnsiTheme="majorBidi"/>
          <w:kern w:val="0"/>
          <w:sz w:val="24"/>
          <w14:ligatures w14:val="none"/>
        </w:rPr>
        <w:t>Killman</w:t>
      </w:r>
      <w:proofErr w:type="spellEnd"/>
      <w:r w:rsidRPr="009B684C">
        <w:rPr>
          <w:rFonts w:asciiTheme="majorBidi" w:hAnsiTheme="majorBidi"/>
          <w:kern w:val="0"/>
          <w:sz w:val="24"/>
          <w14:ligatures w14:val="none"/>
        </w:rPr>
        <w:t xml:space="preserve">, J. (2019). Interpreting for asylum seekers and their attorneys: the challenge of agency. </w:t>
      </w:r>
      <w:r w:rsidRPr="009B684C">
        <w:rPr>
          <w:rFonts w:asciiTheme="majorBidi" w:hAnsiTheme="majorBidi"/>
          <w:i/>
          <w:iCs/>
          <w:kern w:val="0"/>
          <w:sz w:val="24"/>
          <w14:ligatures w14:val="none"/>
        </w:rPr>
        <w:t>Perspectives</w:t>
      </w:r>
      <w:r w:rsidRPr="009B684C">
        <w:rPr>
          <w:rFonts w:asciiTheme="majorBidi" w:hAnsiTheme="majorBidi"/>
          <w:kern w:val="0"/>
          <w:sz w:val="24"/>
          <w14:ligatures w14:val="none"/>
        </w:rPr>
        <w:t xml:space="preserve">, pp.1–17. </w:t>
      </w:r>
    </w:p>
    <w:p w14:paraId="719536E6" w14:textId="1F073E0E"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Mu, P. (2018). Sequence-Defined Molecules Can Be Used To Create 2D Nanomaterials. </w:t>
      </w:r>
      <w:r w:rsidRPr="009B684C">
        <w:rPr>
          <w:rFonts w:asciiTheme="majorBidi" w:hAnsiTheme="majorBidi"/>
          <w:i/>
          <w:iCs/>
          <w:kern w:val="0"/>
          <w:sz w:val="24"/>
          <w14:ligatures w14:val="none"/>
        </w:rPr>
        <w:t>Science Trends</w:t>
      </w:r>
    </w:p>
    <w:p w14:paraId="0468002E" w14:textId="2B3EB089"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Narayan, A. (2022). The Impact of Financial Stress on Workplace Harassment and Discrimination. </w:t>
      </w:r>
      <w:r w:rsidRPr="009B684C">
        <w:rPr>
          <w:rFonts w:asciiTheme="majorBidi" w:hAnsiTheme="majorBidi"/>
          <w:i/>
          <w:iCs/>
          <w:kern w:val="0"/>
          <w:sz w:val="24"/>
          <w14:ligatures w14:val="none"/>
        </w:rPr>
        <w:t>SSRN Electronic Journal</w:t>
      </w:r>
      <w:r w:rsidRPr="009B684C">
        <w:rPr>
          <w:rFonts w:asciiTheme="majorBidi" w:hAnsiTheme="majorBidi"/>
          <w:kern w:val="0"/>
          <w:sz w:val="24"/>
          <w14:ligatures w14:val="none"/>
        </w:rPr>
        <w:t xml:space="preserve">. </w:t>
      </w:r>
    </w:p>
    <w:p w14:paraId="24DBAA79" w14:textId="0D951476"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14:ligatures w14:val="none"/>
        </w:rPr>
        <w:t xml:space="preserve">Robinson, D.G. (2011). Following the Money: A Better Way Forward on the Protect IP Act. </w:t>
      </w:r>
      <w:r w:rsidRPr="009B684C">
        <w:rPr>
          <w:rFonts w:asciiTheme="majorBidi" w:hAnsiTheme="majorBidi"/>
          <w:i/>
          <w:iCs/>
          <w:kern w:val="0"/>
          <w:sz w:val="24"/>
          <w14:ligatures w14:val="none"/>
        </w:rPr>
        <w:t>SSRN Electronic Journal</w:t>
      </w:r>
      <w:r w:rsidRPr="009B684C">
        <w:rPr>
          <w:rFonts w:asciiTheme="majorBidi" w:hAnsiTheme="majorBidi"/>
          <w:kern w:val="0"/>
          <w:sz w:val="24"/>
          <w14:ligatures w14:val="none"/>
        </w:rPr>
        <w:t xml:space="preserve">. </w:t>
      </w:r>
    </w:p>
    <w:p w14:paraId="1A279B8E" w14:textId="1CFC13EC" w:rsidR="009B684C" w:rsidRPr="009B684C" w:rsidRDefault="009B684C" w:rsidP="009B684C">
      <w:pPr>
        <w:spacing w:after="200" w:line="360" w:lineRule="auto"/>
        <w:jc w:val="both"/>
        <w:rPr>
          <w:rFonts w:asciiTheme="majorBidi" w:hAnsiTheme="majorBidi"/>
          <w:kern w:val="0"/>
          <w:sz w:val="24"/>
          <w:lang w:val="fr-FR"/>
          <w14:ligatures w14:val="none"/>
        </w:rPr>
      </w:pPr>
      <w:proofErr w:type="spellStart"/>
      <w:r w:rsidRPr="009B684C">
        <w:rPr>
          <w:rFonts w:asciiTheme="majorBidi" w:hAnsiTheme="majorBidi"/>
          <w:kern w:val="0"/>
          <w:sz w:val="24"/>
          <w14:ligatures w14:val="none"/>
        </w:rPr>
        <w:t>Röer</w:t>
      </w:r>
      <w:proofErr w:type="spellEnd"/>
      <w:r w:rsidRPr="009B684C">
        <w:rPr>
          <w:rFonts w:asciiTheme="majorBidi" w:hAnsiTheme="majorBidi"/>
          <w:kern w:val="0"/>
          <w:sz w:val="24"/>
          <w14:ligatures w14:val="none"/>
        </w:rPr>
        <w:t xml:space="preserve">, J.P. (2018). All scientists deserve a break from e-mail on holiday — not just professors. </w:t>
      </w:r>
      <w:r w:rsidRPr="009B684C">
        <w:rPr>
          <w:rFonts w:asciiTheme="majorBidi" w:hAnsiTheme="majorBidi"/>
          <w:i/>
          <w:iCs/>
          <w:kern w:val="0"/>
          <w:sz w:val="24"/>
          <w:lang w:val="fr-FR"/>
          <w14:ligatures w14:val="none"/>
        </w:rPr>
        <w:t>Nature</w:t>
      </w:r>
      <w:r w:rsidRPr="009B684C">
        <w:rPr>
          <w:rFonts w:asciiTheme="majorBidi" w:hAnsiTheme="majorBidi"/>
          <w:kern w:val="0"/>
          <w:sz w:val="24"/>
          <w:lang w:val="fr-FR"/>
          <w14:ligatures w14:val="none"/>
        </w:rPr>
        <w:t xml:space="preserve">, 562(7727), pp.344–344. </w:t>
      </w:r>
    </w:p>
    <w:p w14:paraId="7C8767E1" w14:textId="28493ED4" w:rsidR="009B684C" w:rsidRPr="009B684C" w:rsidRDefault="009B684C" w:rsidP="009B684C">
      <w:pPr>
        <w:spacing w:after="200" w:line="360" w:lineRule="auto"/>
        <w:jc w:val="both"/>
        <w:rPr>
          <w:rFonts w:asciiTheme="majorBidi" w:hAnsiTheme="majorBidi"/>
          <w:kern w:val="0"/>
          <w:sz w:val="24"/>
          <w14:ligatures w14:val="none"/>
        </w:rPr>
      </w:pPr>
      <w:r w:rsidRPr="009B684C">
        <w:rPr>
          <w:rFonts w:asciiTheme="majorBidi" w:hAnsiTheme="majorBidi"/>
          <w:kern w:val="0"/>
          <w:sz w:val="24"/>
          <w:lang w:val="fr-FR"/>
          <w14:ligatures w14:val="none"/>
        </w:rPr>
        <w:t xml:space="preserve">Schyma, C.W.A. (2019). </w:t>
      </w:r>
      <w:r w:rsidRPr="009B684C">
        <w:rPr>
          <w:rFonts w:asciiTheme="majorBidi" w:hAnsiTheme="majorBidi"/>
          <w:kern w:val="0"/>
          <w:sz w:val="24"/>
          <w14:ligatures w14:val="none"/>
        </w:rPr>
        <w:t xml:space="preserve">Ballistic gelatine—what we see and what we get. </w:t>
      </w:r>
      <w:r w:rsidRPr="009B684C">
        <w:rPr>
          <w:rFonts w:asciiTheme="majorBidi" w:hAnsiTheme="majorBidi"/>
          <w:i/>
          <w:iCs/>
          <w:kern w:val="0"/>
          <w:sz w:val="24"/>
          <w14:ligatures w14:val="none"/>
        </w:rPr>
        <w:t>International Journal of Legal Medicine</w:t>
      </w:r>
      <w:r w:rsidRPr="009B684C">
        <w:rPr>
          <w:rFonts w:asciiTheme="majorBidi" w:hAnsiTheme="majorBidi"/>
          <w:kern w:val="0"/>
          <w:sz w:val="24"/>
          <w14:ligatures w14:val="none"/>
        </w:rPr>
        <w:t xml:space="preserve">, 134(1), pp.309–315. </w:t>
      </w:r>
    </w:p>
    <w:p w14:paraId="71A92603" w14:textId="052CF1EA" w:rsidR="009B684C" w:rsidRPr="009B684C" w:rsidRDefault="009B684C" w:rsidP="009B684C">
      <w:pPr>
        <w:spacing w:after="200" w:line="360" w:lineRule="auto"/>
        <w:jc w:val="both"/>
        <w:rPr>
          <w:rFonts w:asciiTheme="majorBidi" w:hAnsiTheme="majorBidi"/>
          <w:kern w:val="0"/>
          <w:sz w:val="24"/>
          <w:lang w:val="it-IT"/>
          <w14:ligatures w14:val="none"/>
        </w:rPr>
      </w:pPr>
      <w:proofErr w:type="spellStart"/>
      <w:r w:rsidRPr="009B684C">
        <w:rPr>
          <w:rFonts w:asciiTheme="majorBidi" w:hAnsiTheme="majorBidi"/>
          <w:kern w:val="0"/>
          <w:sz w:val="24"/>
          <w14:ligatures w14:val="none"/>
        </w:rPr>
        <w:t>Torjesen</w:t>
      </w:r>
      <w:proofErr w:type="spellEnd"/>
      <w:r w:rsidRPr="009B684C">
        <w:rPr>
          <w:rFonts w:asciiTheme="majorBidi" w:hAnsiTheme="majorBidi"/>
          <w:kern w:val="0"/>
          <w:sz w:val="24"/>
          <w14:ligatures w14:val="none"/>
        </w:rPr>
        <w:t xml:space="preserve">, I. (2012). Training can help GPs provide a better death for patients. </w:t>
      </w:r>
      <w:r w:rsidRPr="009B684C">
        <w:rPr>
          <w:rFonts w:asciiTheme="majorBidi" w:hAnsiTheme="majorBidi"/>
          <w:i/>
          <w:iCs/>
          <w:kern w:val="0"/>
          <w:sz w:val="24"/>
          <w:lang w:val="it-IT"/>
          <w14:ligatures w14:val="none"/>
        </w:rPr>
        <w:t>BMJ</w:t>
      </w:r>
      <w:r w:rsidRPr="009B684C">
        <w:rPr>
          <w:rFonts w:asciiTheme="majorBidi" w:hAnsiTheme="majorBidi"/>
          <w:kern w:val="0"/>
          <w:sz w:val="24"/>
          <w:lang w:val="it-IT"/>
          <w14:ligatures w14:val="none"/>
        </w:rPr>
        <w:t xml:space="preserve">, 344(feb03 2), pp.e881–e881. </w:t>
      </w:r>
    </w:p>
    <w:p w14:paraId="012423ED" w14:textId="0860D08A" w:rsidR="009B684C" w:rsidRPr="009B684C" w:rsidRDefault="009B684C" w:rsidP="009B684C">
      <w:pPr>
        <w:spacing w:after="200" w:line="360" w:lineRule="auto"/>
        <w:jc w:val="both"/>
        <w:rPr>
          <w:rFonts w:asciiTheme="majorBidi" w:hAnsiTheme="majorBidi"/>
          <w:kern w:val="0"/>
          <w:sz w:val="24"/>
          <w14:ligatures w14:val="none"/>
        </w:rPr>
      </w:pPr>
      <w:proofErr w:type="spellStart"/>
      <w:r w:rsidRPr="009B684C">
        <w:rPr>
          <w:rFonts w:asciiTheme="majorBidi" w:hAnsiTheme="majorBidi"/>
          <w:kern w:val="0"/>
          <w:sz w:val="24"/>
          <w14:ligatures w14:val="none"/>
        </w:rPr>
        <w:t>Yankovskiy</w:t>
      </w:r>
      <w:proofErr w:type="spellEnd"/>
      <w:r w:rsidRPr="009B684C">
        <w:rPr>
          <w:rFonts w:asciiTheme="majorBidi" w:hAnsiTheme="majorBidi"/>
          <w:kern w:val="0"/>
          <w:sz w:val="24"/>
          <w14:ligatures w14:val="none"/>
        </w:rPr>
        <w:t xml:space="preserve">, V. (2021). Groups with context-free Diophantine problem. </w:t>
      </w:r>
      <w:r w:rsidRPr="009B684C">
        <w:rPr>
          <w:rFonts w:asciiTheme="majorBidi" w:hAnsiTheme="majorBidi"/>
          <w:i/>
          <w:iCs/>
          <w:kern w:val="0"/>
          <w:sz w:val="24"/>
          <w14:ligatures w14:val="none"/>
        </w:rPr>
        <w:t>journal of Groups, complexity, cryptology</w:t>
      </w:r>
      <w:r w:rsidRPr="009B684C">
        <w:rPr>
          <w:rFonts w:asciiTheme="majorBidi" w:hAnsiTheme="majorBidi"/>
          <w:kern w:val="0"/>
          <w:sz w:val="24"/>
          <w14:ligatures w14:val="none"/>
        </w:rPr>
        <w:t>, Volume 13, issue 1</w:t>
      </w:r>
    </w:p>
    <w:p w14:paraId="6282DEB0" w14:textId="77777777" w:rsidR="009B684C" w:rsidRPr="009B684C" w:rsidRDefault="009B684C" w:rsidP="009B684C">
      <w:pPr>
        <w:spacing w:after="200" w:line="360" w:lineRule="auto"/>
        <w:jc w:val="both"/>
        <w:rPr>
          <w:rFonts w:asciiTheme="majorBidi" w:hAnsiTheme="majorBidi"/>
          <w:kern w:val="0"/>
          <w:sz w:val="24"/>
          <w14:ligatures w14:val="none"/>
        </w:rPr>
      </w:pPr>
    </w:p>
    <w:p w14:paraId="51A5EA7E" w14:textId="77777777" w:rsidR="009B684C" w:rsidRPr="009B684C" w:rsidRDefault="009B684C" w:rsidP="009B684C">
      <w:pPr>
        <w:spacing w:after="200" w:line="360" w:lineRule="auto"/>
        <w:jc w:val="both"/>
        <w:rPr>
          <w:rFonts w:asciiTheme="majorBidi" w:hAnsiTheme="majorBidi"/>
          <w:kern w:val="0"/>
          <w:sz w:val="24"/>
          <w14:ligatures w14:val="none"/>
        </w:rPr>
      </w:pPr>
    </w:p>
    <w:p w14:paraId="1EE9585D" w14:textId="77777777" w:rsidR="009B684C" w:rsidRDefault="009B684C"/>
    <w:sectPr w:rsidR="009B684C" w:rsidSect="00D014D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B96E2" w14:textId="77777777" w:rsidR="00852E28" w:rsidRDefault="001B44E9">
      <w:pPr>
        <w:spacing w:after="0" w:line="240" w:lineRule="auto"/>
      </w:pPr>
      <w:r>
        <w:separator/>
      </w:r>
    </w:p>
  </w:endnote>
  <w:endnote w:type="continuationSeparator" w:id="0">
    <w:p w14:paraId="0D9BD0BB" w14:textId="77777777" w:rsidR="00852E28" w:rsidRDefault="001B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1556B" w14:textId="77777777" w:rsidR="0062748D" w:rsidRDefault="006274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847952"/>
      <w:docPartObj>
        <w:docPartGallery w:val="Page Numbers (Bottom of Page)"/>
        <w:docPartUnique/>
      </w:docPartObj>
    </w:sdtPr>
    <w:sdtEndPr>
      <w:rPr>
        <w:noProof/>
      </w:rPr>
    </w:sdtEndPr>
    <w:sdtContent>
      <w:p w14:paraId="09F928C2" w14:textId="77777777" w:rsidR="0029319D" w:rsidRDefault="009B684C">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69D4DF4" w14:textId="77777777" w:rsidR="0029319D" w:rsidRDefault="00056B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187C0" w14:textId="77777777" w:rsidR="0062748D" w:rsidRDefault="00627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9B7D3" w14:textId="77777777" w:rsidR="00852E28" w:rsidRDefault="001B44E9">
      <w:pPr>
        <w:spacing w:after="0" w:line="240" w:lineRule="auto"/>
      </w:pPr>
      <w:r>
        <w:separator/>
      </w:r>
    </w:p>
  </w:footnote>
  <w:footnote w:type="continuationSeparator" w:id="0">
    <w:p w14:paraId="3F1CD57C" w14:textId="77777777" w:rsidR="00852E28" w:rsidRDefault="001B4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342E8" w14:textId="77777777" w:rsidR="0062748D" w:rsidRDefault="006274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664A" w14:textId="77777777" w:rsidR="0062748D" w:rsidRDefault="006274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B1D3" w14:textId="77777777" w:rsidR="0062748D" w:rsidRDefault="006274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4C"/>
    <w:rsid w:val="00056B9A"/>
    <w:rsid w:val="001B44E9"/>
    <w:rsid w:val="0062748D"/>
    <w:rsid w:val="0081563E"/>
    <w:rsid w:val="00852E28"/>
    <w:rsid w:val="009B684C"/>
    <w:rsid w:val="00AA2B47"/>
    <w:rsid w:val="00E313FD"/>
    <w:rsid w:val="00EA7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38D87"/>
  <w15:chartTrackingRefBased/>
  <w15:docId w15:val="{85F342D0-F87D-4B66-93E2-B3DB79AE0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684C"/>
    <w:pPr>
      <w:tabs>
        <w:tab w:val="center" w:pos="4513"/>
        <w:tab w:val="right" w:pos="9026"/>
      </w:tabs>
      <w:spacing w:after="0" w:line="240" w:lineRule="auto"/>
      <w:jc w:val="both"/>
    </w:pPr>
    <w:rPr>
      <w:rFonts w:asciiTheme="majorBidi" w:hAnsiTheme="majorBidi"/>
      <w:kern w:val="0"/>
      <w:sz w:val="24"/>
      <w14:ligatures w14:val="none"/>
    </w:rPr>
  </w:style>
  <w:style w:type="character" w:customStyle="1" w:styleId="FooterChar">
    <w:name w:val="Footer Char"/>
    <w:basedOn w:val="DefaultParagraphFont"/>
    <w:link w:val="Footer"/>
    <w:uiPriority w:val="99"/>
    <w:rsid w:val="009B684C"/>
    <w:rPr>
      <w:rFonts w:asciiTheme="majorBidi" w:hAnsiTheme="majorBidi"/>
      <w:kern w:val="0"/>
      <w:sz w:val="24"/>
      <w14:ligatures w14:val="none"/>
    </w:rPr>
  </w:style>
  <w:style w:type="paragraph" w:styleId="Header">
    <w:name w:val="header"/>
    <w:basedOn w:val="Normal"/>
    <w:link w:val="HeaderChar"/>
    <w:uiPriority w:val="99"/>
    <w:unhideWhenUsed/>
    <w:rsid w:val="00627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1659</Words>
  <Characters>9461</Characters>
  <Application>Microsoft Office Word</Application>
  <DocSecurity>0</DocSecurity>
  <Lines>78</Lines>
  <Paragraphs>22</Paragraphs>
  <ScaleCrop>false</ScaleCrop>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 Vlasceanu</dc:creator>
  <cp:keywords/>
  <dc:description/>
  <cp:lastModifiedBy>Iuliana Vlasceanu</cp:lastModifiedBy>
  <cp:revision>8</cp:revision>
  <dcterms:created xsi:type="dcterms:W3CDTF">2023-05-05T22:56:00Z</dcterms:created>
  <dcterms:modified xsi:type="dcterms:W3CDTF">2023-05-05T23:03:00Z</dcterms:modified>
</cp:coreProperties>
</file>