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95C9E" w14:textId="77777777" w:rsidR="00F41A15" w:rsidRDefault="00F41A15" w:rsidP="009F0630">
      <w:pPr>
        <w:pStyle w:val="NoSpacing"/>
      </w:pPr>
    </w:p>
    <w:p w14:paraId="7F83895D" w14:textId="77777777" w:rsidR="008B537B" w:rsidRPr="008B537B" w:rsidRDefault="008B537B" w:rsidP="008B537B">
      <w:pPr>
        <w:rPr>
          <w:sz w:val="36"/>
          <w:szCs w:val="36"/>
        </w:rPr>
      </w:pPr>
    </w:p>
    <w:p w14:paraId="57D7C2FB" w14:textId="77777777" w:rsidR="008B537B" w:rsidRPr="008B537B" w:rsidRDefault="008B537B" w:rsidP="008B537B">
      <w:pPr>
        <w:jc w:val="center"/>
        <w:rPr>
          <w:sz w:val="36"/>
          <w:szCs w:val="36"/>
        </w:rPr>
      </w:pPr>
      <w:r w:rsidRPr="008B537B">
        <w:rPr>
          <w:sz w:val="36"/>
          <w:szCs w:val="36"/>
        </w:rPr>
        <w:t>Module Code: LCLM5002</w:t>
      </w:r>
    </w:p>
    <w:p w14:paraId="61B96412" w14:textId="0B5FFA78" w:rsidR="008B537B" w:rsidRPr="008B537B" w:rsidRDefault="008B537B" w:rsidP="008B537B">
      <w:pPr>
        <w:jc w:val="center"/>
        <w:rPr>
          <w:sz w:val="36"/>
          <w:szCs w:val="36"/>
        </w:rPr>
      </w:pPr>
      <w:r w:rsidRPr="008B537B">
        <w:rPr>
          <w:sz w:val="36"/>
          <w:szCs w:val="36"/>
        </w:rPr>
        <w:t>Module Title: Developing and Managing Individuals and Teams</w:t>
      </w:r>
    </w:p>
    <w:p w14:paraId="77061737" w14:textId="77777777" w:rsidR="008B537B" w:rsidRPr="008B537B" w:rsidRDefault="008B537B" w:rsidP="008B537B">
      <w:pPr>
        <w:rPr>
          <w:sz w:val="36"/>
          <w:szCs w:val="36"/>
        </w:rPr>
      </w:pPr>
    </w:p>
    <w:p w14:paraId="30F6DD89" w14:textId="77777777" w:rsidR="008B537B" w:rsidRPr="008B537B" w:rsidRDefault="008B537B" w:rsidP="008B537B">
      <w:pPr>
        <w:rPr>
          <w:sz w:val="36"/>
          <w:szCs w:val="36"/>
        </w:rPr>
      </w:pPr>
    </w:p>
    <w:p w14:paraId="7DA776DF" w14:textId="77777777" w:rsidR="008B537B" w:rsidRPr="008B537B" w:rsidRDefault="008B537B" w:rsidP="008B537B">
      <w:pPr>
        <w:rPr>
          <w:sz w:val="36"/>
          <w:szCs w:val="36"/>
        </w:rPr>
      </w:pPr>
    </w:p>
    <w:p w14:paraId="3187CAA9" w14:textId="77777777" w:rsidR="008B537B" w:rsidRPr="008B537B" w:rsidRDefault="008B537B" w:rsidP="008B537B">
      <w:pPr>
        <w:rPr>
          <w:sz w:val="36"/>
          <w:szCs w:val="36"/>
        </w:rPr>
      </w:pPr>
    </w:p>
    <w:p w14:paraId="798A832F" w14:textId="77777777" w:rsidR="008B537B" w:rsidRPr="008B537B" w:rsidRDefault="008B537B" w:rsidP="008B537B">
      <w:pPr>
        <w:rPr>
          <w:sz w:val="36"/>
          <w:szCs w:val="36"/>
        </w:rPr>
      </w:pPr>
    </w:p>
    <w:p w14:paraId="596DA479" w14:textId="40480E1C" w:rsidR="008B537B" w:rsidRPr="008B537B" w:rsidRDefault="008B537B" w:rsidP="008B537B">
      <w:pPr>
        <w:tabs>
          <w:tab w:val="left" w:pos="4990"/>
        </w:tabs>
        <w:jc w:val="center"/>
        <w:rPr>
          <w:sz w:val="36"/>
          <w:szCs w:val="36"/>
        </w:rPr>
      </w:pPr>
      <w:r w:rsidRPr="008B537B">
        <w:rPr>
          <w:sz w:val="36"/>
          <w:szCs w:val="36"/>
        </w:rPr>
        <w:t>COMPONENT 2: INDIVIDUAL REPORT</w:t>
      </w:r>
    </w:p>
    <w:p w14:paraId="162BD08A" w14:textId="77777777" w:rsidR="008B537B" w:rsidRDefault="008B537B" w:rsidP="008B537B">
      <w:pPr>
        <w:tabs>
          <w:tab w:val="left" w:pos="4990"/>
        </w:tabs>
        <w:jc w:val="center"/>
      </w:pPr>
    </w:p>
    <w:p w14:paraId="5C9DB3F6" w14:textId="77777777" w:rsidR="008B537B" w:rsidRDefault="008B537B" w:rsidP="008B537B">
      <w:pPr>
        <w:tabs>
          <w:tab w:val="left" w:pos="4990"/>
        </w:tabs>
        <w:jc w:val="center"/>
      </w:pPr>
    </w:p>
    <w:p w14:paraId="125A657E" w14:textId="77777777" w:rsidR="008B537B" w:rsidRDefault="008B537B" w:rsidP="008B537B">
      <w:pPr>
        <w:tabs>
          <w:tab w:val="left" w:pos="4990"/>
        </w:tabs>
        <w:jc w:val="center"/>
      </w:pPr>
    </w:p>
    <w:p w14:paraId="29683232" w14:textId="77777777" w:rsidR="008B537B" w:rsidRDefault="008B537B" w:rsidP="008B537B">
      <w:pPr>
        <w:tabs>
          <w:tab w:val="left" w:pos="4990"/>
        </w:tabs>
        <w:jc w:val="center"/>
      </w:pPr>
    </w:p>
    <w:p w14:paraId="313D9470" w14:textId="77777777" w:rsidR="008B537B" w:rsidRDefault="008B537B" w:rsidP="008B537B">
      <w:pPr>
        <w:tabs>
          <w:tab w:val="left" w:pos="4990"/>
        </w:tabs>
        <w:jc w:val="center"/>
      </w:pPr>
    </w:p>
    <w:p w14:paraId="640A37AF" w14:textId="77777777" w:rsidR="008B537B" w:rsidRDefault="008B537B" w:rsidP="008B537B">
      <w:pPr>
        <w:tabs>
          <w:tab w:val="left" w:pos="4990"/>
        </w:tabs>
        <w:jc w:val="center"/>
      </w:pPr>
    </w:p>
    <w:p w14:paraId="650B86D1" w14:textId="77777777" w:rsidR="008B537B" w:rsidRDefault="008B537B" w:rsidP="008B537B">
      <w:pPr>
        <w:tabs>
          <w:tab w:val="left" w:pos="4990"/>
        </w:tabs>
        <w:jc w:val="center"/>
      </w:pPr>
    </w:p>
    <w:p w14:paraId="5BB178F1" w14:textId="77777777" w:rsidR="008B537B" w:rsidRDefault="008B537B" w:rsidP="008B537B">
      <w:pPr>
        <w:tabs>
          <w:tab w:val="left" w:pos="4990"/>
        </w:tabs>
        <w:jc w:val="center"/>
      </w:pPr>
    </w:p>
    <w:p w14:paraId="646D35CE" w14:textId="30DC0789" w:rsidR="008B537B" w:rsidRDefault="008B537B" w:rsidP="008B537B">
      <w:pPr>
        <w:spacing w:after="140"/>
        <w:jc w:val="center"/>
      </w:pPr>
      <w:r>
        <w:rPr>
          <w:rFonts w:ascii="Arial" w:eastAsia="Arial" w:hAnsi="Arial" w:cs="Arial"/>
          <w:sz w:val="22"/>
          <w:szCs w:val="22"/>
        </w:rPr>
        <w:t xml:space="preserve">Student Name: </w:t>
      </w:r>
      <w:r w:rsidR="009F0630">
        <w:rPr>
          <w:rFonts w:ascii="Arial" w:eastAsia="Arial" w:hAnsi="Arial" w:cs="Arial"/>
          <w:sz w:val="22"/>
          <w:szCs w:val="22"/>
        </w:rPr>
        <w:t>Ana-Loredana Bran</w:t>
      </w:r>
    </w:p>
    <w:p w14:paraId="4CB602AA" w14:textId="6F9EAAED" w:rsidR="008B537B" w:rsidRDefault="008B537B" w:rsidP="008B537B">
      <w:pPr>
        <w:spacing w:after="140"/>
        <w:jc w:val="center"/>
        <w:rPr>
          <w:rFonts w:ascii="Arial" w:eastAsia="Arial" w:hAnsi="Arial" w:cs="Arial"/>
          <w:sz w:val="22"/>
          <w:szCs w:val="22"/>
        </w:rPr>
      </w:pPr>
      <w:r>
        <w:rPr>
          <w:rFonts w:ascii="Arial" w:eastAsia="Arial" w:hAnsi="Arial" w:cs="Arial"/>
          <w:sz w:val="22"/>
          <w:szCs w:val="22"/>
        </w:rPr>
        <w:t xml:space="preserve">Student Number: </w:t>
      </w:r>
      <w:r w:rsidR="009F0630">
        <w:rPr>
          <w:rFonts w:ascii="Arial" w:eastAsia="Arial" w:hAnsi="Arial" w:cs="Arial"/>
          <w:sz w:val="22"/>
          <w:szCs w:val="22"/>
        </w:rPr>
        <w:t>2413290</w:t>
      </w:r>
    </w:p>
    <w:p w14:paraId="4794A146" w14:textId="7036C3EF" w:rsidR="009F0630" w:rsidRDefault="009F0630" w:rsidP="008B537B">
      <w:pPr>
        <w:spacing w:after="140"/>
        <w:jc w:val="center"/>
      </w:pPr>
      <w:r>
        <w:rPr>
          <w:rFonts w:ascii="Arial" w:eastAsia="Arial" w:hAnsi="Arial" w:cs="Arial"/>
          <w:sz w:val="22"/>
          <w:szCs w:val="22"/>
        </w:rPr>
        <w:t>Lecturer Name: Sukhpreet Grewal</w:t>
      </w:r>
    </w:p>
    <w:p w14:paraId="4DE8F0B4" w14:textId="77777777" w:rsidR="008B537B" w:rsidRDefault="008B537B" w:rsidP="008B537B">
      <w:pPr>
        <w:tabs>
          <w:tab w:val="left" w:pos="4990"/>
        </w:tabs>
        <w:jc w:val="center"/>
      </w:pPr>
    </w:p>
    <w:p w14:paraId="198EA21B" w14:textId="77777777" w:rsidR="008B537B" w:rsidRDefault="008B537B" w:rsidP="008B537B">
      <w:pPr>
        <w:tabs>
          <w:tab w:val="left" w:pos="4990"/>
        </w:tabs>
        <w:jc w:val="center"/>
      </w:pPr>
    </w:p>
    <w:p w14:paraId="2985D28A" w14:textId="77777777" w:rsidR="008B537B" w:rsidRDefault="008B537B" w:rsidP="008B537B">
      <w:pPr>
        <w:tabs>
          <w:tab w:val="left" w:pos="4990"/>
        </w:tabs>
        <w:jc w:val="center"/>
      </w:pPr>
    </w:p>
    <w:p w14:paraId="7F788952" w14:textId="77777777" w:rsidR="008B537B" w:rsidRPr="008B537B" w:rsidRDefault="008B537B" w:rsidP="008B537B">
      <w:pPr>
        <w:tabs>
          <w:tab w:val="left" w:pos="4990"/>
        </w:tabs>
        <w:jc w:val="center"/>
      </w:pPr>
    </w:p>
    <w:p w14:paraId="17E19F7D" w14:textId="77777777" w:rsidR="008B537B" w:rsidRDefault="008B537B" w:rsidP="008B537B"/>
    <w:sdt>
      <w:sdtPr>
        <w:rPr>
          <w:rFonts w:ascii="Times New Roman" w:eastAsiaTheme="minorHAnsi" w:hAnsi="Times New Roman" w:cstheme="minorBidi"/>
          <w:color w:val="auto"/>
          <w:kern w:val="2"/>
          <w:sz w:val="24"/>
          <w:szCs w:val="24"/>
          <w:lang w:val="en-GB"/>
          <w14:ligatures w14:val="standardContextual"/>
        </w:rPr>
        <w:id w:val="-58176279"/>
        <w:docPartObj>
          <w:docPartGallery w:val="Table of Contents"/>
          <w:docPartUnique/>
        </w:docPartObj>
      </w:sdtPr>
      <w:sdtEndPr>
        <w:rPr>
          <w:b/>
          <w:bCs/>
          <w:noProof/>
        </w:rPr>
      </w:sdtEndPr>
      <w:sdtContent>
        <w:p w14:paraId="57AC0319" w14:textId="6738849E" w:rsidR="008B537B" w:rsidRDefault="008B537B">
          <w:pPr>
            <w:pStyle w:val="TOCHeading"/>
          </w:pPr>
          <w:r>
            <w:t>Contents</w:t>
          </w:r>
        </w:p>
        <w:p w14:paraId="318A7377" w14:textId="34A45202" w:rsidR="008B537B" w:rsidRDefault="008B537B">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5460223" w:history="1">
            <w:r w:rsidRPr="0049249B">
              <w:rPr>
                <w:rStyle w:val="Hyperlink"/>
                <w:rFonts w:eastAsia="Arial"/>
                <w:noProof/>
              </w:rPr>
              <w:t>1. Introduction</w:t>
            </w:r>
            <w:r>
              <w:rPr>
                <w:noProof/>
                <w:webHidden/>
              </w:rPr>
              <w:tab/>
            </w:r>
            <w:r>
              <w:rPr>
                <w:noProof/>
                <w:webHidden/>
              </w:rPr>
              <w:fldChar w:fldCharType="begin"/>
            </w:r>
            <w:r>
              <w:rPr>
                <w:noProof/>
                <w:webHidden/>
              </w:rPr>
              <w:instrText xml:space="preserve"> PAGEREF _Toc225460223 \h </w:instrText>
            </w:r>
            <w:r>
              <w:rPr>
                <w:noProof/>
                <w:webHidden/>
              </w:rPr>
            </w:r>
            <w:r>
              <w:rPr>
                <w:noProof/>
                <w:webHidden/>
              </w:rPr>
              <w:fldChar w:fldCharType="separate"/>
            </w:r>
            <w:r>
              <w:rPr>
                <w:noProof/>
                <w:webHidden/>
              </w:rPr>
              <w:t>3</w:t>
            </w:r>
            <w:r>
              <w:rPr>
                <w:noProof/>
                <w:webHidden/>
              </w:rPr>
              <w:fldChar w:fldCharType="end"/>
            </w:r>
          </w:hyperlink>
        </w:p>
        <w:p w14:paraId="277C7446" w14:textId="34CB6B7B" w:rsidR="008B537B" w:rsidRDefault="008B537B">
          <w:pPr>
            <w:pStyle w:val="TOC1"/>
            <w:tabs>
              <w:tab w:val="right" w:leader="dot" w:pos="9016"/>
            </w:tabs>
            <w:rPr>
              <w:rFonts w:asciiTheme="minorHAnsi" w:eastAsiaTheme="minorEastAsia" w:hAnsiTheme="minorHAnsi"/>
              <w:noProof/>
              <w:lang w:eastAsia="en-GB"/>
            </w:rPr>
          </w:pPr>
          <w:hyperlink w:anchor="_Toc225460224" w:history="1">
            <w:r w:rsidRPr="0049249B">
              <w:rPr>
                <w:rStyle w:val="Hyperlink"/>
                <w:rFonts w:eastAsia="Arial"/>
                <w:noProof/>
              </w:rPr>
              <w:t>2. HR Challenges at Tesco</w:t>
            </w:r>
            <w:r>
              <w:rPr>
                <w:noProof/>
                <w:webHidden/>
              </w:rPr>
              <w:tab/>
            </w:r>
            <w:r>
              <w:rPr>
                <w:noProof/>
                <w:webHidden/>
              </w:rPr>
              <w:fldChar w:fldCharType="begin"/>
            </w:r>
            <w:r>
              <w:rPr>
                <w:noProof/>
                <w:webHidden/>
              </w:rPr>
              <w:instrText xml:space="preserve"> PAGEREF _Toc225460224 \h </w:instrText>
            </w:r>
            <w:r>
              <w:rPr>
                <w:noProof/>
                <w:webHidden/>
              </w:rPr>
            </w:r>
            <w:r>
              <w:rPr>
                <w:noProof/>
                <w:webHidden/>
              </w:rPr>
              <w:fldChar w:fldCharType="separate"/>
            </w:r>
            <w:r>
              <w:rPr>
                <w:noProof/>
                <w:webHidden/>
              </w:rPr>
              <w:t>3</w:t>
            </w:r>
            <w:r>
              <w:rPr>
                <w:noProof/>
                <w:webHidden/>
              </w:rPr>
              <w:fldChar w:fldCharType="end"/>
            </w:r>
          </w:hyperlink>
        </w:p>
        <w:p w14:paraId="6C856550" w14:textId="0E578EB6" w:rsidR="008B537B" w:rsidRDefault="008B537B">
          <w:pPr>
            <w:pStyle w:val="TOC2"/>
            <w:tabs>
              <w:tab w:val="right" w:leader="dot" w:pos="9016"/>
            </w:tabs>
            <w:rPr>
              <w:rFonts w:asciiTheme="minorHAnsi" w:eastAsiaTheme="minorEastAsia" w:hAnsiTheme="minorHAnsi"/>
              <w:noProof/>
              <w:lang w:eastAsia="en-GB"/>
            </w:rPr>
          </w:pPr>
          <w:hyperlink w:anchor="_Toc225460225" w:history="1">
            <w:r w:rsidRPr="0049249B">
              <w:rPr>
                <w:rStyle w:val="Hyperlink"/>
                <w:rFonts w:eastAsia="Arial"/>
                <w:noProof/>
              </w:rPr>
              <w:t>2.1 Meeting Technological Advancement</w:t>
            </w:r>
            <w:r>
              <w:rPr>
                <w:noProof/>
                <w:webHidden/>
              </w:rPr>
              <w:tab/>
            </w:r>
            <w:r>
              <w:rPr>
                <w:noProof/>
                <w:webHidden/>
              </w:rPr>
              <w:fldChar w:fldCharType="begin"/>
            </w:r>
            <w:r>
              <w:rPr>
                <w:noProof/>
                <w:webHidden/>
              </w:rPr>
              <w:instrText xml:space="preserve"> PAGEREF _Toc225460225 \h </w:instrText>
            </w:r>
            <w:r>
              <w:rPr>
                <w:noProof/>
                <w:webHidden/>
              </w:rPr>
            </w:r>
            <w:r>
              <w:rPr>
                <w:noProof/>
                <w:webHidden/>
              </w:rPr>
              <w:fldChar w:fldCharType="separate"/>
            </w:r>
            <w:r>
              <w:rPr>
                <w:noProof/>
                <w:webHidden/>
              </w:rPr>
              <w:t>3</w:t>
            </w:r>
            <w:r>
              <w:rPr>
                <w:noProof/>
                <w:webHidden/>
              </w:rPr>
              <w:fldChar w:fldCharType="end"/>
            </w:r>
          </w:hyperlink>
        </w:p>
        <w:p w14:paraId="548C9DA1" w14:textId="425B730F" w:rsidR="008B537B" w:rsidRDefault="008B537B">
          <w:pPr>
            <w:pStyle w:val="TOC2"/>
            <w:tabs>
              <w:tab w:val="right" w:leader="dot" w:pos="9016"/>
            </w:tabs>
            <w:rPr>
              <w:rFonts w:asciiTheme="minorHAnsi" w:eastAsiaTheme="minorEastAsia" w:hAnsiTheme="minorHAnsi"/>
              <w:noProof/>
              <w:lang w:eastAsia="en-GB"/>
            </w:rPr>
          </w:pPr>
          <w:hyperlink w:anchor="_Toc225460226" w:history="1">
            <w:r w:rsidRPr="0049249B">
              <w:rPr>
                <w:rStyle w:val="Hyperlink"/>
                <w:rFonts w:eastAsia="Arial"/>
                <w:noProof/>
              </w:rPr>
              <w:t>2.2 Talent Acquisition and Retention</w:t>
            </w:r>
            <w:r>
              <w:rPr>
                <w:noProof/>
                <w:webHidden/>
              </w:rPr>
              <w:tab/>
            </w:r>
            <w:r>
              <w:rPr>
                <w:noProof/>
                <w:webHidden/>
              </w:rPr>
              <w:fldChar w:fldCharType="begin"/>
            </w:r>
            <w:r>
              <w:rPr>
                <w:noProof/>
                <w:webHidden/>
              </w:rPr>
              <w:instrText xml:space="preserve"> PAGEREF _Toc225460226 \h </w:instrText>
            </w:r>
            <w:r>
              <w:rPr>
                <w:noProof/>
                <w:webHidden/>
              </w:rPr>
            </w:r>
            <w:r>
              <w:rPr>
                <w:noProof/>
                <w:webHidden/>
              </w:rPr>
              <w:fldChar w:fldCharType="separate"/>
            </w:r>
            <w:r>
              <w:rPr>
                <w:noProof/>
                <w:webHidden/>
              </w:rPr>
              <w:t>3</w:t>
            </w:r>
            <w:r>
              <w:rPr>
                <w:noProof/>
                <w:webHidden/>
              </w:rPr>
              <w:fldChar w:fldCharType="end"/>
            </w:r>
          </w:hyperlink>
        </w:p>
        <w:p w14:paraId="31881529" w14:textId="1A14F081" w:rsidR="008B537B" w:rsidRDefault="008B537B">
          <w:pPr>
            <w:pStyle w:val="TOC2"/>
            <w:tabs>
              <w:tab w:val="right" w:leader="dot" w:pos="9016"/>
            </w:tabs>
            <w:rPr>
              <w:rFonts w:asciiTheme="minorHAnsi" w:eastAsiaTheme="minorEastAsia" w:hAnsiTheme="minorHAnsi"/>
              <w:noProof/>
              <w:lang w:eastAsia="en-GB"/>
            </w:rPr>
          </w:pPr>
          <w:hyperlink w:anchor="_Toc225460227" w:history="1">
            <w:r w:rsidRPr="0049249B">
              <w:rPr>
                <w:rStyle w:val="Hyperlink"/>
                <w:rFonts w:eastAsia="Arial"/>
                <w:noProof/>
              </w:rPr>
              <w:t>2.3 Diversity, Equity and Inclusion</w:t>
            </w:r>
            <w:r>
              <w:rPr>
                <w:noProof/>
                <w:webHidden/>
              </w:rPr>
              <w:tab/>
            </w:r>
            <w:r>
              <w:rPr>
                <w:noProof/>
                <w:webHidden/>
              </w:rPr>
              <w:fldChar w:fldCharType="begin"/>
            </w:r>
            <w:r>
              <w:rPr>
                <w:noProof/>
                <w:webHidden/>
              </w:rPr>
              <w:instrText xml:space="preserve"> PAGEREF _Toc225460227 \h </w:instrText>
            </w:r>
            <w:r>
              <w:rPr>
                <w:noProof/>
                <w:webHidden/>
              </w:rPr>
            </w:r>
            <w:r>
              <w:rPr>
                <w:noProof/>
                <w:webHidden/>
              </w:rPr>
              <w:fldChar w:fldCharType="separate"/>
            </w:r>
            <w:r>
              <w:rPr>
                <w:noProof/>
                <w:webHidden/>
              </w:rPr>
              <w:t>4</w:t>
            </w:r>
            <w:r>
              <w:rPr>
                <w:noProof/>
                <w:webHidden/>
              </w:rPr>
              <w:fldChar w:fldCharType="end"/>
            </w:r>
          </w:hyperlink>
        </w:p>
        <w:p w14:paraId="4CA0A068" w14:textId="3698B2C3" w:rsidR="008B537B" w:rsidRDefault="008B537B">
          <w:pPr>
            <w:pStyle w:val="TOC1"/>
            <w:tabs>
              <w:tab w:val="right" w:leader="dot" w:pos="9016"/>
            </w:tabs>
            <w:rPr>
              <w:rFonts w:asciiTheme="minorHAnsi" w:eastAsiaTheme="minorEastAsia" w:hAnsiTheme="minorHAnsi"/>
              <w:noProof/>
              <w:lang w:eastAsia="en-GB"/>
            </w:rPr>
          </w:pPr>
          <w:hyperlink w:anchor="_Toc225460228" w:history="1">
            <w:r w:rsidRPr="0049249B">
              <w:rPr>
                <w:rStyle w:val="Hyperlink"/>
                <w:rFonts w:eastAsia="Arial"/>
                <w:noProof/>
              </w:rPr>
              <w:t>3. Contemporary HR Practices</w:t>
            </w:r>
            <w:r>
              <w:rPr>
                <w:noProof/>
                <w:webHidden/>
              </w:rPr>
              <w:tab/>
            </w:r>
            <w:r>
              <w:rPr>
                <w:noProof/>
                <w:webHidden/>
              </w:rPr>
              <w:fldChar w:fldCharType="begin"/>
            </w:r>
            <w:r>
              <w:rPr>
                <w:noProof/>
                <w:webHidden/>
              </w:rPr>
              <w:instrText xml:space="preserve"> PAGEREF _Toc225460228 \h </w:instrText>
            </w:r>
            <w:r>
              <w:rPr>
                <w:noProof/>
                <w:webHidden/>
              </w:rPr>
            </w:r>
            <w:r>
              <w:rPr>
                <w:noProof/>
                <w:webHidden/>
              </w:rPr>
              <w:fldChar w:fldCharType="separate"/>
            </w:r>
            <w:r>
              <w:rPr>
                <w:noProof/>
                <w:webHidden/>
              </w:rPr>
              <w:t>4</w:t>
            </w:r>
            <w:r>
              <w:rPr>
                <w:noProof/>
                <w:webHidden/>
              </w:rPr>
              <w:fldChar w:fldCharType="end"/>
            </w:r>
          </w:hyperlink>
        </w:p>
        <w:p w14:paraId="49369FCE" w14:textId="1CDF8E1D" w:rsidR="008B537B" w:rsidRDefault="008B537B">
          <w:pPr>
            <w:pStyle w:val="TOC2"/>
            <w:tabs>
              <w:tab w:val="right" w:leader="dot" w:pos="9016"/>
            </w:tabs>
            <w:rPr>
              <w:rFonts w:asciiTheme="minorHAnsi" w:eastAsiaTheme="minorEastAsia" w:hAnsiTheme="minorHAnsi"/>
              <w:noProof/>
              <w:lang w:eastAsia="en-GB"/>
            </w:rPr>
          </w:pPr>
          <w:hyperlink w:anchor="_Toc225460229" w:history="1">
            <w:r w:rsidRPr="0049249B">
              <w:rPr>
                <w:rStyle w:val="Hyperlink"/>
                <w:rFonts w:eastAsia="Arial"/>
                <w:noProof/>
              </w:rPr>
              <w:t>3.1 Addressing Technological Advancement</w:t>
            </w:r>
            <w:r>
              <w:rPr>
                <w:noProof/>
                <w:webHidden/>
              </w:rPr>
              <w:tab/>
            </w:r>
            <w:r>
              <w:rPr>
                <w:noProof/>
                <w:webHidden/>
              </w:rPr>
              <w:fldChar w:fldCharType="begin"/>
            </w:r>
            <w:r>
              <w:rPr>
                <w:noProof/>
                <w:webHidden/>
              </w:rPr>
              <w:instrText xml:space="preserve"> PAGEREF _Toc225460229 \h </w:instrText>
            </w:r>
            <w:r>
              <w:rPr>
                <w:noProof/>
                <w:webHidden/>
              </w:rPr>
            </w:r>
            <w:r>
              <w:rPr>
                <w:noProof/>
                <w:webHidden/>
              </w:rPr>
              <w:fldChar w:fldCharType="separate"/>
            </w:r>
            <w:r>
              <w:rPr>
                <w:noProof/>
                <w:webHidden/>
              </w:rPr>
              <w:t>4</w:t>
            </w:r>
            <w:r>
              <w:rPr>
                <w:noProof/>
                <w:webHidden/>
              </w:rPr>
              <w:fldChar w:fldCharType="end"/>
            </w:r>
          </w:hyperlink>
        </w:p>
        <w:p w14:paraId="4F9D7C80" w14:textId="22EA0D2D" w:rsidR="008B537B" w:rsidRDefault="008B537B">
          <w:pPr>
            <w:pStyle w:val="TOC2"/>
            <w:tabs>
              <w:tab w:val="right" w:leader="dot" w:pos="9016"/>
            </w:tabs>
            <w:rPr>
              <w:rFonts w:asciiTheme="minorHAnsi" w:eastAsiaTheme="minorEastAsia" w:hAnsiTheme="minorHAnsi"/>
              <w:noProof/>
              <w:lang w:eastAsia="en-GB"/>
            </w:rPr>
          </w:pPr>
          <w:hyperlink w:anchor="_Toc225460230" w:history="1">
            <w:r w:rsidRPr="0049249B">
              <w:rPr>
                <w:rStyle w:val="Hyperlink"/>
                <w:rFonts w:eastAsia="Arial"/>
                <w:noProof/>
              </w:rPr>
              <w:t>3.2 Addressing Talent Acquisition and Retention</w:t>
            </w:r>
            <w:r>
              <w:rPr>
                <w:noProof/>
                <w:webHidden/>
              </w:rPr>
              <w:tab/>
            </w:r>
            <w:r>
              <w:rPr>
                <w:noProof/>
                <w:webHidden/>
              </w:rPr>
              <w:fldChar w:fldCharType="begin"/>
            </w:r>
            <w:r>
              <w:rPr>
                <w:noProof/>
                <w:webHidden/>
              </w:rPr>
              <w:instrText xml:space="preserve"> PAGEREF _Toc225460230 \h </w:instrText>
            </w:r>
            <w:r>
              <w:rPr>
                <w:noProof/>
                <w:webHidden/>
              </w:rPr>
            </w:r>
            <w:r>
              <w:rPr>
                <w:noProof/>
                <w:webHidden/>
              </w:rPr>
              <w:fldChar w:fldCharType="separate"/>
            </w:r>
            <w:r>
              <w:rPr>
                <w:noProof/>
                <w:webHidden/>
              </w:rPr>
              <w:t>5</w:t>
            </w:r>
            <w:r>
              <w:rPr>
                <w:noProof/>
                <w:webHidden/>
              </w:rPr>
              <w:fldChar w:fldCharType="end"/>
            </w:r>
          </w:hyperlink>
        </w:p>
        <w:p w14:paraId="67BE0C18" w14:textId="3E8D593C" w:rsidR="008B537B" w:rsidRDefault="008B537B">
          <w:pPr>
            <w:pStyle w:val="TOC2"/>
            <w:tabs>
              <w:tab w:val="right" w:leader="dot" w:pos="9016"/>
            </w:tabs>
            <w:rPr>
              <w:rFonts w:asciiTheme="minorHAnsi" w:eastAsiaTheme="minorEastAsia" w:hAnsiTheme="minorHAnsi"/>
              <w:noProof/>
              <w:lang w:eastAsia="en-GB"/>
            </w:rPr>
          </w:pPr>
          <w:hyperlink w:anchor="_Toc225460231" w:history="1">
            <w:r w:rsidRPr="0049249B">
              <w:rPr>
                <w:rStyle w:val="Hyperlink"/>
                <w:rFonts w:eastAsia="Arial"/>
                <w:noProof/>
              </w:rPr>
              <w:t>3.3 Addressing Diversity, Equity and Inclusion</w:t>
            </w:r>
            <w:r>
              <w:rPr>
                <w:noProof/>
                <w:webHidden/>
              </w:rPr>
              <w:tab/>
            </w:r>
            <w:r>
              <w:rPr>
                <w:noProof/>
                <w:webHidden/>
              </w:rPr>
              <w:fldChar w:fldCharType="begin"/>
            </w:r>
            <w:r>
              <w:rPr>
                <w:noProof/>
                <w:webHidden/>
              </w:rPr>
              <w:instrText xml:space="preserve"> PAGEREF _Toc225460231 \h </w:instrText>
            </w:r>
            <w:r>
              <w:rPr>
                <w:noProof/>
                <w:webHidden/>
              </w:rPr>
            </w:r>
            <w:r>
              <w:rPr>
                <w:noProof/>
                <w:webHidden/>
              </w:rPr>
              <w:fldChar w:fldCharType="separate"/>
            </w:r>
            <w:r>
              <w:rPr>
                <w:noProof/>
                <w:webHidden/>
              </w:rPr>
              <w:t>5</w:t>
            </w:r>
            <w:r>
              <w:rPr>
                <w:noProof/>
                <w:webHidden/>
              </w:rPr>
              <w:fldChar w:fldCharType="end"/>
            </w:r>
          </w:hyperlink>
        </w:p>
        <w:p w14:paraId="00E2ED82" w14:textId="0F88B110" w:rsidR="008B537B" w:rsidRDefault="008B537B">
          <w:pPr>
            <w:pStyle w:val="TOC1"/>
            <w:tabs>
              <w:tab w:val="right" w:leader="dot" w:pos="9016"/>
            </w:tabs>
            <w:rPr>
              <w:rFonts w:asciiTheme="minorHAnsi" w:eastAsiaTheme="minorEastAsia" w:hAnsiTheme="minorHAnsi"/>
              <w:noProof/>
              <w:lang w:eastAsia="en-GB"/>
            </w:rPr>
          </w:pPr>
          <w:hyperlink w:anchor="_Toc225460232" w:history="1">
            <w:r w:rsidRPr="0049249B">
              <w:rPr>
                <w:rStyle w:val="Hyperlink"/>
                <w:rFonts w:eastAsia="Arial"/>
                <w:noProof/>
              </w:rPr>
              <w:t>4. Managerial Implementation of Contemporary HR Practices</w:t>
            </w:r>
            <w:r>
              <w:rPr>
                <w:noProof/>
                <w:webHidden/>
              </w:rPr>
              <w:tab/>
            </w:r>
            <w:r>
              <w:rPr>
                <w:noProof/>
                <w:webHidden/>
              </w:rPr>
              <w:fldChar w:fldCharType="begin"/>
            </w:r>
            <w:r>
              <w:rPr>
                <w:noProof/>
                <w:webHidden/>
              </w:rPr>
              <w:instrText xml:space="preserve"> PAGEREF _Toc225460232 \h </w:instrText>
            </w:r>
            <w:r>
              <w:rPr>
                <w:noProof/>
                <w:webHidden/>
              </w:rPr>
            </w:r>
            <w:r>
              <w:rPr>
                <w:noProof/>
                <w:webHidden/>
              </w:rPr>
              <w:fldChar w:fldCharType="separate"/>
            </w:r>
            <w:r>
              <w:rPr>
                <w:noProof/>
                <w:webHidden/>
              </w:rPr>
              <w:t>6</w:t>
            </w:r>
            <w:r>
              <w:rPr>
                <w:noProof/>
                <w:webHidden/>
              </w:rPr>
              <w:fldChar w:fldCharType="end"/>
            </w:r>
          </w:hyperlink>
        </w:p>
        <w:p w14:paraId="1CBE4036" w14:textId="58474231" w:rsidR="008B537B" w:rsidRDefault="008B537B">
          <w:pPr>
            <w:pStyle w:val="TOC1"/>
            <w:tabs>
              <w:tab w:val="right" w:leader="dot" w:pos="9016"/>
            </w:tabs>
            <w:rPr>
              <w:rFonts w:asciiTheme="minorHAnsi" w:eastAsiaTheme="minorEastAsia" w:hAnsiTheme="minorHAnsi"/>
              <w:noProof/>
              <w:lang w:eastAsia="en-GB"/>
            </w:rPr>
          </w:pPr>
          <w:hyperlink w:anchor="_Toc225460233" w:history="1">
            <w:r w:rsidRPr="0049249B">
              <w:rPr>
                <w:rStyle w:val="Hyperlink"/>
                <w:rFonts w:eastAsia="Arial"/>
                <w:noProof/>
              </w:rPr>
              <w:t>5. Conclusion and Recommendations</w:t>
            </w:r>
            <w:r>
              <w:rPr>
                <w:noProof/>
                <w:webHidden/>
              </w:rPr>
              <w:tab/>
            </w:r>
            <w:r>
              <w:rPr>
                <w:noProof/>
                <w:webHidden/>
              </w:rPr>
              <w:fldChar w:fldCharType="begin"/>
            </w:r>
            <w:r>
              <w:rPr>
                <w:noProof/>
                <w:webHidden/>
              </w:rPr>
              <w:instrText xml:space="preserve"> PAGEREF _Toc225460233 \h </w:instrText>
            </w:r>
            <w:r>
              <w:rPr>
                <w:noProof/>
                <w:webHidden/>
              </w:rPr>
            </w:r>
            <w:r>
              <w:rPr>
                <w:noProof/>
                <w:webHidden/>
              </w:rPr>
              <w:fldChar w:fldCharType="separate"/>
            </w:r>
            <w:r>
              <w:rPr>
                <w:noProof/>
                <w:webHidden/>
              </w:rPr>
              <w:t>7</w:t>
            </w:r>
            <w:r>
              <w:rPr>
                <w:noProof/>
                <w:webHidden/>
              </w:rPr>
              <w:fldChar w:fldCharType="end"/>
            </w:r>
          </w:hyperlink>
        </w:p>
        <w:p w14:paraId="49B222FF" w14:textId="1E33D8CD" w:rsidR="008B537B" w:rsidRDefault="008B537B">
          <w:pPr>
            <w:pStyle w:val="TOC2"/>
            <w:tabs>
              <w:tab w:val="right" w:leader="dot" w:pos="9016"/>
            </w:tabs>
            <w:rPr>
              <w:rFonts w:asciiTheme="minorHAnsi" w:eastAsiaTheme="minorEastAsia" w:hAnsiTheme="minorHAnsi"/>
              <w:noProof/>
              <w:lang w:eastAsia="en-GB"/>
            </w:rPr>
          </w:pPr>
          <w:hyperlink w:anchor="_Toc225460234" w:history="1">
            <w:r w:rsidRPr="0049249B">
              <w:rPr>
                <w:rStyle w:val="Hyperlink"/>
                <w:rFonts w:eastAsia="Arial"/>
                <w:noProof/>
              </w:rPr>
              <w:t>Conclusion</w:t>
            </w:r>
            <w:r>
              <w:rPr>
                <w:noProof/>
                <w:webHidden/>
              </w:rPr>
              <w:tab/>
            </w:r>
            <w:r>
              <w:rPr>
                <w:noProof/>
                <w:webHidden/>
              </w:rPr>
              <w:fldChar w:fldCharType="begin"/>
            </w:r>
            <w:r>
              <w:rPr>
                <w:noProof/>
                <w:webHidden/>
              </w:rPr>
              <w:instrText xml:space="preserve"> PAGEREF _Toc225460234 \h </w:instrText>
            </w:r>
            <w:r>
              <w:rPr>
                <w:noProof/>
                <w:webHidden/>
              </w:rPr>
            </w:r>
            <w:r>
              <w:rPr>
                <w:noProof/>
                <w:webHidden/>
              </w:rPr>
              <w:fldChar w:fldCharType="separate"/>
            </w:r>
            <w:r>
              <w:rPr>
                <w:noProof/>
                <w:webHidden/>
              </w:rPr>
              <w:t>7</w:t>
            </w:r>
            <w:r>
              <w:rPr>
                <w:noProof/>
                <w:webHidden/>
              </w:rPr>
              <w:fldChar w:fldCharType="end"/>
            </w:r>
          </w:hyperlink>
        </w:p>
        <w:p w14:paraId="51F56BA3" w14:textId="106A79F0" w:rsidR="008B537B" w:rsidRDefault="008B537B">
          <w:pPr>
            <w:pStyle w:val="TOC2"/>
            <w:tabs>
              <w:tab w:val="right" w:leader="dot" w:pos="9016"/>
            </w:tabs>
            <w:rPr>
              <w:rFonts w:asciiTheme="minorHAnsi" w:eastAsiaTheme="minorEastAsia" w:hAnsiTheme="minorHAnsi"/>
              <w:noProof/>
              <w:lang w:eastAsia="en-GB"/>
            </w:rPr>
          </w:pPr>
          <w:hyperlink w:anchor="_Toc225460235" w:history="1">
            <w:r w:rsidRPr="0049249B">
              <w:rPr>
                <w:rStyle w:val="Hyperlink"/>
                <w:rFonts w:eastAsia="Arial"/>
                <w:noProof/>
              </w:rPr>
              <w:t>Recommendations</w:t>
            </w:r>
            <w:r>
              <w:rPr>
                <w:noProof/>
                <w:webHidden/>
              </w:rPr>
              <w:tab/>
            </w:r>
            <w:r>
              <w:rPr>
                <w:noProof/>
                <w:webHidden/>
              </w:rPr>
              <w:fldChar w:fldCharType="begin"/>
            </w:r>
            <w:r>
              <w:rPr>
                <w:noProof/>
                <w:webHidden/>
              </w:rPr>
              <w:instrText xml:space="preserve"> PAGEREF _Toc225460235 \h </w:instrText>
            </w:r>
            <w:r>
              <w:rPr>
                <w:noProof/>
                <w:webHidden/>
              </w:rPr>
            </w:r>
            <w:r>
              <w:rPr>
                <w:noProof/>
                <w:webHidden/>
              </w:rPr>
              <w:fldChar w:fldCharType="separate"/>
            </w:r>
            <w:r>
              <w:rPr>
                <w:noProof/>
                <w:webHidden/>
              </w:rPr>
              <w:t>7</w:t>
            </w:r>
            <w:r>
              <w:rPr>
                <w:noProof/>
                <w:webHidden/>
              </w:rPr>
              <w:fldChar w:fldCharType="end"/>
            </w:r>
          </w:hyperlink>
        </w:p>
        <w:p w14:paraId="4F2F2A06" w14:textId="79C79C65" w:rsidR="008B537B" w:rsidRDefault="008B537B">
          <w:pPr>
            <w:pStyle w:val="TOC1"/>
            <w:tabs>
              <w:tab w:val="right" w:leader="dot" w:pos="9016"/>
            </w:tabs>
            <w:rPr>
              <w:rFonts w:asciiTheme="minorHAnsi" w:eastAsiaTheme="minorEastAsia" w:hAnsiTheme="minorHAnsi"/>
              <w:noProof/>
              <w:lang w:eastAsia="en-GB"/>
            </w:rPr>
          </w:pPr>
          <w:hyperlink w:anchor="_Toc225460236" w:history="1">
            <w:r w:rsidRPr="0049249B">
              <w:rPr>
                <w:rStyle w:val="Hyperlink"/>
                <w:rFonts w:eastAsia="Arial"/>
                <w:noProof/>
              </w:rPr>
              <w:t>References</w:t>
            </w:r>
            <w:r>
              <w:rPr>
                <w:noProof/>
                <w:webHidden/>
              </w:rPr>
              <w:tab/>
            </w:r>
            <w:r>
              <w:rPr>
                <w:noProof/>
                <w:webHidden/>
              </w:rPr>
              <w:fldChar w:fldCharType="begin"/>
            </w:r>
            <w:r>
              <w:rPr>
                <w:noProof/>
                <w:webHidden/>
              </w:rPr>
              <w:instrText xml:space="preserve"> PAGEREF _Toc225460236 \h </w:instrText>
            </w:r>
            <w:r>
              <w:rPr>
                <w:noProof/>
                <w:webHidden/>
              </w:rPr>
            </w:r>
            <w:r>
              <w:rPr>
                <w:noProof/>
                <w:webHidden/>
              </w:rPr>
              <w:fldChar w:fldCharType="separate"/>
            </w:r>
            <w:r>
              <w:rPr>
                <w:noProof/>
                <w:webHidden/>
              </w:rPr>
              <w:t>8</w:t>
            </w:r>
            <w:r>
              <w:rPr>
                <w:noProof/>
                <w:webHidden/>
              </w:rPr>
              <w:fldChar w:fldCharType="end"/>
            </w:r>
          </w:hyperlink>
        </w:p>
        <w:p w14:paraId="7CFFBA42" w14:textId="5F6C11E7" w:rsidR="008B537B" w:rsidRDefault="008B537B">
          <w:r>
            <w:rPr>
              <w:b/>
              <w:bCs/>
              <w:noProof/>
            </w:rPr>
            <w:fldChar w:fldCharType="end"/>
          </w:r>
        </w:p>
      </w:sdtContent>
    </w:sdt>
    <w:p w14:paraId="4B578F6E" w14:textId="77777777" w:rsidR="008B537B" w:rsidRDefault="008B537B" w:rsidP="008B537B"/>
    <w:p w14:paraId="318DD94E" w14:textId="77777777" w:rsidR="008B537B" w:rsidRDefault="008B537B" w:rsidP="008B537B"/>
    <w:p w14:paraId="2050300C" w14:textId="77777777" w:rsidR="008B537B" w:rsidRDefault="008B537B" w:rsidP="008B537B"/>
    <w:p w14:paraId="27FD9353" w14:textId="77777777" w:rsidR="008B537B" w:rsidRDefault="008B537B" w:rsidP="008B537B"/>
    <w:p w14:paraId="7E24B8A0" w14:textId="77777777" w:rsidR="008B537B" w:rsidRDefault="008B537B" w:rsidP="008B537B"/>
    <w:p w14:paraId="72B46736" w14:textId="77777777" w:rsidR="008B537B" w:rsidRDefault="008B537B" w:rsidP="008B537B"/>
    <w:p w14:paraId="6404BCF7" w14:textId="77777777" w:rsidR="008B537B" w:rsidRDefault="008B537B" w:rsidP="008B537B"/>
    <w:p w14:paraId="70BBEC42" w14:textId="77777777" w:rsidR="008B537B" w:rsidRDefault="008B537B" w:rsidP="008B537B"/>
    <w:p w14:paraId="27632EDA" w14:textId="77777777" w:rsidR="008B537B" w:rsidRDefault="008B537B" w:rsidP="008B537B"/>
    <w:p w14:paraId="2815EE9B" w14:textId="77777777" w:rsidR="008B537B" w:rsidRDefault="008B537B" w:rsidP="008B537B"/>
    <w:p w14:paraId="775C8EAC" w14:textId="77777777" w:rsidR="008B537B" w:rsidRDefault="008B537B" w:rsidP="008B537B"/>
    <w:p w14:paraId="09792650" w14:textId="77777777" w:rsidR="008B537B" w:rsidRDefault="008B537B" w:rsidP="008B537B"/>
    <w:p w14:paraId="133A1C96" w14:textId="77777777" w:rsidR="008B537B" w:rsidRDefault="008B537B" w:rsidP="008B537B"/>
    <w:p w14:paraId="7D677FFA" w14:textId="77777777" w:rsidR="008B537B" w:rsidRDefault="008B537B" w:rsidP="008B537B"/>
    <w:p w14:paraId="782A0001" w14:textId="77777777" w:rsidR="008B537B" w:rsidRDefault="008B537B" w:rsidP="008B537B">
      <w:pPr>
        <w:pStyle w:val="Heading1"/>
      </w:pPr>
      <w:bookmarkStart w:id="0" w:name="_Toc225460223"/>
      <w:r>
        <w:rPr>
          <w:rFonts w:eastAsia="Arial"/>
        </w:rPr>
        <w:lastRenderedPageBreak/>
        <w:t>1. Introduction</w:t>
      </w:r>
      <w:bookmarkEnd w:id="0"/>
    </w:p>
    <w:p w14:paraId="3B1018AD" w14:textId="77777777" w:rsidR="008B537B" w:rsidRDefault="008B537B" w:rsidP="008B537B">
      <w:pPr>
        <w:spacing w:line="360" w:lineRule="auto"/>
      </w:pPr>
      <w:r>
        <w:t>The human resource management is facing mounting pressure as organisations managing the various talents grapple with the dynamic change in technology, the changes in talent market and increasing social demands concerning equity in the workplace. Perhaps the most competitive labour market in Britain is in Tesco, the largest supermarket retailer in the UK with a workforce of more than 300,000 employees (Tesco PLC, 2023). Three areas that HR role at Tesco needs to consider are satisfying the technological improvement, talent acquisition and retention, and diversity, equity and inclusion. This report examines reasons behind each challenge, assesses the modern HR practises, which aim at solving the conflict, and critically evaluates how departmental managers can make sure that they are performed urgently and constantly.</w:t>
      </w:r>
    </w:p>
    <w:p w14:paraId="7A7760FC" w14:textId="77777777" w:rsidR="008B537B" w:rsidRDefault="008B537B" w:rsidP="008B537B">
      <w:pPr>
        <w:pStyle w:val="Heading1"/>
      </w:pPr>
      <w:bookmarkStart w:id="1" w:name="_Toc225460224"/>
      <w:r>
        <w:rPr>
          <w:rFonts w:eastAsia="Arial"/>
        </w:rPr>
        <w:t>2. HR Challenges at Tesco</w:t>
      </w:r>
      <w:bookmarkEnd w:id="1"/>
    </w:p>
    <w:p w14:paraId="50D08EFE" w14:textId="77777777" w:rsidR="008B537B" w:rsidRDefault="008B537B" w:rsidP="008B537B">
      <w:pPr>
        <w:pStyle w:val="Heading2"/>
      </w:pPr>
      <w:bookmarkStart w:id="2" w:name="_Toc225460225"/>
      <w:r>
        <w:rPr>
          <w:rFonts w:eastAsia="Arial"/>
        </w:rPr>
        <w:t>2.1 Meeting Technological Advancement</w:t>
      </w:r>
      <w:bookmarkEnd w:id="2"/>
    </w:p>
    <w:p w14:paraId="1147ACF7" w14:textId="77777777" w:rsidR="008B537B" w:rsidRDefault="008B537B" w:rsidP="008B537B">
      <w:pPr>
        <w:spacing w:line="360" w:lineRule="auto"/>
      </w:pPr>
      <w:r>
        <w:t xml:space="preserve">The adoption of artificial intelligence, automation, and digital platform in retail activity have gone radically to change the labour demands in Tesco. According to the estimates provided by the World Economic Forum (2023), the major portion of core skills of workers will be upset, which is why the HR departments will most likely be under high pressure to create proactive and ongoing reskilling plans in the next five years. Tesco has built self-service checkout systems, automated warehouses, and AI supply chain management, which have begun to establish an increasing capability gap that the current employee competencies do not match the requirements of the fast-changing nature of operational technologies (Tesco PLC, 2023). This is more than a technical proficiency task, with resistance to change, lack of digital literacy, and insufficient learning infrastructure cited by Deloitte (2023) as the main barriers to the </w:t>
      </w:r>
      <w:proofErr w:type="gramStart"/>
      <w:r>
        <w:t>technologies</w:t>
      </w:r>
      <w:proofErr w:type="gramEnd"/>
      <w:r>
        <w:t xml:space="preserve"> adoption among big retail organisations. The pace of new technologies development implies that often, prior to being completely integrated, training programmes have become </w:t>
      </w:r>
      <w:proofErr w:type="gramStart"/>
      <w:r>
        <w:t>outdated</w:t>
      </w:r>
      <w:proofErr w:type="gramEnd"/>
      <w:r>
        <w:t xml:space="preserve"> and the HR should develop agile upskilling models instead of the traditional one-time training interventions (CIPD, 2023a).</w:t>
      </w:r>
    </w:p>
    <w:p w14:paraId="6D2A34FB" w14:textId="77777777" w:rsidR="008B537B" w:rsidRDefault="008B537B" w:rsidP="008B537B">
      <w:pPr>
        <w:pStyle w:val="Heading2"/>
      </w:pPr>
      <w:bookmarkStart w:id="3" w:name="_Toc225460226"/>
      <w:r>
        <w:rPr>
          <w:rFonts w:eastAsia="Arial"/>
        </w:rPr>
        <w:t>2.2 Talent Acquisition and Retention</w:t>
      </w:r>
      <w:bookmarkEnd w:id="3"/>
    </w:p>
    <w:p w14:paraId="2C1A6F3B" w14:textId="77777777" w:rsidR="008B537B" w:rsidRDefault="008B537B" w:rsidP="008B537B">
      <w:pPr>
        <w:spacing w:line="360" w:lineRule="auto"/>
      </w:pPr>
      <w:r>
        <w:t xml:space="preserve">Tesco competes on provision of highly skilled employees both in retail business and corporate service. According to the Office for National Statistics, the UK services sector, and retail, in particular, face problems with vacancy rates that remain high (ONS, 2023). Structural workforce issues and high employee turnover explained why the UK services sector had a high number of vacancies. According to the CIPD (2023a), in 2023, 76 per cent of UK employers </w:t>
      </w:r>
      <w:r>
        <w:lastRenderedPageBreak/>
        <w:t xml:space="preserve">said they had difficulties recruiting, since it is a labour market with a significantly different employee expectation profile. Employees are currently focusing on flexible working practises, career growth opportunities, and significant organisational cause and high remuneration frameworks (Noe et al., 2023). The high-volume, low-margin model of Tesco traditionally was based on the concept of the transactional employment relationships, yet to maintain the skilled labour force, now it needs a more advanced Employee Value Proposition. </w:t>
      </w:r>
      <w:proofErr w:type="gramStart"/>
      <w:r>
        <w:t>According</w:t>
      </w:r>
      <w:proofErr w:type="gramEnd"/>
      <w:r>
        <w:t xml:space="preserve"> McKinsey and Company (2023), organisations that could not develop an effective value proposition had a turnover rate far higher than that of the industry, which directly ate the productivity and raised the cost of finding new staff. Loss of learned employees is a loss of knowledge that </w:t>
      </w:r>
      <w:proofErr w:type="spellStart"/>
      <w:r>
        <w:t>can not</w:t>
      </w:r>
      <w:proofErr w:type="spellEnd"/>
      <w:r>
        <w:t xml:space="preserve"> be filled through outsourcing (SHRM, 2023).</w:t>
      </w:r>
    </w:p>
    <w:p w14:paraId="055F2D64" w14:textId="77777777" w:rsidR="008B537B" w:rsidRDefault="008B537B" w:rsidP="008B537B">
      <w:pPr>
        <w:pStyle w:val="Heading2"/>
      </w:pPr>
      <w:bookmarkStart w:id="4" w:name="_Toc225460227"/>
      <w:r>
        <w:rPr>
          <w:rFonts w:eastAsia="Arial"/>
        </w:rPr>
        <w:t>2.3 Diversity, Equity and Inclusion</w:t>
      </w:r>
      <w:bookmarkEnd w:id="4"/>
    </w:p>
    <w:p w14:paraId="1C74CB53" w14:textId="77777777" w:rsidR="008B537B" w:rsidRDefault="008B537B" w:rsidP="008B537B">
      <w:pPr>
        <w:spacing w:line="360" w:lineRule="auto"/>
      </w:pPr>
      <w:r>
        <w:t xml:space="preserve">DEI is not only a legal requirement, but it has shown to be a viable business prospect to Tesco. According to the Equality and Human Rights Commission (EHRC, 2023), employers have a positive legal obligation to avoid discrimination and encourage equality in all nine defined characteristics of the Equality Act of 2010, and voluntary pledges are no longer able to meet these requirements. Studies have continually shown that organisations that are ranked in the 80 </w:t>
      </w:r>
      <w:proofErr w:type="spellStart"/>
      <w:r>
        <w:t>th</w:t>
      </w:r>
      <w:proofErr w:type="spellEnd"/>
      <w:r>
        <w:t xml:space="preserve"> percentile regarding gender and ethnic diversity perform better than companions in the industry by a margin of 39 percent in profits (McKinsey and Company, 2023). Nevertheless, the gender </w:t>
      </w:r>
      <w:proofErr w:type="gramStart"/>
      <w:r>
        <w:t>pay</w:t>
      </w:r>
      <w:proofErr w:type="gramEnd"/>
      <w:r>
        <w:t xml:space="preserve"> gap reporting published by Tesco shows that even at the top management, there are still a few differences between the male and female staff, and this indicates that even within corporate promotion and rewarding procedures, there are systemic discrepancies (Tesco PLC, 2023). The CIPD (2023b) also adds that Black, Asian, and minority ethnic employees are considerably underrepresented at managerial in the UK retail and it shows that voluntary commitments did not bring about systemic change. To resolve these disparities, the HR will need to restructure the actual HR recruitment, promotion, and succession planning processes instead of adding diversity training courses to the frameworks already in place (ACAS, 2023).</w:t>
      </w:r>
    </w:p>
    <w:p w14:paraId="2B1D2456" w14:textId="77777777" w:rsidR="008B537B" w:rsidRDefault="008B537B" w:rsidP="008B537B">
      <w:pPr>
        <w:pStyle w:val="Heading1"/>
      </w:pPr>
      <w:bookmarkStart w:id="5" w:name="_Toc225460228"/>
      <w:r>
        <w:rPr>
          <w:rFonts w:eastAsia="Arial"/>
        </w:rPr>
        <w:t>3. Contemporary HR Practices</w:t>
      </w:r>
      <w:bookmarkEnd w:id="5"/>
    </w:p>
    <w:p w14:paraId="1807BFB3" w14:textId="77777777" w:rsidR="008B537B" w:rsidRDefault="008B537B" w:rsidP="008B537B">
      <w:pPr>
        <w:pStyle w:val="Heading2"/>
      </w:pPr>
      <w:bookmarkStart w:id="6" w:name="_Toc225460229"/>
      <w:r>
        <w:rPr>
          <w:rFonts w:eastAsia="Arial"/>
        </w:rPr>
        <w:t>3.1 Addressing Technological Advancement</w:t>
      </w:r>
      <w:bookmarkEnd w:id="6"/>
    </w:p>
    <w:p w14:paraId="75B45216" w14:textId="77777777" w:rsidR="008B537B" w:rsidRDefault="008B537B" w:rsidP="008B537B">
      <w:pPr>
        <w:spacing w:line="360" w:lineRule="auto"/>
      </w:pPr>
      <w:r>
        <w:t xml:space="preserve">Tesco has responded to the digital skills gap through investing in a continuous learning platform that enables employees to guide their upskilling according to technological change. Deloitte (2023) proposes the use of an organisational model that is skills-based where HR aligns the workforce skills with the future technology needs and shapes the adaptive learning opportunities on what is needed instead of designing an organisational job description based </w:t>
      </w:r>
      <w:r>
        <w:lastRenderedPageBreak/>
        <w:t xml:space="preserve">on the role. Digital learning tools provide scalability when it comes to delivery; their efficacy however relies on the approval of the management and the creation of specific paid learning time used during </w:t>
      </w:r>
      <w:proofErr w:type="gramStart"/>
      <w:r>
        <w:t>work days</w:t>
      </w:r>
      <w:proofErr w:type="gramEnd"/>
      <w:r>
        <w:t xml:space="preserve"> (CIPD, 2023a). The most commonly used strategies leading to technology adoption failure are not due to inadequate technology but rather due to the lack of proper change management, and Noe et al. (2023) suggest that HR needs to proactively stake ownership of the human aspect of digital transformation by how it counters the anxiety of staff and speaks openly about the role change in the organisation and directly engage the staff in the redesign of the affected processes. In the absence of this human based approach, technology investment triggers resistance to productivity and not productivity gains and even without substantial capital expenditure, return on investment is never realised.</w:t>
      </w:r>
    </w:p>
    <w:p w14:paraId="0A62BF1B" w14:textId="77777777" w:rsidR="008B537B" w:rsidRDefault="008B537B" w:rsidP="008B537B">
      <w:pPr>
        <w:pStyle w:val="Heading2"/>
      </w:pPr>
      <w:bookmarkStart w:id="7" w:name="_Toc225460230"/>
      <w:r>
        <w:rPr>
          <w:rFonts w:eastAsia="Arial"/>
        </w:rPr>
        <w:t>3.2 Addressing Talent Acquisition and Retention</w:t>
      </w:r>
      <w:bookmarkEnd w:id="7"/>
    </w:p>
    <w:p w14:paraId="128EE320" w14:textId="77777777" w:rsidR="008B537B" w:rsidRDefault="008B537B" w:rsidP="008B537B">
      <w:pPr>
        <w:spacing w:line="360" w:lineRule="auto"/>
      </w:pPr>
      <w:r>
        <w:t>The modern HR practise has taken a more data-based approach to recruitment and retention methods that allow predicting the presence of talent risks before they become the operational issues. Predictive analytics solutions enable the HR working groups to recognise the risks of flights, which could be removed through specific measures such as career development discussions, pay benchmarking reviewing, and project redeployment (PwC, 2023). Competency-based staffing models compare candidates to future job demands instead of past job definitions, which enlarge the level of talent and decrease the overdependence on the use of traditional educational attainments as the main selection criteria (SHRM, 2023). The retention process augments with a total reward beneficence that goes beyond base salary to flexible job schemes, psychological mental health care, and sponsored professional growth (CIPD, 2024). More importantly, the CIPD (2023a) provides a warning that organisations often equate scores of engagement surveys with the reality of risk level of retention, closely ignoring the more subtle individual aspects that truly lead to resignation. Retention thus requires the integration of both workforce information and qualitative information that is obtained by way of structured line manager interview and systematic exit interview.</w:t>
      </w:r>
    </w:p>
    <w:p w14:paraId="6A76F8FF" w14:textId="77777777" w:rsidR="008B537B" w:rsidRDefault="008B537B" w:rsidP="008B537B">
      <w:pPr>
        <w:pStyle w:val="Heading2"/>
      </w:pPr>
      <w:bookmarkStart w:id="8" w:name="_Toc225460231"/>
      <w:r>
        <w:rPr>
          <w:rFonts w:eastAsia="Arial"/>
        </w:rPr>
        <w:t>3.3 Addressing Diversity, Equity and Inclusion</w:t>
      </w:r>
      <w:bookmarkEnd w:id="8"/>
    </w:p>
    <w:p w14:paraId="74D3C336" w14:textId="77777777" w:rsidR="008B537B" w:rsidRDefault="008B537B" w:rsidP="008B537B">
      <w:pPr>
        <w:spacing w:line="360" w:lineRule="auto"/>
      </w:pPr>
      <w:r>
        <w:t xml:space="preserve">Effective terms of DEI development involve structural interventions on systems as opposed to visible and superficial programmes. Embedding DEI metrics within the performance management systems, the World Economic Forum (2023) suggests that the decision-makers balance the financial performance and the outcomes of representation and inclusion at the same level as other leaders do. Tesco has been implementing anonymised CV screening, structured interviewing, and a variety of shortlisting requirements to minimise the role of unconscious </w:t>
      </w:r>
      <w:r>
        <w:lastRenderedPageBreak/>
        <w:t xml:space="preserve">bias in hiring (Tesco PLC, 2023). This is because programmes of sponsorship that actively promote underrepresented employees in the process of making promotions generate more effective results on career progression compared to mentoring alone because mentoring does not disrupt the informal networks underlying senior promotion enough (McKinsey and Company, 2023). More importantly, CIPD (2023b) shows that in </w:t>
      </w:r>
      <w:proofErr w:type="gramStart"/>
      <w:r>
        <w:t>the majority of</w:t>
      </w:r>
      <w:proofErr w:type="gramEnd"/>
      <w:r>
        <w:t xml:space="preserve"> organisations in the UK, DEI is perceived as a PR activity, not a reform programme of structural change, to which they devote a lot of resources to awareness training and do not act on the policies and processes that perpetuate systemic inequality. In the case of Tesco, authentic developments entail expansion of DEI accountability to levels of balanced scorecard to all operation departments.</w:t>
      </w:r>
    </w:p>
    <w:p w14:paraId="157A710C" w14:textId="77777777" w:rsidR="008B537B" w:rsidRDefault="008B537B" w:rsidP="008B537B">
      <w:pPr>
        <w:pStyle w:val="Heading1"/>
      </w:pPr>
      <w:bookmarkStart w:id="9" w:name="_Toc225460232"/>
      <w:r>
        <w:rPr>
          <w:rFonts w:eastAsia="Arial"/>
        </w:rPr>
        <w:t>4. Managerial Implementation of Contemporary HR Practices</w:t>
      </w:r>
      <w:bookmarkEnd w:id="9"/>
    </w:p>
    <w:p w14:paraId="1FBD3402" w14:textId="77777777" w:rsidR="008B537B" w:rsidRDefault="008B537B" w:rsidP="008B537B">
      <w:pPr>
        <w:spacing w:line="360" w:lineRule="auto"/>
      </w:pPr>
      <w:r>
        <w:t>The central role of departmental managers in the translation of HR policy into the field of operational conditions is proven over time, and studies have found the quality of line management to be the most powerful single indicator of employee motivation and the effectiveness of the HR policy (CIPD, 2024). The modern HR practise imposes a lot of extra workloads on the managers who also deal with the operational targets, the cost performance, and the development of people and this ambiance often results in people management requirements being de-prioritised to the direct operational needs. According to Deloitte (2023), role ambiguity is a key structural driver behind a poor HR implementation; when managers do not have a clear picture of what they expect of them in areas like DEI, digital upskilling, and talent retention, they resort to output-based measures instead of behaviours that result in the attainment of sustainable organisational capability. This trend is logical in the existing reward systems yet cumulatively detrimental, as it reminds employees that HR promises are not the main, but only supporting values in the organisation.</w:t>
      </w:r>
    </w:p>
    <w:p w14:paraId="3880FCC8" w14:textId="77777777" w:rsidR="008B537B" w:rsidRDefault="008B537B" w:rsidP="008B537B">
      <w:pPr>
        <w:spacing w:line="360" w:lineRule="auto"/>
      </w:pPr>
      <w:r>
        <w:t xml:space="preserve">To overcome this, Tesco needs to supply the competence and time commitments of departmental managers in the implementation of the HR practises on a consistent basis. In the case of management development programmes, CMI (2023) claims that training should go beyond technical HR to develop the relational and coaching skills that help to serve inclusive team cultures and individual growth in the long run. As Noe et al. (2023) warn, leadership development can generate few long-term improvements when acted vacuously without integration with performance management systems, i.e. an investment in training should be coupled with a structural change in how managers in their performance are measured and </w:t>
      </w:r>
      <w:r>
        <w:lastRenderedPageBreak/>
        <w:t xml:space="preserve">rewarded according to their people outcomes. The quantifiable people management outcomes should be the targets of retention of teams and representation </w:t>
      </w:r>
      <w:proofErr w:type="gramStart"/>
      <w:r>
        <w:t>progress</w:t>
      </w:r>
      <w:proofErr w:type="gramEnd"/>
      <w:r>
        <w:t xml:space="preserve"> and upskilling completion rates should be introduced in measurable terms that are included in performance appraisal along with operational objectives.</w:t>
      </w:r>
    </w:p>
    <w:p w14:paraId="476E4625" w14:textId="77777777" w:rsidR="008B537B" w:rsidRDefault="008B537B" w:rsidP="008B537B">
      <w:pPr>
        <w:spacing w:line="360" w:lineRule="auto"/>
      </w:pPr>
      <w:r>
        <w:t xml:space="preserve">Immediate action required is that the HR can no longer afford to conduct practise reviews on an annual basis but communicate the required practise monitoring of the management on a regular basis. In accordance with PwC (2023), HR business partners should develop a consistent collaboration with department managers by offering coaching, timely information, and responsibility tools instead of promoting retrospective compliance audits. In case managers continuously do not introduce modern HR practises, the failure </w:t>
      </w:r>
      <w:proofErr w:type="gramStart"/>
      <w:r>
        <w:t>has to</w:t>
      </w:r>
      <w:proofErr w:type="gramEnd"/>
      <w:r>
        <w:t xml:space="preserve"> be addressed as an official performance issue with a course of improvement and an avenue of escalation (ACAS, 2023). Fundamentally, forced compliance without management buy-in results in cosmetic compliance and not culture change, and SHRM (2023) also shows that long-term implementation results in managers being able to tie the inclusion and upskilling and retention practises to specific changes in the operational performance and commercial results of their own team.</w:t>
      </w:r>
    </w:p>
    <w:p w14:paraId="1795D687" w14:textId="77777777" w:rsidR="008B537B" w:rsidRDefault="008B537B" w:rsidP="008B537B">
      <w:pPr>
        <w:pStyle w:val="Heading1"/>
      </w:pPr>
      <w:bookmarkStart w:id="10" w:name="_Toc225460233"/>
      <w:r>
        <w:rPr>
          <w:rFonts w:eastAsia="Arial"/>
        </w:rPr>
        <w:t>5. Conclusion and Recommendations</w:t>
      </w:r>
      <w:bookmarkEnd w:id="10"/>
    </w:p>
    <w:p w14:paraId="6A53C744" w14:textId="77777777" w:rsidR="008B537B" w:rsidRDefault="008B537B" w:rsidP="008B537B">
      <w:pPr>
        <w:pStyle w:val="Heading2"/>
      </w:pPr>
      <w:bookmarkStart w:id="11" w:name="_Toc225460234"/>
      <w:r>
        <w:rPr>
          <w:rFonts w:eastAsia="Arial"/>
        </w:rPr>
        <w:t>Conclusion</w:t>
      </w:r>
      <w:bookmarkEnd w:id="11"/>
    </w:p>
    <w:p w14:paraId="1BF37A2F" w14:textId="77777777" w:rsidR="008B537B" w:rsidRDefault="008B537B" w:rsidP="008B537B">
      <w:pPr>
        <w:spacing w:line="360" w:lineRule="auto"/>
      </w:pPr>
      <w:r>
        <w:t>Tesco has three related and immediate HR needs of technological progress, recruitment and retention of talent, and DEI. The modern approaches such as skills-driven workforce planning, predictive retention analytics, along with systematic DEI reform, provide plausible evidence-based solutions when undertaken with actual rigour. Departmental managers are central in the effectiveness of every practise as they convert HR strategy to daily operational behaviour. Avoiding established management development, accountability structures are being measured, and robust HR should provide support to the business partnerships, evidence-based Hr practise will not achieve each of the best commercial benefits of well-designed policies, unless at the crucial point of their execution (CIPD, 2024).</w:t>
      </w:r>
    </w:p>
    <w:p w14:paraId="124A6BA8" w14:textId="77777777" w:rsidR="008B537B" w:rsidRDefault="008B537B" w:rsidP="008B537B">
      <w:pPr>
        <w:pStyle w:val="Heading2"/>
      </w:pPr>
      <w:bookmarkStart w:id="12" w:name="_Toc225460235"/>
      <w:r>
        <w:rPr>
          <w:rFonts w:eastAsia="Arial"/>
        </w:rPr>
        <w:t>Recommendations</w:t>
      </w:r>
      <w:bookmarkEnd w:id="12"/>
    </w:p>
    <w:p w14:paraId="16CF3C9A" w14:textId="1B6DC3FD" w:rsidR="008B537B" w:rsidRDefault="008B537B" w:rsidP="008B537B">
      <w:pPr>
        <w:spacing w:line="360" w:lineRule="auto"/>
      </w:pPr>
      <w:r>
        <w:t xml:space="preserve">Tesco needs to include DEI-related KPIs in the performance reviews of all departmental managers that require integration of direct accountability regarding outcomes of the inclusion level. It should allow line managers to make retention risk, skills gap, and team composition decisions based on the data through a people analytics dashboard available in real-time. The </w:t>
      </w:r>
      <w:r>
        <w:lastRenderedPageBreak/>
        <w:t>interpersonal coaching skills that a contemporary practitioner needs to apply in their practise should be acquired through a compulsory management development course, which must be accredited by an institution like the CMI. Another significant obligation that Tesco can formalise is guaranteeing upskilling through specific percentages of working hours paid to professional and digital development activities in all grades of employees, building continuous learning as one of the structural aspects of operational life.</w:t>
      </w:r>
    </w:p>
    <w:p w14:paraId="262CFE39" w14:textId="77777777" w:rsidR="008B537B" w:rsidRDefault="008B537B" w:rsidP="008B537B">
      <w:pPr>
        <w:spacing w:line="360" w:lineRule="auto"/>
      </w:pPr>
    </w:p>
    <w:p w14:paraId="4C20AD83" w14:textId="77777777" w:rsidR="008B537B" w:rsidRDefault="008B537B" w:rsidP="008B537B">
      <w:pPr>
        <w:spacing w:line="360" w:lineRule="auto"/>
      </w:pPr>
    </w:p>
    <w:p w14:paraId="424A5D96" w14:textId="77777777" w:rsidR="008B537B" w:rsidRDefault="008B537B" w:rsidP="008B537B">
      <w:pPr>
        <w:spacing w:line="360" w:lineRule="auto"/>
      </w:pPr>
    </w:p>
    <w:p w14:paraId="0D64612E" w14:textId="77777777" w:rsidR="008B537B" w:rsidRDefault="008B537B" w:rsidP="008B537B">
      <w:pPr>
        <w:spacing w:line="360" w:lineRule="auto"/>
      </w:pPr>
    </w:p>
    <w:p w14:paraId="53125EBD" w14:textId="77777777" w:rsidR="008B537B" w:rsidRDefault="008B537B" w:rsidP="008B537B">
      <w:pPr>
        <w:spacing w:line="360" w:lineRule="auto"/>
      </w:pPr>
    </w:p>
    <w:p w14:paraId="1D1CC082" w14:textId="77777777" w:rsidR="008B537B" w:rsidRDefault="008B537B" w:rsidP="008B537B">
      <w:pPr>
        <w:spacing w:line="360" w:lineRule="auto"/>
      </w:pPr>
    </w:p>
    <w:p w14:paraId="15D934B5" w14:textId="77777777" w:rsidR="008B537B" w:rsidRDefault="008B537B" w:rsidP="008B537B">
      <w:pPr>
        <w:spacing w:line="360" w:lineRule="auto"/>
      </w:pPr>
    </w:p>
    <w:p w14:paraId="31A1DA89" w14:textId="77777777" w:rsidR="008B537B" w:rsidRDefault="008B537B" w:rsidP="008B537B">
      <w:pPr>
        <w:spacing w:line="360" w:lineRule="auto"/>
      </w:pPr>
    </w:p>
    <w:p w14:paraId="06EA16C3" w14:textId="77777777" w:rsidR="008B537B" w:rsidRDefault="008B537B" w:rsidP="008B537B">
      <w:pPr>
        <w:spacing w:line="360" w:lineRule="auto"/>
      </w:pPr>
    </w:p>
    <w:p w14:paraId="351D9437" w14:textId="77777777" w:rsidR="008B537B" w:rsidRDefault="008B537B" w:rsidP="008B537B">
      <w:pPr>
        <w:spacing w:line="360" w:lineRule="auto"/>
      </w:pPr>
    </w:p>
    <w:p w14:paraId="0680FE36" w14:textId="77777777" w:rsidR="008B537B" w:rsidRDefault="008B537B" w:rsidP="008B537B">
      <w:pPr>
        <w:spacing w:line="360" w:lineRule="auto"/>
      </w:pPr>
    </w:p>
    <w:p w14:paraId="60205C4E" w14:textId="77777777" w:rsidR="008B537B" w:rsidRDefault="008B537B" w:rsidP="008B537B">
      <w:pPr>
        <w:spacing w:line="360" w:lineRule="auto"/>
      </w:pPr>
    </w:p>
    <w:p w14:paraId="5B7941B3" w14:textId="77777777" w:rsidR="008B537B" w:rsidRDefault="008B537B" w:rsidP="008B537B">
      <w:pPr>
        <w:spacing w:line="360" w:lineRule="auto"/>
      </w:pPr>
    </w:p>
    <w:p w14:paraId="36E5668E" w14:textId="77777777" w:rsidR="008B537B" w:rsidRDefault="008B537B" w:rsidP="008B537B">
      <w:pPr>
        <w:spacing w:line="360" w:lineRule="auto"/>
      </w:pPr>
    </w:p>
    <w:p w14:paraId="18BFEFAB" w14:textId="77777777" w:rsidR="008B537B" w:rsidRDefault="008B537B" w:rsidP="008B537B">
      <w:pPr>
        <w:spacing w:line="360" w:lineRule="auto"/>
      </w:pPr>
    </w:p>
    <w:p w14:paraId="04782BB8" w14:textId="77777777" w:rsidR="008B537B" w:rsidRDefault="008B537B" w:rsidP="008B537B">
      <w:pPr>
        <w:spacing w:line="360" w:lineRule="auto"/>
      </w:pPr>
    </w:p>
    <w:p w14:paraId="5A826956" w14:textId="77777777" w:rsidR="008B537B" w:rsidRDefault="008B537B" w:rsidP="008B537B">
      <w:pPr>
        <w:spacing w:line="360" w:lineRule="auto"/>
      </w:pPr>
    </w:p>
    <w:p w14:paraId="22C6D045" w14:textId="77777777" w:rsidR="008B537B" w:rsidRDefault="008B537B" w:rsidP="008B537B">
      <w:pPr>
        <w:pStyle w:val="Heading1"/>
      </w:pPr>
      <w:bookmarkStart w:id="13" w:name="_Toc225460236"/>
      <w:r>
        <w:rPr>
          <w:rFonts w:eastAsia="Arial"/>
        </w:rPr>
        <w:t>References</w:t>
      </w:r>
      <w:bookmarkEnd w:id="13"/>
    </w:p>
    <w:p w14:paraId="4030AC3A" w14:textId="2937BE70" w:rsidR="008B537B" w:rsidRDefault="008B537B" w:rsidP="008B537B">
      <w:pPr>
        <w:spacing w:after="140" w:line="360" w:lineRule="auto"/>
      </w:pPr>
      <w:r w:rsidRPr="008B537B">
        <w:rPr>
          <w:rFonts w:ascii="Arial" w:eastAsia="Arial" w:hAnsi="Arial" w:cs="Arial"/>
          <w:sz w:val="22"/>
          <w:szCs w:val="22"/>
        </w:rPr>
        <w:t xml:space="preserve">ACAS (2023) Equality, diversity and inclusion. Available at: </w:t>
      </w:r>
      <w:r w:rsidRPr="008B537B">
        <w:t>https://www.acas.org.uk/about-us/equality-and-diversity-at-acas/equality-information-report</w:t>
      </w:r>
      <w:r w:rsidRPr="008B537B">
        <w:rPr>
          <w:rFonts w:ascii="Arial" w:eastAsia="Arial" w:hAnsi="Arial" w:cs="Arial"/>
          <w:sz w:val="22"/>
          <w:szCs w:val="22"/>
        </w:rPr>
        <w:t xml:space="preserve"> (Accessed: 18 March 2026).</w:t>
      </w:r>
    </w:p>
    <w:p w14:paraId="264BF9A6" w14:textId="11A5FDB5" w:rsidR="008B537B" w:rsidRDefault="008B537B" w:rsidP="008B537B">
      <w:pPr>
        <w:spacing w:after="140" w:line="360" w:lineRule="auto"/>
      </w:pPr>
      <w:r w:rsidRPr="008B537B">
        <w:rPr>
          <w:rFonts w:ascii="Arial" w:eastAsia="Arial" w:hAnsi="Arial" w:cs="Arial"/>
          <w:sz w:val="22"/>
          <w:szCs w:val="22"/>
        </w:rPr>
        <w:lastRenderedPageBreak/>
        <w:t xml:space="preserve">Chartered Management Institute (CMI) (2023) Management and leadership index 2023. Available at: </w:t>
      </w:r>
      <w:r w:rsidRPr="008B537B">
        <w:t xml:space="preserve">https://www.managers.org.uk/wp-content/uploads/2023/07/cmi-annual-report-2023.pdf </w:t>
      </w:r>
      <w:r w:rsidRPr="008B537B">
        <w:rPr>
          <w:rFonts w:ascii="Arial" w:eastAsia="Arial" w:hAnsi="Arial" w:cs="Arial"/>
          <w:sz w:val="22"/>
          <w:szCs w:val="22"/>
        </w:rPr>
        <w:t>(Accessed: 19 March 2026).</w:t>
      </w:r>
    </w:p>
    <w:p w14:paraId="4BB52135" w14:textId="77777777" w:rsidR="008B537B" w:rsidRDefault="008B537B" w:rsidP="008B537B">
      <w:pPr>
        <w:spacing w:after="140" w:line="360" w:lineRule="auto"/>
      </w:pPr>
      <w:r w:rsidRPr="008B537B">
        <w:rPr>
          <w:rFonts w:ascii="Arial" w:eastAsia="Arial" w:hAnsi="Arial" w:cs="Arial"/>
          <w:sz w:val="22"/>
          <w:szCs w:val="22"/>
        </w:rPr>
        <w:t xml:space="preserve">CIPD (2023a) Resourcing and talent planning survey 2023. London: CIPD. Available at: </w:t>
      </w:r>
      <w:hyperlink r:id="rId8" w:history="1">
        <w:r w:rsidRPr="008B537B">
          <w:rPr>
            <w:rFonts w:ascii="Arial" w:eastAsia="Arial" w:hAnsi="Arial" w:cs="Arial"/>
            <w:color w:val="0563C1"/>
            <w:sz w:val="22"/>
            <w:szCs w:val="22"/>
            <w:u w:val="single"/>
          </w:rPr>
          <w:t>https://www.cipd.org/uk/knowledge/reports/resourcing-talent-planning-survey/</w:t>
        </w:r>
      </w:hyperlink>
      <w:r w:rsidRPr="008B537B">
        <w:rPr>
          <w:rFonts w:ascii="Arial" w:eastAsia="Arial" w:hAnsi="Arial" w:cs="Arial"/>
          <w:sz w:val="22"/>
          <w:szCs w:val="22"/>
        </w:rPr>
        <w:t xml:space="preserve"> (Accessed: 17 March 2026).</w:t>
      </w:r>
    </w:p>
    <w:p w14:paraId="7EC7C82A" w14:textId="77777777" w:rsidR="008B537B" w:rsidRDefault="008B537B" w:rsidP="008B537B">
      <w:pPr>
        <w:spacing w:after="140" w:line="360" w:lineRule="auto"/>
      </w:pPr>
      <w:r w:rsidRPr="008B537B">
        <w:rPr>
          <w:rFonts w:ascii="Arial" w:eastAsia="Arial" w:hAnsi="Arial" w:cs="Arial"/>
          <w:sz w:val="22"/>
          <w:szCs w:val="22"/>
        </w:rPr>
        <w:t xml:space="preserve">CIPD (2023b) Diversity, equity and inclusion at work: factsheet. London: CIPD. Available at: </w:t>
      </w:r>
      <w:hyperlink r:id="rId9" w:history="1">
        <w:r w:rsidRPr="008B537B">
          <w:rPr>
            <w:rFonts w:ascii="Arial" w:eastAsia="Arial" w:hAnsi="Arial" w:cs="Arial"/>
            <w:color w:val="0563C1"/>
            <w:sz w:val="22"/>
            <w:szCs w:val="22"/>
            <w:u w:val="single"/>
          </w:rPr>
          <w:t>https://www.cipd.org/uk/knowledge/factsheets/diversity-factsheet/</w:t>
        </w:r>
      </w:hyperlink>
      <w:r w:rsidRPr="008B537B">
        <w:rPr>
          <w:rFonts w:ascii="Arial" w:eastAsia="Arial" w:hAnsi="Arial" w:cs="Arial"/>
          <w:sz w:val="22"/>
          <w:szCs w:val="22"/>
        </w:rPr>
        <w:t xml:space="preserve"> (Accessed: 20 March 2026).</w:t>
      </w:r>
    </w:p>
    <w:p w14:paraId="5156F243" w14:textId="77777777" w:rsidR="008B537B" w:rsidRDefault="008B537B" w:rsidP="008B537B">
      <w:pPr>
        <w:spacing w:after="140" w:line="360" w:lineRule="auto"/>
      </w:pPr>
      <w:r w:rsidRPr="008B537B">
        <w:rPr>
          <w:rFonts w:ascii="Arial" w:eastAsia="Arial" w:hAnsi="Arial" w:cs="Arial"/>
          <w:sz w:val="22"/>
          <w:szCs w:val="22"/>
        </w:rPr>
        <w:t xml:space="preserve">CIPD (2024) People profession 2024: UK and Ireland survey report. London: CIPD. Available at: </w:t>
      </w:r>
      <w:hyperlink r:id="rId10" w:history="1">
        <w:r w:rsidRPr="008B537B">
          <w:rPr>
            <w:rFonts w:ascii="Arial" w:eastAsia="Arial" w:hAnsi="Arial" w:cs="Arial"/>
            <w:color w:val="0563C1"/>
            <w:sz w:val="22"/>
            <w:szCs w:val="22"/>
            <w:u w:val="single"/>
          </w:rPr>
          <w:t>https://www.cipd.org/uk/knowledge/reports/people-profession/</w:t>
        </w:r>
      </w:hyperlink>
      <w:r w:rsidRPr="008B537B">
        <w:rPr>
          <w:rFonts w:ascii="Arial" w:eastAsia="Arial" w:hAnsi="Arial" w:cs="Arial"/>
          <w:sz w:val="22"/>
          <w:szCs w:val="22"/>
        </w:rPr>
        <w:t xml:space="preserve"> (Accessed: 18 March 2026).</w:t>
      </w:r>
    </w:p>
    <w:p w14:paraId="0F98C9B0" w14:textId="51BDB7A8" w:rsidR="008B537B" w:rsidRDefault="008B537B" w:rsidP="008B537B">
      <w:pPr>
        <w:spacing w:after="140" w:line="360" w:lineRule="auto"/>
      </w:pPr>
      <w:r w:rsidRPr="008B537B">
        <w:rPr>
          <w:rFonts w:ascii="Arial" w:eastAsia="Arial" w:hAnsi="Arial" w:cs="Arial"/>
          <w:sz w:val="22"/>
          <w:szCs w:val="22"/>
        </w:rPr>
        <w:t xml:space="preserve">Deloitte (2023) 2023 global human capital trends. Available at: </w:t>
      </w:r>
      <w:r w:rsidRPr="008B537B">
        <w:t>https://www.deloitte.com/ca/en/services/consulting/research/2023-global-human-capital-trends-report.html</w:t>
      </w:r>
      <w:r w:rsidRPr="008B537B">
        <w:rPr>
          <w:rFonts w:ascii="Arial" w:eastAsia="Arial" w:hAnsi="Arial" w:cs="Arial"/>
          <w:sz w:val="22"/>
          <w:szCs w:val="22"/>
        </w:rPr>
        <w:t xml:space="preserve"> (Accessed: 17 March 2026).</w:t>
      </w:r>
    </w:p>
    <w:p w14:paraId="737E1424" w14:textId="77777777" w:rsidR="008B537B" w:rsidRDefault="008B537B" w:rsidP="008B537B">
      <w:pPr>
        <w:spacing w:after="140" w:line="360" w:lineRule="auto"/>
      </w:pPr>
      <w:r w:rsidRPr="008B537B">
        <w:rPr>
          <w:rFonts w:ascii="Arial" w:eastAsia="Arial" w:hAnsi="Arial" w:cs="Arial"/>
          <w:sz w:val="22"/>
          <w:szCs w:val="22"/>
        </w:rPr>
        <w:t xml:space="preserve">Equality and Human Rights Commission (EHRC) (2023) Employer guides: equality and the law. Available at: </w:t>
      </w:r>
      <w:hyperlink r:id="rId11" w:history="1">
        <w:r w:rsidRPr="008B537B">
          <w:rPr>
            <w:rFonts w:ascii="Arial" w:eastAsia="Arial" w:hAnsi="Arial" w:cs="Arial"/>
            <w:color w:val="0563C1"/>
            <w:sz w:val="22"/>
            <w:szCs w:val="22"/>
            <w:u w:val="single"/>
          </w:rPr>
          <w:t>https://www.equalityhumanrights.com/en/advice-and-guidance/employer-guides</w:t>
        </w:r>
      </w:hyperlink>
      <w:r w:rsidRPr="008B537B">
        <w:rPr>
          <w:rFonts w:ascii="Arial" w:eastAsia="Arial" w:hAnsi="Arial" w:cs="Arial"/>
          <w:sz w:val="22"/>
          <w:szCs w:val="22"/>
        </w:rPr>
        <w:t xml:space="preserve"> (Accessed: 20 March 2026).</w:t>
      </w:r>
    </w:p>
    <w:p w14:paraId="46D7938D" w14:textId="77777777" w:rsidR="008B537B" w:rsidRDefault="008B537B" w:rsidP="008B537B">
      <w:pPr>
        <w:spacing w:after="140" w:line="360" w:lineRule="auto"/>
      </w:pPr>
      <w:r w:rsidRPr="008B537B">
        <w:rPr>
          <w:rFonts w:ascii="Arial" w:eastAsia="Arial" w:hAnsi="Arial" w:cs="Arial"/>
          <w:sz w:val="22"/>
          <w:szCs w:val="22"/>
        </w:rPr>
        <w:t xml:space="preserve">McKinsey and Company (2023) Women in the workplace 2023. Available at: </w:t>
      </w:r>
      <w:hyperlink r:id="rId12" w:history="1">
        <w:r w:rsidRPr="008B537B">
          <w:rPr>
            <w:rFonts w:ascii="Arial" w:eastAsia="Arial" w:hAnsi="Arial" w:cs="Arial"/>
            <w:color w:val="0563C1"/>
            <w:sz w:val="22"/>
            <w:szCs w:val="22"/>
            <w:u w:val="single"/>
          </w:rPr>
          <w:t>https://www.mckinsey.com/featured-insights/diversity-and-inclusion/women-in-the-workplace</w:t>
        </w:r>
      </w:hyperlink>
      <w:r w:rsidRPr="008B537B">
        <w:rPr>
          <w:rFonts w:ascii="Arial" w:eastAsia="Arial" w:hAnsi="Arial" w:cs="Arial"/>
          <w:sz w:val="22"/>
          <w:szCs w:val="22"/>
        </w:rPr>
        <w:t xml:space="preserve"> (Accessed: 19 March 2026).</w:t>
      </w:r>
    </w:p>
    <w:p w14:paraId="57446668" w14:textId="77777777" w:rsidR="008B537B" w:rsidRDefault="008B537B" w:rsidP="008B537B">
      <w:pPr>
        <w:spacing w:after="140" w:line="360" w:lineRule="auto"/>
      </w:pPr>
      <w:r w:rsidRPr="008B537B">
        <w:rPr>
          <w:rFonts w:ascii="Arial" w:eastAsia="Arial" w:hAnsi="Arial" w:cs="Arial"/>
          <w:sz w:val="22"/>
          <w:szCs w:val="22"/>
        </w:rPr>
        <w:t xml:space="preserve">Noe, R.A., Hollenbeck, J.R., Gerhart, B. and Wright, P.M. (2023) Human Resource Management: Gaining a Competitive Advantage. 13th </w:t>
      </w:r>
      <w:proofErr w:type="spellStart"/>
      <w:r w:rsidRPr="008B537B">
        <w:rPr>
          <w:rFonts w:ascii="Arial" w:eastAsia="Arial" w:hAnsi="Arial" w:cs="Arial"/>
          <w:sz w:val="22"/>
          <w:szCs w:val="22"/>
        </w:rPr>
        <w:t>edn</w:t>
      </w:r>
      <w:proofErr w:type="spellEnd"/>
      <w:r w:rsidRPr="008B537B">
        <w:rPr>
          <w:rFonts w:ascii="Arial" w:eastAsia="Arial" w:hAnsi="Arial" w:cs="Arial"/>
          <w:sz w:val="22"/>
          <w:szCs w:val="22"/>
        </w:rPr>
        <w:t>. New York: McGraw-Hill.</w:t>
      </w:r>
    </w:p>
    <w:p w14:paraId="761989FB" w14:textId="77777777" w:rsidR="008B537B" w:rsidRDefault="008B537B" w:rsidP="008B537B">
      <w:pPr>
        <w:spacing w:after="140" w:line="360" w:lineRule="auto"/>
      </w:pPr>
      <w:r w:rsidRPr="008B537B">
        <w:rPr>
          <w:rFonts w:ascii="Arial" w:eastAsia="Arial" w:hAnsi="Arial" w:cs="Arial"/>
          <w:sz w:val="22"/>
          <w:szCs w:val="22"/>
        </w:rPr>
        <w:t xml:space="preserve">Office for National Statistics (ONS) (2023) Labour market overview, UK: December 2023. Available at: </w:t>
      </w:r>
      <w:hyperlink r:id="rId13" w:history="1">
        <w:r w:rsidRPr="008B537B">
          <w:rPr>
            <w:rFonts w:ascii="Arial" w:eastAsia="Arial" w:hAnsi="Arial" w:cs="Arial"/>
            <w:color w:val="0563C1"/>
            <w:sz w:val="22"/>
            <w:szCs w:val="22"/>
            <w:u w:val="single"/>
          </w:rPr>
          <w:t>https://www.ons.gov.uk/employmentandlabourmarket/peopleinwork/employmentandemployeetypes/bulletins/uklabourmarket/december2023</w:t>
        </w:r>
      </w:hyperlink>
      <w:r w:rsidRPr="008B537B">
        <w:rPr>
          <w:rFonts w:ascii="Arial" w:eastAsia="Arial" w:hAnsi="Arial" w:cs="Arial"/>
          <w:sz w:val="22"/>
          <w:szCs w:val="22"/>
        </w:rPr>
        <w:t xml:space="preserve"> (Accessed: 17 March 2026).</w:t>
      </w:r>
    </w:p>
    <w:p w14:paraId="4CCF5918" w14:textId="281877CD" w:rsidR="008B537B" w:rsidRDefault="008B537B" w:rsidP="008B537B">
      <w:pPr>
        <w:spacing w:after="140" w:line="360" w:lineRule="auto"/>
      </w:pPr>
      <w:r w:rsidRPr="008B537B">
        <w:rPr>
          <w:rFonts w:ascii="Arial" w:eastAsia="Arial" w:hAnsi="Arial" w:cs="Arial"/>
          <w:sz w:val="22"/>
          <w:szCs w:val="22"/>
        </w:rPr>
        <w:t xml:space="preserve">PwC (2023) HR technology survey 2023. Available at: </w:t>
      </w:r>
      <w:r w:rsidRPr="008B537B">
        <w:t xml:space="preserve">https://www.pwc.com/us/en/library/pulse-survey/business-reinvention/chro.html </w:t>
      </w:r>
      <w:r w:rsidRPr="008B537B">
        <w:rPr>
          <w:rFonts w:ascii="Arial" w:eastAsia="Arial" w:hAnsi="Arial" w:cs="Arial"/>
          <w:sz w:val="22"/>
          <w:szCs w:val="22"/>
        </w:rPr>
        <w:t>(Accessed: 20 March 2026).</w:t>
      </w:r>
    </w:p>
    <w:p w14:paraId="4999D1BF" w14:textId="10F4AC6C" w:rsidR="008B537B" w:rsidRDefault="008B537B" w:rsidP="008B537B">
      <w:pPr>
        <w:spacing w:after="140" w:line="360" w:lineRule="auto"/>
      </w:pPr>
      <w:r w:rsidRPr="008B537B">
        <w:rPr>
          <w:rFonts w:ascii="Arial" w:eastAsia="Arial" w:hAnsi="Arial" w:cs="Arial"/>
          <w:sz w:val="22"/>
          <w:szCs w:val="22"/>
        </w:rPr>
        <w:lastRenderedPageBreak/>
        <w:t xml:space="preserve">SHRM (2023) SHRM state of the workplace 2023. Alexandria: Society for Human Resource Management. Available at: </w:t>
      </w:r>
      <w:r w:rsidRPr="008B537B">
        <w:t xml:space="preserve">https://www.shrm.org/topics-tools/research/2023-2024-shrm-state-workplace </w:t>
      </w:r>
      <w:r w:rsidRPr="008B537B">
        <w:rPr>
          <w:rFonts w:ascii="Arial" w:eastAsia="Arial" w:hAnsi="Arial" w:cs="Arial"/>
          <w:sz w:val="22"/>
          <w:szCs w:val="22"/>
        </w:rPr>
        <w:t>(Accessed: 17 March 2026).</w:t>
      </w:r>
    </w:p>
    <w:p w14:paraId="2D107909" w14:textId="77DE3885" w:rsidR="008B537B" w:rsidRDefault="008B537B" w:rsidP="008B537B">
      <w:pPr>
        <w:spacing w:after="140" w:line="360" w:lineRule="auto"/>
      </w:pPr>
      <w:r w:rsidRPr="008B537B">
        <w:rPr>
          <w:rFonts w:ascii="Arial" w:eastAsia="Arial" w:hAnsi="Arial" w:cs="Arial"/>
          <w:sz w:val="22"/>
          <w:szCs w:val="22"/>
        </w:rPr>
        <w:t xml:space="preserve">Tesco PLC (2023) Annual report and financial statements 2023. Available at: </w:t>
      </w:r>
      <w:r w:rsidRPr="008B537B">
        <w:t xml:space="preserve">https://www.tescoplc.com/investors/reports-results-and-presentations/annual-report-2023 </w:t>
      </w:r>
      <w:r w:rsidRPr="008B537B">
        <w:rPr>
          <w:rFonts w:ascii="Arial" w:eastAsia="Arial" w:hAnsi="Arial" w:cs="Arial"/>
          <w:sz w:val="22"/>
          <w:szCs w:val="22"/>
        </w:rPr>
        <w:t>(Accessed: 18 March 2026).</w:t>
      </w:r>
    </w:p>
    <w:p w14:paraId="6C001047" w14:textId="77777777" w:rsidR="008B537B" w:rsidRDefault="008B537B" w:rsidP="008B537B">
      <w:pPr>
        <w:spacing w:after="140" w:line="360" w:lineRule="auto"/>
      </w:pPr>
      <w:r w:rsidRPr="008B537B">
        <w:rPr>
          <w:rFonts w:ascii="Arial" w:eastAsia="Arial" w:hAnsi="Arial" w:cs="Arial"/>
          <w:sz w:val="22"/>
          <w:szCs w:val="22"/>
        </w:rPr>
        <w:t xml:space="preserve">World Economic Forum (2023) Future of jobs report 2023. Geneva: World Economic Forum. Available at: </w:t>
      </w:r>
      <w:hyperlink r:id="rId14" w:history="1">
        <w:r w:rsidRPr="008B537B">
          <w:rPr>
            <w:rFonts w:ascii="Arial" w:eastAsia="Arial" w:hAnsi="Arial" w:cs="Arial"/>
            <w:color w:val="0563C1"/>
            <w:sz w:val="22"/>
            <w:szCs w:val="22"/>
            <w:u w:val="single"/>
          </w:rPr>
          <w:t>https://www.weforum.org/reports/the-future-of-jobs-report-2023/</w:t>
        </w:r>
      </w:hyperlink>
      <w:r w:rsidRPr="008B537B">
        <w:rPr>
          <w:rFonts w:ascii="Arial" w:eastAsia="Arial" w:hAnsi="Arial" w:cs="Arial"/>
          <w:sz w:val="22"/>
          <w:szCs w:val="22"/>
        </w:rPr>
        <w:t xml:space="preserve"> (Accessed: 19 March 2026).</w:t>
      </w:r>
    </w:p>
    <w:p w14:paraId="78B3BF82" w14:textId="77777777" w:rsidR="008B537B" w:rsidRPr="008B537B" w:rsidRDefault="008B537B" w:rsidP="008B537B">
      <w:pPr>
        <w:spacing w:line="360" w:lineRule="auto"/>
      </w:pPr>
    </w:p>
    <w:sectPr w:rsidR="008B537B" w:rsidRPr="008B537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22413" w14:textId="77777777" w:rsidR="00F57C2C" w:rsidRDefault="00F57C2C" w:rsidP="008B537B">
      <w:pPr>
        <w:spacing w:after="0" w:line="240" w:lineRule="auto"/>
      </w:pPr>
      <w:r>
        <w:separator/>
      </w:r>
    </w:p>
  </w:endnote>
  <w:endnote w:type="continuationSeparator" w:id="0">
    <w:p w14:paraId="2D434720" w14:textId="77777777" w:rsidR="00F57C2C" w:rsidRDefault="00F57C2C" w:rsidP="008B5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254780"/>
      <w:docPartObj>
        <w:docPartGallery w:val="Page Numbers (Bottom of Page)"/>
        <w:docPartUnique/>
      </w:docPartObj>
    </w:sdtPr>
    <w:sdtEndPr>
      <w:rPr>
        <w:noProof/>
      </w:rPr>
    </w:sdtEndPr>
    <w:sdtContent>
      <w:p w14:paraId="6E9143AE" w14:textId="62A7659B" w:rsidR="008B537B" w:rsidRDefault="008B53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1D2373" w14:textId="77777777" w:rsidR="008B537B" w:rsidRDefault="008B5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725D8" w14:textId="77777777" w:rsidR="00F57C2C" w:rsidRDefault="00F57C2C" w:rsidP="008B537B">
      <w:pPr>
        <w:spacing w:after="0" w:line="240" w:lineRule="auto"/>
      </w:pPr>
      <w:r>
        <w:separator/>
      </w:r>
    </w:p>
  </w:footnote>
  <w:footnote w:type="continuationSeparator" w:id="0">
    <w:p w14:paraId="4688C0E3" w14:textId="77777777" w:rsidR="00F57C2C" w:rsidRDefault="00F57C2C" w:rsidP="008B53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F51B32"/>
    <w:multiLevelType w:val="hybridMultilevel"/>
    <w:tmpl w:val="1DB61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942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37B"/>
    <w:rsid w:val="000465F0"/>
    <w:rsid w:val="000B642E"/>
    <w:rsid w:val="003124E2"/>
    <w:rsid w:val="003243C1"/>
    <w:rsid w:val="00527FEF"/>
    <w:rsid w:val="00535E72"/>
    <w:rsid w:val="00673CA9"/>
    <w:rsid w:val="00787AF7"/>
    <w:rsid w:val="008142FF"/>
    <w:rsid w:val="008B537B"/>
    <w:rsid w:val="008D214B"/>
    <w:rsid w:val="0092607E"/>
    <w:rsid w:val="009F0630"/>
    <w:rsid w:val="00AD0A99"/>
    <w:rsid w:val="00B42C8A"/>
    <w:rsid w:val="00B459AC"/>
    <w:rsid w:val="00B9094F"/>
    <w:rsid w:val="00E1696F"/>
    <w:rsid w:val="00F41A15"/>
    <w:rsid w:val="00F57C2C"/>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4B83"/>
  <w15:chartTrackingRefBased/>
  <w15:docId w15:val="{931CD999-DE6B-4E2B-A6EF-525FEE483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4E2"/>
    <w:pPr>
      <w:jc w:val="both"/>
    </w:pPr>
    <w:rPr>
      <w:rFonts w:ascii="Times New Roman" w:hAnsi="Times New Roman"/>
    </w:rPr>
  </w:style>
  <w:style w:type="paragraph" w:styleId="Heading1">
    <w:name w:val="heading 1"/>
    <w:basedOn w:val="Normal"/>
    <w:next w:val="Normal"/>
    <w:link w:val="Heading1Char"/>
    <w:autoRedefine/>
    <w:uiPriority w:val="9"/>
    <w:qFormat/>
    <w:rsid w:val="00B42C8A"/>
    <w:pPr>
      <w:keepNext/>
      <w:keepLines/>
      <w:widowControl w:val="0"/>
      <w:autoSpaceDE w:val="0"/>
      <w:autoSpaceDN w:val="0"/>
      <w:spacing w:before="360" w:after="80" w:line="240" w:lineRule="auto"/>
      <w:jc w:val="left"/>
      <w:outlineLvl w:val="0"/>
    </w:pPr>
    <w:rPr>
      <w:rFonts w:eastAsiaTheme="majorEastAsia" w:cstheme="majorBidi"/>
      <w:b/>
      <w:color w:val="000000" w:themeColor="text1"/>
      <w:kern w:val="0"/>
      <w:sz w:val="28"/>
      <w:szCs w:val="40"/>
      <w:lang w:val="en-US" w:eastAsia="zh-CN"/>
      <w14:ligatures w14:val="none"/>
    </w:rPr>
  </w:style>
  <w:style w:type="paragraph" w:styleId="Heading2">
    <w:name w:val="heading 2"/>
    <w:basedOn w:val="Normal"/>
    <w:next w:val="Normal"/>
    <w:link w:val="Heading2Char"/>
    <w:autoRedefine/>
    <w:uiPriority w:val="9"/>
    <w:unhideWhenUsed/>
    <w:qFormat/>
    <w:rsid w:val="00B42C8A"/>
    <w:pPr>
      <w:keepNext/>
      <w:keepLines/>
      <w:spacing w:before="40" w:after="0" w:line="276"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E1696F"/>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B53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53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53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53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53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53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8A"/>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8B53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3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3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3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3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37B"/>
    <w:rPr>
      <w:rFonts w:eastAsiaTheme="majorEastAsia" w:cstheme="majorBidi"/>
      <w:color w:val="272727" w:themeColor="text1" w:themeTint="D8"/>
    </w:rPr>
  </w:style>
  <w:style w:type="paragraph" w:styleId="Title">
    <w:name w:val="Title"/>
    <w:basedOn w:val="Normal"/>
    <w:next w:val="Normal"/>
    <w:link w:val="TitleChar"/>
    <w:uiPriority w:val="10"/>
    <w:qFormat/>
    <w:rsid w:val="008B53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3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3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3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37B"/>
    <w:pPr>
      <w:spacing w:before="160"/>
      <w:jc w:val="center"/>
    </w:pPr>
    <w:rPr>
      <w:i/>
      <w:iCs/>
      <w:color w:val="404040" w:themeColor="text1" w:themeTint="BF"/>
    </w:rPr>
  </w:style>
  <w:style w:type="character" w:customStyle="1" w:styleId="QuoteChar">
    <w:name w:val="Quote Char"/>
    <w:basedOn w:val="DefaultParagraphFont"/>
    <w:link w:val="Quote"/>
    <w:uiPriority w:val="29"/>
    <w:rsid w:val="008B537B"/>
    <w:rPr>
      <w:rFonts w:ascii="Times New Roman" w:hAnsi="Times New Roman"/>
      <w:i/>
      <w:iCs/>
      <w:color w:val="404040" w:themeColor="text1" w:themeTint="BF"/>
    </w:rPr>
  </w:style>
  <w:style w:type="paragraph" w:styleId="ListParagraph">
    <w:name w:val="List Paragraph"/>
    <w:basedOn w:val="Normal"/>
    <w:uiPriority w:val="34"/>
    <w:qFormat/>
    <w:rsid w:val="008B537B"/>
    <w:pPr>
      <w:ind w:left="720"/>
      <w:contextualSpacing/>
    </w:pPr>
  </w:style>
  <w:style w:type="character" w:styleId="IntenseEmphasis">
    <w:name w:val="Intense Emphasis"/>
    <w:basedOn w:val="DefaultParagraphFont"/>
    <w:uiPriority w:val="21"/>
    <w:qFormat/>
    <w:rsid w:val="008B537B"/>
    <w:rPr>
      <w:i/>
      <w:iCs/>
      <w:color w:val="0F4761" w:themeColor="accent1" w:themeShade="BF"/>
    </w:rPr>
  </w:style>
  <w:style w:type="paragraph" w:styleId="IntenseQuote">
    <w:name w:val="Intense Quote"/>
    <w:basedOn w:val="Normal"/>
    <w:next w:val="Normal"/>
    <w:link w:val="IntenseQuoteChar"/>
    <w:uiPriority w:val="30"/>
    <w:qFormat/>
    <w:rsid w:val="008B53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37B"/>
    <w:rPr>
      <w:rFonts w:ascii="Times New Roman" w:hAnsi="Times New Roman"/>
      <w:i/>
      <w:iCs/>
      <w:color w:val="0F4761" w:themeColor="accent1" w:themeShade="BF"/>
    </w:rPr>
  </w:style>
  <w:style w:type="character" w:styleId="IntenseReference">
    <w:name w:val="Intense Reference"/>
    <w:basedOn w:val="DefaultParagraphFont"/>
    <w:uiPriority w:val="32"/>
    <w:qFormat/>
    <w:rsid w:val="008B537B"/>
    <w:rPr>
      <w:b/>
      <w:bCs/>
      <w:smallCaps/>
      <w:color w:val="0F4761" w:themeColor="accent1" w:themeShade="BF"/>
      <w:spacing w:val="5"/>
    </w:rPr>
  </w:style>
  <w:style w:type="character" w:styleId="Hyperlink">
    <w:name w:val="Hyperlink"/>
    <w:basedOn w:val="DefaultParagraphFont"/>
    <w:uiPriority w:val="99"/>
    <w:unhideWhenUsed/>
    <w:rsid w:val="008B537B"/>
    <w:rPr>
      <w:color w:val="467886" w:themeColor="hyperlink"/>
      <w:u w:val="single"/>
    </w:rPr>
  </w:style>
  <w:style w:type="character" w:styleId="UnresolvedMention">
    <w:name w:val="Unresolved Mention"/>
    <w:basedOn w:val="DefaultParagraphFont"/>
    <w:uiPriority w:val="99"/>
    <w:semiHidden/>
    <w:unhideWhenUsed/>
    <w:rsid w:val="008B537B"/>
    <w:rPr>
      <w:color w:val="605E5C"/>
      <w:shd w:val="clear" w:color="auto" w:fill="E1DFDD"/>
    </w:rPr>
  </w:style>
  <w:style w:type="paragraph" w:styleId="TOCHeading">
    <w:name w:val="TOC Heading"/>
    <w:basedOn w:val="Heading1"/>
    <w:next w:val="Normal"/>
    <w:uiPriority w:val="39"/>
    <w:unhideWhenUsed/>
    <w:qFormat/>
    <w:rsid w:val="008B537B"/>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8B537B"/>
    <w:pPr>
      <w:spacing w:after="100"/>
    </w:pPr>
  </w:style>
  <w:style w:type="paragraph" w:styleId="TOC2">
    <w:name w:val="toc 2"/>
    <w:basedOn w:val="Normal"/>
    <w:next w:val="Normal"/>
    <w:autoRedefine/>
    <w:uiPriority w:val="39"/>
    <w:unhideWhenUsed/>
    <w:rsid w:val="008B537B"/>
    <w:pPr>
      <w:spacing w:after="100"/>
      <w:ind w:left="240"/>
    </w:pPr>
  </w:style>
  <w:style w:type="paragraph" w:styleId="Header">
    <w:name w:val="header"/>
    <w:basedOn w:val="Normal"/>
    <w:link w:val="HeaderChar"/>
    <w:uiPriority w:val="99"/>
    <w:unhideWhenUsed/>
    <w:rsid w:val="008B5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37B"/>
    <w:rPr>
      <w:rFonts w:ascii="Times New Roman" w:hAnsi="Times New Roman"/>
    </w:rPr>
  </w:style>
  <w:style w:type="paragraph" w:styleId="Footer">
    <w:name w:val="footer"/>
    <w:basedOn w:val="Normal"/>
    <w:link w:val="FooterChar"/>
    <w:uiPriority w:val="99"/>
    <w:unhideWhenUsed/>
    <w:rsid w:val="008B5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37B"/>
    <w:rPr>
      <w:rFonts w:ascii="Times New Roman" w:hAnsi="Times New Roman"/>
    </w:rPr>
  </w:style>
  <w:style w:type="paragraph" w:styleId="NoSpacing">
    <w:name w:val="No Spacing"/>
    <w:uiPriority w:val="1"/>
    <w:qFormat/>
    <w:rsid w:val="009F0630"/>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resourcing-talent-planning-survey/" TargetMode="External"/><Relationship Id="rId13" Type="http://schemas.openxmlformats.org/officeDocument/2006/relationships/hyperlink" Target="https://www.ons.gov.uk/employmentandlabourmarket/peopleinwork/employmentandemployeetypes/bulletins/uklabourmarket/december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diversity-and-inclusion/women-in-the-workpla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en/advice-and-guidance/employer-guid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org/uk/knowledge/reports/people-profession/" TargetMode="External"/><Relationship Id="rId4" Type="http://schemas.openxmlformats.org/officeDocument/2006/relationships/settings" Target="settings.xml"/><Relationship Id="rId9" Type="http://schemas.openxmlformats.org/officeDocument/2006/relationships/hyperlink" Target="https://www.cipd.org/uk/knowledge/factsheets/diversity-factsheet/" TargetMode="External"/><Relationship Id="rId14" Type="http://schemas.openxmlformats.org/officeDocument/2006/relationships/hyperlink" Target="https://www.weforum.org/reports/the-future-of-jobs-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9B7EC-D9B9-4982-82BD-33C0E909D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2858</Words>
  <Characters>16297</Characters>
  <Application>Microsoft Office Word</Application>
  <DocSecurity>0</DocSecurity>
  <Lines>135</Lines>
  <Paragraphs>38</Paragraphs>
  <ScaleCrop>false</ScaleCrop>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Ana-Loredana Bran (2413290)</cp:lastModifiedBy>
  <cp:revision>2</cp:revision>
  <dcterms:created xsi:type="dcterms:W3CDTF">2026-03-26T23:21:00Z</dcterms:created>
  <dcterms:modified xsi:type="dcterms:W3CDTF">2026-04-27T20:05:00Z</dcterms:modified>
</cp:coreProperties>
</file>