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123B7" w14:textId="77777777" w:rsidR="00A82D0B" w:rsidRDefault="00A82D0B" w:rsidP="00A82D0B">
      <w:pPr>
        <w:pStyle w:val="NormalWeb"/>
        <w:rPr>
          <w:rFonts w:ascii="Arial" w:hAnsi="Arial" w:cs="Arial"/>
          <w:color w:val="000000" w:themeColor="text1"/>
        </w:rPr>
      </w:pPr>
    </w:p>
    <w:p w14:paraId="05DFB25B" w14:textId="2A4A801A"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Play-based approaches to early childhood education have long been recognised as vital for supporting children’s holistic development, fostering creativity, social skills, and cognitive growth (Wood and Attfield, 2005; Siraj-Blatchford, 2010). Central to these approaches is the concept of the ‘Unique Child’, which emphasises recognising and nurturing each child’s individual interests, abilities, and learning pace (Edwards, Gandini and Forman, 2012). This assignment critically examines two influential play-based pedagogies — the Montessori and Reggio Emilia approaches — comparing their philosophies, curricula guidance, and assessment practices. The first section provides a detailed comparative analysis of these approaches, highlighting how each promotes child-led learning within structured frameworks.</w:t>
      </w:r>
    </w:p>
    <w:p w14:paraId="71CA0FF8"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Building on this foundation, the second section focuses on assessment within play-based curricula. It critically evaluates various methods of progress tracking and developmental models that align with the principle of the Unique Child, exploring how they balance individualisation with developmental expectations (</w:t>
      </w:r>
      <w:proofErr w:type="spellStart"/>
      <w:r w:rsidRPr="00A82D0B">
        <w:rPr>
          <w:rFonts w:ascii="Arial" w:hAnsi="Arial" w:cs="Arial"/>
          <w:color w:val="000000" w:themeColor="text1"/>
        </w:rPr>
        <w:t>Broström</w:t>
      </w:r>
      <w:proofErr w:type="spellEnd"/>
      <w:r w:rsidRPr="00A82D0B">
        <w:rPr>
          <w:rFonts w:ascii="Arial" w:hAnsi="Arial" w:cs="Arial"/>
          <w:color w:val="000000" w:themeColor="text1"/>
        </w:rPr>
        <w:t>, 2012; Brown and Johnson, 2018).</w:t>
      </w:r>
    </w:p>
    <w:p w14:paraId="6FD37EC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Finally, the assignment culminates in a professional blog aimed at early years practitioners, discussing key considerations for implementing or adapting play-based curricula in contemporary settings. This includes reflecting on challenges, practitioner roles, and the importance of maintaining the integrity of play amidst curriculum changes (Pyle and </w:t>
      </w:r>
      <w:proofErr w:type="spellStart"/>
      <w:r w:rsidRPr="00A82D0B">
        <w:rPr>
          <w:rFonts w:ascii="Arial" w:hAnsi="Arial" w:cs="Arial"/>
          <w:color w:val="000000" w:themeColor="text1"/>
        </w:rPr>
        <w:t>Danniels</w:t>
      </w:r>
      <w:proofErr w:type="spellEnd"/>
      <w:r w:rsidRPr="00A82D0B">
        <w:rPr>
          <w:rFonts w:ascii="Arial" w:hAnsi="Arial" w:cs="Arial"/>
          <w:color w:val="000000" w:themeColor="text1"/>
        </w:rPr>
        <w:t>, 2017; Welsh Government, 2022). Through this comprehensive exploration, the assignment aims to contribute to a deeper understanding of effective play-based pedagogy that honours children’s unique learning journeys.</w:t>
      </w:r>
    </w:p>
    <w:p w14:paraId="4F2D67C1" w14:textId="5BDF233E"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___________________________________________________________________</w:t>
      </w:r>
    </w:p>
    <w:p w14:paraId="24F26C4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Early childhood education plays a crucial role in shaping children’s development, learning, and wellbeing. Among the many pedagogical models, the Montessori and Reggio Emilia approaches stand out as influential frameworks that promote play-based, child-centred learning. Both approaches share a commitment to respecting children as active learners, yet they differ fundamentally in their philosophies, </w:t>
      </w:r>
      <w:r w:rsidRPr="00A82D0B">
        <w:rPr>
          <w:rFonts w:ascii="Arial" w:hAnsi="Arial" w:cs="Arial"/>
          <w:color w:val="000000" w:themeColor="text1"/>
        </w:rPr>
        <w:lastRenderedPageBreak/>
        <w:t>teaching practices, and curricular structures (Edwards, Gandini and Forman, 2012; Lillard, 2005).</w:t>
      </w:r>
    </w:p>
    <w:p w14:paraId="03306BD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Montessori education emphasises structured environments and carefully designed materials that support independent exploration and developmental progression (Montessori, 1967). Conversely, the Reggio Emilia approach focuses on emergent curricula driven by children’s interests, collaboration, and expressive languages, with a strong emphasis on documentation and reflective practice (Rinaldi, 2006).</w:t>
      </w:r>
    </w:p>
    <w:p w14:paraId="4721773D" w14:textId="2E55413D"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This assignment critically compares these two approaches and analyses how contemporary curriculum guidance supports or challenges their implementation. Understanding these differences is essential for educators aiming to create meaningful play-based learning experiences that are responsive to both children’s needs and policy frameworks.</w:t>
      </w:r>
    </w:p>
    <w:p w14:paraId="0BA634C6" w14:textId="29DC515B"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___________________________________________________________________</w:t>
      </w:r>
    </w:p>
    <w:p w14:paraId="70180B20" w14:textId="69E830D4"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The Montessori approach, developed by </w:t>
      </w:r>
      <w:proofErr w:type="spellStart"/>
      <w:r w:rsidRPr="00A82D0B">
        <w:rPr>
          <w:rFonts w:ascii="Arial" w:hAnsi="Arial" w:cs="Arial"/>
          <w:color w:val="000000" w:themeColor="text1"/>
        </w:rPr>
        <w:t>Dr.</w:t>
      </w:r>
      <w:proofErr w:type="spellEnd"/>
      <w:r w:rsidRPr="00A82D0B">
        <w:rPr>
          <w:rFonts w:ascii="Arial" w:hAnsi="Arial" w:cs="Arial"/>
          <w:color w:val="000000" w:themeColor="text1"/>
        </w:rPr>
        <w:t xml:space="preserve"> Maria Montessori in the early 20th century, is a child-centred educational method that emphasises independence, self-directed activity, and hands-on learning (Montessori, 1967). Rooted in a strong belief in the child’s natural desire to learn, this pedagogical approach fosters autonomy and responsibility by providing a carefully prepared environment tailored to support the holistic development of each child (Isaacs, 2012).</w:t>
      </w:r>
    </w:p>
    <w:p w14:paraId="656FB1E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In Montessori settings, children are free to choose activities from a range of developmentally appropriate materials, which are designed to cultivate concentration, coordination, order, and independence (Lillard, 2017). The teacher, or ‘guide’, plays a facilitative rather than didactic role, observing and supporting rather than directing learning (Montessori, 1967; Edwards, 2002). The approach values uninterrupted work periods and multi-age classrooms, promoting peer learning and social development (Lillard, 2005).</w:t>
      </w:r>
    </w:p>
    <w:p w14:paraId="0907C3C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Montessori education aligns with constructivist theories, particularly those of Piaget and Vygotsky, in its recognition of the importance of active learning and social interaction (Wood and Attfield, 2005). While widely praised for its structured yet </w:t>
      </w:r>
      <w:r w:rsidRPr="00A82D0B">
        <w:rPr>
          <w:rFonts w:ascii="Arial" w:hAnsi="Arial" w:cs="Arial"/>
          <w:color w:val="000000" w:themeColor="text1"/>
        </w:rPr>
        <w:lastRenderedPageBreak/>
        <w:t>flexible nature, critics argue that the rigidity of some Montessori practices may conflict with contemporary needs for creativity and cultural responsiveness in diverse settings (Miller and Pound, 2011). Nonetheless, it remains a significant influence in early years education globally and offers a distinctive model of play-based, purposeful learning.</w:t>
      </w:r>
    </w:p>
    <w:p w14:paraId="478C4682" w14:textId="0429E7CE" w:rsidR="00A81005" w:rsidRPr="00A82D0B" w:rsidRDefault="00A81005" w:rsidP="00A82D0B">
      <w:pPr>
        <w:spacing w:line="360" w:lineRule="auto"/>
        <w:rPr>
          <w:rFonts w:ascii="Arial" w:hAnsi="Arial" w:cs="Arial"/>
          <w:color w:val="000000" w:themeColor="text1"/>
        </w:rPr>
      </w:pPr>
      <w:r w:rsidRPr="00A82D0B">
        <w:rPr>
          <w:rFonts w:ascii="Arial" w:hAnsi="Arial" w:cs="Arial"/>
          <w:color w:val="000000" w:themeColor="text1"/>
        </w:rPr>
        <w:t>___________________________________________________________________</w:t>
      </w:r>
    </w:p>
    <w:p w14:paraId="350AA8C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The Reggio Emilia approach is an innovative early childhood educational philosophy that originated in the northern Italian town of Reggio Emilia following World War II, developed under the leadership of educator Loris Malaguzzi and local parents (Edwards, Gandini and Forman, 2012). Deeply grounded in the values of democracy, collaboration, and respect for the child, the approach views children as capable, competent, and active participants in their own learning (Rinaldi, 2006).</w:t>
      </w:r>
    </w:p>
    <w:p w14:paraId="74F93D8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One of the central tenets of the Reggio Emilia approach is the concept of the </w:t>
      </w:r>
      <w:r w:rsidRPr="00A82D0B">
        <w:rPr>
          <w:rStyle w:val="Strong"/>
          <w:rFonts w:ascii="Arial" w:eastAsiaTheme="majorEastAsia" w:hAnsi="Arial" w:cs="Arial"/>
          <w:b w:val="0"/>
          <w:bCs w:val="0"/>
          <w:color w:val="000000" w:themeColor="text1"/>
        </w:rPr>
        <w:t>"hundred languages of children"</w:t>
      </w:r>
      <w:r w:rsidRPr="00A82D0B">
        <w:rPr>
          <w:rFonts w:ascii="Arial" w:hAnsi="Arial" w:cs="Arial"/>
          <w:color w:val="000000" w:themeColor="text1"/>
        </w:rPr>
        <w:t>—a metaphor for the multiple ways children express themselves, including through art, music, movement, and play (Malaguzzi, 1996). This philosophy embraces a project-based curriculum, emerging from children’s interests, where long-term investigations are carried out through exploration and inquiry (Edwards, 1998). Documentation, such as photographs, recordings, and children's work, plays a crucial role in making learning visible and fostering reflection among children, educators, and families (Vecchi, 2010).</w:t>
      </w:r>
    </w:p>
    <w:p w14:paraId="18B9FAC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Unlike traditional curricula, the Reggio Emilia approach does not follow a standardised set of learning outcomes; instead, it values the learning process over the product and promotes co-construction of knowledge between children and adults (Gandini, 2011). The environment is considered the “third teacher” and is intentionally designed to be aesthetically rich, flexible, and responsive to the needs of the group (Strong-Wilson and Ellis, 2007).</w:t>
      </w:r>
    </w:p>
    <w:p w14:paraId="31D54CBA"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Critics of the Reggio approach point to challenges in implementing it outside of its original cultural context, especially within more prescriptive educational systems (Moss, 2016). However, it is widely respected for its deep respect for children's </w:t>
      </w:r>
      <w:r w:rsidRPr="00A82D0B">
        <w:rPr>
          <w:rFonts w:ascii="Arial" w:hAnsi="Arial" w:cs="Arial"/>
          <w:color w:val="000000" w:themeColor="text1"/>
        </w:rPr>
        <w:lastRenderedPageBreak/>
        <w:t xml:space="preserve">agency and </w:t>
      </w:r>
      <w:proofErr w:type="gramStart"/>
      <w:r w:rsidRPr="00A82D0B">
        <w:rPr>
          <w:rFonts w:ascii="Arial" w:hAnsi="Arial" w:cs="Arial"/>
          <w:color w:val="000000" w:themeColor="text1"/>
        </w:rPr>
        <w:t>creativity, and</w:t>
      </w:r>
      <w:proofErr w:type="gramEnd"/>
      <w:r w:rsidRPr="00A82D0B">
        <w:rPr>
          <w:rFonts w:ascii="Arial" w:hAnsi="Arial" w:cs="Arial"/>
          <w:color w:val="000000" w:themeColor="text1"/>
        </w:rPr>
        <w:t xml:space="preserve"> continues to influence early years pedagogy around the world.</w:t>
      </w:r>
    </w:p>
    <w:p w14:paraId="3FC02949" w14:textId="56AE71D9"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___________________________________________________________________</w:t>
      </w:r>
    </w:p>
    <w:p w14:paraId="2D1A313E"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 xml:space="preserve">The Montessori and Reggio Emilia approaches are two influential models of play-based early childhood education. While both share a belief in the child as an active, competent learner, their philosophical foundations, teaching practices, and curriculum structures differ in </w:t>
      </w:r>
      <w:proofErr w:type="gramStart"/>
      <w:r w:rsidRPr="00A81005">
        <w:rPr>
          <w:rFonts w:ascii="Arial" w:hAnsi="Arial" w:cs="Arial"/>
          <w:color w:val="000000" w:themeColor="text1"/>
        </w:rPr>
        <w:t>key ways</w:t>
      </w:r>
      <w:proofErr w:type="gramEnd"/>
      <w:r w:rsidRPr="00A81005">
        <w:rPr>
          <w:rFonts w:ascii="Arial" w:hAnsi="Arial" w:cs="Arial"/>
          <w:color w:val="000000" w:themeColor="text1"/>
        </w:rPr>
        <w:t xml:space="preserve"> (Edwards, 2002; Lillard, 2017).</w:t>
      </w:r>
    </w:p>
    <w:p w14:paraId="60DFF3E9"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t>Philosophical Foundations</w:t>
      </w:r>
    </w:p>
    <w:p w14:paraId="0A9D0A10"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Both approaches are rooted in constructivist theories of learning, recognising the importance of active, hands-on engagement. Montessori education is heavily influenced by Maria Montessori’s belief in the child’s natural inclination to learn through structured interaction with the environment (Montessori, 1967). The Reggio Emilia approach, on the other hand, stems from Loris Malaguzzi’s view of learning as a social, collaborative process, where knowledge is co-constructed between children and adults (Rinaldi, 2006; Moss, 2016).</w:t>
      </w:r>
    </w:p>
    <w:p w14:paraId="4597C82D"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Where Montessori emphasises order, independence, and intrinsic discipline, Reggio Emilia promotes democracy, dialogue, and creativity, encouraging multiple perspectives and interpretations (Lillard, 2005; Edwards, Gandini and Forman, 2012). This philosophical difference results in distinct pedagogical priorities.</w:t>
      </w:r>
    </w:p>
    <w:p w14:paraId="6AE7414F"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t>Role of the Teacher</w:t>
      </w:r>
    </w:p>
    <w:p w14:paraId="44C1612B"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In Montessori classrooms, the teacher assumes the role of a ‘guide’, observing and facilitating rather than instructing (Isaacs, 2012). Children choose from pre-prepared, didactic materials designed to support self-correcting, independent learning (Montessori, 1967).</w:t>
      </w:r>
    </w:p>
    <w:p w14:paraId="49B996FF"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In contrast, Reggio Emilia educators act as researchers and co-learners, collaborating with children in ongoing projects that emerge from children's questions and curiosities (Edwards, 1998). This aligns with Reggio's rejection of pre-set curricula in favour of emergent learning (Gandini, 2011).</w:t>
      </w:r>
    </w:p>
    <w:p w14:paraId="6FE28F72"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lastRenderedPageBreak/>
        <w:t>Curriculum and Learning Environment</w:t>
      </w:r>
    </w:p>
    <w:p w14:paraId="61A60E4F"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Montessori classrooms are designed with specific learning materials arranged to support sensitive periods in development. The environment is structured, with a strong emphasis on individual work and mastery of sequenced tasks (Lillard, 2005). Reggio Emilia classrooms, by contrast, are aesthetically rich, flexible spaces that are considered the "third teacher", promoting exploration and group work (Strong-Wilson and Ellis, 2007).</w:t>
      </w:r>
    </w:p>
    <w:p w14:paraId="3A7FDD51"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In terms of curriculum, Montessori follows a standardised set of materials and progressions, often with a global framework provided by associations such as AMI (Association Montessori Internationale). In contrast, Reggio Emilia has no fixed curriculum; instead, it uses project-based inquiry guided by the child’s interests (Edwards, Gandini and Forman, 2012). This makes Reggio more responsive but also more challenging to implement consistently outside of its original cultural context (Moss, 2016).</w:t>
      </w:r>
    </w:p>
    <w:p w14:paraId="565A467D"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t>View of Play and Learning</w:t>
      </w:r>
    </w:p>
    <w:p w14:paraId="604F0FFC"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While both approaches value play, Montessori distinguishes between work and play, often using the term "work" to describe purposeful, concentrated activity (Lillard, 2005). Montessori materials are didactic and goal-oriented, often discouraging imaginative play in favour of real-life tasks (Isaacs, 2012).</w:t>
      </w:r>
    </w:p>
    <w:p w14:paraId="542529EF" w14:textId="77777777" w:rsidR="00A81005" w:rsidRPr="00A81005"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 xml:space="preserve">In contrast, Reggio Emilia sees all forms of play as valuable, especially symbolic and imaginative forms, which are seen as central to </w:t>
      </w:r>
      <w:proofErr w:type="gramStart"/>
      <w:r w:rsidRPr="00A81005">
        <w:rPr>
          <w:rFonts w:ascii="Arial" w:hAnsi="Arial" w:cs="Arial"/>
          <w:color w:val="000000" w:themeColor="text1"/>
        </w:rPr>
        <w:t>meaning-making</w:t>
      </w:r>
      <w:proofErr w:type="gramEnd"/>
      <w:r w:rsidRPr="00A81005">
        <w:rPr>
          <w:rFonts w:ascii="Arial" w:hAnsi="Arial" w:cs="Arial"/>
          <w:color w:val="000000" w:themeColor="text1"/>
        </w:rPr>
        <w:t xml:space="preserve"> (Malaguzzi, 1996; Vecchi, 2010). This is captured in the idea of the “hundred languages of children”, highlighting diverse modes of expression through art, movement, and storytelling (Rinaldi, 2006).</w:t>
      </w:r>
    </w:p>
    <w:p w14:paraId="30C6AB8A"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t>Documentation and Assessment</w:t>
      </w:r>
    </w:p>
    <w:p w14:paraId="50AF8E52" w14:textId="77777777" w:rsidR="00A81005" w:rsidRPr="00A82D0B"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 xml:space="preserve">Assessment in Montessori is largely observational, focusing on mastery of developmental materials and self-correction (Lillard, 2017). The Reggio Emilia approach places significant emphasis on pedagogical documentation, including </w:t>
      </w:r>
      <w:r w:rsidRPr="00A81005">
        <w:rPr>
          <w:rFonts w:ascii="Arial" w:hAnsi="Arial" w:cs="Arial"/>
          <w:color w:val="000000" w:themeColor="text1"/>
        </w:rPr>
        <w:lastRenderedPageBreak/>
        <w:t>photos, transcripts, and artefacts of children's learning, which are used to reflect on the learning process and inform teaching (Vecchi, 2010).</w:t>
      </w:r>
    </w:p>
    <w:p w14:paraId="1464C7F1" w14:textId="77777777" w:rsidR="00A82D0B" w:rsidRPr="00A81005" w:rsidRDefault="00A82D0B" w:rsidP="00A82D0B">
      <w:pPr>
        <w:spacing w:before="100" w:beforeAutospacing="1" w:after="100" w:afterAutospacing="1" w:line="360" w:lineRule="auto"/>
        <w:rPr>
          <w:rFonts w:ascii="Arial" w:hAnsi="Arial" w:cs="Arial"/>
          <w:color w:val="000000" w:themeColor="text1"/>
        </w:rPr>
      </w:pPr>
    </w:p>
    <w:p w14:paraId="79F3BAAD" w14:textId="77777777" w:rsidR="00A81005" w:rsidRPr="00A81005" w:rsidRDefault="00A81005" w:rsidP="00A82D0B">
      <w:pPr>
        <w:spacing w:before="100" w:beforeAutospacing="1" w:after="100" w:afterAutospacing="1" w:line="360" w:lineRule="auto"/>
        <w:outlineLvl w:val="3"/>
        <w:rPr>
          <w:rFonts w:ascii="Arial" w:hAnsi="Arial" w:cs="Arial"/>
          <w:color w:val="000000" w:themeColor="text1"/>
          <w:u w:val="single"/>
        </w:rPr>
      </w:pPr>
      <w:r w:rsidRPr="00A81005">
        <w:rPr>
          <w:rFonts w:ascii="Arial" w:hAnsi="Arial" w:cs="Arial"/>
          <w:color w:val="000000" w:themeColor="text1"/>
          <w:u w:val="single"/>
        </w:rPr>
        <w:t>Cultural and Practical Considerations</w:t>
      </w:r>
    </w:p>
    <w:p w14:paraId="0F7ACBB7" w14:textId="77777777" w:rsidR="00A81005" w:rsidRPr="00A82D0B"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Montessori education has been widely implemented internationally, often in private or fee-paying settings, and offers a coherent, replicable model (Isaacs, 2012). Reggio Emilia, while inspirational worldwide, is more difficult to adopt in systems that require formal curricula or assessments, due to its context-specific and fluid nature (Strong-Wilson and Ellis, 2007; Moss, 2016).</w:t>
      </w:r>
    </w:p>
    <w:p w14:paraId="396A694E" w14:textId="3E70FBDB" w:rsidR="00A81005" w:rsidRPr="00A82D0B" w:rsidRDefault="00A81005" w:rsidP="00A82D0B">
      <w:pP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In summary, both the Montessori and Reggio Emilia approaches provide rich, play-based experiences rooted in respect for the child. Montessori offers structure, independence, and clarity, while Reggio Emilia brings creativity, collaboration, and responsiveness. The choice between them may depend on cultural context, institutional goals, and educator philosophy.</w:t>
      </w:r>
    </w:p>
    <w:p w14:paraId="1FC98668" w14:textId="7D526B85" w:rsidR="00A81005" w:rsidRPr="00A82D0B" w:rsidRDefault="00A81005" w:rsidP="00A82D0B">
      <w:pPr>
        <w:spacing w:before="100" w:beforeAutospacing="1" w:after="100" w:afterAutospacing="1" w:line="360" w:lineRule="auto"/>
        <w:rPr>
          <w:rFonts w:ascii="Arial" w:hAnsi="Arial" w:cs="Arial"/>
          <w:color w:val="000000" w:themeColor="text1"/>
        </w:rPr>
      </w:pPr>
      <w:r w:rsidRPr="00A82D0B">
        <w:rPr>
          <w:rFonts w:ascii="Arial" w:hAnsi="Arial" w:cs="Arial"/>
          <w:color w:val="000000" w:themeColor="text1"/>
        </w:rPr>
        <w:t>___________________________________________________________________</w:t>
      </w:r>
    </w:p>
    <w:p w14:paraId="31A5386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Curriculum guidance significantly influences how educational approaches are applied in practice. The Montessori approach follows a </w:t>
      </w:r>
      <w:r w:rsidRPr="00A82D0B">
        <w:rPr>
          <w:rStyle w:val="Strong"/>
          <w:rFonts w:ascii="Arial" w:eastAsiaTheme="majorEastAsia" w:hAnsi="Arial" w:cs="Arial"/>
          <w:b w:val="0"/>
          <w:bCs w:val="0"/>
          <w:color w:val="000000" w:themeColor="text1"/>
        </w:rPr>
        <w:t>structured, developmental curriculum</w:t>
      </w:r>
      <w:r w:rsidRPr="00A82D0B">
        <w:rPr>
          <w:rFonts w:ascii="Arial" w:hAnsi="Arial" w:cs="Arial"/>
          <w:color w:val="000000" w:themeColor="text1"/>
        </w:rPr>
        <w:t xml:space="preserve"> with defined learning materials and sequences (Lillard, 2005). This structure aligns with frameworks like the </w:t>
      </w:r>
      <w:r w:rsidRPr="00A82D0B">
        <w:rPr>
          <w:rStyle w:val="Strong"/>
          <w:rFonts w:ascii="Arial" w:eastAsiaTheme="majorEastAsia" w:hAnsi="Arial" w:cs="Arial"/>
          <w:b w:val="0"/>
          <w:bCs w:val="0"/>
          <w:color w:val="000000" w:themeColor="text1"/>
        </w:rPr>
        <w:t>EYFS</w:t>
      </w:r>
      <w:r w:rsidRPr="00A82D0B">
        <w:rPr>
          <w:rFonts w:ascii="Arial" w:hAnsi="Arial" w:cs="Arial"/>
          <w:color w:val="000000" w:themeColor="text1"/>
        </w:rPr>
        <w:t xml:space="preserve"> in England, particularly in areas such as mathematics and practical life skills (DfE, 2021). However, Montessori’s emphasis on order and independence may conflict with EYFS priorities on </w:t>
      </w:r>
      <w:r w:rsidRPr="00A82D0B">
        <w:rPr>
          <w:rStyle w:val="Strong"/>
          <w:rFonts w:ascii="Arial" w:eastAsiaTheme="majorEastAsia" w:hAnsi="Arial" w:cs="Arial"/>
          <w:b w:val="0"/>
          <w:bCs w:val="0"/>
          <w:color w:val="000000" w:themeColor="text1"/>
        </w:rPr>
        <w:t>imaginative play</w:t>
      </w:r>
      <w:r w:rsidRPr="00A82D0B">
        <w:rPr>
          <w:rFonts w:ascii="Arial" w:hAnsi="Arial" w:cs="Arial"/>
          <w:color w:val="000000" w:themeColor="text1"/>
        </w:rPr>
        <w:t xml:space="preserve"> and </w:t>
      </w:r>
      <w:r w:rsidRPr="00A82D0B">
        <w:rPr>
          <w:rStyle w:val="Strong"/>
          <w:rFonts w:ascii="Arial" w:eastAsiaTheme="majorEastAsia" w:hAnsi="Arial" w:cs="Arial"/>
          <w:b w:val="0"/>
          <w:bCs w:val="0"/>
          <w:color w:val="000000" w:themeColor="text1"/>
        </w:rPr>
        <w:t>adult-child interaction</w:t>
      </w:r>
      <w:r w:rsidRPr="00A82D0B">
        <w:rPr>
          <w:rFonts w:ascii="Arial" w:hAnsi="Arial" w:cs="Arial"/>
          <w:color w:val="000000" w:themeColor="text1"/>
        </w:rPr>
        <w:t xml:space="preserve"> (Isaacs, 2012).</w:t>
      </w:r>
    </w:p>
    <w:p w14:paraId="2A7139B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In contrast, Reggio Emilia adopts an </w:t>
      </w:r>
      <w:r w:rsidRPr="00A82D0B">
        <w:rPr>
          <w:rStyle w:val="Strong"/>
          <w:rFonts w:ascii="Arial" w:eastAsiaTheme="majorEastAsia" w:hAnsi="Arial" w:cs="Arial"/>
          <w:b w:val="0"/>
          <w:bCs w:val="0"/>
          <w:color w:val="000000" w:themeColor="text1"/>
        </w:rPr>
        <w:t>emergent, child-led curriculum</w:t>
      </w:r>
      <w:r w:rsidRPr="00A82D0B">
        <w:rPr>
          <w:rFonts w:ascii="Arial" w:hAnsi="Arial" w:cs="Arial"/>
          <w:color w:val="000000" w:themeColor="text1"/>
        </w:rPr>
        <w:t xml:space="preserve">, built around projects that stem from children's interests (Rinaldi, 2006). It avoids standardisation and instead uses </w:t>
      </w:r>
      <w:r w:rsidRPr="00A82D0B">
        <w:rPr>
          <w:rStyle w:val="Strong"/>
          <w:rFonts w:ascii="Arial" w:eastAsiaTheme="majorEastAsia" w:hAnsi="Arial" w:cs="Arial"/>
          <w:b w:val="0"/>
          <w:bCs w:val="0"/>
          <w:color w:val="000000" w:themeColor="text1"/>
        </w:rPr>
        <w:t>documentation</w:t>
      </w:r>
      <w:r w:rsidRPr="00A82D0B">
        <w:rPr>
          <w:rFonts w:ascii="Arial" w:hAnsi="Arial" w:cs="Arial"/>
          <w:color w:val="000000" w:themeColor="text1"/>
        </w:rPr>
        <w:t xml:space="preserve"> to track and reflect on learning (Vecchi, 2010). This flexibility aligns well with the </w:t>
      </w:r>
      <w:r w:rsidRPr="00A82D0B">
        <w:rPr>
          <w:rStyle w:val="Strong"/>
          <w:rFonts w:ascii="Arial" w:eastAsiaTheme="majorEastAsia" w:hAnsi="Arial" w:cs="Arial"/>
          <w:b w:val="0"/>
          <w:bCs w:val="0"/>
          <w:color w:val="000000" w:themeColor="text1"/>
        </w:rPr>
        <w:t>Curriculum for Wales</w:t>
      </w:r>
      <w:r w:rsidRPr="00A82D0B">
        <w:rPr>
          <w:rFonts w:ascii="Arial" w:hAnsi="Arial" w:cs="Arial"/>
          <w:color w:val="000000" w:themeColor="text1"/>
        </w:rPr>
        <w:t xml:space="preserve">, which emphasises creativity, learner voice, and holistic development (Welsh Government, 2022). However, </w:t>
      </w:r>
      <w:r w:rsidRPr="00A82D0B">
        <w:rPr>
          <w:rFonts w:ascii="Arial" w:hAnsi="Arial" w:cs="Arial"/>
          <w:color w:val="000000" w:themeColor="text1"/>
        </w:rPr>
        <w:lastRenderedPageBreak/>
        <w:t>Reggio’s lack of predefined outcomes can challenge policy-driven systems that rely on measurable progress (Moss, 2016).</w:t>
      </w:r>
    </w:p>
    <w:p w14:paraId="3985763D" w14:textId="0624F63D" w:rsidR="00A82D0B" w:rsidRDefault="00A81005"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 xml:space="preserve">While Montessori offers </w:t>
      </w:r>
      <w:r w:rsidRPr="00A82D0B">
        <w:rPr>
          <w:rStyle w:val="Strong"/>
          <w:rFonts w:ascii="Arial" w:eastAsiaTheme="majorEastAsia" w:hAnsi="Arial" w:cs="Arial"/>
          <w:b w:val="0"/>
          <w:bCs w:val="0"/>
          <w:color w:val="000000" w:themeColor="text1"/>
        </w:rPr>
        <w:t>clear guidance and replicability</w:t>
      </w:r>
      <w:r w:rsidRPr="00A82D0B">
        <w:rPr>
          <w:rFonts w:ascii="Arial" w:hAnsi="Arial" w:cs="Arial"/>
          <w:color w:val="000000" w:themeColor="text1"/>
        </w:rPr>
        <w:t xml:space="preserve">, it may restrict spontaneous exploration. Reggio Emilia supports </w:t>
      </w:r>
      <w:r w:rsidRPr="00A82D0B">
        <w:rPr>
          <w:rStyle w:val="Strong"/>
          <w:rFonts w:ascii="Arial" w:eastAsiaTheme="majorEastAsia" w:hAnsi="Arial" w:cs="Arial"/>
          <w:b w:val="0"/>
          <w:bCs w:val="0"/>
          <w:color w:val="000000" w:themeColor="text1"/>
        </w:rPr>
        <w:t>responsive pedagogy</w:t>
      </w:r>
      <w:r w:rsidRPr="00A82D0B">
        <w:rPr>
          <w:rFonts w:ascii="Arial" w:hAnsi="Arial" w:cs="Arial"/>
          <w:color w:val="000000" w:themeColor="text1"/>
        </w:rPr>
        <w:t xml:space="preserve">, but its success relies heavily on </w:t>
      </w:r>
      <w:r w:rsidRPr="00A82D0B">
        <w:rPr>
          <w:rStyle w:val="Strong"/>
          <w:rFonts w:ascii="Arial" w:eastAsiaTheme="majorEastAsia" w:hAnsi="Arial" w:cs="Arial"/>
          <w:b w:val="0"/>
          <w:bCs w:val="0"/>
          <w:color w:val="000000" w:themeColor="text1"/>
        </w:rPr>
        <w:t>professional autonomy and training</w:t>
      </w:r>
      <w:r w:rsidRPr="00A82D0B">
        <w:rPr>
          <w:rFonts w:ascii="Arial" w:hAnsi="Arial" w:cs="Arial"/>
          <w:color w:val="000000" w:themeColor="text1"/>
        </w:rPr>
        <w:t xml:space="preserve"> (Strong-Wilson and Ellis, 2007). Curriculum frameworks that allow </w:t>
      </w:r>
      <w:r w:rsidRPr="00A82D0B">
        <w:rPr>
          <w:rStyle w:val="Strong"/>
          <w:rFonts w:ascii="Arial" w:eastAsiaTheme="majorEastAsia" w:hAnsi="Arial" w:cs="Arial"/>
          <w:b w:val="0"/>
          <w:bCs w:val="0"/>
          <w:color w:val="000000" w:themeColor="text1"/>
        </w:rPr>
        <w:t>practitioner flexibility</w:t>
      </w:r>
      <w:r w:rsidRPr="00A82D0B">
        <w:rPr>
          <w:rFonts w:ascii="Arial" w:hAnsi="Arial" w:cs="Arial"/>
          <w:color w:val="000000" w:themeColor="text1"/>
        </w:rPr>
        <w:t>—such as Curriculum for Wales—can accommodate elements of both approaches, encouraging meaningful, play-based learn</w:t>
      </w:r>
      <w:r w:rsidR="00A82D0B" w:rsidRPr="00A82D0B">
        <w:rPr>
          <w:rFonts w:ascii="Arial" w:hAnsi="Arial" w:cs="Arial"/>
          <w:color w:val="000000" w:themeColor="text1"/>
        </w:rPr>
        <w:t>ing</w:t>
      </w:r>
      <w:r w:rsidR="00A82D0B">
        <w:rPr>
          <w:rFonts w:ascii="Arial" w:hAnsi="Arial" w:cs="Arial"/>
          <w:color w:val="000000" w:themeColor="text1"/>
        </w:rPr>
        <w:t>.</w:t>
      </w:r>
    </w:p>
    <w:p w14:paraId="483EDA3C"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In summary, the Montessori and Reggio Emilia approaches offer distinct yet complementary visions of play-based learning. Montessori’s structured curriculum provides clear developmental pathways and fosters independence, while Reggio Emilia’s emergent, flexible curriculum prioritises creativity, collaboration, and responsiveness to children’s interests. Both face challenges when aligned with formal curriculum frameworks, but allowing flexibility and professional judgement can help educators effectively integrate their principles. Recognising the strengths of each approach enables more holistic and child-centred early childhood education.</w:t>
      </w:r>
    </w:p>
    <w:p w14:paraId="74977769" w14:textId="4A79A32B" w:rsidR="00A82D0B" w:rsidRDefault="00A82D0B" w:rsidP="00A82D0B">
      <w:pPr>
        <w:pStyle w:val="NormalWeb"/>
        <w:pBdr>
          <w:bottom w:val="single" w:sz="12" w:space="1" w:color="auto"/>
        </w:pBdr>
        <w:spacing w:line="360" w:lineRule="auto"/>
        <w:rPr>
          <w:rFonts w:ascii="Arial" w:hAnsi="Arial" w:cs="Arial"/>
          <w:color w:val="000000" w:themeColor="text1"/>
        </w:rPr>
      </w:pPr>
      <w:r>
        <w:rPr>
          <w:rFonts w:ascii="Arial" w:hAnsi="Arial" w:cs="Arial"/>
          <w:color w:val="000000" w:themeColor="text1"/>
        </w:rPr>
        <w:t>___________________________________________________________________</w:t>
      </w:r>
    </w:p>
    <w:p w14:paraId="32754808"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The concept of the ‘Unique Child’ is fundamental in early childhood education, recognising each child as an individual with distinct abilities, interests, and developmental trajectories (DfE, 2021). This perspective underpins play-based curricula, which prioritise personalised learning experiences that foster holistic development through exploration and interaction (Siraj-Blatchford, 2010). Assessment and progress tracking in such settings aim to support children’s growth without constraining their individuality or undermining the intrinsic value of play.</w:t>
      </w:r>
    </w:p>
    <w:p w14:paraId="63123547"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 xml:space="preserve">However, balancing the need for meaningful assessment with respect for the ‘Unique Child’ presents challenges. Traditional developmental stage models and standardised assessments can offer useful benchmarks but risk oversimplifying the diverse ways children learn and develop (Brown and Johnson, 2018). Conversely, observational and formative methods emphasised in play-based approaches seek to capture the complexity of each child’s learning journey but may lack consistency or </w:t>
      </w:r>
      <w:r w:rsidRPr="00A82D0B">
        <w:rPr>
          <w:rFonts w:ascii="Arial" w:hAnsi="Arial" w:cs="Arial"/>
          <w:color w:val="000000" w:themeColor="text1"/>
        </w:rPr>
        <w:lastRenderedPageBreak/>
        <w:t>be difficult to communicate to wider audiences (Edwards, Gandini and Forman, 2012).</w:t>
      </w:r>
    </w:p>
    <w:p w14:paraId="27B400D4" w14:textId="149B43B4" w:rsidR="00A82D0B" w:rsidRDefault="00A81005"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This section critically evaluates various methods of assessment and progress tracking within play-based curricula, considering how they align with the principle of the ‘Unique Child’. It explores models used across different approaches, including Montessori and Reggio Emilia, highlighting strengths, limitations, and practical implications for educators.</w:t>
      </w:r>
    </w:p>
    <w:p w14:paraId="36D7EC91" w14:textId="77777777" w:rsidR="00A82D0B" w:rsidRDefault="00A82D0B" w:rsidP="00A82D0B">
      <w:pPr>
        <w:pStyle w:val="NormalWeb"/>
        <w:pBdr>
          <w:bottom w:val="single" w:sz="12" w:space="1" w:color="auto"/>
        </w:pBdr>
        <w:spacing w:line="360" w:lineRule="auto"/>
        <w:rPr>
          <w:rFonts w:ascii="Arial" w:hAnsi="Arial" w:cs="Arial"/>
          <w:color w:val="000000" w:themeColor="text1"/>
        </w:rPr>
      </w:pPr>
      <w:r w:rsidRPr="00A82D0B">
        <w:rPr>
          <w:rFonts w:ascii="Arial" w:hAnsi="Arial" w:cs="Arial"/>
          <w:color w:val="000000" w:themeColor="text1"/>
        </w:rPr>
        <w:t xml:space="preserve"> </w:t>
      </w:r>
      <w:r w:rsidR="00A81005" w:rsidRPr="00A82D0B">
        <w:rPr>
          <w:rFonts w:ascii="Arial" w:hAnsi="Arial" w:cs="Arial"/>
          <w:color w:val="000000" w:themeColor="text1"/>
        </w:rPr>
        <w:t>T</w:t>
      </w:r>
      <w:r w:rsidR="00A81005" w:rsidRPr="00A81005">
        <w:rPr>
          <w:rFonts w:ascii="Arial" w:hAnsi="Arial" w:cs="Arial"/>
          <w:color w:val="000000" w:themeColor="text1"/>
        </w:rPr>
        <w:t>he ‘Unique Child’ concept is central to early childhood education, emphasising that every child has individual strengths, needs, interests, and developmental paths (Department for Education [DfE], 2021). This principle underpins play-based curricula, which seek to support holistic, child-centred learning environments where children can explore at their own pace (Siraj-Blatchford, 2010). Consequently, assessment and progress tracking methods must reflect and respect children’s individuality, avoiding rigid or reductive measures.</w:t>
      </w:r>
    </w:p>
    <w:p w14:paraId="6CEF5B81"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Assessment in early childhood aims to inform teaching practices and support children’s development, yet it must do so without compromising the child’s agency or the natural, exploratory nature of play (Brown and Johnson, 2018). Developmental stage models and standardised assessments provide useful frameworks for identifying typical growth patterns but can risk overlooking individual variation and contextual factors (Wood, 2014). In contrast, observational and formative assessment approaches prioritise capturing the nuances of each child’s learning journey but may face challenges regarding reliability and communication (Edwards, Gandini and Forman, 2012).</w:t>
      </w:r>
    </w:p>
    <w:p w14:paraId="2E20CABA"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This section critically evaluates methods of assessment and progress tracking used within play-based curricula, focusing on how these methods align with the ‘Unique Child’ concept. It further considers age and stage-related development models and discusses examples from Montessori and Reggio Emilia approaches, highlighting their practical implications for educators.</w:t>
      </w:r>
    </w:p>
    <w:p w14:paraId="3E9D6FD6" w14:textId="77777777" w:rsidR="00A82D0B" w:rsidRPr="00A82D0B" w:rsidRDefault="00A81005" w:rsidP="00A82D0B">
      <w:pPr>
        <w:pStyle w:val="NormalWeb"/>
        <w:pBdr>
          <w:bottom w:val="single" w:sz="12" w:space="1" w:color="auto"/>
        </w:pBdr>
        <w:spacing w:line="360" w:lineRule="auto"/>
        <w:rPr>
          <w:rFonts w:ascii="Arial" w:hAnsi="Arial" w:cs="Arial"/>
          <w:color w:val="000000" w:themeColor="text1"/>
          <w:u w:val="single"/>
        </w:rPr>
      </w:pPr>
      <w:r w:rsidRPr="00A81005">
        <w:rPr>
          <w:rFonts w:ascii="Arial" w:hAnsi="Arial" w:cs="Arial"/>
          <w:color w:val="000000" w:themeColor="text1"/>
          <w:u w:val="single"/>
        </w:rPr>
        <w:t>The ‘Unique Child’ Concept in Play-Based Learning</w:t>
      </w:r>
    </w:p>
    <w:p w14:paraId="6EDEB152"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lastRenderedPageBreak/>
        <w:t>Recognising the ‘Unique Child’ means understanding that development is non-linear and influenced by a range of genetic, social, and environmental factors (Sylva et al., 2010). Play-based curricula value child-led learning and personalised experiences, allowing children to construct knowledge through interaction with their environment and peers (Wood, 2014). This focus requires assessment methods that are flexible, sensitive, and holistic, capturing multiple dimensions of development beyond cognitive milestones alone.</w:t>
      </w:r>
    </w:p>
    <w:p w14:paraId="3474516C" w14:textId="77777777" w:rsidR="00A82D0B" w:rsidRDefault="00A82D0B" w:rsidP="00A82D0B">
      <w:pPr>
        <w:pStyle w:val="NormalWeb"/>
        <w:pBdr>
          <w:bottom w:val="single" w:sz="12" w:space="1" w:color="auto"/>
        </w:pBdr>
        <w:spacing w:line="360" w:lineRule="auto"/>
        <w:rPr>
          <w:rFonts w:ascii="Arial" w:hAnsi="Arial" w:cs="Arial"/>
          <w:color w:val="000000" w:themeColor="text1"/>
        </w:rPr>
      </w:pPr>
    </w:p>
    <w:p w14:paraId="740C3651"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Methods of Assessment in Play-Based Curricula</w:t>
      </w:r>
    </w:p>
    <w:p w14:paraId="34A3AA54"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u w:val="single"/>
        </w:rPr>
        <w:t>Observational Assessment</w:t>
      </w:r>
      <w:r w:rsidRPr="00A81005">
        <w:rPr>
          <w:rFonts w:ascii="Arial" w:hAnsi="Arial" w:cs="Arial"/>
          <w:color w:val="000000" w:themeColor="text1"/>
        </w:rPr>
        <w:br/>
        <w:t>Observational assessment is widely advocated in play-based settings due to its non-intrusive nature and alignment with child-centred practice (Carr, 2001). Practitioners observe children in naturalistic play, noting skills, behaviours, and interactions to inform planning. This method supports the ‘Unique Child’ by respecting individual learning rhythms and contexts (</w:t>
      </w:r>
      <w:proofErr w:type="spellStart"/>
      <w:r w:rsidRPr="00A81005">
        <w:rPr>
          <w:rFonts w:ascii="Arial" w:hAnsi="Arial" w:cs="Arial"/>
          <w:color w:val="000000" w:themeColor="text1"/>
        </w:rPr>
        <w:t>Broström</w:t>
      </w:r>
      <w:proofErr w:type="spellEnd"/>
      <w:r w:rsidRPr="00A81005">
        <w:rPr>
          <w:rFonts w:ascii="Arial" w:hAnsi="Arial" w:cs="Arial"/>
          <w:color w:val="000000" w:themeColor="text1"/>
        </w:rPr>
        <w:t>, 2012).</w:t>
      </w:r>
    </w:p>
    <w:p w14:paraId="73B6DE40"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u w:val="single"/>
        </w:rPr>
        <w:t>Formative Assessment and Documentation</w:t>
      </w:r>
      <w:r w:rsidRPr="00A81005">
        <w:rPr>
          <w:rFonts w:ascii="Arial" w:hAnsi="Arial" w:cs="Arial"/>
          <w:color w:val="000000" w:themeColor="text1"/>
        </w:rPr>
        <w:br/>
        <w:t>Formative assessment through documentation (e.g., learning stories, portfolios, photographic records) is a hallmark of approaches like Reggio Emilia (Edwards, Gandini and Forman, 2012). It encourages reflection by educators, children, and families, making learning visible and supporting ongoing development. Such methods allow children’s voices and interests to shape assessment, preserving their individuality.</w:t>
      </w:r>
    </w:p>
    <w:p w14:paraId="122AED6E" w14:textId="4F2389D2"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u w:val="single"/>
        </w:rPr>
        <w:t>Standardised Assessments and Developmental Checklists</w:t>
      </w:r>
      <w:r w:rsidRPr="00A81005">
        <w:rPr>
          <w:rFonts w:ascii="Arial" w:hAnsi="Arial" w:cs="Arial"/>
          <w:color w:val="000000" w:themeColor="text1"/>
        </w:rPr>
        <w:br/>
        <w:t>Some curricula employ standardised tools or developmental checklists to track progress against age-related milestones (e.g., EYFS Development Matters) (DfE, 2021). These provide benchmarks for identifying delays or concerns but may inadequately capture the diverse ways children express learning, particularly in culturally diverse or atypical learners (Brown and Johnson, 2018).</w:t>
      </w:r>
    </w:p>
    <w:p w14:paraId="09F9CC69" w14:textId="77777777" w:rsidR="00A82D0B" w:rsidRPr="00A82D0B" w:rsidRDefault="00A81005" w:rsidP="00A82D0B">
      <w:pPr>
        <w:pStyle w:val="NormalWeb"/>
        <w:pBdr>
          <w:bottom w:val="single" w:sz="12" w:space="1" w:color="auto"/>
        </w:pBdr>
        <w:spacing w:line="360" w:lineRule="auto"/>
        <w:rPr>
          <w:rFonts w:ascii="Arial" w:hAnsi="Arial" w:cs="Arial"/>
          <w:color w:val="000000" w:themeColor="text1"/>
          <w:u w:val="single"/>
        </w:rPr>
      </w:pPr>
      <w:r w:rsidRPr="00A81005">
        <w:rPr>
          <w:rFonts w:ascii="Arial" w:hAnsi="Arial" w:cs="Arial"/>
          <w:color w:val="000000" w:themeColor="text1"/>
          <w:u w:val="single"/>
        </w:rPr>
        <w:t>Progress Tracking and Age-Stage Related Development Model</w:t>
      </w:r>
      <w:r w:rsidR="00A82D0B" w:rsidRPr="00A82D0B">
        <w:rPr>
          <w:rFonts w:ascii="Arial" w:hAnsi="Arial" w:cs="Arial"/>
          <w:color w:val="000000" w:themeColor="text1"/>
          <w:u w:val="single"/>
        </w:rPr>
        <w:t>.</w:t>
      </w:r>
    </w:p>
    <w:p w14:paraId="5FD8A8D6"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lastRenderedPageBreak/>
        <w:t>Age and stage-related models, such as the Ages &amp; Stages Questionnaires (ASQ) or the EYFS Development Matters, offer frameworks to understand typical developmental progress in domains such as communication, motor skills, and social-emotional growth (Squires et al., 2009; DfE, 2021). These models support early identification of needs and can guide targeted interventions.</w:t>
      </w:r>
    </w:p>
    <w:p w14:paraId="7B65D710"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 xml:space="preserve">However, their application must be critically considered. The reliance on normative data can </w:t>
      </w:r>
      <w:proofErr w:type="spellStart"/>
      <w:r w:rsidRPr="00A81005">
        <w:rPr>
          <w:rFonts w:ascii="Arial" w:hAnsi="Arial" w:cs="Arial"/>
          <w:color w:val="000000" w:themeColor="text1"/>
        </w:rPr>
        <w:t>pathologise</w:t>
      </w:r>
      <w:proofErr w:type="spellEnd"/>
      <w:r w:rsidRPr="00A81005">
        <w:rPr>
          <w:rFonts w:ascii="Arial" w:hAnsi="Arial" w:cs="Arial"/>
          <w:color w:val="000000" w:themeColor="text1"/>
        </w:rPr>
        <w:t xml:space="preserve"> natural variation and limit appreciation of individual learning trajectories (Wood, 2014). Moreover, developmental progress in play-based contexts often reflects qualitative changes that do not always align neatly with quantitative milestone checklists (Pyle and </w:t>
      </w:r>
      <w:proofErr w:type="spellStart"/>
      <w:r w:rsidRPr="00A81005">
        <w:rPr>
          <w:rFonts w:ascii="Arial" w:hAnsi="Arial" w:cs="Arial"/>
          <w:color w:val="000000" w:themeColor="text1"/>
        </w:rPr>
        <w:t>Danniels</w:t>
      </w:r>
      <w:proofErr w:type="spellEnd"/>
      <w:r w:rsidRPr="00A81005">
        <w:rPr>
          <w:rFonts w:ascii="Arial" w:hAnsi="Arial" w:cs="Arial"/>
          <w:color w:val="000000" w:themeColor="text1"/>
        </w:rPr>
        <w:t>, 2017).</w:t>
      </w:r>
    </w:p>
    <w:p w14:paraId="57C84871"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Assessment methods in play-based curricula must balance the tension between providing meaningful information about children’s development and preserving the ‘Unique Child’s’ individuality. Observational and formative assessments are well-suited to this task as they are flexible and holistic, enabling practitioners to document a wide range of learning outcomes in authentic contexts (Carr, 2001). However, they require skilled practitioners who can interpret behaviours without bias and who have time for thorough documentation, which may not always be feasible (</w:t>
      </w:r>
      <w:proofErr w:type="spellStart"/>
      <w:r w:rsidRPr="00A81005">
        <w:rPr>
          <w:rFonts w:ascii="Arial" w:hAnsi="Arial" w:cs="Arial"/>
          <w:color w:val="000000" w:themeColor="text1"/>
        </w:rPr>
        <w:t>Broström</w:t>
      </w:r>
      <w:proofErr w:type="spellEnd"/>
      <w:r w:rsidRPr="00A81005">
        <w:rPr>
          <w:rFonts w:ascii="Arial" w:hAnsi="Arial" w:cs="Arial"/>
          <w:color w:val="000000" w:themeColor="text1"/>
        </w:rPr>
        <w:t>, 2012).</w:t>
      </w:r>
    </w:p>
    <w:p w14:paraId="43D87A9B" w14:textId="77777777" w:rsidR="00A82D0B"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 xml:space="preserve">Standardised assessments and stage models contribute by identifying developmental concerns early and offering common language among professionals (Squires et al., 2009). Yet, overreliance on these </w:t>
      </w:r>
      <w:proofErr w:type="gramStart"/>
      <w:r w:rsidRPr="00A81005">
        <w:rPr>
          <w:rFonts w:ascii="Arial" w:hAnsi="Arial" w:cs="Arial"/>
          <w:color w:val="000000" w:themeColor="text1"/>
        </w:rPr>
        <w:t>tools</w:t>
      </w:r>
      <w:proofErr w:type="gramEnd"/>
      <w:r w:rsidRPr="00A81005">
        <w:rPr>
          <w:rFonts w:ascii="Arial" w:hAnsi="Arial" w:cs="Arial"/>
          <w:color w:val="000000" w:themeColor="text1"/>
        </w:rPr>
        <w:t xml:space="preserve"> risks imposing rigid expectations that may marginalise children whose learning differs from norms, including those with disabilities or from diverse cultural backgrounds (Brown and Johnson, 2018).</w:t>
      </w:r>
    </w:p>
    <w:p w14:paraId="6DB142AD" w14:textId="4457CB40" w:rsidR="00A82D0B" w:rsidRPr="00A81005" w:rsidRDefault="00A81005" w:rsidP="00A82D0B">
      <w:pPr>
        <w:pStyle w:val="NormalWeb"/>
        <w:pBdr>
          <w:bottom w:val="single" w:sz="12" w:space="1" w:color="auto"/>
        </w:pBdr>
        <w:spacing w:line="360" w:lineRule="auto"/>
        <w:rPr>
          <w:rFonts w:ascii="Arial" w:hAnsi="Arial" w:cs="Arial"/>
          <w:color w:val="000000" w:themeColor="text1"/>
        </w:rPr>
      </w:pPr>
      <w:r w:rsidRPr="00A81005">
        <w:rPr>
          <w:rFonts w:ascii="Arial" w:hAnsi="Arial" w:cs="Arial"/>
          <w:color w:val="000000" w:themeColor="text1"/>
        </w:rPr>
        <w:t>Therefore, an integrated approach that uses developmental frameworks as guides, complemented by ongoing observational and reflective assessments, is ideal. This supports children’s holistic development while respecting their unique characteristics and experiences (Wood, 2014).</w:t>
      </w:r>
    </w:p>
    <w:p w14:paraId="077BC224" w14:textId="77777777" w:rsidR="00A81005" w:rsidRPr="00A82D0B" w:rsidRDefault="00A81005" w:rsidP="00A82D0B">
      <w:pPr>
        <w:spacing w:before="100" w:beforeAutospacing="1" w:after="100" w:afterAutospacing="1" w:line="360" w:lineRule="auto"/>
        <w:outlineLvl w:val="3"/>
        <w:rPr>
          <w:rFonts w:ascii="Arial" w:hAnsi="Arial" w:cs="Arial"/>
          <w:color w:val="000000" w:themeColor="text1"/>
        </w:rPr>
      </w:pPr>
      <w:r w:rsidRPr="00A81005">
        <w:rPr>
          <w:rFonts w:ascii="Arial" w:hAnsi="Arial" w:cs="Arial"/>
          <w:color w:val="000000" w:themeColor="text1"/>
        </w:rPr>
        <w:t>Examples from Montessori and Reggio Emilia</w:t>
      </w:r>
    </w:p>
    <w:p w14:paraId="318347E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lastRenderedPageBreak/>
        <w:t>The Montessori approach utilises continuous observational assessment as a core method to track each child's mastery of materials and developmental readiness, deliberately avoiding formal testing or standardised assessments (Lillard, 2005). Teachers act as careful observers, attentively watching how children interact with specially designed learning materials to identify their interests, skills, and emerging needs. This observational process allows educators to personalise lessons and activities to the child’s individual pace, ensuring that each child engages with tasks that are neither too easy nor too challenging (Isaacs, 2012). In this way, the Montessori method respects the child’s intrinsic motivation and natural developmental trajectory, fostering autonomy and self-directed learning. Progress tracking in Montessori settings focuses on individual achievements and competence, rather than comparing children against normative benchmarks or peer performance (Lillard, 2011). This emphasis on personal growth aligns closely with the Montessori belief in the ‘absorbent mind,’ where children absorb knowledge best when they are developmentally ready and engaged by their own curiosity (Montessori, 1967).</w:t>
      </w:r>
    </w:p>
    <w:p w14:paraId="1469808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In contrast, the Reggio Emilia approach employs pedagogical documentation as both a key assessment method and a powerful learning tool. Educators carefully record children’s conversations, artistic creations, photographs of their play, and collaborative projects, which collectively capture the evolving ideas, hypotheses, and understandings of the children over time (Rinaldi, 2006). This documentation serves multiple functions: it makes learning visible to children, parents, and educators; provides a basis for reflection and dialogue; and supports curriculum planning that responds to children’s interests and inquiries (Edwards, Gandini and Forman, 2012). Through this reflective practice, the Reggio approach actively involves children in assessing and making meaning of their own learning experiences, thereby validating multiple modes of expression such as drawing, storytelling, and dramatic play (Vecchi, 2010). This method honours the ‘Unique Child’ by recognising that each learner constructs knowledge differently and that their voices and perspectives are essential in shaping their educational journey.</w:t>
      </w:r>
    </w:p>
    <w:p w14:paraId="2E752D5D"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Both Montessori and Reggio Emilia demonstrate assessment approaches deeply embedded in their philosophies of child-led learning and holistic development. Unlike traditional education models focused on standardised tests and measurable </w:t>
      </w:r>
      <w:r w:rsidRPr="00A82D0B">
        <w:rPr>
          <w:rFonts w:ascii="Arial" w:hAnsi="Arial" w:cs="Arial"/>
          <w:color w:val="000000" w:themeColor="text1"/>
        </w:rPr>
        <w:lastRenderedPageBreak/>
        <w:t>outcomes, these methods prioritise qualitative, process-oriented assessment that captures the richness of each child’s experience and developmental progress. However, both approaches also require practitioners to possess significant expertise, observational skills, and a high degree of reflective practice to accurately interpret children’s behaviours and document learning meaningfully (Hewett, 2001; Lillard, 2005). These qualities ensure that assessment supports, rather than constrains, children’s natural curiosity and capacity for self-directed growth.</w:t>
      </w:r>
    </w:p>
    <w:p w14:paraId="007CB8B9" w14:textId="381519A5" w:rsidR="00A81005" w:rsidRPr="00A82D0B" w:rsidRDefault="00A81005" w:rsidP="00A82D0B">
      <w:pPr>
        <w:pBdr>
          <w:bottom w:val="single" w:sz="12" w:space="1" w:color="auto"/>
        </w:pBdr>
        <w:spacing w:before="100" w:beforeAutospacing="1" w:after="100" w:afterAutospacing="1" w:line="360" w:lineRule="auto"/>
        <w:rPr>
          <w:rFonts w:ascii="Arial" w:hAnsi="Arial" w:cs="Arial"/>
          <w:color w:val="000000" w:themeColor="text1"/>
        </w:rPr>
      </w:pPr>
      <w:r w:rsidRPr="00A81005">
        <w:rPr>
          <w:rFonts w:ascii="Arial" w:hAnsi="Arial" w:cs="Arial"/>
          <w:color w:val="000000" w:themeColor="text1"/>
        </w:rPr>
        <w:t>In conclusion, respecting the ‘Unique Child’ within play-based curricula necessitates assessment methods that are flexible, holistic, and sensitive to individual differences. Observational and formative assessment approaches align well with this principle by valuing authentic learning experiences and multiple developmental domains. While developmental stage models and standardised tools provide useful benchmarks, they must be applied judiciously to avoid limiting diverse expressions of growth. Montessori and Reggio Emilia approaches offer practical examples of assessment that honour individuality and support meaningful progress tracking. Ultimately, effective assessment in play-based contexts balances the need for structure with respect for each child’s unique developmental journey.</w:t>
      </w:r>
    </w:p>
    <w:p w14:paraId="66EA1759" w14:textId="77777777" w:rsidR="00A81005" w:rsidRPr="00A82D0B" w:rsidRDefault="00A81005" w:rsidP="00A82D0B">
      <w:pPr>
        <w:pStyle w:val="Heading3"/>
        <w:spacing w:line="360" w:lineRule="auto"/>
        <w:rPr>
          <w:rFonts w:ascii="Arial" w:hAnsi="Arial" w:cs="Arial"/>
          <w:color w:val="000000" w:themeColor="text1"/>
          <w:sz w:val="24"/>
          <w:szCs w:val="24"/>
        </w:rPr>
      </w:pPr>
      <w:r w:rsidRPr="00A82D0B">
        <w:rPr>
          <w:rFonts w:ascii="Arial" w:hAnsi="Arial" w:cs="Arial"/>
          <w:color w:val="000000" w:themeColor="text1"/>
          <w:sz w:val="24"/>
          <w:szCs w:val="24"/>
        </w:rPr>
        <w:t>Implementing a Play-Based Curriculum: Practical Considerations for Early Years Settings</w:t>
      </w:r>
    </w:p>
    <w:p w14:paraId="3D8EAD5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Play-based learning is widely recognised as a vital element of early childhood education. Rooted in the understanding that play is children’s natural mode for making sense of the world, it supports cognitive, social, emotional, and physical development simultaneously (Siraj-Blatchford, 2010; Wood, 2014). Across the UK and internationally, early years settings are increasingly adopting play-based curricula or revising existing frameworks to better embed this approach (DfE, 2021; Welsh Government, 2022).</w:t>
      </w:r>
    </w:p>
    <w:p w14:paraId="259CADB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However, implementing or changing to a play-based curriculum is a complex process that requires more than just introducing play opportunities. It demands a clear philosophical understanding, effective leadership, staff development, environmental </w:t>
      </w:r>
      <w:r w:rsidRPr="00A82D0B">
        <w:rPr>
          <w:rFonts w:ascii="Arial" w:hAnsi="Arial" w:cs="Arial"/>
          <w:color w:val="000000" w:themeColor="text1"/>
        </w:rPr>
        <w:lastRenderedPageBreak/>
        <w:t>adaptations, and strong family partnerships. This blog outlines key considerations to support practitioners and managers undertaking this important work.</w:t>
      </w:r>
    </w:p>
    <w:p w14:paraId="0BE32FED"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1. Shared Understanding of Play-Based Learning Philosophy</w:t>
      </w:r>
    </w:p>
    <w:p w14:paraId="25B241E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Before any practical steps, it is essential that all team members—managers, teachers, teaching assistants, and support staff—develop a shared understanding of the role and value of play in learning. Play is not just recreation; it is a purposeful activity through which children explore ideas, develop language, solve problems, and negotiate social roles (Wood, 2014; Pellegrini, 2009).</w:t>
      </w:r>
    </w:p>
    <w:p w14:paraId="1AA4A5FA" w14:textId="1C0D71C1"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Research shows that children learn best when they are active participants in their own learning, able to initiate and direct play within supportive environments (Brown, 2013). Misconceptions about play being ‘just fun’ or ‘less </w:t>
      </w:r>
      <w:proofErr w:type="spellStart"/>
      <w:r w:rsidRPr="00A82D0B">
        <w:rPr>
          <w:rFonts w:ascii="Arial" w:hAnsi="Arial" w:cs="Arial"/>
          <w:color w:val="000000" w:themeColor="text1"/>
        </w:rPr>
        <w:t>serious’</w:t>
      </w:r>
      <w:proofErr w:type="spellEnd"/>
      <w:r w:rsidRPr="00A82D0B">
        <w:rPr>
          <w:rFonts w:ascii="Arial" w:hAnsi="Arial" w:cs="Arial"/>
          <w:color w:val="000000" w:themeColor="text1"/>
        </w:rPr>
        <w:t xml:space="preserve"> than formal teaching can undermine implementation. Therefore, clear communication and professional dialogue about the evidence base underpinning play-based curricula are vital (Siraj-Blatchford et al., 2002).</w:t>
      </w:r>
    </w:p>
    <w:p w14:paraId="398030F3"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2. Leadership and Team Engagement</w:t>
      </w:r>
    </w:p>
    <w:p w14:paraId="05E2BEE9"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Successful curriculum change is driven by strong leadership that models and supports play-based pedagogy (Nutbrown, 2018). Leaders must involve the whole team from the outset, creating opportunities for staff to express concerns and contribute ideas.</w:t>
      </w:r>
    </w:p>
    <w:p w14:paraId="66C2A1F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Staff training is fundamental. Many early years practitioners have limited initial training on how to intentionally support learning through play, particularly in observing and scaffolding children’s play experiences (Pyle and </w:t>
      </w:r>
      <w:proofErr w:type="spellStart"/>
      <w:r w:rsidRPr="00A82D0B">
        <w:rPr>
          <w:rFonts w:ascii="Arial" w:hAnsi="Arial" w:cs="Arial"/>
          <w:color w:val="000000" w:themeColor="text1"/>
        </w:rPr>
        <w:t>Danniels</w:t>
      </w:r>
      <w:proofErr w:type="spellEnd"/>
      <w:r w:rsidRPr="00A82D0B">
        <w:rPr>
          <w:rFonts w:ascii="Arial" w:hAnsi="Arial" w:cs="Arial"/>
          <w:color w:val="000000" w:themeColor="text1"/>
        </w:rPr>
        <w:t>, 2017). Providing ongoing, practical professional development—such as workshops, coaching, and peer observations—helps build confidence and skills.</w:t>
      </w:r>
    </w:p>
    <w:p w14:paraId="47F94D62" w14:textId="693B8A00"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Creating a culture of reflection and dialogue encourages staff to critically evaluate their own practice and celebrate successes, fostering continuous improvement (</w:t>
      </w:r>
      <w:proofErr w:type="spellStart"/>
      <w:r w:rsidRPr="00A82D0B">
        <w:rPr>
          <w:rFonts w:ascii="Arial" w:hAnsi="Arial" w:cs="Arial"/>
          <w:color w:val="000000" w:themeColor="text1"/>
        </w:rPr>
        <w:t>Broström</w:t>
      </w:r>
      <w:proofErr w:type="spellEnd"/>
      <w:r w:rsidRPr="00A82D0B">
        <w:rPr>
          <w:rFonts w:ascii="Arial" w:hAnsi="Arial" w:cs="Arial"/>
          <w:color w:val="000000" w:themeColor="text1"/>
        </w:rPr>
        <w:t>, 2012).</w:t>
      </w:r>
    </w:p>
    <w:p w14:paraId="421A9253"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lastRenderedPageBreak/>
        <w:t>3. Environment as the ‘Third Teacher’</w:t>
      </w:r>
    </w:p>
    <w:p w14:paraId="106C5F4F"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Play flourishes in environments that invite exploration, creativity, and independence (Edwards, Gandini and Forman, 2012). Settings may need to reconsider their physical layout to provide accessible, flexible, and stimulating spaces.</w:t>
      </w:r>
    </w:p>
    <w:p w14:paraId="2891156B"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Incorporating open-ended resources—such as natural materials, loose parts, and sensory items—encourages imaginative play and problem-solving (Nicholson, 1971; Gray, 2011). Outdoor areas should be valued equally with indoor spaces, offering opportunities for risk-taking and physical development (Little, 2011).</w:t>
      </w:r>
    </w:p>
    <w:p w14:paraId="5E469E2D" w14:textId="62FF89A5"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Accessibility and inclusivity are essential considerations. Spaces must accommodate children with diverse needs, enabling all to engage fully in play (Moyles, Adams and Musgrove, 2002).</w:t>
      </w:r>
    </w:p>
    <w:p w14:paraId="562F1BC8"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4. Balancing Child-Led and Adult-Led Learning</w:t>
      </w:r>
    </w:p>
    <w:p w14:paraId="6849B606"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Play-based learning requires balancing children’s autonomy with adult guidance. While children should be free to explore their interests, adults have an important role in scaffolding learning through sensitive intervention (Vygotsky, 1978).</w:t>
      </w:r>
    </w:p>
    <w:p w14:paraId="6ED8F35F"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Practitioners can extend play by asking open-ended questions, introducing new vocabulary, or suggesting challenges that stretch thinking without taking control (Carr, 2001). This approach aligns with national frameworks like the EYFS, which emphasise learning through play but also stress practitioner responsibility in guiding development towards outcomes (DfE, 2021).</w:t>
      </w:r>
    </w:p>
    <w:p w14:paraId="7D2372B6" w14:textId="27D4C686"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The ability to flexibly respond to children’s needs and interests is a hallmark of effective play-based pedagogy (Wood, 2014).</w:t>
      </w:r>
    </w:p>
    <w:p w14:paraId="53F4A35B"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5. Assessment and Documentation</w:t>
      </w:r>
    </w:p>
    <w:p w14:paraId="6B2BC1D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Assessment within play-based curricula must honour the ‘Unique Child’ and the complexity of learning through play (DfE, 2021). Rather than formal testing, observational and formative assessment approaches are preferred. These include </w:t>
      </w:r>
      <w:r w:rsidRPr="00A82D0B">
        <w:rPr>
          <w:rFonts w:ascii="Arial" w:hAnsi="Arial" w:cs="Arial"/>
          <w:color w:val="000000" w:themeColor="text1"/>
        </w:rPr>
        <w:lastRenderedPageBreak/>
        <w:t>narrative observations, learning stories, portfolios, and photographic documentation (Carr, 2001; Edwards, Gandini and Forman, 2012).</w:t>
      </w:r>
    </w:p>
    <w:p w14:paraId="08B7F82D"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Documenting learning makes progress visible to practitioners, families, and children themselves, supporting reflection and next-step planning (Siraj-Blatchford, 2010). However, the documentation process should be manageable and meaningful, avoiding excessive paperwork that detracts from interaction with children (</w:t>
      </w:r>
      <w:proofErr w:type="spellStart"/>
      <w:r w:rsidRPr="00A82D0B">
        <w:rPr>
          <w:rFonts w:ascii="Arial" w:hAnsi="Arial" w:cs="Arial"/>
          <w:color w:val="000000" w:themeColor="text1"/>
        </w:rPr>
        <w:t>Broström</w:t>
      </w:r>
      <w:proofErr w:type="spellEnd"/>
      <w:r w:rsidRPr="00A82D0B">
        <w:rPr>
          <w:rFonts w:ascii="Arial" w:hAnsi="Arial" w:cs="Arial"/>
          <w:color w:val="000000" w:themeColor="text1"/>
        </w:rPr>
        <w:t>, 2012).</w:t>
      </w:r>
    </w:p>
    <w:p w14:paraId="0697B4D0" w14:textId="6F0AA17C"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Using technology such as tablets can streamline documentation and enable real-time sharing with parents, enhancing partnership (</w:t>
      </w:r>
      <w:proofErr w:type="spellStart"/>
      <w:r w:rsidRPr="00A82D0B">
        <w:rPr>
          <w:rFonts w:ascii="Arial" w:hAnsi="Arial" w:cs="Arial"/>
          <w:color w:val="000000" w:themeColor="text1"/>
        </w:rPr>
        <w:t>Neaum</w:t>
      </w:r>
      <w:proofErr w:type="spellEnd"/>
      <w:r w:rsidRPr="00A82D0B">
        <w:rPr>
          <w:rFonts w:ascii="Arial" w:hAnsi="Arial" w:cs="Arial"/>
          <w:color w:val="000000" w:themeColor="text1"/>
        </w:rPr>
        <w:t>, 2018).</w:t>
      </w:r>
    </w:p>
    <w:p w14:paraId="0500321C"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6. Involving Families and Communities</w:t>
      </w:r>
    </w:p>
    <w:p w14:paraId="738F0588"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Family engagement is critical when implementing a play-based curriculum, especially when parents are more familiar with traditional, adult-led teaching methods (Goodall and Montgomery, 2014). Providing information sessions, workshops, and opportunities to observe or participate in play can build understanding and support.</w:t>
      </w:r>
    </w:p>
    <w:p w14:paraId="736D8D0B" w14:textId="4B92A20D"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Encouraging families to share children’s interests and learning at home creates continuity and reinforces the ‘Unique Child’ perspective (Department of Education and Early Childhood Development, 2014). Additionally, collaborating with local communities can enrich play resources and learning experiences, linking children to their wider cultural context (Edwards, Gandini and Forman, 2012).</w:t>
      </w:r>
    </w:p>
    <w:p w14:paraId="4CC8CE57"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7. Addressing Challenges and Resistance</w:t>
      </w:r>
    </w:p>
    <w:p w14:paraId="4EA0B64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Resistance to play-based curriculum change is not uncommon. Concerns often relate to perceived lack of structure, pressure to meet academic targets, or unfamiliarity with play pedagogy (Pyle and </w:t>
      </w:r>
      <w:proofErr w:type="spellStart"/>
      <w:r w:rsidRPr="00A82D0B">
        <w:rPr>
          <w:rFonts w:ascii="Arial" w:hAnsi="Arial" w:cs="Arial"/>
          <w:color w:val="000000" w:themeColor="text1"/>
        </w:rPr>
        <w:t>Danniels</w:t>
      </w:r>
      <w:proofErr w:type="spellEnd"/>
      <w:r w:rsidRPr="00A82D0B">
        <w:rPr>
          <w:rFonts w:ascii="Arial" w:hAnsi="Arial" w:cs="Arial"/>
          <w:color w:val="000000" w:themeColor="text1"/>
        </w:rPr>
        <w:t>, 2017).</w:t>
      </w:r>
    </w:p>
    <w:p w14:paraId="067E618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Leaders can mitigate resistance by sharing evidence from research demonstrating the long-term benefits of play for literacy, numeracy, social skills, and emotional resilience (Sylva et al., 2010; Gray, 2011). Highlighting local success stories and </w:t>
      </w:r>
      <w:r w:rsidRPr="00A82D0B">
        <w:rPr>
          <w:rFonts w:ascii="Arial" w:hAnsi="Arial" w:cs="Arial"/>
          <w:color w:val="000000" w:themeColor="text1"/>
        </w:rPr>
        <w:lastRenderedPageBreak/>
        <w:t>providing incremental changes rather than wholesale transformation can ease transition.</w:t>
      </w:r>
    </w:p>
    <w:p w14:paraId="16A2C250" w14:textId="1AB8EF21"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Staff wellbeing should also be prioritised to avoid burnout during periods of change (Nutbrown, 2018).</w:t>
      </w:r>
    </w:p>
    <w:p w14:paraId="7D053D44" w14:textId="77777777" w:rsidR="00A81005" w:rsidRPr="00A82D0B" w:rsidRDefault="00A81005" w:rsidP="00A82D0B">
      <w:pPr>
        <w:pStyle w:val="Heading4"/>
        <w:spacing w:line="360" w:lineRule="auto"/>
        <w:rPr>
          <w:rFonts w:ascii="Arial" w:hAnsi="Arial" w:cs="Arial"/>
          <w:color w:val="000000" w:themeColor="text1"/>
        </w:rPr>
      </w:pPr>
      <w:r w:rsidRPr="00A82D0B">
        <w:rPr>
          <w:rFonts w:ascii="Arial" w:hAnsi="Arial" w:cs="Arial"/>
          <w:color w:val="000000" w:themeColor="text1"/>
        </w:rPr>
        <w:t>8. Commitment to Ongoing Professional Development</w:t>
      </w:r>
    </w:p>
    <w:p w14:paraId="4D0C6179"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Implementing a play-based curriculum is not a one-off event but a journey. Continuous professional development is essential to keep abreast of new research, refine practice, and support evolving staff needs (Pyle and </w:t>
      </w:r>
      <w:proofErr w:type="spellStart"/>
      <w:r w:rsidRPr="00A82D0B">
        <w:rPr>
          <w:rFonts w:ascii="Arial" w:hAnsi="Arial" w:cs="Arial"/>
          <w:color w:val="000000" w:themeColor="text1"/>
        </w:rPr>
        <w:t>Danniels</w:t>
      </w:r>
      <w:proofErr w:type="spellEnd"/>
      <w:r w:rsidRPr="00A82D0B">
        <w:rPr>
          <w:rFonts w:ascii="Arial" w:hAnsi="Arial" w:cs="Arial"/>
          <w:color w:val="000000" w:themeColor="text1"/>
        </w:rPr>
        <w:t>, 2017).</w:t>
      </w:r>
    </w:p>
    <w:p w14:paraId="10C732FE" w14:textId="65D14633"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Participation in professional networks, conferences, and collaborative research projects can inspire innovation and maintain momentum (Moyles, Adams and Musgrove, 2002).</w:t>
      </w:r>
    </w:p>
    <w:p w14:paraId="0E0B056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Transitioning to a play-based curriculum or introducing related curriculum changes is a complex but highly rewarding process. It requires strong leadership, shared vision, and commitment to reflective practice. When done well, it honours the individuality of every child, creating rich learning experiences that foster curiosity, creativity, and a lifelong love of learning.</w:t>
      </w:r>
    </w:p>
    <w:p w14:paraId="57D9F656"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By understanding the philosophy behind play, engaging and training staff, adapting environments, balancing child-led and adult-guided learning, using meaningful assessment, involving families, addressing challenges proactively, and committing to continuous development, early years settings can successfully embed play as the cornerstone of their curriculum.</w:t>
      </w:r>
    </w:p>
    <w:p w14:paraId="7C3654CD" w14:textId="77777777" w:rsidR="00A81005" w:rsidRPr="00A82D0B" w:rsidRDefault="00A81005" w:rsidP="00A82D0B">
      <w:pPr>
        <w:pStyle w:val="NormalWeb"/>
        <w:spacing w:line="360" w:lineRule="auto"/>
        <w:rPr>
          <w:rFonts w:ascii="Arial" w:hAnsi="Arial" w:cs="Arial"/>
          <w:color w:val="000000" w:themeColor="text1"/>
        </w:rPr>
      </w:pPr>
    </w:p>
    <w:p w14:paraId="45E4EBF1" w14:textId="77777777" w:rsidR="00A81005" w:rsidRDefault="00A81005" w:rsidP="00A82D0B">
      <w:pPr>
        <w:pStyle w:val="NormalWeb"/>
        <w:spacing w:line="360" w:lineRule="auto"/>
        <w:rPr>
          <w:rFonts w:ascii="Arial" w:hAnsi="Arial" w:cs="Arial"/>
          <w:color w:val="000000" w:themeColor="text1"/>
        </w:rPr>
      </w:pPr>
    </w:p>
    <w:p w14:paraId="2AF364A8" w14:textId="77777777" w:rsidR="00A82D0B" w:rsidRDefault="00A82D0B" w:rsidP="00A82D0B">
      <w:pPr>
        <w:pStyle w:val="NormalWeb"/>
        <w:spacing w:line="360" w:lineRule="auto"/>
        <w:rPr>
          <w:rFonts w:ascii="Arial" w:hAnsi="Arial" w:cs="Arial"/>
          <w:color w:val="000000" w:themeColor="text1"/>
        </w:rPr>
      </w:pPr>
    </w:p>
    <w:p w14:paraId="78679D69" w14:textId="77777777" w:rsidR="00A82D0B" w:rsidRDefault="00A82D0B" w:rsidP="00A82D0B">
      <w:pPr>
        <w:pStyle w:val="NormalWeb"/>
        <w:spacing w:line="360" w:lineRule="auto"/>
        <w:rPr>
          <w:rFonts w:ascii="Arial" w:hAnsi="Arial" w:cs="Arial"/>
          <w:color w:val="000000" w:themeColor="text1"/>
        </w:rPr>
      </w:pPr>
    </w:p>
    <w:p w14:paraId="1DA2CA4E" w14:textId="77777777" w:rsidR="00A82D0B" w:rsidRDefault="00A82D0B" w:rsidP="00A82D0B">
      <w:pPr>
        <w:pStyle w:val="NormalWeb"/>
        <w:spacing w:line="360" w:lineRule="auto"/>
        <w:rPr>
          <w:rFonts w:ascii="Arial" w:hAnsi="Arial" w:cs="Arial"/>
          <w:color w:val="000000" w:themeColor="text1"/>
        </w:rPr>
      </w:pPr>
    </w:p>
    <w:p w14:paraId="5098C985" w14:textId="77777777" w:rsidR="00A82D0B" w:rsidRDefault="00A82D0B" w:rsidP="00A82D0B">
      <w:pPr>
        <w:pStyle w:val="NormalWeb"/>
        <w:spacing w:line="360" w:lineRule="auto"/>
        <w:rPr>
          <w:rFonts w:ascii="Arial" w:hAnsi="Arial" w:cs="Arial"/>
          <w:color w:val="000000" w:themeColor="text1"/>
        </w:rPr>
      </w:pPr>
    </w:p>
    <w:p w14:paraId="108CC459" w14:textId="66D94879" w:rsidR="00A82D0B" w:rsidRPr="00A82D0B" w:rsidRDefault="00A82D0B" w:rsidP="00A82D0B">
      <w:pPr>
        <w:pStyle w:val="Header"/>
        <w:spacing w:line="360" w:lineRule="auto"/>
        <w:jc w:val="center"/>
      </w:pPr>
      <w:r w:rsidRPr="001E029A">
        <w:t xml:space="preserve">I acknowledge the use of </w:t>
      </w:r>
      <w:r>
        <w:t>Grammarly</w:t>
      </w:r>
      <w:r w:rsidRPr="001E029A">
        <w:t xml:space="preserve"> on </w:t>
      </w:r>
      <w:r>
        <w:t>06.06.25</w:t>
      </w:r>
      <w:r>
        <w:t xml:space="preserve"> </w:t>
      </w:r>
      <w:r w:rsidRPr="001E029A">
        <w:t xml:space="preserve">to </w:t>
      </w:r>
      <w:r>
        <w:t>check my grammar and spellcheck</w:t>
      </w:r>
      <w:r w:rsidRPr="001E029A">
        <w:t>.</w:t>
      </w:r>
      <w:r>
        <w:t xml:space="preserve"> I have not used any AI wording in my work.</w:t>
      </w:r>
    </w:p>
    <w:p w14:paraId="6889B5B7" w14:textId="77777777" w:rsidR="00A81005" w:rsidRPr="00A82D0B" w:rsidRDefault="00A81005" w:rsidP="00A82D0B">
      <w:pPr>
        <w:pStyle w:val="NormalWeb"/>
        <w:spacing w:line="360" w:lineRule="auto"/>
        <w:rPr>
          <w:rFonts w:ascii="Arial" w:hAnsi="Arial" w:cs="Arial"/>
          <w:color w:val="000000" w:themeColor="text1"/>
          <w:u w:val="single"/>
        </w:rPr>
      </w:pPr>
      <w:r w:rsidRPr="00A82D0B">
        <w:rPr>
          <w:rStyle w:val="Strong"/>
          <w:rFonts w:ascii="Arial" w:eastAsiaTheme="majorEastAsia" w:hAnsi="Arial" w:cs="Arial"/>
          <w:b w:val="0"/>
          <w:bCs w:val="0"/>
          <w:color w:val="000000" w:themeColor="text1"/>
          <w:u w:val="single"/>
        </w:rPr>
        <w:t>Reference List</w:t>
      </w:r>
    </w:p>
    <w:p w14:paraId="060D20E0" w14:textId="77777777" w:rsidR="00A81005" w:rsidRPr="00A82D0B" w:rsidRDefault="00A81005" w:rsidP="00A82D0B">
      <w:pPr>
        <w:pStyle w:val="NormalWeb"/>
        <w:spacing w:line="360" w:lineRule="auto"/>
        <w:rPr>
          <w:rFonts w:ascii="Arial" w:hAnsi="Arial" w:cs="Arial"/>
          <w:color w:val="000000" w:themeColor="text1"/>
        </w:rPr>
      </w:pPr>
      <w:proofErr w:type="spellStart"/>
      <w:r w:rsidRPr="00A82D0B">
        <w:rPr>
          <w:rFonts w:ascii="Arial" w:hAnsi="Arial" w:cs="Arial"/>
          <w:color w:val="000000" w:themeColor="text1"/>
        </w:rPr>
        <w:t>Broström</w:t>
      </w:r>
      <w:proofErr w:type="spellEnd"/>
      <w:r w:rsidRPr="00A82D0B">
        <w:rPr>
          <w:rFonts w:ascii="Arial" w:hAnsi="Arial" w:cs="Arial"/>
          <w:color w:val="000000" w:themeColor="text1"/>
        </w:rPr>
        <w:t xml:space="preserve">, S. (2012) ‘Assessment and documentation in early childhood education: Balancing different perspectives’, </w:t>
      </w:r>
      <w:r w:rsidRPr="00A82D0B">
        <w:rPr>
          <w:rStyle w:val="Emphasis"/>
          <w:rFonts w:ascii="Arial" w:eastAsiaTheme="majorEastAsia" w:hAnsi="Arial" w:cs="Arial"/>
          <w:color w:val="000000" w:themeColor="text1"/>
        </w:rPr>
        <w:t>European Early Childhood Education Research Journal</w:t>
      </w:r>
      <w:r w:rsidRPr="00A82D0B">
        <w:rPr>
          <w:rFonts w:ascii="Arial" w:hAnsi="Arial" w:cs="Arial"/>
          <w:color w:val="000000" w:themeColor="text1"/>
        </w:rPr>
        <w:t>, 20(4), pp. 523–535.</w:t>
      </w:r>
    </w:p>
    <w:p w14:paraId="40B2DA5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Brown, C. and Johnson, H. (2018) ‘Re-examining developmental norms in early years assessment’, </w:t>
      </w:r>
      <w:r w:rsidRPr="00A82D0B">
        <w:rPr>
          <w:rStyle w:val="Emphasis"/>
          <w:rFonts w:ascii="Arial" w:eastAsiaTheme="majorEastAsia" w:hAnsi="Arial" w:cs="Arial"/>
          <w:color w:val="000000" w:themeColor="text1"/>
        </w:rPr>
        <w:t>International Journal of Early Years Education</w:t>
      </w:r>
      <w:r w:rsidRPr="00A82D0B">
        <w:rPr>
          <w:rFonts w:ascii="Arial" w:hAnsi="Arial" w:cs="Arial"/>
          <w:color w:val="000000" w:themeColor="text1"/>
        </w:rPr>
        <w:t>, 26(2), pp. 115–131.</w:t>
      </w:r>
    </w:p>
    <w:p w14:paraId="286FE2F9"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Brown, S. (2013) ‘Why play matters’, </w:t>
      </w:r>
      <w:r w:rsidRPr="00A82D0B">
        <w:rPr>
          <w:rStyle w:val="Emphasis"/>
          <w:rFonts w:ascii="Arial" w:eastAsiaTheme="majorEastAsia" w:hAnsi="Arial" w:cs="Arial"/>
          <w:color w:val="000000" w:themeColor="text1"/>
        </w:rPr>
        <w:t>Early Years Educator</w:t>
      </w:r>
      <w:r w:rsidRPr="00A82D0B">
        <w:rPr>
          <w:rFonts w:ascii="Arial" w:hAnsi="Arial" w:cs="Arial"/>
          <w:color w:val="000000" w:themeColor="text1"/>
        </w:rPr>
        <w:t>, 15(3), pp. 34–37.</w:t>
      </w:r>
    </w:p>
    <w:p w14:paraId="67634558"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Carr, M. (2001) </w:t>
      </w:r>
      <w:r w:rsidRPr="00A82D0B">
        <w:rPr>
          <w:rStyle w:val="Emphasis"/>
          <w:rFonts w:ascii="Arial" w:eastAsiaTheme="majorEastAsia" w:hAnsi="Arial" w:cs="Arial"/>
          <w:color w:val="000000" w:themeColor="text1"/>
        </w:rPr>
        <w:t>Assessment in early childhood settings: Learning stories</w:t>
      </w:r>
      <w:r w:rsidRPr="00A82D0B">
        <w:rPr>
          <w:rFonts w:ascii="Arial" w:hAnsi="Arial" w:cs="Arial"/>
          <w:color w:val="000000" w:themeColor="text1"/>
        </w:rPr>
        <w:t>. London: Paul Chapman.</w:t>
      </w:r>
    </w:p>
    <w:p w14:paraId="66682778"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Department for Education (DfE) (2021) </w:t>
      </w:r>
      <w:r w:rsidRPr="00A82D0B">
        <w:rPr>
          <w:rStyle w:val="Emphasis"/>
          <w:rFonts w:ascii="Arial" w:eastAsiaTheme="majorEastAsia" w:hAnsi="Arial" w:cs="Arial"/>
          <w:color w:val="000000" w:themeColor="text1"/>
        </w:rPr>
        <w:t>Statutory framework for the Early Years Foundation Stage</w:t>
      </w:r>
      <w:r w:rsidRPr="00A82D0B">
        <w:rPr>
          <w:rFonts w:ascii="Arial" w:hAnsi="Arial" w:cs="Arial"/>
          <w:color w:val="000000" w:themeColor="text1"/>
        </w:rPr>
        <w:t xml:space="preserve">. Available at: </w:t>
      </w:r>
      <w:hyperlink r:id="rId7" w:tgtFrame="_new" w:history="1">
        <w:r w:rsidRPr="00A82D0B">
          <w:rPr>
            <w:rStyle w:val="Hyperlink"/>
            <w:rFonts w:ascii="Arial" w:eastAsiaTheme="majorEastAsia" w:hAnsi="Arial" w:cs="Arial"/>
            <w:color w:val="000000" w:themeColor="text1"/>
          </w:rPr>
          <w:t>https://www.gov.uk/government/publications/early-years-foundation-stage-framework--2</w:t>
        </w:r>
      </w:hyperlink>
      <w:r w:rsidRPr="00A82D0B">
        <w:rPr>
          <w:rFonts w:ascii="Arial" w:hAnsi="Arial" w:cs="Arial"/>
          <w:color w:val="000000" w:themeColor="text1"/>
        </w:rPr>
        <w:t xml:space="preserve"> (Accessed: 6 June 2025).</w:t>
      </w:r>
    </w:p>
    <w:p w14:paraId="44BF130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Department of Education and Early Childhood Development (2014) </w:t>
      </w:r>
      <w:r w:rsidRPr="00A82D0B">
        <w:rPr>
          <w:rStyle w:val="Emphasis"/>
          <w:rFonts w:ascii="Arial" w:eastAsiaTheme="majorEastAsia" w:hAnsi="Arial" w:cs="Arial"/>
          <w:color w:val="000000" w:themeColor="text1"/>
        </w:rPr>
        <w:t>Family engagement framework</w:t>
      </w:r>
      <w:r w:rsidRPr="00A82D0B">
        <w:rPr>
          <w:rFonts w:ascii="Arial" w:hAnsi="Arial" w:cs="Arial"/>
          <w:color w:val="000000" w:themeColor="text1"/>
        </w:rPr>
        <w:t>. Melbourne: DEECD.</w:t>
      </w:r>
    </w:p>
    <w:p w14:paraId="714953E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Edwards, C. (1998) ‘Partner, nurturer, and guide: The role of the teacher’, in Edwards, C., Gandini, L. and Forman, G. (eds.) </w:t>
      </w:r>
      <w:r w:rsidRPr="00A82D0B">
        <w:rPr>
          <w:rStyle w:val="Emphasis"/>
          <w:rFonts w:ascii="Arial" w:eastAsiaTheme="majorEastAsia" w:hAnsi="Arial" w:cs="Arial"/>
          <w:color w:val="000000" w:themeColor="text1"/>
        </w:rPr>
        <w:t>The hundred languages of children: The Reggio Emilia approach—Advanced reflections</w:t>
      </w:r>
      <w:r w:rsidRPr="00A82D0B">
        <w:rPr>
          <w:rFonts w:ascii="Arial" w:hAnsi="Arial" w:cs="Arial"/>
          <w:color w:val="000000" w:themeColor="text1"/>
        </w:rPr>
        <w:t xml:space="preserve">. 2nd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xml:space="preserve">. Greenwich, CT: </w:t>
      </w:r>
      <w:proofErr w:type="spellStart"/>
      <w:r w:rsidRPr="00A82D0B">
        <w:rPr>
          <w:rFonts w:ascii="Arial" w:hAnsi="Arial" w:cs="Arial"/>
          <w:color w:val="000000" w:themeColor="text1"/>
        </w:rPr>
        <w:t>Ablex</w:t>
      </w:r>
      <w:proofErr w:type="spellEnd"/>
      <w:r w:rsidRPr="00A82D0B">
        <w:rPr>
          <w:rFonts w:ascii="Arial" w:hAnsi="Arial" w:cs="Arial"/>
          <w:color w:val="000000" w:themeColor="text1"/>
        </w:rPr>
        <w:t>, pp. 179–198.</w:t>
      </w:r>
    </w:p>
    <w:p w14:paraId="25256BEA"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Edwards, C. P. (2002) ‘Three approaches from Europe: Waldorf, Montessori, and Reggio Emilia’, </w:t>
      </w:r>
      <w:r w:rsidRPr="00A82D0B">
        <w:rPr>
          <w:rStyle w:val="Emphasis"/>
          <w:rFonts w:ascii="Arial" w:eastAsiaTheme="majorEastAsia" w:hAnsi="Arial" w:cs="Arial"/>
          <w:color w:val="000000" w:themeColor="text1"/>
        </w:rPr>
        <w:t>Early Childhood Research &amp; Practice</w:t>
      </w:r>
      <w:r w:rsidRPr="00A82D0B">
        <w:rPr>
          <w:rFonts w:ascii="Arial" w:hAnsi="Arial" w:cs="Arial"/>
          <w:color w:val="000000" w:themeColor="text1"/>
        </w:rPr>
        <w:t xml:space="preserve">, 4(1). Available at: </w:t>
      </w:r>
      <w:hyperlink r:id="rId8" w:tgtFrame="_new" w:history="1">
        <w:r w:rsidRPr="00A82D0B">
          <w:rPr>
            <w:rStyle w:val="Hyperlink"/>
            <w:rFonts w:ascii="Arial" w:eastAsiaTheme="majorEastAsia" w:hAnsi="Arial" w:cs="Arial"/>
            <w:color w:val="000000" w:themeColor="text1"/>
          </w:rPr>
          <w:t>https://ecrp.uiuc.edu/v4n1/edwards.html</w:t>
        </w:r>
      </w:hyperlink>
      <w:r w:rsidRPr="00A82D0B">
        <w:rPr>
          <w:rFonts w:ascii="Arial" w:hAnsi="Arial" w:cs="Arial"/>
          <w:color w:val="000000" w:themeColor="text1"/>
        </w:rPr>
        <w:t xml:space="preserve"> (Accessed: 6 June 2025).</w:t>
      </w:r>
    </w:p>
    <w:p w14:paraId="27A9A82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lastRenderedPageBreak/>
        <w:t xml:space="preserve">Edwards, C., Gandini, L. and Forman, G. (2012) </w:t>
      </w:r>
      <w:r w:rsidRPr="00A82D0B">
        <w:rPr>
          <w:rStyle w:val="Emphasis"/>
          <w:rFonts w:ascii="Arial" w:eastAsiaTheme="majorEastAsia" w:hAnsi="Arial" w:cs="Arial"/>
          <w:color w:val="000000" w:themeColor="text1"/>
        </w:rPr>
        <w:t>The hundred languages of children: The Reggio Emilia experience in transformation</w:t>
      </w:r>
      <w:r w:rsidRPr="00A82D0B">
        <w:rPr>
          <w:rFonts w:ascii="Arial" w:hAnsi="Arial" w:cs="Arial"/>
          <w:color w:val="000000" w:themeColor="text1"/>
        </w:rPr>
        <w:t xml:space="preserve">. 3rd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Santa Barbara, CA: Praeger.</w:t>
      </w:r>
    </w:p>
    <w:p w14:paraId="32A3D5B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Gandini, L. (2011) ‘Play and the hundred languages of children’, </w:t>
      </w:r>
      <w:r w:rsidRPr="00A82D0B">
        <w:rPr>
          <w:rStyle w:val="Emphasis"/>
          <w:rFonts w:ascii="Arial" w:eastAsiaTheme="majorEastAsia" w:hAnsi="Arial" w:cs="Arial"/>
          <w:color w:val="000000" w:themeColor="text1"/>
        </w:rPr>
        <w:t>American Journal of Play</w:t>
      </w:r>
      <w:r w:rsidRPr="00A82D0B">
        <w:rPr>
          <w:rFonts w:ascii="Arial" w:hAnsi="Arial" w:cs="Arial"/>
          <w:color w:val="000000" w:themeColor="text1"/>
        </w:rPr>
        <w:t>, 4(1), pp. 1–19.</w:t>
      </w:r>
    </w:p>
    <w:p w14:paraId="524A1A7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Goodall, J. and Montgomery, C. (2014) ‘Parental involvement to parental engagement: A continuum’, </w:t>
      </w:r>
      <w:r w:rsidRPr="00A82D0B">
        <w:rPr>
          <w:rStyle w:val="Emphasis"/>
          <w:rFonts w:ascii="Arial" w:eastAsiaTheme="majorEastAsia" w:hAnsi="Arial" w:cs="Arial"/>
          <w:color w:val="000000" w:themeColor="text1"/>
        </w:rPr>
        <w:t>Educational Review</w:t>
      </w:r>
      <w:r w:rsidRPr="00A82D0B">
        <w:rPr>
          <w:rFonts w:ascii="Arial" w:hAnsi="Arial" w:cs="Arial"/>
          <w:color w:val="000000" w:themeColor="text1"/>
        </w:rPr>
        <w:t>, 66(4), pp. 399–410.</w:t>
      </w:r>
    </w:p>
    <w:p w14:paraId="7FE5B99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Gray, P. (2011) ‘The decline of play and the rise of psychopathology in children and adolescents’, </w:t>
      </w:r>
      <w:r w:rsidRPr="00A82D0B">
        <w:rPr>
          <w:rStyle w:val="Emphasis"/>
          <w:rFonts w:ascii="Arial" w:eastAsiaTheme="majorEastAsia" w:hAnsi="Arial" w:cs="Arial"/>
          <w:color w:val="000000" w:themeColor="text1"/>
        </w:rPr>
        <w:t>American Journal of Play</w:t>
      </w:r>
      <w:r w:rsidRPr="00A82D0B">
        <w:rPr>
          <w:rFonts w:ascii="Arial" w:hAnsi="Arial" w:cs="Arial"/>
          <w:color w:val="000000" w:themeColor="text1"/>
        </w:rPr>
        <w:t>, 3(4), pp. 443–463.</w:t>
      </w:r>
    </w:p>
    <w:p w14:paraId="2B0DD3D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Hewett, V. M. (2001) ‘Assessing young children’s learning and development: Observations, portfolios and checklists’, </w:t>
      </w:r>
      <w:r w:rsidRPr="00A82D0B">
        <w:rPr>
          <w:rStyle w:val="Emphasis"/>
          <w:rFonts w:ascii="Arial" w:eastAsiaTheme="majorEastAsia" w:hAnsi="Arial" w:cs="Arial"/>
          <w:color w:val="000000" w:themeColor="text1"/>
        </w:rPr>
        <w:t>Early Child Development and Care</w:t>
      </w:r>
      <w:r w:rsidRPr="00A82D0B">
        <w:rPr>
          <w:rFonts w:ascii="Arial" w:hAnsi="Arial" w:cs="Arial"/>
          <w:color w:val="000000" w:themeColor="text1"/>
        </w:rPr>
        <w:t>, 166(1), pp. 23–35.</w:t>
      </w:r>
    </w:p>
    <w:p w14:paraId="4C839313"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Isaacs, B. (2012) </w:t>
      </w:r>
      <w:r w:rsidRPr="00A82D0B">
        <w:rPr>
          <w:rStyle w:val="Emphasis"/>
          <w:rFonts w:ascii="Arial" w:eastAsiaTheme="majorEastAsia" w:hAnsi="Arial" w:cs="Arial"/>
          <w:color w:val="000000" w:themeColor="text1"/>
        </w:rPr>
        <w:t>Understanding the Montessori approach: Early years education in practice</w:t>
      </w:r>
      <w:r w:rsidRPr="00A82D0B">
        <w:rPr>
          <w:rFonts w:ascii="Arial" w:hAnsi="Arial" w:cs="Arial"/>
          <w:color w:val="000000" w:themeColor="text1"/>
        </w:rPr>
        <w:t>. London: Routledge.</w:t>
      </w:r>
    </w:p>
    <w:p w14:paraId="6EAE28CD"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Lillard, A. S. (2005) </w:t>
      </w:r>
      <w:r w:rsidRPr="00A82D0B">
        <w:rPr>
          <w:rStyle w:val="Emphasis"/>
          <w:rFonts w:ascii="Arial" w:eastAsiaTheme="majorEastAsia" w:hAnsi="Arial" w:cs="Arial"/>
          <w:color w:val="000000" w:themeColor="text1"/>
        </w:rPr>
        <w:t>Montessori: The science behind the genius</w:t>
      </w:r>
      <w:r w:rsidRPr="00A82D0B">
        <w:rPr>
          <w:rFonts w:ascii="Arial" w:hAnsi="Arial" w:cs="Arial"/>
          <w:color w:val="000000" w:themeColor="text1"/>
        </w:rPr>
        <w:t>. New York: Oxford University Press.</w:t>
      </w:r>
    </w:p>
    <w:p w14:paraId="2A6025B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Lillard, A. S. (2011) ‘Mindfulness practices in education: Montessori’s approach’, </w:t>
      </w:r>
      <w:r w:rsidRPr="00A82D0B">
        <w:rPr>
          <w:rStyle w:val="Emphasis"/>
          <w:rFonts w:ascii="Arial" w:eastAsiaTheme="majorEastAsia" w:hAnsi="Arial" w:cs="Arial"/>
          <w:color w:val="000000" w:themeColor="text1"/>
        </w:rPr>
        <w:t>Mind, Brain, and Education</w:t>
      </w:r>
      <w:r w:rsidRPr="00A82D0B">
        <w:rPr>
          <w:rFonts w:ascii="Arial" w:hAnsi="Arial" w:cs="Arial"/>
          <w:color w:val="000000" w:themeColor="text1"/>
        </w:rPr>
        <w:t>, 5(2), pp. 89–96.</w:t>
      </w:r>
    </w:p>
    <w:p w14:paraId="45932D2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Lillard, A. S. (2017) ‘Montessori: The essence’, </w:t>
      </w:r>
      <w:r w:rsidRPr="00A82D0B">
        <w:rPr>
          <w:rStyle w:val="Emphasis"/>
          <w:rFonts w:ascii="Arial" w:eastAsiaTheme="majorEastAsia" w:hAnsi="Arial" w:cs="Arial"/>
          <w:color w:val="000000" w:themeColor="text1"/>
        </w:rPr>
        <w:t>Journal of Montessori Research</w:t>
      </w:r>
      <w:r w:rsidRPr="00A82D0B">
        <w:rPr>
          <w:rFonts w:ascii="Arial" w:hAnsi="Arial" w:cs="Arial"/>
          <w:color w:val="000000" w:themeColor="text1"/>
        </w:rPr>
        <w:t>, 3(1), pp. 1–12.</w:t>
      </w:r>
    </w:p>
    <w:p w14:paraId="3A3804F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Little, H. (2011) ‘Outdoor play: Does avoiding the risks reduce the benefits?’, </w:t>
      </w:r>
      <w:r w:rsidRPr="00A82D0B">
        <w:rPr>
          <w:rStyle w:val="Emphasis"/>
          <w:rFonts w:ascii="Arial" w:eastAsiaTheme="majorEastAsia" w:hAnsi="Arial" w:cs="Arial"/>
          <w:color w:val="000000" w:themeColor="text1"/>
        </w:rPr>
        <w:t>European Early Childhood Education Research Journal</w:t>
      </w:r>
      <w:r w:rsidRPr="00A82D0B">
        <w:rPr>
          <w:rFonts w:ascii="Arial" w:hAnsi="Arial" w:cs="Arial"/>
          <w:color w:val="000000" w:themeColor="text1"/>
        </w:rPr>
        <w:t>, 19(1), pp. 113–125.</w:t>
      </w:r>
    </w:p>
    <w:p w14:paraId="122247E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Malaguzzi, L. (1996) ‘The hundred languages of children’, in Edwards, C., Gandini, L. and Forman, G. (eds.) </w:t>
      </w:r>
      <w:r w:rsidRPr="00A82D0B">
        <w:rPr>
          <w:rStyle w:val="Emphasis"/>
          <w:rFonts w:ascii="Arial" w:eastAsiaTheme="majorEastAsia" w:hAnsi="Arial" w:cs="Arial"/>
          <w:color w:val="000000" w:themeColor="text1"/>
        </w:rPr>
        <w:t>The hundred languages of children: The Reggio Emilia approach—Advanced reflections</w:t>
      </w:r>
      <w:r w:rsidRPr="00A82D0B">
        <w:rPr>
          <w:rFonts w:ascii="Arial" w:hAnsi="Arial" w:cs="Arial"/>
          <w:color w:val="000000" w:themeColor="text1"/>
        </w:rPr>
        <w:t xml:space="preserve">. 2nd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xml:space="preserve">. Greenwich, CT: </w:t>
      </w:r>
      <w:proofErr w:type="spellStart"/>
      <w:r w:rsidRPr="00A82D0B">
        <w:rPr>
          <w:rFonts w:ascii="Arial" w:hAnsi="Arial" w:cs="Arial"/>
          <w:color w:val="000000" w:themeColor="text1"/>
        </w:rPr>
        <w:t>Ablex</w:t>
      </w:r>
      <w:proofErr w:type="spellEnd"/>
      <w:r w:rsidRPr="00A82D0B">
        <w:rPr>
          <w:rFonts w:ascii="Arial" w:hAnsi="Arial" w:cs="Arial"/>
          <w:color w:val="000000" w:themeColor="text1"/>
        </w:rPr>
        <w:t>, pp. 3–10.</w:t>
      </w:r>
    </w:p>
    <w:p w14:paraId="482C2A4D"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lastRenderedPageBreak/>
        <w:t xml:space="preserve">Miller, L. and Pound, L. (2011) </w:t>
      </w:r>
      <w:r w:rsidRPr="00A82D0B">
        <w:rPr>
          <w:rStyle w:val="Emphasis"/>
          <w:rFonts w:ascii="Arial" w:eastAsiaTheme="majorEastAsia" w:hAnsi="Arial" w:cs="Arial"/>
          <w:color w:val="000000" w:themeColor="text1"/>
        </w:rPr>
        <w:t>Theories and approaches to learning in the early years</w:t>
      </w:r>
      <w:r w:rsidRPr="00A82D0B">
        <w:rPr>
          <w:rFonts w:ascii="Arial" w:hAnsi="Arial" w:cs="Arial"/>
          <w:color w:val="000000" w:themeColor="text1"/>
        </w:rPr>
        <w:t>. London: SAGE.</w:t>
      </w:r>
    </w:p>
    <w:p w14:paraId="615FA23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Montessori, M. (1967) </w:t>
      </w:r>
      <w:r w:rsidRPr="00A82D0B">
        <w:rPr>
          <w:rStyle w:val="Emphasis"/>
          <w:rFonts w:ascii="Arial" w:eastAsiaTheme="majorEastAsia" w:hAnsi="Arial" w:cs="Arial"/>
          <w:color w:val="000000" w:themeColor="text1"/>
        </w:rPr>
        <w:t>The absorbent mind</w:t>
      </w:r>
      <w:r w:rsidRPr="00A82D0B">
        <w:rPr>
          <w:rFonts w:ascii="Arial" w:hAnsi="Arial" w:cs="Arial"/>
          <w:color w:val="000000" w:themeColor="text1"/>
        </w:rPr>
        <w:t>. New York: Holt, Rinehart &amp; Winston.</w:t>
      </w:r>
    </w:p>
    <w:p w14:paraId="2CDEF47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Montessori, M. (1967) </w:t>
      </w:r>
      <w:r w:rsidRPr="00A82D0B">
        <w:rPr>
          <w:rStyle w:val="Emphasis"/>
          <w:rFonts w:ascii="Arial" w:eastAsiaTheme="majorEastAsia" w:hAnsi="Arial" w:cs="Arial"/>
          <w:color w:val="000000" w:themeColor="text1"/>
        </w:rPr>
        <w:t>The discovery of the child</w:t>
      </w:r>
      <w:r w:rsidRPr="00A82D0B">
        <w:rPr>
          <w:rFonts w:ascii="Arial" w:hAnsi="Arial" w:cs="Arial"/>
          <w:color w:val="000000" w:themeColor="text1"/>
        </w:rPr>
        <w:t>. New York: Ballantine Books.</w:t>
      </w:r>
    </w:p>
    <w:p w14:paraId="0054727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Moss, P. (2016) </w:t>
      </w:r>
      <w:r w:rsidRPr="00A82D0B">
        <w:rPr>
          <w:rStyle w:val="Emphasis"/>
          <w:rFonts w:ascii="Arial" w:eastAsiaTheme="majorEastAsia" w:hAnsi="Arial" w:cs="Arial"/>
          <w:color w:val="000000" w:themeColor="text1"/>
        </w:rPr>
        <w:t>Loris Malaguzzi and the schools of Reggio Emilia: A selection of his writings and speeches, 1945–1993</w:t>
      </w:r>
      <w:r w:rsidRPr="00A82D0B">
        <w:rPr>
          <w:rFonts w:ascii="Arial" w:hAnsi="Arial" w:cs="Arial"/>
          <w:color w:val="000000" w:themeColor="text1"/>
        </w:rPr>
        <w:t>. London: Routledge.</w:t>
      </w:r>
    </w:p>
    <w:p w14:paraId="42B6EEEE"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Moyles, J., Adams, S. and Musgrove, A. (2002) </w:t>
      </w:r>
      <w:r w:rsidRPr="00A82D0B">
        <w:rPr>
          <w:rStyle w:val="Emphasis"/>
          <w:rFonts w:ascii="Arial" w:eastAsiaTheme="majorEastAsia" w:hAnsi="Arial" w:cs="Arial"/>
          <w:color w:val="000000" w:themeColor="text1"/>
        </w:rPr>
        <w:t>Play in the early years</w:t>
      </w:r>
      <w:r w:rsidRPr="00A82D0B">
        <w:rPr>
          <w:rFonts w:ascii="Arial" w:hAnsi="Arial" w:cs="Arial"/>
          <w:color w:val="000000" w:themeColor="text1"/>
        </w:rPr>
        <w:t xml:space="preserve">. 3rd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London: Open University Press.</w:t>
      </w:r>
    </w:p>
    <w:p w14:paraId="7EF8FBCC" w14:textId="77777777" w:rsidR="00A81005" w:rsidRPr="00A82D0B" w:rsidRDefault="00A81005" w:rsidP="00A82D0B">
      <w:pPr>
        <w:pStyle w:val="NormalWeb"/>
        <w:spacing w:line="360" w:lineRule="auto"/>
        <w:rPr>
          <w:rFonts w:ascii="Arial" w:hAnsi="Arial" w:cs="Arial"/>
          <w:color w:val="000000" w:themeColor="text1"/>
        </w:rPr>
      </w:pPr>
      <w:proofErr w:type="spellStart"/>
      <w:r w:rsidRPr="00A82D0B">
        <w:rPr>
          <w:rFonts w:ascii="Arial" w:hAnsi="Arial" w:cs="Arial"/>
          <w:color w:val="000000" w:themeColor="text1"/>
        </w:rPr>
        <w:t>Neaum</w:t>
      </w:r>
      <w:proofErr w:type="spellEnd"/>
      <w:r w:rsidRPr="00A82D0B">
        <w:rPr>
          <w:rFonts w:ascii="Arial" w:hAnsi="Arial" w:cs="Arial"/>
          <w:color w:val="000000" w:themeColor="text1"/>
        </w:rPr>
        <w:t xml:space="preserve">, S. (2018) </w:t>
      </w:r>
      <w:r w:rsidRPr="00A82D0B">
        <w:rPr>
          <w:rStyle w:val="Emphasis"/>
          <w:rFonts w:ascii="Arial" w:eastAsiaTheme="majorEastAsia" w:hAnsi="Arial" w:cs="Arial"/>
          <w:color w:val="000000" w:themeColor="text1"/>
        </w:rPr>
        <w:t>Child development: A practitioner’s guide</w:t>
      </w:r>
      <w:r w:rsidRPr="00A82D0B">
        <w:rPr>
          <w:rFonts w:ascii="Arial" w:hAnsi="Arial" w:cs="Arial"/>
          <w:color w:val="000000" w:themeColor="text1"/>
        </w:rPr>
        <w:t xml:space="preserve">. 3rd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London: Sage.</w:t>
      </w:r>
    </w:p>
    <w:p w14:paraId="30E0B97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Nicholson, S. (1971) ‘How not to cheat children: The theory of loose parts’, </w:t>
      </w:r>
      <w:r w:rsidRPr="00A82D0B">
        <w:rPr>
          <w:rStyle w:val="Emphasis"/>
          <w:rFonts w:ascii="Arial" w:eastAsiaTheme="majorEastAsia" w:hAnsi="Arial" w:cs="Arial"/>
          <w:color w:val="000000" w:themeColor="text1"/>
        </w:rPr>
        <w:t>Landscape Architecture</w:t>
      </w:r>
      <w:r w:rsidRPr="00A82D0B">
        <w:rPr>
          <w:rFonts w:ascii="Arial" w:hAnsi="Arial" w:cs="Arial"/>
          <w:color w:val="000000" w:themeColor="text1"/>
        </w:rPr>
        <w:t>, 62(1), pp. 30–34.</w:t>
      </w:r>
    </w:p>
    <w:p w14:paraId="3837195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Nutbrown, C. (2018) </w:t>
      </w:r>
      <w:r w:rsidRPr="00A82D0B">
        <w:rPr>
          <w:rStyle w:val="Emphasis"/>
          <w:rFonts w:ascii="Arial" w:eastAsiaTheme="majorEastAsia" w:hAnsi="Arial" w:cs="Arial"/>
          <w:color w:val="000000" w:themeColor="text1"/>
        </w:rPr>
        <w:t>Early childhood education: History, philosophy and experience</w:t>
      </w:r>
      <w:r w:rsidRPr="00A82D0B">
        <w:rPr>
          <w:rFonts w:ascii="Arial" w:hAnsi="Arial" w:cs="Arial"/>
          <w:color w:val="000000" w:themeColor="text1"/>
        </w:rPr>
        <w:t xml:space="preserve">. 2nd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London: Sage.</w:t>
      </w:r>
    </w:p>
    <w:p w14:paraId="34D2F62B"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Pellegrini, A. (2009) </w:t>
      </w:r>
      <w:r w:rsidRPr="00A82D0B">
        <w:rPr>
          <w:rStyle w:val="Emphasis"/>
          <w:rFonts w:ascii="Arial" w:eastAsiaTheme="majorEastAsia" w:hAnsi="Arial" w:cs="Arial"/>
          <w:color w:val="000000" w:themeColor="text1"/>
        </w:rPr>
        <w:t>The role of play in human development</w:t>
      </w:r>
      <w:r w:rsidRPr="00A82D0B">
        <w:rPr>
          <w:rFonts w:ascii="Arial" w:hAnsi="Arial" w:cs="Arial"/>
          <w:color w:val="000000" w:themeColor="text1"/>
        </w:rPr>
        <w:t>. Oxford: Oxford University Press.</w:t>
      </w:r>
    </w:p>
    <w:p w14:paraId="1C3A9CE0"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Pyle, A. and </w:t>
      </w:r>
      <w:proofErr w:type="spellStart"/>
      <w:r w:rsidRPr="00A82D0B">
        <w:rPr>
          <w:rFonts w:ascii="Arial" w:hAnsi="Arial" w:cs="Arial"/>
          <w:color w:val="000000" w:themeColor="text1"/>
        </w:rPr>
        <w:t>Danniels</w:t>
      </w:r>
      <w:proofErr w:type="spellEnd"/>
      <w:r w:rsidRPr="00A82D0B">
        <w:rPr>
          <w:rFonts w:ascii="Arial" w:hAnsi="Arial" w:cs="Arial"/>
          <w:color w:val="000000" w:themeColor="text1"/>
        </w:rPr>
        <w:t xml:space="preserve">, E. (2017) ‘A continuum of play-based learning: The role of the teacher in play-based pedagogy and the fear of hijacking play’, </w:t>
      </w:r>
      <w:r w:rsidRPr="00A82D0B">
        <w:rPr>
          <w:rStyle w:val="Emphasis"/>
          <w:rFonts w:ascii="Arial" w:eastAsiaTheme="majorEastAsia" w:hAnsi="Arial" w:cs="Arial"/>
          <w:color w:val="000000" w:themeColor="text1"/>
        </w:rPr>
        <w:t>Early Education and Development</w:t>
      </w:r>
      <w:r w:rsidRPr="00A82D0B">
        <w:rPr>
          <w:rFonts w:ascii="Arial" w:hAnsi="Arial" w:cs="Arial"/>
          <w:color w:val="000000" w:themeColor="text1"/>
        </w:rPr>
        <w:t>, 28(3), pp. 274–289.</w:t>
      </w:r>
    </w:p>
    <w:p w14:paraId="0FA0FB45"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Rinaldi, C. (2006) </w:t>
      </w:r>
      <w:r w:rsidRPr="00A82D0B">
        <w:rPr>
          <w:rStyle w:val="Emphasis"/>
          <w:rFonts w:ascii="Arial" w:eastAsiaTheme="majorEastAsia" w:hAnsi="Arial" w:cs="Arial"/>
          <w:color w:val="000000" w:themeColor="text1"/>
        </w:rPr>
        <w:t>In dialogue with Reggio Emilia: Listening, researching and learning</w:t>
      </w:r>
      <w:r w:rsidRPr="00A82D0B">
        <w:rPr>
          <w:rFonts w:ascii="Arial" w:hAnsi="Arial" w:cs="Arial"/>
          <w:color w:val="000000" w:themeColor="text1"/>
        </w:rPr>
        <w:t>. London: Routledge.</w:t>
      </w:r>
    </w:p>
    <w:p w14:paraId="2DD43AE4"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Siraj-Blatchford, I. (2010) ‘The challenge of learning through play’, </w:t>
      </w:r>
      <w:r w:rsidRPr="00A82D0B">
        <w:rPr>
          <w:rStyle w:val="Emphasis"/>
          <w:rFonts w:ascii="Arial" w:eastAsiaTheme="majorEastAsia" w:hAnsi="Arial" w:cs="Arial"/>
          <w:color w:val="000000" w:themeColor="text1"/>
        </w:rPr>
        <w:t>Early Years</w:t>
      </w:r>
      <w:r w:rsidRPr="00A82D0B">
        <w:rPr>
          <w:rFonts w:ascii="Arial" w:hAnsi="Arial" w:cs="Arial"/>
          <w:color w:val="000000" w:themeColor="text1"/>
        </w:rPr>
        <w:t>, 30(2), pp. 143–154.</w:t>
      </w:r>
    </w:p>
    <w:p w14:paraId="41E418D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Strong-Wilson, T. and Ellis, J. (2007) ‘Children and place: Reggio Emilia’s environment as third teacher’, </w:t>
      </w:r>
      <w:r w:rsidRPr="00A82D0B">
        <w:rPr>
          <w:rStyle w:val="Emphasis"/>
          <w:rFonts w:ascii="Arial" w:eastAsiaTheme="majorEastAsia" w:hAnsi="Arial" w:cs="Arial"/>
          <w:color w:val="000000" w:themeColor="text1"/>
        </w:rPr>
        <w:t>Theory into Practice</w:t>
      </w:r>
      <w:r w:rsidRPr="00A82D0B">
        <w:rPr>
          <w:rFonts w:ascii="Arial" w:hAnsi="Arial" w:cs="Arial"/>
          <w:color w:val="000000" w:themeColor="text1"/>
        </w:rPr>
        <w:t>, 46(1), pp. 40–47.</w:t>
      </w:r>
    </w:p>
    <w:p w14:paraId="6699CC0A"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lastRenderedPageBreak/>
        <w:t xml:space="preserve">Squires, J., Bricker, D., Heo, K., Twombly, E. and Murphy, K. (2009) </w:t>
      </w:r>
      <w:r w:rsidRPr="00A82D0B">
        <w:rPr>
          <w:rStyle w:val="Emphasis"/>
          <w:rFonts w:ascii="Arial" w:eastAsiaTheme="majorEastAsia" w:hAnsi="Arial" w:cs="Arial"/>
          <w:color w:val="000000" w:themeColor="text1"/>
        </w:rPr>
        <w:t>Ages &amp; Stages Questionnaires, Third Edition (ASQ-3)</w:t>
      </w:r>
      <w:r w:rsidRPr="00A82D0B">
        <w:rPr>
          <w:rFonts w:ascii="Arial" w:hAnsi="Arial" w:cs="Arial"/>
          <w:color w:val="000000" w:themeColor="text1"/>
        </w:rPr>
        <w:t>. Baltimore, MD: Brookes Publishing.</w:t>
      </w:r>
    </w:p>
    <w:p w14:paraId="353596F7"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Sylva, K., </w:t>
      </w:r>
      <w:proofErr w:type="spellStart"/>
      <w:r w:rsidRPr="00A82D0B">
        <w:rPr>
          <w:rFonts w:ascii="Arial" w:hAnsi="Arial" w:cs="Arial"/>
          <w:color w:val="000000" w:themeColor="text1"/>
        </w:rPr>
        <w:t>Melhuish</w:t>
      </w:r>
      <w:proofErr w:type="spellEnd"/>
      <w:r w:rsidRPr="00A82D0B">
        <w:rPr>
          <w:rFonts w:ascii="Arial" w:hAnsi="Arial" w:cs="Arial"/>
          <w:color w:val="000000" w:themeColor="text1"/>
        </w:rPr>
        <w:t xml:space="preserve">, E., Sammons, P., Siraj-Blatchford, I. and Taggart, B. (2010) </w:t>
      </w:r>
      <w:r w:rsidRPr="00A82D0B">
        <w:rPr>
          <w:rStyle w:val="Emphasis"/>
          <w:rFonts w:ascii="Arial" w:eastAsiaTheme="majorEastAsia" w:hAnsi="Arial" w:cs="Arial"/>
          <w:color w:val="000000" w:themeColor="text1"/>
        </w:rPr>
        <w:t>Early childhood matters: Evidence from the Effective Pre-school and Primary Education project</w:t>
      </w:r>
      <w:r w:rsidRPr="00A82D0B">
        <w:rPr>
          <w:rFonts w:ascii="Arial" w:hAnsi="Arial" w:cs="Arial"/>
          <w:color w:val="000000" w:themeColor="text1"/>
        </w:rPr>
        <w:t>. London: Routledge.</w:t>
      </w:r>
    </w:p>
    <w:p w14:paraId="63ED5AD1"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Vecchi, V. (2010) </w:t>
      </w:r>
      <w:r w:rsidRPr="00A82D0B">
        <w:rPr>
          <w:rStyle w:val="Emphasis"/>
          <w:rFonts w:ascii="Arial" w:eastAsiaTheme="majorEastAsia" w:hAnsi="Arial" w:cs="Arial"/>
          <w:color w:val="000000" w:themeColor="text1"/>
        </w:rPr>
        <w:t>Art and creativity in Reggio Emilia: Exploring the role and potential of ateliers in early childhood education</w:t>
      </w:r>
      <w:r w:rsidRPr="00A82D0B">
        <w:rPr>
          <w:rFonts w:ascii="Arial" w:hAnsi="Arial" w:cs="Arial"/>
          <w:color w:val="000000" w:themeColor="text1"/>
        </w:rPr>
        <w:t>. London: Routledge.</w:t>
      </w:r>
    </w:p>
    <w:p w14:paraId="23C20302"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Welsh Government (2022) </w:t>
      </w:r>
      <w:r w:rsidRPr="00A82D0B">
        <w:rPr>
          <w:rStyle w:val="Emphasis"/>
          <w:rFonts w:ascii="Arial" w:eastAsiaTheme="majorEastAsia" w:hAnsi="Arial" w:cs="Arial"/>
          <w:color w:val="000000" w:themeColor="text1"/>
        </w:rPr>
        <w:t>Curriculum for Wales: Framework Guidance</w:t>
      </w:r>
      <w:r w:rsidRPr="00A82D0B">
        <w:rPr>
          <w:rFonts w:ascii="Arial" w:hAnsi="Arial" w:cs="Arial"/>
          <w:color w:val="000000" w:themeColor="text1"/>
        </w:rPr>
        <w:t xml:space="preserve">. Available at: </w:t>
      </w:r>
      <w:hyperlink r:id="rId9" w:tgtFrame="_new" w:history="1">
        <w:r w:rsidRPr="00A82D0B">
          <w:rPr>
            <w:rStyle w:val="Hyperlink"/>
            <w:rFonts w:ascii="Arial" w:eastAsiaTheme="majorEastAsia" w:hAnsi="Arial" w:cs="Arial"/>
            <w:color w:val="000000" w:themeColor="text1"/>
          </w:rPr>
          <w:t>https://hwb.gov.wales/curriculum-for-wales</w:t>
        </w:r>
      </w:hyperlink>
      <w:r w:rsidRPr="00A82D0B">
        <w:rPr>
          <w:rFonts w:ascii="Arial" w:hAnsi="Arial" w:cs="Arial"/>
          <w:color w:val="000000" w:themeColor="text1"/>
        </w:rPr>
        <w:t xml:space="preserve"> (Accessed: 6 June 2025).</w:t>
      </w:r>
    </w:p>
    <w:p w14:paraId="64FA1999"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Wood, E. (2014) </w:t>
      </w:r>
      <w:r w:rsidRPr="00A82D0B">
        <w:rPr>
          <w:rStyle w:val="Emphasis"/>
          <w:rFonts w:ascii="Arial" w:eastAsiaTheme="majorEastAsia" w:hAnsi="Arial" w:cs="Arial"/>
          <w:color w:val="000000" w:themeColor="text1"/>
        </w:rPr>
        <w:t>Play, learning and the early childhood curriculum</w:t>
      </w:r>
      <w:r w:rsidRPr="00A82D0B">
        <w:rPr>
          <w:rFonts w:ascii="Arial" w:hAnsi="Arial" w:cs="Arial"/>
          <w:color w:val="000000" w:themeColor="text1"/>
        </w:rPr>
        <w:t xml:space="preserve">. 3rd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London: SAGE.</w:t>
      </w:r>
    </w:p>
    <w:p w14:paraId="69B4F36C" w14:textId="77777777" w:rsidR="00A81005" w:rsidRPr="00A82D0B" w:rsidRDefault="00A81005" w:rsidP="00A82D0B">
      <w:pPr>
        <w:pStyle w:val="NormalWeb"/>
        <w:spacing w:line="360" w:lineRule="auto"/>
        <w:rPr>
          <w:rFonts w:ascii="Arial" w:hAnsi="Arial" w:cs="Arial"/>
          <w:color w:val="000000" w:themeColor="text1"/>
        </w:rPr>
      </w:pPr>
      <w:r w:rsidRPr="00A82D0B">
        <w:rPr>
          <w:rFonts w:ascii="Arial" w:hAnsi="Arial" w:cs="Arial"/>
          <w:color w:val="000000" w:themeColor="text1"/>
        </w:rPr>
        <w:t xml:space="preserve">Wood, E. and Attfield, J. (2005) </w:t>
      </w:r>
      <w:r w:rsidRPr="00A82D0B">
        <w:rPr>
          <w:rStyle w:val="Emphasis"/>
          <w:rFonts w:ascii="Arial" w:eastAsiaTheme="majorEastAsia" w:hAnsi="Arial" w:cs="Arial"/>
          <w:color w:val="000000" w:themeColor="text1"/>
        </w:rPr>
        <w:t>Play, learning and the early childhood curriculum</w:t>
      </w:r>
      <w:r w:rsidRPr="00A82D0B">
        <w:rPr>
          <w:rFonts w:ascii="Arial" w:hAnsi="Arial" w:cs="Arial"/>
          <w:color w:val="000000" w:themeColor="text1"/>
        </w:rPr>
        <w:t xml:space="preserve">. 2nd </w:t>
      </w:r>
      <w:proofErr w:type="spellStart"/>
      <w:r w:rsidRPr="00A82D0B">
        <w:rPr>
          <w:rFonts w:ascii="Arial" w:hAnsi="Arial" w:cs="Arial"/>
          <w:color w:val="000000" w:themeColor="text1"/>
        </w:rPr>
        <w:t>edn</w:t>
      </w:r>
      <w:proofErr w:type="spellEnd"/>
      <w:r w:rsidRPr="00A82D0B">
        <w:rPr>
          <w:rFonts w:ascii="Arial" w:hAnsi="Arial" w:cs="Arial"/>
          <w:color w:val="000000" w:themeColor="text1"/>
        </w:rPr>
        <w:t>. London: Paul Chapman.</w:t>
      </w:r>
    </w:p>
    <w:p w14:paraId="78C520BF" w14:textId="77777777" w:rsidR="00A81005" w:rsidRPr="00A82D0B" w:rsidRDefault="00A81005" w:rsidP="00A82D0B">
      <w:pPr>
        <w:pStyle w:val="NormalWeb"/>
        <w:spacing w:line="360" w:lineRule="auto"/>
        <w:rPr>
          <w:rFonts w:ascii="Arial" w:hAnsi="Arial" w:cs="Arial"/>
          <w:color w:val="000000" w:themeColor="text1"/>
        </w:rPr>
      </w:pPr>
    </w:p>
    <w:p w14:paraId="28C64BB9" w14:textId="77777777" w:rsidR="00A81005" w:rsidRPr="00A82D0B" w:rsidRDefault="00A81005" w:rsidP="00A82D0B">
      <w:pPr>
        <w:spacing w:line="360" w:lineRule="auto"/>
        <w:rPr>
          <w:rFonts w:ascii="Arial" w:hAnsi="Arial" w:cs="Arial"/>
          <w:color w:val="000000" w:themeColor="text1"/>
        </w:rPr>
      </w:pPr>
    </w:p>
    <w:sectPr w:rsidR="00A81005" w:rsidRPr="00A82D0B">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92E2" w14:textId="77777777" w:rsidR="00DC2827" w:rsidRDefault="00DC2827" w:rsidP="00A82D0B">
      <w:r>
        <w:separator/>
      </w:r>
    </w:p>
  </w:endnote>
  <w:endnote w:type="continuationSeparator" w:id="0">
    <w:p w14:paraId="5E504442" w14:textId="77777777" w:rsidR="00DC2827" w:rsidRDefault="00DC2827" w:rsidP="00A82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B1F56" w14:textId="77777777" w:rsidR="00DC2827" w:rsidRDefault="00DC2827" w:rsidP="00A82D0B">
      <w:r>
        <w:separator/>
      </w:r>
    </w:p>
  </w:footnote>
  <w:footnote w:type="continuationSeparator" w:id="0">
    <w:p w14:paraId="6EC5153F" w14:textId="77777777" w:rsidR="00DC2827" w:rsidRDefault="00DC2827" w:rsidP="00A82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DCE14" w14:textId="35437D03" w:rsidR="00A82D0B" w:rsidRDefault="00A82D0B">
    <w:pPr>
      <w:pStyle w:val="Header"/>
    </w:pPr>
    <w:r>
      <w:t>Chloe Stebbings                                                                                                                                ECEY6010</w:t>
    </w:r>
  </w:p>
  <w:p w14:paraId="31D9229D" w14:textId="312705B3" w:rsidR="00A82D0B" w:rsidRDefault="00A82D0B">
    <w:pPr>
      <w:pStyle w:val="Header"/>
    </w:pPr>
    <w:r>
      <w:t xml:space="preserve">University of Trinity Saint David </w:t>
    </w:r>
    <w:r>
      <w:t xml:space="preserve">                                                                                                 </w:t>
    </w:r>
    <w:r>
      <w:t xml:space="preserve">   2424798</w:t>
    </w:r>
  </w:p>
  <w:p w14:paraId="03DFF656" w14:textId="2FB1E7C1" w:rsidR="00A82D0B" w:rsidRDefault="00A82D0B">
    <w:pPr>
      <w:pStyle w:val="Header"/>
    </w:pPr>
    <w:r>
      <w:t>Word Count: 4180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31463"/>
    <w:multiLevelType w:val="multilevel"/>
    <w:tmpl w:val="7D1C0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2371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005"/>
    <w:rsid w:val="00A81005"/>
    <w:rsid w:val="00A82D0B"/>
    <w:rsid w:val="00D0116F"/>
    <w:rsid w:val="00DC2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32BA2"/>
  <w15:chartTrackingRefBased/>
  <w15:docId w15:val="{F1DA165B-D66A-5A4B-8DF9-7C37F91F3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005"/>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810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0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10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810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0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0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0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0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0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0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0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10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810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0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0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0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0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005"/>
    <w:rPr>
      <w:rFonts w:eastAsiaTheme="majorEastAsia" w:cstheme="majorBidi"/>
      <w:color w:val="272727" w:themeColor="text1" w:themeTint="D8"/>
    </w:rPr>
  </w:style>
  <w:style w:type="paragraph" w:styleId="Title">
    <w:name w:val="Title"/>
    <w:basedOn w:val="Normal"/>
    <w:next w:val="Normal"/>
    <w:link w:val="TitleChar"/>
    <w:uiPriority w:val="10"/>
    <w:qFormat/>
    <w:rsid w:val="00A810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0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0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0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005"/>
    <w:pPr>
      <w:spacing w:before="160"/>
      <w:jc w:val="center"/>
    </w:pPr>
    <w:rPr>
      <w:i/>
      <w:iCs/>
      <w:color w:val="404040" w:themeColor="text1" w:themeTint="BF"/>
    </w:rPr>
  </w:style>
  <w:style w:type="character" w:customStyle="1" w:styleId="QuoteChar">
    <w:name w:val="Quote Char"/>
    <w:basedOn w:val="DefaultParagraphFont"/>
    <w:link w:val="Quote"/>
    <w:uiPriority w:val="29"/>
    <w:rsid w:val="00A81005"/>
    <w:rPr>
      <w:i/>
      <w:iCs/>
      <w:color w:val="404040" w:themeColor="text1" w:themeTint="BF"/>
    </w:rPr>
  </w:style>
  <w:style w:type="paragraph" w:styleId="ListParagraph">
    <w:name w:val="List Paragraph"/>
    <w:basedOn w:val="Normal"/>
    <w:uiPriority w:val="34"/>
    <w:qFormat/>
    <w:rsid w:val="00A81005"/>
    <w:pPr>
      <w:ind w:left="720"/>
      <w:contextualSpacing/>
    </w:pPr>
  </w:style>
  <w:style w:type="character" w:styleId="IntenseEmphasis">
    <w:name w:val="Intense Emphasis"/>
    <w:basedOn w:val="DefaultParagraphFont"/>
    <w:uiPriority w:val="21"/>
    <w:qFormat/>
    <w:rsid w:val="00A81005"/>
    <w:rPr>
      <w:i/>
      <w:iCs/>
      <w:color w:val="0F4761" w:themeColor="accent1" w:themeShade="BF"/>
    </w:rPr>
  </w:style>
  <w:style w:type="paragraph" w:styleId="IntenseQuote">
    <w:name w:val="Intense Quote"/>
    <w:basedOn w:val="Normal"/>
    <w:next w:val="Normal"/>
    <w:link w:val="IntenseQuoteChar"/>
    <w:uiPriority w:val="30"/>
    <w:qFormat/>
    <w:rsid w:val="00A810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005"/>
    <w:rPr>
      <w:i/>
      <w:iCs/>
      <w:color w:val="0F4761" w:themeColor="accent1" w:themeShade="BF"/>
    </w:rPr>
  </w:style>
  <w:style w:type="character" w:styleId="IntenseReference">
    <w:name w:val="Intense Reference"/>
    <w:basedOn w:val="DefaultParagraphFont"/>
    <w:uiPriority w:val="32"/>
    <w:qFormat/>
    <w:rsid w:val="00A81005"/>
    <w:rPr>
      <w:b/>
      <w:bCs/>
      <w:smallCaps/>
      <w:color w:val="0F4761" w:themeColor="accent1" w:themeShade="BF"/>
      <w:spacing w:val="5"/>
    </w:rPr>
  </w:style>
  <w:style w:type="paragraph" w:styleId="NormalWeb">
    <w:name w:val="Normal (Web)"/>
    <w:basedOn w:val="Normal"/>
    <w:uiPriority w:val="99"/>
    <w:unhideWhenUsed/>
    <w:rsid w:val="00A81005"/>
    <w:pPr>
      <w:spacing w:before="100" w:beforeAutospacing="1" w:after="100" w:afterAutospacing="1"/>
    </w:pPr>
  </w:style>
  <w:style w:type="character" w:styleId="Strong">
    <w:name w:val="Strong"/>
    <w:basedOn w:val="DefaultParagraphFont"/>
    <w:uiPriority w:val="22"/>
    <w:qFormat/>
    <w:rsid w:val="00A81005"/>
    <w:rPr>
      <w:b/>
      <w:bCs/>
    </w:rPr>
  </w:style>
  <w:style w:type="character" w:styleId="Emphasis">
    <w:name w:val="Emphasis"/>
    <w:basedOn w:val="DefaultParagraphFont"/>
    <w:uiPriority w:val="20"/>
    <w:qFormat/>
    <w:rsid w:val="00A81005"/>
    <w:rPr>
      <w:i/>
      <w:iCs/>
    </w:rPr>
  </w:style>
  <w:style w:type="character" w:styleId="Hyperlink">
    <w:name w:val="Hyperlink"/>
    <w:basedOn w:val="DefaultParagraphFont"/>
    <w:uiPriority w:val="99"/>
    <w:semiHidden/>
    <w:unhideWhenUsed/>
    <w:rsid w:val="00A81005"/>
    <w:rPr>
      <w:color w:val="0000FF"/>
      <w:u w:val="single"/>
    </w:rPr>
  </w:style>
  <w:style w:type="paragraph" w:styleId="Header">
    <w:name w:val="header"/>
    <w:basedOn w:val="Normal"/>
    <w:link w:val="HeaderChar"/>
    <w:uiPriority w:val="99"/>
    <w:unhideWhenUsed/>
    <w:rsid w:val="00A82D0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A82D0B"/>
  </w:style>
  <w:style w:type="paragraph" w:styleId="Footer">
    <w:name w:val="footer"/>
    <w:basedOn w:val="Normal"/>
    <w:link w:val="FooterChar"/>
    <w:uiPriority w:val="99"/>
    <w:unhideWhenUsed/>
    <w:rsid w:val="00A82D0B"/>
    <w:pPr>
      <w:tabs>
        <w:tab w:val="center" w:pos="4513"/>
        <w:tab w:val="right" w:pos="9026"/>
      </w:tabs>
    </w:pPr>
  </w:style>
  <w:style w:type="character" w:customStyle="1" w:styleId="FooterChar">
    <w:name w:val="Footer Char"/>
    <w:basedOn w:val="DefaultParagraphFont"/>
    <w:link w:val="Footer"/>
    <w:uiPriority w:val="99"/>
    <w:rsid w:val="00A82D0B"/>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460700">
      <w:bodyDiv w:val="1"/>
      <w:marLeft w:val="0"/>
      <w:marRight w:val="0"/>
      <w:marTop w:val="0"/>
      <w:marBottom w:val="0"/>
      <w:divBdr>
        <w:top w:val="none" w:sz="0" w:space="0" w:color="auto"/>
        <w:left w:val="none" w:sz="0" w:space="0" w:color="auto"/>
        <w:bottom w:val="none" w:sz="0" w:space="0" w:color="auto"/>
        <w:right w:val="none" w:sz="0" w:space="0" w:color="auto"/>
      </w:divBdr>
    </w:div>
    <w:div w:id="414784562">
      <w:bodyDiv w:val="1"/>
      <w:marLeft w:val="0"/>
      <w:marRight w:val="0"/>
      <w:marTop w:val="0"/>
      <w:marBottom w:val="0"/>
      <w:divBdr>
        <w:top w:val="none" w:sz="0" w:space="0" w:color="auto"/>
        <w:left w:val="none" w:sz="0" w:space="0" w:color="auto"/>
        <w:bottom w:val="none" w:sz="0" w:space="0" w:color="auto"/>
        <w:right w:val="none" w:sz="0" w:space="0" w:color="auto"/>
      </w:divBdr>
    </w:div>
    <w:div w:id="417484331">
      <w:bodyDiv w:val="1"/>
      <w:marLeft w:val="0"/>
      <w:marRight w:val="0"/>
      <w:marTop w:val="0"/>
      <w:marBottom w:val="0"/>
      <w:divBdr>
        <w:top w:val="none" w:sz="0" w:space="0" w:color="auto"/>
        <w:left w:val="none" w:sz="0" w:space="0" w:color="auto"/>
        <w:bottom w:val="none" w:sz="0" w:space="0" w:color="auto"/>
        <w:right w:val="none" w:sz="0" w:space="0" w:color="auto"/>
      </w:divBdr>
    </w:div>
    <w:div w:id="589125356">
      <w:bodyDiv w:val="1"/>
      <w:marLeft w:val="0"/>
      <w:marRight w:val="0"/>
      <w:marTop w:val="0"/>
      <w:marBottom w:val="0"/>
      <w:divBdr>
        <w:top w:val="none" w:sz="0" w:space="0" w:color="auto"/>
        <w:left w:val="none" w:sz="0" w:space="0" w:color="auto"/>
        <w:bottom w:val="none" w:sz="0" w:space="0" w:color="auto"/>
        <w:right w:val="none" w:sz="0" w:space="0" w:color="auto"/>
      </w:divBdr>
    </w:div>
    <w:div w:id="685640915">
      <w:bodyDiv w:val="1"/>
      <w:marLeft w:val="0"/>
      <w:marRight w:val="0"/>
      <w:marTop w:val="0"/>
      <w:marBottom w:val="0"/>
      <w:divBdr>
        <w:top w:val="none" w:sz="0" w:space="0" w:color="auto"/>
        <w:left w:val="none" w:sz="0" w:space="0" w:color="auto"/>
        <w:bottom w:val="none" w:sz="0" w:space="0" w:color="auto"/>
        <w:right w:val="none" w:sz="0" w:space="0" w:color="auto"/>
      </w:divBdr>
    </w:div>
    <w:div w:id="829833704">
      <w:bodyDiv w:val="1"/>
      <w:marLeft w:val="0"/>
      <w:marRight w:val="0"/>
      <w:marTop w:val="0"/>
      <w:marBottom w:val="0"/>
      <w:divBdr>
        <w:top w:val="none" w:sz="0" w:space="0" w:color="auto"/>
        <w:left w:val="none" w:sz="0" w:space="0" w:color="auto"/>
        <w:bottom w:val="none" w:sz="0" w:space="0" w:color="auto"/>
        <w:right w:val="none" w:sz="0" w:space="0" w:color="auto"/>
      </w:divBdr>
    </w:div>
    <w:div w:id="960917725">
      <w:bodyDiv w:val="1"/>
      <w:marLeft w:val="0"/>
      <w:marRight w:val="0"/>
      <w:marTop w:val="0"/>
      <w:marBottom w:val="0"/>
      <w:divBdr>
        <w:top w:val="none" w:sz="0" w:space="0" w:color="auto"/>
        <w:left w:val="none" w:sz="0" w:space="0" w:color="auto"/>
        <w:bottom w:val="none" w:sz="0" w:space="0" w:color="auto"/>
        <w:right w:val="none" w:sz="0" w:space="0" w:color="auto"/>
      </w:divBdr>
    </w:div>
    <w:div w:id="1070300916">
      <w:bodyDiv w:val="1"/>
      <w:marLeft w:val="0"/>
      <w:marRight w:val="0"/>
      <w:marTop w:val="0"/>
      <w:marBottom w:val="0"/>
      <w:divBdr>
        <w:top w:val="none" w:sz="0" w:space="0" w:color="auto"/>
        <w:left w:val="none" w:sz="0" w:space="0" w:color="auto"/>
        <w:bottom w:val="none" w:sz="0" w:space="0" w:color="auto"/>
        <w:right w:val="none" w:sz="0" w:space="0" w:color="auto"/>
      </w:divBdr>
    </w:div>
    <w:div w:id="1103693485">
      <w:bodyDiv w:val="1"/>
      <w:marLeft w:val="0"/>
      <w:marRight w:val="0"/>
      <w:marTop w:val="0"/>
      <w:marBottom w:val="0"/>
      <w:divBdr>
        <w:top w:val="none" w:sz="0" w:space="0" w:color="auto"/>
        <w:left w:val="none" w:sz="0" w:space="0" w:color="auto"/>
        <w:bottom w:val="none" w:sz="0" w:space="0" w:color="auto"/>
        <w:right w:val="none" w:sz="0" w:space="0" w:color="auto"/>
      </w:divBdr>
    </w:div>
    <w:div w:id="1261111266">
      <w:bodyDiv w:val="1"/>
      <w:marLeft w:val="0"/>
      <w:marRight w:val="0"/>
      <w:marTop w:val="0"/>
      <w:marBottom w:val="0"/>
      <w:divBdr>
        <w:top w:val="none" w:sz="0" w:space="0" w:color="auto"/>
        <w:left w:val="none" w:sz="0" w:space="0" w:color="auto"/>
        <w:bottom w:val="none" w:sz="0" w:space="0" w:color="auto"/>
        <w:right w:val="none" w:sz="0" w:space="0" w:color="auto"/>
      </w:divBdr>
    </w:div>
    <w:div w:id="1272977968">
      <w:bodyDiv w:val="1"/>
      <w:marLeft w:val="0"/>
      <w:marRight w:val="0"/>
      <w:marTop w:val="0"/>
      <w:marBottom w:val="0"/>
      <w:divBdr>
        <w:top w:val="none" w:sz="0" w:space="0" w:color="auto"/>
        <w:left w:val="none" w:sz="0" w:space="0" w:color="auto"/>
        <w:bottom w:val="none" w:sz="0" w:space="0" w:color="auto"/>
        <w:right w:val="none" w:sz="0" w:space="0" w:color="auto"/>
      </w:divBdr>
    </w:div>
    <w:div w:id="1289163889">
      <w:bodyDiv w:val="1"/>
      <w:marLeft w:val="0"/>
      <w:marRight w:val="0"/>
      <w:marTop w:val="0"/>
      <w:marBottom w:val="0"/>
      <w:divBdr>
        <w:top w:val="none" w:sz="0" w:space="0" w:color="auto"/>
        <w:left w:val="none" w:sz="0" w:space="0" w:color="auto"/>
        <w:bottom w:val="none" w:sz="0" w:space="0" w:color="auto"/>
        <w:right w:val="none" w:sz="0" w:space="0" w:color="auto"/>
      </w:divBdr>
    </w:div>
    <w:div w:id="183148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rp.uiuc.edu/v4n1/edwards.html" TargetMode="External"/><Relationship Id="rId3" Type="http://schemas.openxmlformats.org/officeDocument/2006/relationships/settings" Target="settings.xml"/><Relationship Id="rId7" Type="http://schemas.openxmlformats.org/officeDocument/2006/relationships/hyperlink" Target="https://www.gov.uk/government/publications/early-years-foundation-stage-framework--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20</Pages>
  <Words>5674</Words>
  <Characters>32345</Characters>
  <Application>Microsoft Office Word</Application>
  <DocSecurity>0</DocSecurity>
  <Lines>269</Lines>
  <Paragraphs>75</Paragraphs>
  <ScaleCrop>false</ScaleCrop>
  <Company/>
  <LinksUpToDate>false</LinksUpToDate>
  <CharactersWithSpaces>37944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stebbings</dc:creator>
  <cp:keywords/>
  <dc:description/>
  <cp:lastModifiedBy>chloe stebbings</cp:lastModifiedBy>
  <cp:revision>2</cp:revision>
  <dcterms:created xsi:type="dcterms:W3CDTF">2025-06-06T16:34:00Z</dcterms:created>
  <dcterms:modified xsi:type="dcterms:W3CDTF">2025-06-06T17:43:00Z</dcterms:modified>
</cp:coreProperties>
</file>