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pPr>
      <w:r w:rsidDel="00000000" w:rsidR="00000000" w:rsidRPr="00000000">
        <w:rPr>
          <w:rFonts w:ascii="Times New Roman" w:cs="Times New Roman" w:eastAsia="Times New Roman" w:hAnsi="Times New Roman"/>
          <w:b w:val="1"/>
          <w:bCs w:val="1"/>
          <w:sz w:val="40"/>
          <w:szCs w:val="40"/>
          <w:rtl w:val="0"/>
        </w:rPr>
        <w:t xml:space="preserve">University of Wales Trinity Saint David</w:t>
      </w:r>
      <w:r w:rsidDel="00000000" w:rsidR="00000000" w:rsidRPr="00000000">
        <w:rPr>
          <w:rtl w:val="0"/>
        </w:rPr>
      </w:r>
    </w:p>
    <w:p w:rsidR="00000000" w:rsidDel="00000000" w:rsidP="00000000" w:rsidRDefault="00000000" w:rsidRPr="00000000" w14:paraId="00000002">
      <w:pPr>
        <w:jc w:val="center"/>
        <w:rPr/>
      </w:pPr>
      <w:r w:rsidDel="00000000" w:rsidR="00000000" w:rsidRPr="00000000">
        <w:rPr>
          <w:rFonts w:ascii="Times New Roman" w:cs="Times New Roman" w:eastAsia="Times New Roman" w:hAnsi="Times New Roman"/>
          <w:b w:val="1"/>
          <w:bCs w:val="1"/>
          <w:sz w:val="32"/>
          <w:szCs w:val="32"/>
          <w:rtl w:val="0"/>
        </w:rPr>
        <w:t xml:space="preserve">Data Security and Compliance (ACCA5034)</w:t>
      </w:r>
      <w:r w:rsidDel="00000000" w:rsidR="00000000" w:rsidRPr="00000000">
        <w:rPr>
          <w:rtl w:val="0"/>
        </w:rPr>
      </w:r>
    </w:p>
    <w:p w:rsidR="00000000" w:rsidDel="00000000" w:rsidP="00000000" w:rsidRDefault="00000000" w:rsidRPr="00000000" w14:paraId="00000003">
      <w:pPr>
        <w:jc w:val="cente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jc w:val="left"/>
        <w:rPr/>
      </w:pPr>
      <w:r w:rsidDel="00000000" w:rsidR="00000000" w:rsidRPr="00000000">
        <w:rPr>
          <w:rFonts w:ascii="Times New Roman" w:cs="Times New Roman" w:eastAsia="Times New Roman" w:hAnsi="Times New Roman"/>
          <w:b w:val="1"/>
          <w:bCs w:val="1"/>
          <w:sz w:val="28"/>
          <w:szCs w:val="28"/>
          <w:rtl w:val="0"/>
        </w:rPr>
        <w:t xml:space="preserve">Student name: </w:t>
      </w:r>
      <w:r w:rsidDel="00000000" w:rsidR="00000000" w:rsidRPr="00000000">
        <w:rPr>
          <w:rFonts w:ascii="Times New Roman" w:cs="Times New Roman" w:eastAsia="Times New Roman" w:hAnsi="Times New Roman"/>
          <w:sz w:val="28"/>
          <w:szCs w:val="28"/>
          <w:rtl w:val="0"/>
        </w:rPr>
        <w:t xml:space="preserve">Khadar Hassan</w:t>
      </w:r>
      <w:r w:rsidDel="00000000" w:rsidR="00000000" w:rsidRPr="00000000">
        <w:rPr>
          <w:rtl w:val="0"/>
        </w:rPr>
      </w:r>
    </w:p>
    <w:p w:rsidR="00000000" w:rsidDel="00000000" w:rsidP="00000000" w:rsidRDefault="00000000" w:rsidRPr="00000000" w14:paraId="00000006">
      <w:pPr>
        <w:jc w:val="left"/>
        <w:rPr/>
      </w:pPr>
      <w:r w:rsidDel="00000000" w:rsidR="00000000" w:rsidRPr="00000000">
        <w:rPr>
          <w:rFonts w:ascii="Times New Roman" w:cs="Times New Roman" w:eastAsia="Times New Roman" w:hAnsi="Times New Roman"/>
          <w:b w:val="1"/>
          <w:bCs w:val="1"/>
          <w:sz w:val="28"/>
          <w:szCs w:val="28"/>
          <w:rtl w:val="0"/>
        </w:rPr>
        <w:t xml:space="preserve">Programme: </w:t>
      </w:r>
      <w:r w:rsidDel="00000000" w:rsidR="00000000" w:rsidRPr="00000000">
        <w:rPr>
          <w:rFonts w:ascii="Times New Roman" w:cs="Times New Roman" w:eastAsia="Times New Roman" w:hAnsi="Times New Roman"/>
          <w:sz w:val="28"/>
          <w:szCs w:val="28"/>
          <w:rtl w:val="0"/>
        </w:rPr>
        <w:t xml:space="preserve">Computing Portfolio</w:t>
      </w:r>
      <w:r w:rsidDel="00000000" w:rsidR="00000000" w:rsidRPr="00000000">
        <w:rPr>
          <w:rtl w:val="0"/>
        </w:rPr>
      </w:r>
    </w:p>
    <w:p w:rsidR="00000000" w:rsidDel="00000000" w:rsidP="00000000" w:rsidRDefault="00000000" w:rsidRPr="00000000" w14:paraId="00000007">
      <w:pPr>
        <w:jc w:val="left"/>
        <w:rPr/>
      </w:pPr>
      <w:r w:rsidDel="00000000" w:rsidR="00000000" w:rsidRPr="00000000">
        <w:rPr>
          <w:rFonts w:ascii="Times New Roman" w:cs="Times New Roman" w:eastAsia="Times New Roman" w:hAnsi="Times New Roman"/>
          <w:b w:val="1"/>
          <w:bCs w:val="1"/>
          <w:sz w:val="28"/>
          <w:szCs w:val="28"/>
          <w:rtl w:val="0"/>
        </w:rPr>
        <w:t xml:space="preserve">Module: </w:t>
      </w:r>
      <w:r w:rsidDel="00000000" w:rsidR="00000000" w:rsidRPr="00000000">
        <w:rPr>
          <w:rFonts w:ascii="Times New Roman" w:cs="Times New Roman" w:eastAsia="Times New Roman" w:hAnsi="Times New Roman"/>
          <w:sz w:val="28"/>
          <w:szCs w:val="28"/>
          <w:rtl w:val="0"/>
        </w:rPr>
        <w:t xml:space="preserve">Data Security and Compliance</w:t>
      </w:r>
      <w:r w:rsidDel="00000000" w:rsidR="00000000" w:rsidRPr="00000000">
        <w:rPr>
          <w:rtl w:val="0"/>
        </w:rPr>
      </w:r>
    </w:p>
    <w:p w:rsidR="00000000" w:rsidDel="00000000" w:rsidP="00000000" w:rsidRDefault="00000000" w:rsidRPr="00000000" w14:paraId="00000008">
      <w:pPr>
        <w:jc w:val="left"/>
        <w:rPr/>
      </w:pPr>
      <w:r w:rsidDel="00000000" w:rsidR="00000000" w:rsidRPr="00000000">
        <w:rPr>
          <w:rFonts w:ascii="Times New Roman" w:cs="Times New Roman" w:eastAsia="Times New Roman" w:hAnsi="Times New Roman"/>
          <w:b w:val="1"/>
          <w:bCs w:val="1"/>
          <w:sz w:val="28"/>
          <w:szCs w:val="28"/>
          <w:rtl w:val="0"/>
        </w:rPr>
        <w:t xml:space="preserve">Module code: </w:t>
      </w:r>
      <w:r w:rsidDel="00000000" w:rsidR="00000000" w:rsidRPr="00000000">
        <w:rPr>
          <w:rFonts w:ascii="Times New Roman" w:cs="Times New Roman" w:eastAsia="Times New Roman" w:hAnsi="Times New Roman"/>
          <w:sz w:val="28"/>
          <w:szCs w:val="28"/>
          <w:rtl w:val="0"/>
        </w:rPr>
        <w:t xml:space="preserve">ACCA5034</w:t>
      </w:r>
      <w:r w:rsidDel="00000000" w:rsidR="00000000" w:rsidRPr="00000000">
        <w:rPr>
          <w:rtl w:val="0"/>
        </w:rPr>
      </w:r>
    </w:p>
    <w:p w:rsidR="00000000" w:rsidDel="00000000" w:rsidP="00000000" w:rsidRDefault="00000000" w:rsidRPr="00000000" w14:paraId="00000009">
      <w:pPr>
        <w:jc w:val="left"/>
        <w:rPr/>
      </w:pPr>
      <w:r w:rsidDel="00000000" w:rsidR="00000000" w:rsidRPr="00000000">
        <w:rPr>
          <w:rFonts w:ascii="Times New Roman" w:cs="Times New Roman" w:eastAsia="Times New Roman" w:hAnsi="Times New Roman"/>
          <w:b w:val="1"/>
          <w:bCs w:val="1"/>
          <w:sz w:val="28"/>
          <w:szCs w:val="28"/>
          <w:rtl w:val="0"/>
        </w:rPr>
        <w:t xml:space="preserve">Lecturer: </w:t>
      </w:r>
      <w:r w:rsidDel="00000000" w:rsidR="00000000" w:rsidRPr="00000000">
        <w:rPr>
          <w:rFonts w:ascii="Times New Roman" w:cs="Times New Roman" w:eastAsia="Times New Roman" w:hAnsi="Times New Roman"/>
          <w:sz w:val="28"/>
          <w:szCs w:val="28"/>
          <w:rtl w:val="0"/>
        </w:rPr>
        <w:t xml:space="preserve">Dr Mohamed Ben Farah</w:t>
      </w: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br w:type="page"/>
      </w:r>
      <w:r w:rsidDel="00000000" w:rsidR="00000000" w:rsidRPr="00000000">
        <w:rPr>
          <w:rtl w:val="0"/>
        </w:rPr>
      </w:r>
    </w:p>
    <w:p w:rsidR="00000000" w:rsidDel="00000000" w:rsidP="00000000" w:rsidRDefault="00000000" w:rsidRPr="00000000" w14:paraId="0000000C">
      <w:pPr>
        <w:pStyle w:val="Heading1"/>
        <w:jc w:val="left"/>
        <w:rPr/>
      </w:pPr>
      <w:r w:rsidDel="00000000" w:rsidR="00000000" w:rsidRPr="00000000">
        <w:rPr>
          <w:rFonts w:ascii="Times New Roman" w:cs="Times New Roman" w:eastAsia="Times New Roman" w:hAnsi="Times New Roman"/>
          <w:rtl w:val="0"/>
        </w:rPr>
        <w:t xml:space="preserve">Task 1: The Zero Trust Architecture: A Critical Analysis of Its Principles, Implementation Challenges, and Efficacy Compared to Traditional Models</w:t>
      </w:r>
      <w:r w:rsidDel="00000000" w:rsidR="00000000" w:rsidRPr="00000000">
        <w:rPr>
          <w:rtl w:val="0"/>
        </w:rPr>
      </w:r>
    </w:p>
    <w:p w:rsidR="00000000" w:rsidDel="00000000" w:rsidP="00000000" w:rsidRDefault="00000000" w:rsidRPr="00000000" w14:paraId="0000000D">
      <w:pPr>
        <w:jc w:val="both"/>
        <w:rPr/>
      </w:pPr>
      <w:r w:rsidDel="00000000" w:rsidR="00000000" w:rsidRPr="00000000">
        <w:rPr>
          <w:rFonts w:ascii="Times New Roman" w:cs="Times New Roman" w:eastAsia="Times New Roman" w:hAnsi="Times New Roman"/>
          <w:b w:val="0"/>
          <w:bCs w:val="0"/>
          <w:i w:val="0"/>
          <w:iCs w:val="0"/>
          <w:sz w:val="20"/>
          <w:szCs w:val="20"/>
          <w:rtl w:val="0"/>
        </w:rPr>
        <w:t xml:space="preserve">Abstract— Zero Trust Architecture (ZTA) has moved from a specialist security concept to a mainstream response to hybrid work, cloud adoption and the collapse of the traditional network perimeter. This paper critically evaluates the principles behind zero trust and assesses whether it offers a meaningful improvement over legacy perimeter-based models. The discussion argues that zero trust is strongest when treated as a strategic operating model rather than a single product. Its main advantages are tighter identity assurance, policy-based access, reduced lateral movement and improved visibility across users, devices and workloads. However, implementation is costly and often uneven. Many organisations still depend on legacy applications, fragmented identity stores and third-party platforms that make continuous verification difficult. The paper concludes that zero trust is more effective than traditional perimeter security for modern distributed environments, but only when supported by strong governance, phased implementation, and realistic alignment with business priorities.</w:t>
      </w:r>
      <w:r w:rsidDel="00000000" w:rsidR="00000000" w:rsidRPr="00000000">
        <w:rPr>
          <w:rtl w:val="0"/>
        </w:rPr>
      </w:r>
    </w:p>
    <w:p w:rsidR="00000000" w:rsidDel="00000000" w:rsidP="00000000" w:rsidRDefault="00000000" w:rsidRPr="00000000" w14:paraId="0000000E">
      <w:pPr>
        <w:jc w:val="both"/>
        <w:rPr/>
      </w:pPr>
      <w:r w:rsidDel="00000000" w:rsidR="00000000" w:rsidRPr="00000000">
        <w:rPr>
          <w:rFonts w:ascii="Times New Roman" w:cs="Times New Roman" w:eastAsia="Times New Roman" w:hAnsi="Times New Roman"/>
          <w:b w:val="0"/>
          <w:bCs w:val="0"/>
          <w:i w:val="0"/>
          <w:iCs w:val="0"/>
          <w:sz w:val="20"/>
          <w:szCs w:val="20"/>
          <w:rtl w:val="0"/>
        </w:rPr>
        <w:t xml:space="preserve">Keywords— Zero Trust Architecture, hybrid workforce, identity security, least privilege, micro-segmentation, continuous verification</w:t>
      </w:r>
      <w:r w:rsidDel="00000000" w:rsidR="00000000" w:rsidRPr="00000000">
        <w:rPr>
          <w:rtl w:val="0"/>
        </w:rPr>
      </w:r>
    </w:p>
    <w:p w:rsidR="00000000" w:rsidDel="00000000" w:rsidP="00000000" w:rsidRDefault="00000000" w:rsidRPr="00000000" w14:paraId="0000000F">
      <w:pPr>
        <w:pStyle w:val="Heading2"/>
        <w:jc w:val="left"/>
        <w:rPr/>
      </w:pPr>
      <w:r w:rsidDel="00000000" w:rsidR="00000000" w:rsidRPr="00000000">
        <w:rPr>
          <w:rFonts w:ascii="Times New Roman" w:cs="Times New Roman" w:eastAsia="Times New Roman" w:hAnsi="Times New Roman"/>
          <w:rtl w:val="0"/>
        </w:rPr>
        <w:t xml:space="preserve">Introduction</w:t>
      </w:r>
      <w:r w:rsidDel="00000000" w:rsidR="00000000" w:rsidRPr="00000000">
        <w:rPr>
          <w:rtl w:val="0"/>
        </w:rPr>
      </w:r>
    </w:p>
    <w:p w:rsidR="00000000" w:rsidDel="00000000" w:rsidP="00000000" w:rsidRDefault="00000000" w:rsidRPr="00000000" w14:paraId="00000010">
      <w:pPr>
        <w:jc w:val="both"/>
        <w:rPr/>
      </w:pPr>
      <w:r w:rsidDel="00000000" w:rsidR="00000000" w:rsidRPr="00000000">
        <w:rPr>
          <w:rFonts w:ascii="Times New Roman" w:cs="Times New Roman" w:eastAsia="Times New Roman" w:hAnsi="Times New Roman"/>
          <w:b w:val="0"/>
          <w:bCs w:val="0"/>
          <w:i w:val="0"/>
          <w:iCs w:val="0"/>
          <w:sz w:val="20"/>
          <w:szCs w:val="20"/>
          <w:rtl w:val="0"/>
        </w:rPr>
        <w:t xml:space="preserve">The conventional idea of cybersecurity was built around a defendable inside and a hostile outside. That logic made sense when staff worked mainly from corporate offices, applications sat in on-premises data centres, and security teams could route most traffic through a small number of trusted gateways. That environment no longer describes many organisations. Work is now distributed, data is spread across cloud services, and suppliers often connect directly into core systems. In practice, the perimeter has become blurred rather than clearly removed. This is the setting in which zero trust has gained traction [1], [2].</w:t>
      </w:r>
      <w:r w:rsidDel="00000000" w:rsidR="00000000" w:rsidRPr="00000000">
        <w:rPr>
          <w:rtl w:val="0"/>
        </w:rPr>
      </w:r>
    </w:p>
    <w:p w:rsidR="00000000" w:rsidDel="00000000" w:rsidP="00000000" w:rsidRDefault="00000000" w:rsidRPr="00000000" w14:paraId="00000011">
      <w:pPr>
        <w:jc w:val="both"/>
        <w:rPr/>
      </w:pPr>
      <w:r w:rsidDel="00000000" w:rsidR="00000000" w:rsidRPr="00000000">
        <w:rPr>
          <w:rFonts w:ascii="Times New Roman" w:cs="Times New Roman" w:eastAsia="Times New Roman" w:hAnsi="Times New Roman"/>
          <w:b w:val="0"/>
          <w:bCs w:val="0"/>
          <w:i w:val="0"/>
          <w:iCs w:val="0"/>
          <w:sz w:val="20"/>
          <w:szCs w:val="20"/>
          <w:rtl w:val="0"/>
        </w:rPr>
        <w:t xml:space="preserve">Zero trust is often summarised as “never trust, always verify”, but that phrase can be misleading because it sounds like a slogan rather than an architecture. NIST defines zero trust as a shift away from static, network-based trust toward decisions focused on users, assets and resources [1]. In other words, access should not be granted simply because a request originates from the internal network. Instead, the organisation should evaluate identity, device posture, policy context and the sensitivity of the requested resource each time access is sought. This is particularly relevant in hybrid organisations where staff use unmanaged networks, personal devices and software-as-a-service platforms on a daily basis.</w:t>
      </w:r>
      <w:r w:rsidDel="00000000" w:rsidR="00000000" w:rsidRPr="00000000">
        <w:rPr>
          <w:rtl w:val="0"/>
        </w:rPr>
      </w:r>
    </w:p>
    <w:p w:rsidR="00000000" w:rsidDel="00000000" w:rsidP="00000000" w:rsidRDefault="00000000" w:rsidRPr="00000000" w14:paraId="00000012">
      <w:pPr>
        <w:jc w:val="both"/>
        <w:rPr/>
      </w:pPr>
      <w:r w:rsidDel="00000000" w:rsidR="00000000" w:rsidRPr="00000000">
        <w:rPr>
          <w:rFonts w:ascii="Times New Roman" w:cs="Times New Roman" w:eastAsia="Times New Roman" w:hAnsi="Times New Roman"/>
          <w:b w:val="0"/>
          <w:bCs w:val="0"/>
          <w:i w:val="0"/>
          <w:iCs w:val="0"/>
          <w:sz w:val="20"/>
          <w:szCs w:val="20"/>
          <w:rtl w:val="0"/>
        </w:rPr>
        <w:t xml:space="preserve">This paper argues that ZTA is not merely a technical upgrade to perimeter security. It represents a different security assumption: breach is possible, trust must be explicit, and access should be narrow, monitored and revisable. The analysis below evaluates its core principles, the reasons organisations adopt it, the operational difficulties involved in implementation, and its comparative effectiveness against traditional models.</w:t>
      </w:r>
      <w:r w:rsidDel="00000000" w:rsidR="00000000" w:rsidRPr="00000000">
        <w:rPr>
          <w:rtl w:val="0"/>
        </w:rPr>
      </w:r>
    </w:p>
    <w:p w:rsidR="00000000" w:rsidDel="00000000" w:rsidP="00000000" w:rsidRDefault="00000000" w:rsidRPr="00000000" w14:paraId="00000013">
      <w:pPr>
        <w:pStyle w:val="Heading2"/>
        <w:jc w:val="left"/>
        <w:rPr/>
      </w:pPr>
      <w:r w:rsidDel="00000000" w:rsidR="00000000" w:rsidRPr="00000000">
        <w:rPr>
          <w:rFonts w:ascii="Times New Roman" w:cs="Times New Roman" w:eastAsia="Times New Roman" w:hAnsi="Times New Roman"/>
          <w:rtl w:val="0"/>
        </w:rPr>
        <w:t xml:space="preserve">Core principles of zero trust</w:t>
      </w:r>
      <w:r w:rsidDel="00000000" w:rsidR="00000000" w:rsidRPr="00000000">
        <w:rPr>
          <w:rtl w:val="0"/>
        </w:rPr>
      </w:r>
    </w:p>
    <w:p w:rsidR="00000000" w:rsidDel="00000000" w:rsidP="00000000" w:rsidRDefault="00000000" w:rsidRPr="00000000" w14:paraId="00000014">
      <w:pPr>
        <w:jc w:val="both"/>
        <w:rPr/>
      </w:pPr>
      <w:r w:rsidDel="00000000" w:rsidR="00000000" w:rsidRPr="00000000">
        <w:rPr>
          <w:rFonts w:ascii="Times New Roman" w:cs="Times New Roman" w:eastAsia="Times New Roman" w:hAnsi="Times New Roman"/>
          <w:b w:val="0"/>
          <w:bCs w:val="0"/>
          <w:i w:val="0"/>
          <w:iCs w:val="0"/>
          <w:sz w:val="20"/>
          <w:szCs w:val="20"/>
          <w:rtl w:val="0"/>
        </w:rPr>
        <w:t xml:space="preserve">Although zero trust programmes vary, several principles appear consistently. First, identity becomes the primary control point. Strong authentication, ideally supported by phishing-resistant multi-factor methods, reduces reliance on passwords alone and makes access decisions more precise [1], [4]. Second, least-privilege access limits users, services and devices to the minimum permissions required for a defined task. Third, continuous verification means that access decisions are not one-off events. Signals such as device health, location anomalies, session risk and behavioural indicators can change whether access is allowed, challenged or blocked [1].</w:t>
      </w:r>
      <w:r w:rsidDel="00000000" w:rsidR="00000000" w:rsidRPr="00000000">
        <w:rPr>
          <w:rtl w:val="0"/>
        </w:rPr>
      </w:r>
    </w:p>
    <w:p w:rsidR="00000000" w:rsidDel="00000000" w:rsidP="00000000" w:rsidRDefault="00000000" w:rsidRPr="00000000" w14:paraId="00000015">
      <w:pPr>
        <w:jc w:val="both"/>
        <w:rPr/>
      </w:pPr>
      <w:r w:rsidDel="00000000" w:rsidR="00000000" w:rsidRPr="00000000">
        <w:rPr>
          <w:rFonts w:ascii="Times New Roman" w:cs="Times New Roman" w:eastAsia="Times New Roman" w:hAnsi="Times New Roman"/>
          <w:b w:val="0"/>
          <w:bCs w:val="0"/>
          <w:i w:val="0"/>
          <w:iCs w:val="0"/>
          <w:sz w:val="20"/>
          <w:szCs w:val="20"/>
          <w:rtl w:val="0"/>
        </w:rPr>
        <w:t xml:space="preserve">A further principle is micro-segmentation. Traditional flat networks allow attackers who compromise one account or server to move laterally with relative ease. Zero trust seeks to reduce this by separating applications, workloads and data zones into smaller trust boundaries governed by policy. Closely related to this is the assumption of breach: the design accepts that an attacker may already be present and focuses on constraining blast radius rather than assuming preventive controls will always succeed [1], [3].</w:t>
      </w:r>
      <w:r w:rsidDel="00000000" w:rsidR="00000000" w:rsidRPr="00000000">
        <w:rPr>
          <w:rtl w:val="0"/>
        </w:rPr>
      </w:r>
    </w:p>
    <w:p w:rsidR="00000000" w:rsidDel="00000000" w:rsidP="00000000" w:rsidRDefault="00000000" w:rsidRPr="00000000" w14:paraId="00000016">
      <w:pPr>
        <w:jc w:val="both"/>
        <w:rPr/>
      </w:pPr>
      <w:r w:rsidDel="00000000" w:rsidR="00000000" w:rsidRPr="00000000">
        <w:rPr>
          <w:rFonts w:ascii="Times New Roman" w:cs="Times New Roman" w:eastAsia="Times New Roman" w:hAnsi="Times New Roman"/>
          <w:b w:val="0"/>
          <w:bCs w:val="0"/>
          <w:i w:val="0"/>
          <w:iCs w:val="0"/>
          <w:sz w:val="20"/>
          <w:szCs w:val="20"/>
          <w:rtl w:val="0"/>
        </w:rPr>
        <w:t xml:space="preserve">These principles matter because they align better with how modern systems are actually used. A clinician, analyst or developer may access sensitive resources from home, from a managed laptop, through a cloud platform, while also collaborating with external partners. Location alone says little about the legitimacy of the request. Zero trust therefore offers a more granular answer to a more fragmented operating environment.</w:t>
      </w:r>
      <w:r w:rsidDel="00000000" w:rsidR="00000000" w:rsidRPr="00000000">
        <w:rPr>
          <w:rtl w:val="0"/>
        </w:rPr>
      </w:r>
    </w:p>
    <w:p w:rsidR="00000000" w:rsidDel="00000000" w:rsidP="00000000" w:rsidRDefault="00000000" w:rsidRPr="00000000" w14:paraId="00000017">
      <w:pPr>
        <w:pStyle w:val="Heading2"/>
        <w:jc w:val="left"/>
        <w:rPr/>
      </w:pPr>
      <w:r w:rsidDel="00000000" w:rsidR="00000000" w:rsidRPr="00000000">
        <w:rPr>
          <w:rFonts w:ascii="Times New Roman" w:cs="Times New Roman" w:eastAsia="Times New Roman" w:hAnsi="Times New Roman"/>
          <w:rtl w:val="0"/>
        </w:rPr>
        <w:t xml:space="preserve">Why traditional perimeter models are no longer enough</w:t>
      </w:r>
      <w:r w:rsidDel="00000000" w:rsidR="00000000" w:rsidRPr="00000000">
        <w:rPr>
          <w:rtl w:val="0"/>
        </w:rPr>
      </w:r>
    </w:p>
    <w:p w:rsidR="00000000" w:rsidDel="00000000" w:rsidP="00000000" w:rsidRDefault="00000000" w:rsidRPr="00000000" w14:paraId="00000018">
      <w:pPr>
        <w:jc w:val="both"/>
        <w:rPr/>
      </w:pPr>
      <w:r w:rsidDel="00000000" w:rsidR="00000000" w:rsidRPr="00000000">
        <w:rPr>
          <w:rFonts w:ascii="Times New Roman" w:cs="Times New Roman" w:eastAsia="Times New Roman" w:hAnsi="Times New Roman"/>
          <w:b w:val="0"/>
          <w:bCs w:val="0"/>
          <w:i w:val="0"/>
          <w:iCs w:val="0"/>
          <w:sz w:val="20"/>
          <w:szCs w:val="20"/>
          <w:rtl w:val="0"/>
        </w:rPr>
        <w:t xml:space="preserve">Perimeter security is not obsolete in the sense that firewalls, gateways and network controls still matter. The weakness lies in treating them as the main basis for trust. Once an internal connection is treated as broadly trustworthy, attackers benefit from the same assumption after compromise. This model becomes especially fragile in hybrid work settings, where organisations rely on VPNs to recreate a trusted internal network. VPN access can be useful, but it may also extend broad network-level reach to devices and users that should only need application-level access.</w:t>
      </w:r>
      <w:r w:rsidDel="00000000" w:rsidR="00000000" w:rsidRPr="00000000">
        <w:rPr>
          <w:rtl w:val="0"/>
        </w:rPr>
      </w:r>
    </w:p>
    <w:p w:rsidR="00000000" w:rsidDel="00000000" w:rsidP="00000000" w:rsidRDefault="00000000" w:rsidRPr="00000000" w14:paraId="00000019">
      <w:pPr>
        <w:jc w:val="both"/>
        <w:rPr/>
      </w:pPr>
      <w:r w:rsidDel="00000000" w:rsidR="00000000" w:rsidRPr="00000000">
        <w:rPr>
          <w:rFonts w:ascii="Times New Roman" w:cs="Times New Roman" w:eastAsia="Times New Roman" w:hAnsi="Times New Roman"/>
          <w:b w:val="0"/>
          <w:bCs w:val="0"/>
          <w:i w:val="0"/>
          <w:iCs w:val="0"/>
          <w:sz w:val="20"/>
          <w:szCs w:val="20"/>
          <w:rtl w:val="0"/>
        </w:rPr>
        <w:t xml:space="preserve">Traditional models also struggle with cloud-native systems. Data and services are no longer tied to a single corporate network, and many critical functions run on SaaS or multi-cloud platforms. In this context, security decisions must travel with the resource, not stay at the old network edge. Zero trust is more compatible with this reality because it centres policy around identities, assets and sessions rather than assuming that traffic coming from an internal range is low risk [3].</w:t>
      </w:r>
      <w:r w:rsidDel="00000000" w:rsidR="00000000" w:rsidRPr="00000000">
        <w:rPr>
          <w:rtl w:val="0"/>
        </w:rPr>
      </w:r>
    </w:p>
    <w:p w:rsidR="00000000" w:rsidDel="00000000" w:rsidP="00000000" w:rsidRDefault="00000000" w:rsidRPr="00000000" w14:paraId="0000001A">
      <w:pPr>
        <w:jc w:val="both"/>
        <w:rPr/>
      </w:pPr>
      <w:r w:rsidDel="00000000" w:rsidR="00000000" w:rsidRPr="00000000">
        <w:rPr>
          <w:rFonts w:ascii="Times New Roman" w:cs="Times New Roman" w:eastAsia="Times New Roman" w:hAnsi="Times New Roman"/>
          <w:b w:val="0"/>
          <w:bCs w:val="0"/>
          <w:i w:val="0"/>
          <w:iCs w:val="0"/>
          <w:sz w:val="20"/>
          <w:szCs w:val="20"/>
          <w:rtl w:val="0"/>
        </w:rPr>
        <w:t xml:space="preserve">There is also an accountability issue. Perimeter-led environments often produce uneven visibility, particularly where unmanaged software, shadow IT and third-party access accumulate over time. Zero trust does not solve governance weaknesses by itself, but it does force organisations to identify protected assets, define access policies and examine where trust is currently implicit. That discipline is one reason many organisations see ZTA as a governance improvement as well as a security one.</w:t>
      </w:r>
      <w:r w:rsidDel="00000000" w:rsidR="00000000" w:rsidRPr="00000000">
        <w:rPr>
          <w:rtl w:val="0"/>
        </w:rPr>
      </w:r>
    </w:p>
    <w:p w:rsidR="00000000" w:rsidDel="00000000" w:rsidP="00000000" w:rsidRDefault="00000000" w:rsidRPr="00000000" w14:paraId="0000001B">
      <w:pPr>
        <w:pStyle w:val="Heading2"/>
        <w:jc w:val="left"/>
        <w:rPr/>
      </w:pPr>
      <w:r w:rsidDel="00000000" w:rsidR="00000000" w:rsidRPr="00000000">
        <w:rPr>
          <w:rFonts w:ascii="Times New Roman" w:cs="Times New Roman" w:eastAsia="Times New Roman" w:hAnsi="Times New Roman"/>
          <w:rtl w:val="0"/>
        </w:rPr>
        <w:t xml:space="preserve">Implementation challenges and critical limitations</w:t>
      </w:r>
      <w:r w:rsidDel="00000000" w:rsidR="00000000" w:rsidRPr="00000000">
        <w:rPr>
          <w:rtl w:val="0"/>
        </w:rPr>
      </w:r>
    </w:p>
    <w:p w:rsidR="00000000" w:rsidDel="00000000" w:rsidP="00000000" w:rsidRDefault="00000000" w:rsidRPr="00000000" w14:paraId="0000001C">
      <w:pPr>
        <w:jc w:val="both"/>
        <w:rPr/>
      </w:pPr>
      <w:r w:rsidDel="00000000" w:rsidR="00000000" w:rsidRPr="00000000">
        <w:rPr>
          <w:rtl w:val="0"/>
        </w:rPr>
        <w:t xml:space="preserve">The case for zero trust is strong, but the implementation burden is often understated. One weakness in much of the professional discussion is that zero trust is sometimes presented as if it were a clean architectural swap. Real organisations are messier than that. They inherit duplicate identities, over-privileged service accounts and legacy systems that were never designed for modern policy enforcement. If the identity layer is weak, the access decision is weak too [11], [12].</w:t>
      </w:r>
    </w:p>
    <w:p w:rsidR="00000000" w:rsidDel="00000000" w:rsidP="00000000" w:rsidRDefault="00000000" w:rsidRPr="00000000" w14:paraId="0000001D">
      <w:pPr>
        <w:rPr/>
      </w:pPr>
      <w:r w:rsidDel="00000000" w:rsidR="00000000" w:rsidRPr="00000000">
        <w:rPr>
          <w:rtl w:val="0"/>
        </w:rPr>
        <w:t xml:space="preserve">A further limitation is that some high-impact attacks do not disappear just because MFA has been enabled. Phishing-resistant MFA is a major improvement and should be preferred over weaker methods such as SMS or basic push prompts [15]. Even so, an attacker who steals an authenticated web session cookie may still ride an already-approved session and bypass the original login step [16], [17]. That does not make zero trust useless, but it does mean post-login controls matter: re-authentication, short-lived tokens, device checks and session monitoring still have to do real work.</w:t>
      </w:r>
    </w:p>
    <w:p w:rsidR="00000000" w:rsidDel="00000000" w:rsidP="00000000" w:rsidRDefault="00000000" w:rsidRPr="00000000" w14:paraId="0000001E">
      <w:pPr>
        <w:jc w:val="both"/>
        <w:rPr/>
      </w:pPr>
      <w:r w:rsidDel="00000000" w:rsidR="00000000" w:rsidRPr="00000000">
        <w:rPr>
          <w:rtl w:val="0"/>
        </w:rPr>
        <w:t xml:space="preserve">Legacy technology creates the next serious obstacle. Older applications may not support conditional access, fine-grained authorisation or modern federation standards. In practice, organisations end up building wrappers, proxy layers and exception lists. Those exceptions are understandable, but they also create blind spots. A zero trust programme can look convincing on paper while the systems people worry about most are still relying on inherited trust relationships underneath [1], [3].</w:t>
      </w:r>
    </w:p>
    <w:p w:rsidR="00000000" w:rsidDel="00000000" w:rsidP="00000000" w:rsidRDefault="00000000" w:rsidRPr="00000000" w14:paraId="0000001F">
      <w:pPr>
        <w:jc w:val="both"/>
        <w:rPr/>
      </w:pPr>
      <w:r w:rsidDel="00000000" w:rsidR="00000000" w:rsidRPr="00000000">
        <w:rPr>
          <w:rtl w:val="0"/>
        </w:rPr>
        <w:t xml:space="preserve">Operational complexity is another genuine limitation. Continuous verification sounds simple in principle, yet it depends on telemetry pipelines, policy engines, endpoint assurance, monitoring rules and staff who can interpret risk signals sensibly. If those pieces are badly tuned, the organisation gets the worst of both worlds: more friction for users and no real improvement in security decisions. Recent reviews note that implementation maturity, orchestration and policy consistency remain difficult in hybrid and multi-cloud estates [12], [13], [14].</w:t>
      </w:r>
    </w:p>
    <w:p w:rsidR="00000000" w:rsidDel="00000000" w:rsidP="00000000" w:rsidRDefault="00000000" w:rsidRPr="00000000" w14:paraId="00000020">
      <w:pPr>
        <w:jc w:val="both"/>
        <w:rPr/>
      </w:pPr>
      <w:r w:rsidDel="00000000" w:rsidR="00000000" w:rsidRPr="00000000">
        <w:rPr>
          <w:rFonts w:ascii="Times New Roman" w:cs="Times New Roman" w:eastAsia="Times New Roman" w:hAnsi="Times New Roman"/>
          <w:b w:val="0"/>
          <w:bCs w:val="0"/>
          <w:i w:val="0"/>
          <w:iCs w:val="0"/>
          <w:sz w:val="20"/>
          <w:szCs w:val="20"/>
          <w:rtl w:val="0"/>
        </w:rPr>
        <w:t xml:space="preserve">Cost is another limitation. Identity modernisation, endpoint management, segmentation, logging, and cloud security tooling all demand investment. For smaller organisations, the ideal zero trust model may be financially unrealistic in the short term. This does not invalidate the architecture, but it does mean the maturity path must be prioritised. High-value assets, privileged accounts and remote access flows should be addressed first rather than attempting an enterprise-wide transformation all at once [2], [4].</w:t>
      </w:r>
      <w:r w:rsidDel="00000000" w:rsidR="00000000" w:rsidRPr="00000000">
        <w:rPr>
          <w:rtl w:val="0"/>
        </w:rPr>
      </w:r>
    </w:p>
    <w:p w:rsidR="00000000" w:rsidDel="00000000" w:rsidP="00000000" w:rsidRDefault="00000000" w:rsidRPr="00000000" w14:paraId="00000021">
      <w:pPr>
        <w:jc w:val="both"/>
        <w:rPr/>
      </w:pPr>
      <w:r w:rsidDel="00000000" w:rsidR="00000000" w:rsidRPr="00000000">
        <w:rPr>
          <w:rtl w:val="0"/>
        </w:rPr>
        <w:t xml:space="preserve">Finally, zero trust can be oversold. Some vendors package it as a product category, when the stronger academic view is that it is a design approach and a set of assumptions rather than a single tool [11], [12]. That distinction matters. Buying a 'zero trust' platform without fixing privileges, asset visibility, logging and governance is mostly branding. The hard work is still organisational.</w:t>
      </w:r>
    </w:p>
    <w:p w:rsidR="00000000" w:rsidDel="00000000" w:rsidP="00000000" w:rsidRDefault="00000000" w:rsidRPr="00000000" w14:paraId="00000022">
      <w:pPr>
        <w:pStyle w:val="Heading2"/>
        <w:jc w:val="left"/>
        <w:rPr/>
      </w:pPr>
      <w:r w:rsidDel="00000000" w:rsidR="00000000" w:rsidRPr="00000000">
        <w:rPr>
          <w:rFonts w:ascii="Times New Roman" w:cs="Times New Roman" w:eastAsia="Times New Roman" w:hAnsi="Times New Roman"/>
          <w:rtl w:val="0"/>
        </w:rPr>
        <w:t xml:space="preserve">Comparative efficacy: zero trust versus traditional   security</w:t>
      </w:r>
      <w:r w:rsidDel="00000000" w:rsidR="00000000" w:rsidRPr="00000000">
        <w:rPr>
          <w:rtl w:val="0"/>
        </w:rPr>
      </w:r>
    </w:p>
    <w:p w:rsidR="00000000" w:rsidDel="00000000" w:rsidP="00000000" w:rsidRDefault="00000000" w:rsidRPr="00000000" w14:paraId="00000023">
      <w:pPr>
        <w:jc w:val="both"/>
        <w:rPr/>
      </w:pPr>
      <w:r w:rsidDel="00000000" w:rsidR="00000000" w:rsidRPr="00000000">
        <w:rPr>
          <w:rtl w:val="0"/>
        </w:rPr>
        <w:t xml:space="preserve">Compared with perimeter-based security, ZTA offers a clearer fit for hybrid and cloud-heavy organisations. It reduces standing privilege, narrows lateral movement and supports more context-aware access decisions. Those are meaningful gains. But the strongest conclusion from the literature is not that zero trust makes compromise unlikely; it is that it makes compromise harder to scale. Traditional perimeter models often fail badly after the first foothold, whereas zero trust tries to constrain the blast radius after that foothold appears [4], [11], [14].</w:t>
      </w:r>
    </w:p>
    <w:p w:rsidR="00000000" w:rsidDel="00000000" w:rsidP="00000000" w:rsidRDefault="00000000" w:rsidRPr="00000000" w14:paraId="00000024">
      <w:pPr>
        <w:jc w:val="both"/>
        <w:rPr/>
      </w:pPr>
      <w:r w:rsidDel="00000000" w:rsidR="00000000" w:rsidRPr="00000000">
        <w:rPr>
          <w:rtl w:val="0"/>
        </w:rPr>
        <w:t xml:space="preserve">Traditional approaches still have practical strengths. They are easier to operate in stable environments, and in smaller organisations with limited cloud exposure they may still be proportionate. So the argument is not that firewalls, VPNs and network controls suddenly became useless. It is that they no longer carry the whole security model. In a business with remote users, SaaS platforms, APIs and third-party development dependencies, perimeter trust becomes too generous for the level of exposure involved [1], [3], [13].</w:t>
      </w:r>
    </w:p>
    <w:p w:rsidR="00000000" w:rsidDel="00000000" w:rsidP="00000000" w:rsidRDefault="00000000" w:rsidRPr="00000000" w14:paraId="00000025">
      <w:pPr>
        <w:jc w:val="both"/>
        <w:rPr/>
      </w:pPr>
      <w:r w:rsidDel="00000000" w:rsidR="00000000" w:rsidRPr="00000000">
        <w:rPr>
          <w:rtl w:val="0"/>
        </w:rPr>
        <w:t xml:space="preserve">The better conclusion is not that zero trust replaces all earlier controls, but that it reorganises them. Firewalls, endpoint controls, encryption and monitoring still matter. What changes is the logic of trust. Access becomes narrower, more explicit and more revisable. On balance, ZTA is more effective than traditional perimeter-led security for modern distributed environments, but only where implementation is disciplined enough to deal with identity quality, session security, operational complexity and legacy exceptions. That is a stronger and more realistic conclusion than simply claiming zero trust is 'better' in every setting.</w:t>
      </w:r>
    </w:p>
    <w:p w:rsidR="00000000" w:rsidDel="00000000" w:rsidP="00000000" w:rsidRDefault="00000000" w:rsidRPr="00000000" w14:paraId="00000026">
      <w:pPr>
        <w:pStyle w:val="Heading2"/>
        <w:jc w:val="left"/>
        <w:rPr/>
      </w:pPr>
      <w:r w:rsidDel="00000000" w:rsidR="00000000" w:rsidRPr="00000000">
        <w:rPr>
          <w:rFonts w:ascii="Times New Roman" w:cs="Times New Roman" w:eastAsia="Times New Roman" w:hAnsi="Times New Roman"/>
          <w:rtl w:val="0"/>
        </w:rPr>
        <w:t xml:space="preserve">Conclusion</w:t>
      </w:r>
      <w:r w:rsidDel="00000000" w:rsidR="00000000" w:rsidRPr="00000000">
        <w:rPr>
          <w:rtl w:val="0"/>
        </w:rPr>
      </w:r>
    </w:p>
    <w:p w:rsidR="00000000" w:rsidDel="00000000" w:rsidP="00000000" w:rsidRDefault="00000000" w:rsidRPr="00000000" w14:paraId="00000027">
      <w:pPr>
        <w:jc w:val="both"/>
        <w:rPr/>
      </w:pPr>
      <w:r w:rsidDel="00000000" w:rsidR="00000000" w:rsidRPr="00000000">
        <w:rPr>
          <w:rFonts w:ascii="Times New Roman" w:cs="Times New Roman" w:eastAsia="Times New Roman" w:hAnsi="Times New Roman"/>
          <w:b w:val="0"/>
          <w:bCs w:val="0"/>
          <w:i w:val="0"/>
          <w:iCs w:val="0"/>
          <w:sz w:val="20"/>
          <w:szCs w:val="20"/>
          <w:rtl w:val="0"/>
        </w:rPr>
        <w:t xml:space="preserve">Zero Trust Architecture is best understood as a strategic response to the limitations of inherited perimeter thinking. Its importance has grown because organisations now operate across hybrid work patterns, cloud platforms and complex partner ecosystems where location is a weak indicator of legitimacy. The strongest elements of ZTA are identity-centred access, least privilege, segmentation and continuous verification. Together, these reduce implicit trust and improve containment when compromise occurs.</w:t>
      </w:r>
      <w:r w:rsidDel="00000000" w:rsidR="00000000" w:rsidRPr="00000000">
        <w:rPr>
          <w:rtl w:val="0"/>
        </w:rPr>
      </w:r>
    </w:p>
    <w:p w:rsidR="00000000" w:rsidDel="00000000" w:rsidP="00000000" w:rsidRDefault="00000000" w:rsidRPr="00000000" w14:paraId="00000028">
      <w:pPr>
        <w:jc w:val="both"/>
        <w:rPr/>
      </w:pPr>
      <w:r w:rsidDel="00000000" w:rsidR="00000000" w:rsidRPr="00000000">
        <w:rPr>
          <w:rFonts w:ascii="Times New Roman" w:cs="Times New Roman" w:eastAsia="Times New Roman" w:hAnsi="Times New Roman"/>
          <w:b w:val="0"/>
          <w:bCs w:val="0"/>
          <w:i w:val="0"/>
          <w:iCs w:val="0"/>
          <w:sz w:val="20"/>
          <w:szCs w:val="20"/>
          <w:rtl w:val="0"/>
        </w:rPr>
        <w:t xml:space="preserve">At the same time, the model is demanding. Weak identity governance, legacy systems, fragmented tooling and poor change management can all dilute its benefits. Organisations therefore need a phased and business-led implementation plan rather than a vendor-led rollout. Overall, the evidence supports the view that zero trust is more effective than traditional perimeter-based security for modern organisations, provided it is implemented as a disciplined programme of governance, architecture and operational improvement rather than as a simple technology purchase.</w:t>
      </w:r>
      <w:r w:rsidDel="00000000" w:rsidR="00000000" w:rsidRPr="00000000">
        <w:rPr>
          <w:rtl w:val="0"/>
        </w:rPr>
      </w:r>
    </w:p>
    <w:p w:rsidR="00000000" w:rsidDel="00000000" w:rsidP="00000000" w:rsidRDefault="00000000" w:rsidRPr="00000000" w14:paraId="00000029">
      <w:pPr>
        <w:pStyle w:val="Heading2"/>
        <w:jc w:val="left"/>
        <w:rPr/>
      </w:pPr>
      <w:r w:rsidDel="00000000" w:rsidR="00000000" w:rsidRPr="00000000">
        <w:rPr>
          <w:rFonts w:ascii="Times New Roman" w:cs="Times New Roman" w:eastAsia="Times New Roman" w:hAnsi="Times New Roman"/>
          <w:rtl w:val="0"/>
        </w:rPr>
        <w:t xml:space="preserve">References</w:t>
      </w: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[1] S. Rose, O. Borchert, S. Mitchell and S. Connelly, Zero Trust Architecture, NIST SP 800-207, National Institute of Standards and Technology, 2020.</w:t>
      </w:r>
    </w:p>
    <w:p w:rsidR="00000000" w:rsidDel="00000000" w:rsidP="00000000" w:rsidRDefault="00000000" w:rsidRPr="00000000" w14:paraId="0000002B">
      <w:pPr>
        <w:rPr/>
      </w:pPr>
      <w:r w:rsidDel="00000000" w:rsidR="00000000" w:rsidRPr="00000000">
        <w:rPr>
          <w:rtl w:val="0"/>
        </w:rPr>
        <w:t xml:space="preserve">[2] National Institute of Standards and Technology, Cybersecurity Framework (CSF) 2.0, 2024.</w:t>
      </w:r>
    </w:p>
    <w:p w:rsidR="00000000" w:rsidDel="00000000" w:rsidP="00000000" w:rsidRDefault="00000000" w:rsidRPr="00000000" w14:paraId="0000002C">
      <w:pPr>
        <w:rPr/>
      </w:pPr>
      <w:r w:rsidDel="00000000" w:rsidR="00000000" w:rsidRPr="00000000">
        <w:rPr>
          <w:rtl w:val="0"/>
        </w:rPr>
        <w:t xml:space="preserve">[3] R. Chandramouli and C. Wright, A Zero Trust Architecture Model for Access Control in Cloud-Native Applications in Multi-Location Environments, NIST SP 800-207A, 2023.</w:t>
      </w:r>
    </w:p>
    <w:p w:rsidR="00000000" w:rsidDel="00000000" w:rsidP="00000000" w:rsidRDefault="00000000" w:rsidRPr="00000000" w14:paraId="0000002D">
      <w:pPr>
        <w:rPr/>
      </w:pPr>
      <w:r w:rsidDel="00000000" w:rsidR="00000000" w:rsidRPr="00000000">
        <w:rPr>
          <w:rtl w:val="0"/>
        </w:rPr>
        <w:t xml:space="preserve">[4] Cybersecurity and Infrastructure Security Agency, Zero Trust Maturity Model Version 2.0, 2023.</w:t>
      </w:r>
    </w:p>
    <w:p w:rsidR="00000000" w:rsidDel="00000000" w:rsidP="00000000" w:rsidRDefault="00000000" w:rsidRPr="00000000" w14:paraId="0000002E">
      <w:pPr>
        <w:rPr/>
      </w:pPr>
      <w:r w:rsidDel="00000000" w:rsidR="00000000" w:rsidRPr="00000000">
        <w:rPr>
          <w:rtl w:val="0"/>
        </w:rPr>
        <w:t xml:space="preserve">[5] European Union, Directive (EU) 2022/2555 on measures for a high common level of cybersecurity across the Union (NIS2 Directive), 2022.</w:t>
      </w:r>
    </w:p>
    <w:p w:rsidR="00000000" w:rsidDel="00000000" w:rsidP="00000000" w:rsidRDefault="00000000" w:rsidRPr="00000000" w14:paraId="0000002F">
      <w:pPr>
        <w:rPr/>
      </w:pPr>
      <w:r w:rsidDel="00000000" w:rsidR="00000000" w:rsidRPr="00000000">
        <w:rPr>
          <w:rtl w:val="0"/>
        </w:rPr>
        <w:t xml:space="preserve">[6] European Commission, NIS2 Directive: securing network and information systems, 2026.</w:t>
      </w:r>
    </w:p>
    <w:p w:rsidR="00000000" w:rsidDel="00000000" w:rsidP="00000000" w:rsidRDefault="00000000" w:rsidRPr="00000000" w14:paraId="00000030">
      <w:pPr>
        <w:rPr/>
      </w:pPr>
      <w:r w:rsidDel="00000000" w:rsidR="00000000" w:rsidRPr="00000000">
        <w:rPr>
          <w:rtl w:val="0"/>
        </w:rPr>
        <w:t xml:space="preserve">[7] European Union, Regulation (EU) 2022/2554 on digital operational resilience for the financial sector (DORA), 2022.</w:t>
      </w:r>
    </w:p>
    <w:p w:rsidR="00000000" w:rsidDel="00000000" w:rsidP="00000000" w:rsidRDefault="00000000" w:rsidRPr="00000000" w14:paraId="00000031">
      <w:pPr>
        <w:rPr/>
      </w:pPr>
      <w:r w:rsidDel="00000000" w:rsidR="00000000" w:rsidRPr="00000000">
        <w:rPr>
          <w:rtl w:val="0"/>
        </w:rPr>
        <w:t xml:space="preserve">[8] European Securities and Markets Authority, Digital Operational Resilience Act (DORA), 2025.</w:t>
      </w:r>
    </w:p>
    <w:p w:rsidR="00000000" w:rsidDel="00000000" w:rsidP="00000000" w:rsidRDefault="00000000" w:rsidRPr="00000000" w14:paraId="00000032">
      <w:pPr>
        <w:rPr/>
      </w:pPr>
      <w:r w:rsidDel="00000000" w:rsidR="00000000" w:rsidRPr="00000000">
        <w:rPr>
          <w:rtl w:val="0"/>
        </w:rPr>
        <w:t xml:space="preserve">[9] European Union, Regulation (EU) 2016/679 (General Data Protection Regulation), 2016.</w:t>
      </w:r>
    </w:p>
    <w:p w:rsidR="00000000" w:rsidDel="00000000" w:rsidP="00000000" w:rsidRDefault="00000000" w:rsidRPr="00000000" w14:paraId="00000033">
      <w:pPr>
        <w:rPr/>
      </w:pPr>
      <w:r w:rsidDel="00000000" w:rsidR="00000000" w:rsidRPr="00000000">
        <w:rPr>
          <w:rtl w:val="0"/>
        </w:rPr>
        <w:t xml:space="preserve">[10] Information Commissioner's Office, What is special category data?, 2024.</w:t>
      </w:r>
    </w:p>
    <w:p w:rsidR="00000000" w:rsidDel="00000000" w:rsidP="00000000" w:rsidRDefault="00000000" w:rsidRPr="00000000" w14:paraId="00000034">
      <w:pPr>
        <w:rPr/>
      </w:pPr>
      <w:r w:rsidDel="00000000" w:rsidR="00000000" w:rsidRPr="00000000">
        <w:rPr>
          <w:rtl w:val="0"/>
        </w:rPr>
        <w:t xml:space="preserve">[11] E. B. Fernandez, M. Hamdi and A. Hashizume, "A critical analysis of Zero Trust Architecture (ZTA)," Computers &amp; Security, vol. 139, 2024.</w:t>
      </w:r>
    </w:p>
    <w:p w:rsidR="00000000" w:rsidDel="00000000" w:rsidP="00000000" w:rsidRDefault="00000000" w:rsidRPr="00000000" w14:paraId="00000035">
      <w:pPr>
        <w:rPr/>
      </w:pPr>
      <w:r w:rsidDel="00000000" w:rsidR="00000000" w:rsidRPr="00000000">
        <w:rPr>
          <w:rtl w:val="0"/>
        </w:rPr>
        <w:t xml:space="preserve">[12] C. Liu, J. Li and Y. Zhang, "Dissecting zero trust: research landscape and its directions," Cybersecurity, vol. 7, no. 1, 2024.</w:t>
      </w:r>
    </w:p>
    <w:p w:rsidR="00000000" w:rsidDel="00000000" w:rsidP="00000000" w:rsidRDefault="00000000" w:rsidRPr="00000000" w14:paraId="00000036">
      <w:pPr>
        <w:rPr/>
      </w:pPr>
      <w:r w:rsidDel="00000000" w:rsidR="00000000" w:rsidRPr="00000000">
        <w:rPr>
          <w:rtl w:val="0"/>
        </w:rPr>
        <w:t xml:space="preserve">[13] P. Dhiman, M. K. Yadav and A. Sharma, "A Review and Comparative Analysis of Relevant Zero-Trust Architecture Implementations," Sensors, vol. 24, no. 4, 2024.</w:t>
      </w:r>
    </w:p>
    <w:p w:rsidR="00000000" w:rsidDel="00000000" w:rsidP="00000000" w:rsidRDefault="00000000" w:rsidRPr="00000000" w14:paraId="00000037">
      <w:pPr>
        <w:rPr/>
      </w:pPr>
      <w:r w:rsidDel="00000000" w:rsidR="00000000" w:rsidRPr="00000000">
        <w:rPr>
          <w:rtl w:val="0"/>
        </w:rPr>
        <w:t xml:space="preserve">[14] S. Mushtaq et al., "A Systematic Literature Review on the Implementation and Evaluation of Zero Trust Architecture," Sensors, vol. 25, no. 19, 2025.</w:t>
      </w:r>
    </w:p>
    <w:p w:rsidR="00000000" w:rsidDel="00000000" w:rsidP="00000000" w:rsidRDefault="00000000" w:rsidRPr="00000000" w14:paraId="00000038">
      <w:pPr>
        <w:rPr/>
      </w:pPr>
      <w:r w:rsidDel="00000000" w:rsidR="00000000" w:rsidRPr="00000000">
        <w:rPr>
          <w:rtl w:val="0"/>
        </w:rPr>
        <w:t xml:space="preserve">[15] Cybersecurity and Infrastructure Security Agency, Implementing Phishing-Resistant MFA, 2022.</w:t>
      </w:r>
    </w:p>
    <w:p w:rsidR="00000000" w:rsidDel="00000000" w:rsidP="00000000" w:rsidRDefault="00000000" w:rsidRPr="00000000" w14:paraId="00000039">
      <w:pPr>
        <w:rPr/>
      </w:pPr>
      <w:r w:rsidDel="00000000" w:rsidR="00000000" w:rsidRPr="00000000">
        <w:rPr>
          <w:rtl w:val="0"/>
        </w:rPr>
        <w:t xml:space="preserve">[16] MITRE ATT&amp;CK, Steal Web Session Cookie (T1539), 2019.</w:t>
      </w:r>
    </w:p>
    <w:p w:rsidR="00000000" w:rsidDel="00000000" w:rsidP="00000000" w:rsidRDefault="00000000" w:rsidRPr="00000000" w14:paraId="0000003A">
      <w:pPr>
        <w:rPr/>
        <w:sectPr>
          <w:pgSz w:h="16838" w:w="11906" w:orient="portrait"/>
          <w:pgMar w:bottom="1247" w:top="1247" w:left="1134" w:right="1134" w:header="720" w:footer="720"/>
          <w:pgNumType w:start="1"/>
          <w:cols w:equalWidth="0" w:num="2">
            <w:col w:space="720" w:w="4458.999999999999"/>
            <w:col w:space="0" w:w="4458.999999999999"/>
          </w:cols>
        </w:sectPr>
      </w:pPr>
      <w:r w:rsidDel="00000000" w:rsidR="00000000" w:rsidRPr="00000000">
        <w:rPr>
          <w:rtl w:val="0"/>
        </w:rPr>
        <w:t xml:space="preserve">[17] OWASP Foundation, Session Management Cheat Sheet, 2024.</w:t>
      </w:r>
    </w:p>
    <w:p w:rsidR="00000000" w:rsidDel="00000000" w:rsidP="00000000" w:rsidRDefault="00000000" w:rsidRPr="00000000" w14:paraId="0000003B">
      <w:pPr>
        <w:pStyle w:val="Heading1"/>
        <w:jc w:val="left"/>
        <w:rPr/>
      </w:pPr>
      <w:r w:rsidDel="00000000" w:rsidR="00000000" w:rsidRPr="00000000">
        <w:rPr>
          <w:rFonts w:ascii="Times New Roman" w:cs="Times New Roman" w:eastAsia="Times New Roman" w:hAnsi="Times New Roman"/>
          <w:rtl w:val="0"/>
        </w:rPr>
        <w:t xml:space="preserve">Task 2: Zero-Trust-Aligned Security Programme for MediTrust Analytics Ltd</w:t>
      </w:r>
      <w:r w:rsidDel="00000000" w:rsidR="00000000" w:rsidRPr="00000000">
        <w:rPr>
          <w:rtl w:val="0"/>
        </w:rPr>
      </w:r>
    </w:p>
    <w:p w:rsidR="00000000" w:rsidDel="00000000" w:rsidP="00000000" w:rsidRDefault="00000000" w:rsidRPr="00000000" w14:paraId="0000003C">
      <w:pPr>
        <w:jc w:val="both"/>
        <w:rPr/>
      </w:pPr>
      <w:r w:rsidDel="00000000" w:rsidR="00000000" w:rsidRPr="00000000">
        <w:rPr>
          <w:rFonts w:ascii="Times New Roman" w:cs="Times New Roman" w:eastAsia="Times New Roman" w:hAnsi="Times New Roman"/>
          <w:b w:val="0"/>
          <w:bCs w:val="0"/>
          <w:i w:val="0"/>
          <w:iCs w:val="0"/>
          <w:sz w:val="20"/>
          <w:szCs w:val="20"/>
          <w:rtl w:val="0"/>
        </w:rPr>
        <w:t xml:space="preserve">Abstract— This section proposes a practical starter design for MediTrust’s new security unit. The design is intentionally strategic rather than excessively technical so that it meets the brief, supports later expansion, and can be justified with the research carried out in Task 1.</w:t>
      </w:r>
      <w:r w:rsidDel="00000000" w:rsidR="00000000" w:rsidRPr="00000000">
        <w:rPr>
          <w:rtl w:val="0"/>
        </w:rPr>
      </w:r>
    </w:p>
    <w:p w:rsidR="00000000" w:rsidDel="00000000" w:rsidP="00000000" w:rsidRDefault="00000000" w:rsidRPr="00000000" w14:paraId="0000003D">
      <w:pPr>
        <w:pStyle w:val="Heading2"/>
        <w:jc w:val="left"/>
        <w:rPr/>
      </w:pPr>
      <w:r w:rsidDel="00000000" w:rsidR="00000000" w:rsidRPr="00000000">
        <w:rPr>
          <w:rFonts w:ascii="Times New Roman" w:cs="Times New Roman" w:eastAsia="Times New Roman" w:hAnsi="Times New Roman"/>
          <w:rtl w:val="0"/>
        </w:rPr>
        <w:t xml:space="preserve">Introduction</w:t>
      </w:r>
      <w:r w:rsidDel="00000000" w:rsidR="00000000" w:rsidRPr="00000000">
        <w:rPr>
          <w:rtl w:val="0"/>
        </w:rPr>
      </w:r>
    </w:p>
    <w:p w:rsidR="00000000" w:rsidDel="00000000" w:rsidP="00000000" w:rsidRDefault="00000000" w:rsidRPr="00000000" w14:paraId="0000003E">
      <w:pPr>
        <w:jc w:val="both"/>
        <w:rPr/>
      </w:pPr>
      <w:r w:rsidDel="00000000" w:rsidR="00000000" w:rsidRPr="00000000">
        <w:rPr>
          <w:rFonts w:ascii="Times New Roman" w:cs="Times New Roman" w:eastAsia="Times New Roman" w:hAnsi="Times New Roman"/>
          <w:b w:val="0"/>
          <w:bCs w:val="0"/>
          <w:i w:val="0"/>
          <w:iCs w:val="0"/>
          <w:sz w:val="20"/>
          <w:szCs w:val="20"/>
          <w:rtl w:val="0"/>
        </w:rPr>
        <w:t xml:space="preserve">MediTrust Analytics Ltd operates in a high-risk environment. It develops AI-enabled clinical decision support systems, stores sensitive health-related data, works with hospitals and research partners, and relies on a hybrid workforce and multi-cloud platforms. The scenario also points to growing regulatory pressure as the organisation expands into the EU. This combination means security cannot be treated as a technical support function. It has to become part of corporate governance, service delivery and product development.</w:t>
      </w:r>
      <w:r w:rsidDel="00000000" w:rsidR="00000000" w:rsidRPr="00000000">
        <w:rPr>
          <w:rtl w:val="0"/>
        </w:rPr>
      </w:r>
    </w:p>
    <w:p w:rsidR="00000000" w:rsidDel="00000000" w:rsidP="00000000" w:rsidRDefault="00000000" w:rsidRPr="00000000" w14:paraId="0000003F">
      <w:pPr>
        <w:jc w:val="both"/>
        <w:rPr/>
      </w:pPr>
      <w:r w:rsidDel="00000000" w:rsidR="00000000" w:rsidRPr="00000000">
        <w:rPr>
          <w:rtl w:val="0"/>
        </w:rPr>
        <w:t xml:space="preserve">The programme proposed below is designed around zero trust principles because the company cannot safely rely on network location, informal trust between teams, or supplier assurances alone. Every material access path into patient data, development pipelines, SaaS platforms and cloud workloads should be governed through strong identity, policy-based access, device assurance and continuous monitoring. The design uses NIST CSF 2.0 as the governance backbone because it connects security work to business outcomes such as patient safety, service availability, compliance evidence and client confidence [2].</w:t>
      </w:r>
    </w:p>
    <w:p w:rsidR="00000000" w:rsidDel="00000000" w:rsidP="00000000" w:rsidRDefault="00000000" w:rsidRPr="00000000" w14:paraId="00000040">
      <w:pPr>
        <w:pStyle w:val="Heading2"/>
        <w:jc w:val="left"/>
        <w:rPr/>
      </w:pPr>
      <w:r w:rsidDel="00000000" w:rsidR="00000000" w:rsidRPr="00000000">
        <w:rPr>
          <w:rFonts w:ascii="Times New Roman" w:cs="Times New Roman" w:eastAsia="Times New Roman" w:hAnsi="Times New Roman"/>
          <w:rtl w:val="0"/>
        </w:rPr>
        <w:t xml:space="preserve">Strategic design principles</w:t>
      </w:r>
      <w:r w:rsidDel="00000000" w:rsidR="00000000" w:rsidRPr="00000000">
        <w:rPr>
          <w:rtl w:val="0"/>
        </w:rPr>
      </w:r>
    </w:p>
    <w:p w:rsidR="00000000" w:rsidDel="00000000" w:rsidP="00000000" w:rsidRDefault="00000000" w:rsidRPr="00000000" w14:paraId="00000041">
      <w:pPr>
        <w:jc w:val="both"/>
        <w:rPr/>
      </w:pPr>
      <w:r w:rsidDel="00000000" w:rsidR="00000000" w:rsidRPr="00000000">
        <w:rPr>
          <w:rFonts w:ascii="Times New Roman" w:cs="Times New Roman" w:eastAsia="Times New Roman" w:hAnsi="Times New Roman"/>
          <w:b w:val="0"/>
          <w:bCs w:val="0"/>
          <w:i w:val="0"/>
          <w:iCs w:val="0"/>
          <w:sz w:val="20"/>
          <w:szCs w:val="20"/>
          <w:rtl w:val="0"/>
        </w:rPr>
        <w:t xml:space="preserve">The programme is based on five principles. First, protect the most sensitive assets first: clinical data, AI training data, source code, model repositories, identity systems and cloud control planes. Second, make identity the centre of trust decisions through phishing-resistant MFA, conditional access and privileged access controls. Third, minimise implicit trust between users, devices, workloads and third parties through segmentation and application-level access. Fourth, build resilience into operations by treating cyber incidents as inevitable and planning for detection, containment and recovery. Fifth, align controls to legal and contractual duties, especially around health data handling, incident reporting, resilience testing and third-party risk [5], [6], [7].</w:t>
      </w:r>
      <w:r w:rsidDel="00000000" w:rsidR="00000000" w:rsidRPr="00000000">
        <w:rPr>
          <w:rtl w:val="0"/>
        </w:rPr>
      </w:r>
    </w:p>
    <w:p w:rsidR="00000000" w:rsidDel="00000000" w:rsidP="00000000" w:rsidRDefault="00000000" w:rsidRPr="00000000" w14:paraId="00000042">
      <w:pPr>
        <w:pStyle w:val="Heading2"/>
        <w:jc w:val="left"/>
        <w:rPr/>
      </w:pPr>
      <w:r w:rsidDel="00000000" w:rsidR="00000000" w:rsidRPr="00000000">
        <w:rPr>
          <w:rFonts w:ascii="Times New Roman" w:cs="Times New Roman" w:eastAsia="Times New Roman" w:hAnsi="Times New Roman"/>
          <w:rtl w:val="0"/>
        </w:rPr>
        <w:t xml:space="preserve">Proposed organisation structure</w:t>
      </w:r>
      <w:r w:rsidDel="00000000" w:rsidR="00000000" w:rsidRPr="00000000">
        <w:rPr>
          <w:rtl w:val="0"/>
        </w:rPr>
      </w:r>
    </w:p>
    <w:p w:rsidR="00000000" w:rsidDel="00000000" w:rsidP="00000000" w:rsidRDefault="00000000" w:rsidRPr="00000000" w14:paraId="00000043">
      <w:pPr>
        <w:jc w:val="both"/>
        <w:rPr/>
      </w:pPr>
      <w:r w:rsidDel="00000000" w:rsidR="00000000" w:rsidRPr="00000000">
        <w:rPr>
          <w:rFonts w:ascii="Times New Roman" w:cs="Times New Roman" w:eastAsia="Times New Roman" w:hAnsi="Times New Roman"/>
          <w:b w:val="0"/>
          <w:bCs w:val="0"/>
          <w:i w:val="0"/>
          <w:iCs w:val="0"/>
          <w:sz w:val="20"/>
          <w:szCs w:val="20"/>
          <w:rtl w:val="0"/>
        </w:rPr>
        <w:t xml:space="preserve">The new information security unit should report to executive leadership through a Chief Information Security Officer or, if that role does not yet exist, a Head of Security with board access. This avoids the common problem of security being buried too deeply inside IT operations. Two specialist roles should be added immediately.</w:t>
      </w:r>
      <w:r w:rsidDel="00000000" w:rsidR="00000000" w:rsidRPr="00000000">
        <w:rPr>
          <w:rtl w:val="0"/>
        </w:rPr>
      </w:r>
    </w:p>
    <w:p w:rsidR="00000000" w:rsidDel="00000000" w:rsidP="00000000" w:rsidRDefault="00000000" w:rsidRPr="00000000" w14:paraId="00000044">
      <w:pPr>
        <w:jc w:val="both"/>
        <w:rPr/>
      </w:pPr>
      <w:r w:rsidDel="00000000" w:rsidR="00000000" w:rsidRPr="00000000">
        <w:rPr>
          <w:rFonts w:ascii="Times New Roman" w:cs="Times New Roman" w:eastAsia="Times New Roman" w:hAnsi="Times New Roman"/>
          <w:b w:val="0"/>
          <w:bCs w:val="0"/>
          <w:i w:val="0"/>
          <w:iCs w:val="0"/>
          <w:sz w:val="20"/>
          <w:szCs w:val="20"/>
          <w:rtl w:val="0"/>
        </w:rPr>
        <w:t xml:space="preserve">The Cloud Security Architect should own secure cloud patterns, landing zones, identity integration, workload segmentation, key management and cloud posture baselines across providers. This role is essential because MediTrust depends on multi-cloud services and cannot afford inconsistent controls between environments.</w:t>
      </w:r>
      <w:r w:rsidDel="00000000" w:rsidR="00000000" w:rsidRPr="00000000">
        <w:rPr>
          <w:rtl w:val="0"/>
        </w:rPr>
      </w:r>
    </w:p>
    <w:p w:rsidR="00000000" w:rsidDel="00000000" w:rsidP="00000000" w:rsidRDefault="00000000" w:rsidRPr="00000000" w14:paraId="00000045">
      <w:pPr>
        <w:jc w:val="both"/>
        <w:rPr/>
      </w:pPr>
      <w:r w:rsidDel="00000000" w:rsidR="00000000" w:rsidRPr="00000000">
        <w:rPr>
          <w:rFonts w:ascii="Times New Roman" w:cs="Times New Roman" w:eastAsia="Times New Roman" w:hAnsi="Times New Roman"/>
          <w:b w:val="0"/>
          <w:bCs w:val="0"/>
          <w:i w:val="0"/>
          <w:iCs w:val="0"/>
          <w:sz w:val="20"/>
          <w:szCs w:val="20"/>
          <w:rtl w:val="0"/>
        </w:rPr>
        <w:t xml:space="preserve">The DevSecOps Lead should embed security into the software and model development lifecycle. This includes secure coding standards, dependency scanning, infrastructure-as-code reviews, secrets management, software bill of materials practices and release gate criteria. For a company building AI-supported healthcare software, this role also becomes important for model provenance and supply-chain assurance.</w:t>
      </w:r>
      <w:r w:rsidDel="00000000" w:rsidR="00000000" w:rsidRPr="00000000">
        <w:rPr>
          <w:rtl w:val="0"/>
        </w:rPr>
      </w:r>
    </w:p>
    <w:p w:rsidR="00000000" w:rsidDel="00000000" w:rsidP="00000000" w:rsidRDefault="00000000" w:rsidRPr="00000000" w14:paraId="00000046">
      <w:pPr>
        <w:jc w:val="both"/>
        <w:rPr/>
      </w:pPr>
      <w:r w:rsidDel="00000000" w:rsidR="00000000" w:rsidRPr="00000000">
        <w:rPr>
          <w:rFonts w:ascii="Times New Roman" w:cs="Times New Roman" w:eastAsia="Times New Roman" w:hAnsi="Times New Roman"/>
          <w:b w:val="0"/>
          <w:bCs w:val="0"/>
          <w:i w:val="0"/>
          <w:iCs w:val="0"/>
          <w:sz w:val="20"/>
          <w:szCs w:val="20"/>
          <w:rtl w:val="0"/>
        </w:rPr>
        <w:t xml:space="preserve">These roles should work alongside Data Protection, Legal/Compliance, Engineering and Business Continuity representatives in a small governance forum that meets monthly and escalates major issues to leadership.</w:t>
      </w:r>
      <w:r w:rsidDel="00000000" w:rsidR="00000000" w:rsidRPr="00000000">
        <w:rPr>
          <w:rtl w:val="0"/>
        </w:rPr>
      </w:r>
    </w:p>
    <w:p w:rsidR="00000000" w:rsidDel="00000000" w:rsidP="00000000" w:rsidRDefault="00000000" w:rsidRPr="00000000" w14:paraId="00000047">
      <w:pPr>
        <w:spacing w:after="80" w:before="80" w:lineRule="auto"/>
        <w:jc w:val="center"/>
        <w:rPr/>
      </w:pPr>
      <w:r w:rsidDel="00000000" w:rsidR="00000000" w:rsidRPr="00000000">
        <w:rPr>
          <w:rFonts w:ascii="Times New Roman" w:cs="Times New Roman" w:eastAsia="Times New Roman" w:hAnsi="Times New Roman"/>
          <w:i w:val="1"/>
          <w:iCs w:val="1"/>
          <w:sz w:val="18"/>
          <w:szCs w:val="18"/>
          <w:rtl w:val="0"/>
        </w:rPr>
        <w:t xml:space="preserve">Table 1. Proposed security roles for MediTrust’s new unit</w:t>
      </w:r>
      <w:r w:rsidDel="00000000" w:rsidR="00000000" w:rsidRPr="00000000">
        <w:rPr>
          <w:rtl w:val="0"/>
        </w:rPr>
      </w:r>
    </w:p>
    <w:p w:rsidR="00000000" w:rsidDel="00000000" w:rsidP="00000000" w:rsidRDefault="00000000" w:rsidRPr="00000000" w14:paraId="00000048">
      <w:pPr>
        <w:jc w:val="center"/>
        <w:rPr/>
      </w:pPr>
      <w:r w:rsidDel="00000000" w:rsidR="00000000" w:rsidRPr="00000000">
        <w:rPr/>
        <w:drawing>
          <wp:inline distB="0" distT="0" distL="114300" distR="114300">
            <wp:extent cx="2926080" cy="1666029"/>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926080" cy="1666029"/>
                    </a:xfrm>
                    <a:prstGeom prst="rect"/>
                    <a:ln/>
                  </pic:spPr>
                </pic:pic>
              </a:graphicData>
            </a:graphic>
          </wp:inline>
        </w:drawing>
      </w:r>
      <w:r w:rsidDel="00000000" w:rsidR="00000000" w:rsidRPr="00000000">
        <w:rPr>
          <w:rtl w:val="0"/>
        </w:rPr>
      </w:r>
    </w:p>
    <w:p w:rsidR="00000000" w:rsidDel="00000000" w:rsidP="00000000" w:rsidRDefault="00000000" w:rsidRPr="00000000" w14:paraId="00000049">
      <w:pPr>
        <w:jc w:val="center"/>
        <w:rPr/>
      </w:pPr>
      <w:r w:rsidDel="00000000" w:rsidR="00000000" w:rsidRPr="00000000">
        <w:rPr>
          <w:rtl w:val="0"/>
        </w:rPr>
        <w:t xml:space="preserve">Figure 1. Zero-trust-aligned operating model for MediTrust.</w:t>
      </w:r>
    </w:p>
    <w:tbl>
      <w:tblPr>
        <w:tblStyle w:val="Table1"/>
        <w:tblW w:w="9639.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213"/>
        <w:gridCol w:w="3213"/>
        <w:gridCol w:w="3213"/>
        <w:tblGridChange w:id="0">
          <w:tblGrid>
            <w:gridCol w:w="3213"/>
            <w:gridCol w:w="3213"/>
            <w:gridCol w:w="3213"/>
          </w:tblGrid>
        </w:tblGridChange>
      </w:tblGrid>
      <w:tr>
        <w:trPr>
          <w:cantSplit w:val="0"/>
          <w:tblHeader w:val="0"/>
        </w:trPr>
        <w:tc>
          <w:tcPr>
            <w:vAlign w:val="center"/>
          </w:tcPr>
          <w:p w:rsidR="00000000" w:rsidDel="00000000" w:rsidP="00000000" w:rsidRDefault="00000000" w:rsidRPr="00000000" w14:paraId="0000004A">
            <w:pPr>
              <w:jc w:val="left"/>
              <w:rPr/>
            </w:pPr>
            <w:r w:rsidDel="00000000" w:rsidR="00000000" w:rsidRPr="00000000">
              <w:rPr>
                <w:rFonts w:ascii="Times New Roman" w:cs="Times New Roman" w:eastAsia="Times New Roman" w:hAnsi="Times New Roman"/>
                <w:b w:val="1"/>
                <w:bCs w:val="1"/>
                <w:sz w:val="17"/>
                <w:szCs w:val="17"/>
                <w:rtl w:val="0"/>
              </w:rPr>
              <w:t xml:space="preserve">Role</w:t>
            </w:r>
            <w:r w:rsidDel="00000000" w:rsidR="00000000" w:rsidRPr="00000000">
              <w:rPr>
                <w:rtl w:val="0"/>
              </w:rPr>
            </w:r>
          </w:p>
        </w:tc>
        <w:tc>
          <w:tcPr>
            <w:vAlign w:val="center"/>
          </w:tcPr>
          <w:p w:rsidR="00000000" w:rsidDel="00000000" w:rsidP="00000000" w:rsidRDefault="00000000" w:rsidRPr="00000000" w14:paraId="0000004B">
            <w:pPr>
              <w:jc w:val="left"/>
              <w:rPr/>
            </w:pPr>
            <w:r w:rsidDel="00000000" w:rsidR="00000000" w:rsidRPr="00000000">
              <w:rPr>
                <w:rFonts w:ascii="Times New Roman" w:cs="Times New Roman" w:eastAsia="Times New Roman" w:hAnsi="Times New Roman"/>
                <w:b w:val="1"/>
                <w:bCs w:val="1"/>
                <w:sz w:val="17"/>
                <w:szCs w:val="17"/>
                <w:rtl w:val="0"/>
              </w:rPr>
              <w:t xml:space="preserve">Core responsibilities</w:t>
            </w:r>
            <w:r w:rsidDel="00000000" w:rsidR="00000000" w:rsidRPr="00000000">
              <w:rPr>
                <w:rtl w:val="0"/>
              </w:rPr>
            </w:r>
          </w:p>
        </w:tc>
        <w:tc>
          <w:tcPr>
            <w:vAlign w:val="center"/>
          </w:tcPr>
          <w:p w:rsidR="00000000" w:rsidDel="00000000" w:rsidP="00000000" w:rsidRDefault="00000000" w:rsidRPr="00000000" w14:paraId="0000004C">
            <w:pPr>
              <w:jc w:val="left"/>
              <w:rPr/>
            </w:pPr>
            <w:r w:rsidDel="00000000" w:rsidR="00000000" w:rsidRPr="00000000">
              <w:rPr>
                <w:rFonts w:ascii="Times New Roman" w:cs="Times New Roman" w:eastAsia="Times New Roman" w:hAnsi="Times New Roman"/>
                <w:b w:val="1"/>
                <w:bCs w:val="1"/>
                <w:sz w:val="17"/>
                <w:szCs w:val="17"/>
                <w:rtl w:val="0"/>
              </w:rPr>
              <w:t xml:space="preserve">Why it matters</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4D">
            <w:pPr>
              <w:jc w:val="left"/>
              <w:rPr/>
            </w:pPr>
            <w:r w:rsidDel="00000000" w:rsidR="00000000" w:rsidRPr="00000000">
              <w:rPr>
                <w:rFonts w:ascii="Times New Roman" w:cs="Times New Roman" w:eastAsia="Times New Roman" w:hAnsi="Times New Roman"/>
                <w:b w:val="0"/>
                <w:bCs w:val="0"/>
                <w:sz w:val="17"/>
                <w:szCs w:val="17"/>
                <w:rtl w:val="0"/>
              </w:rPr>
              <w:t xml:space="preserve">Head of Security / CISO</w:t>
            </w:r>
            <w:r w:rsidDel="00000000" w:rsidR="00000000" w:rsidRPr="00000000">
              <w:rPr>
                <w:rtl w:val="0"/>
              </w:rPr>
            </w:r>
          </w:p>
        </w:tc>
        <w:tc>
          <w:tcPr>
            <w:vAlign w:val="center"/>
          </w:tcPr>
          <w:p w:rsidR="00000000" w:rsidDel="00000000" w:rsidP="00000000" w:rsidRDefault="00000000" w:rsidRPr="00000000" w14:paraId="0000004E">
            <w:pPr>
              <w:jc w:val="left"/>
              <w:rPr/>
            </w:pPr>
            <w:r w:rsidDel="00000000" w:rsidR="00000000" w:rsidRPr="00000000">
              <w:rPr>
                <w:rFonts w:ascii="Times New Roman" w:cs="Times New Roman" w:eastAsia="Times New Roman" w:hAnsi="Times New Roman"/>
                <w:b w:val="0"/>
                <w:bCs w:val="0"/>
                <w:sz w:val="17"/>
                <w:szCs w:val="17"/>
                <w:rtl w:val="0"/>
              </w:rPr>
              <w:t xml:space="preserve">Board reporting, risk ownership, oversight of policy, incident governance and regulatory coordination.</w:t>
            </w:r>
            <w:r w:rsidDel="00000000" w:rsidR="00000000" w:rsidRPr="00000000">
              <w:rPr>
                <w:rtl w:val="0"/>
              </w:rPr>
            </w:r>
          </w:p>
        </w:tc>
        <w:tc>
          <w:tcPr>
            <w:vAlign w:val="center"/>
          </w:tcPr>
          <w:p w:rsidR="00000000" w:rsidDel="00000000" w:rsidP="00000000" w:rsidRDefault="00000000" w:rsidRPr="00000000" w14:paraId="0000004F">
            <w:pPr>
              <w:jc w:val="left"/>
              <w:rPr/>
            </w:pPr>
            <w:r w:rsidDel="00000000" w:rsidR="00000000" w:rsidRPr="00000000">
              <w:rPr>
                <w:rFonts w:ascii="Times New Roman" w:cs="Times New Roman" w:eastAsia="Times New Roman" w:hAnsi="Times New Roman"/>
                <w:b w:val="0"/>
                <w:bCs w:val="0"/>
                <w:sz w:val="17"/>
                <w:szCs w:val="17"/>
                <w:rtl w:val="0"/>
              </w:rPr>
              <w:t xml:space="preserve">Gives security authority beyond day-to-day IT operations.</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50">
            <w:pPr>
              <w:jc w:val="left"/>
              <w:rPr/>
            </w:pPr>
            <w:r w:rsidDel="00000000" w:rsidR="00000000" w:rsidRPr="00000000">
              <w:rPr>
                <w:rFonts w:ascii="Times New Roman" w:cs="Times New Roman" w:eastAsia="Times New Roman" w:hAnsi="Times New Roman"/>
                <w:b w:val="0"/>
                <w:bCs w:val="0"/>
                <w:sz w:val="17"/>
                <w:szCs w:val="17"/>
                <w:rtl w:val="0"/>
              </w:rPr>
              <w:t xml:space="preserve">Cloud Security Architect</w:t>
            </w:r>
            <w:r w:rsidDel="00000000" w:rsidR="00000000" w:rsidRPr="00000000">
              <w:rPr>
                <w:rtl w:val="0"/>
              </w:rPr>
            </w:r>
          </w:p>
        </w:tc>
        <w:tc>
          <w:tcPr>
            <w:vAlign w:val="center"/>
          </w:tcPr>
          <w:p w:rsidR="00000000" w:rsidDel="00000000" w:rsidP="00000000" w:rsidRDefault="00000000" w:rsidRPr="00000000" w14:paraId="00000051">
            <w:pPr>
              <w:jc w:val="left"/>
              <w:rPr/>
            </w:pPr>
            <w:r w:rsidDel="00000000" w:rsidR="00000000" w:rsidRPr="00000000">
              <w:rPr>
                <w:rFonts w:ascii="Times New Roman" w:cs="Times New Roman" w:eastAsia="Times New Roman" w:hAnsi="Times New Roman"/>
                <w:b w:val="0"/>
                <w:bCs w:val="0"/>
                <w:sz w:val="17"/>
                <w:szCs w:val="17"/>
                <w:rtl w:val="0"/>
              </w:rPr>
              <w:t xml:space="preserve">Designs landing zones, IAM patterns, segmentation, encryption, key management and cloud posture baselines.</w:t>
            </w:r>
            <w:r w:rsidDel="00000000" w:rsidR="00000000" w:rsidRPr="00000000">
              <w:rPr>
                <w:rtl w:val="0"/>
              </w:rPr>
            </w:r>
          </w:p>
        </w:tc>
        <w:tc>
          <w:tcPr>
            <w:vAlign w:val="center"/>
          </w:tcPr>
          <w:p w:rsidR="00000000" w:rsidDel="00000000" w:rsidP="00000000" w:rsidRDefault="00000000" w:rsidRPr="00000000" w14:paraId="00000052">
            <w:pPr>
              <w:jc w:val="left"/>
              <w:rPr/>
            </w:pPr>
            <w:r w:rsidDel="00000000" w:rsidR="00000000" w:rsidRPr="00000000">
              <w:rPr>
                <w:rFonts w:ascii="Times New Roman" w:cs="Times New Roman" w:eastAsia="Times New Roman" w:hAnsi="Times New Roman"/>
                <w:b w:val="0"/>
                <w:bCs w:val="0"/>
                <w:sz w:val="17"/>
                <w:szCs w:val="17"/>
                <w:rtl w:val="0"/>
              </w:rPr>
              <w:t xml:space="preserve">Ensures multi-cloud controls are consistent and secure by design.</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53">
            <w:pPr>
              <w:jc w:val="left"/>
              <w:rPr/>
            </w:pPr>
            <w:r w:rsidDel="00000000" w:rsidR="00000000" w:rsidRPr="00000000">
              <w:rPr>
                <w:rFonts w:ascii="Times New Roman" w:cs="Times New Roman" w:eastAsia="Times New Roman" w:hAnsi="Times New Roman"/>
                <w:b w:val="0"/>
                <w:bCs w:val="0"/>
                <w:sz w:val="17"/>
                <w:szCs w:val="17"/>
                <w:rtl w:val="0"/>
              </w:rPr>
              <w:t xml:space="preserve">DevSecOps Lead</w:t>
            </w:r>
            <w:r w:rsidDel="00000000" w:rsidR="00000000" w:rsidRPr="00000000">
              <w:rPr>
                <w:rtl w:val="0"/>
              </w:rPr>
            </w:r>
          </w:p>
        </w:tc>
        <w:tc>
          <w:tcPr>
            <w:vAlign w:val="center"/>
          </w:tcPr>
          <w:p w:rsidR="00000000" w:rsidDel="00000000" w:rsidP="00000000" w:rsidRDefault="00000000" w:rsidRPr="00000000" w14:paraId="00000054">
            <w:pPr>
              <w:jc w:val="left"/>
              <w:rPr/>
            </w:pPr>
            <w:r w:rsidDel="00000000" w:rsidR="00000000" w:rsidRPr="00000000">
              <w:rPr>
                <w:rFonts w:ascii="Times New Roman" w:cs="Times New Roman" w:eastAsia="Times New Roman" w:hAnsi="Times New Roman"/>
                <w:b w:val="0"/>
                <w:bCs w:val="0"/>
                <w:sz w:val="17"/>
                <w:szCs w:val="17"/>
                <w:rtl w:val="0"/>
              </w:rPr>
              <w:t xml:space="preserve">Integrates security into CI/CD, code review, dependency scanning, secrets handling and release gates.</w:t>
            </w:r>
            <w:r w:rsidDel="00000000" w:rsidR="00000000" w:rsidRPr="00000000">
              <w:rPr>
                <w:rtl w:val="0"/>
              </w:rPr>
            </w:r>
          </w:p>
        </w:tc>
        <w:tc>
          <w:tcPr>
            <w:vAlign w:val="center"/>
          </w:tcPr>
          <w:p w:rsidR="00000000" w:rsidDel="00000000" w:rsidP="00000000" w:rsidRDefault="00000000" w:rsidRPr="00000000" w14:paraId="00000055">
            <w:pPr>
              <w:jc w:val="left"/>
              <w:rPr/>
            </w:pPr>
            <w:r w:rsidDel="00000000" w:rsidR="00000000" w:rsidRPr="00000000">
              <w:rPr>
                <w:rFonts w:ascii="Times New Roman" w:cs="Times New Roman" w:eastAsia="Times New Roman" w:hAnsi="Times New Roman"/>
                <w:b w:val="0"/>
                <w:bCs w:val="0"/>
                <w:sz w:val="17"/>
                <w:szCs w:val="17"/>
                <w:rtl w:val="0"/>
              </w:rPr>
              <w:t xml:space="preserve">Reduces software supply-chain risk and supports secure product delivery.</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56">
            <w:pPr>
              <w:jc w:val="left"/>
              <w:rPr/>
            </w:pPr>
            <w:r w:rsidDel="00000000" w:rsidR="00000000" w:rsidRPr="00000000">
              <w:rPr>
                <w:rFonts w:ascii="Times New Roman" w:cs="Times New Roman" w:eastAsia="Times New Roman" w:hAnsi="Times New Roman"/>
                <w:b w:val="0"/>
                <w:bCs w:val="0"/>
                <w:sz w:val="17"/>
                <w:szCs w:val="17"/>
                <w:rtl w:val="0"/>
              </w:rPr>
              <w:t xml:space="preserve">Data Protection / Compliance Lead</w:t>
            </w:r>
            <w:r w:rsidDel="00000000" w:rsidR="00000000" w:rsidRPr="00000000">
              <w:rPr>
                <w:rtl w:val="0"/>
              </w:rPr>
            </w:r>
          </w:p>
        </w:tc>
        <w:tc>
          <w:tcPr>
            <w:vAlign w:val="center"/>
          </w:tcPr>
          <w:p w:rsidR="00000000" w:rsidDel="00000000" w:rsidP="00000000" w:rsidRDefault="00000000" w:rsidRPr="00000000" w14:paraId="00000057">
            <w:pPr>
              <w:jc w:val="left"/>
              <w:rPr/>
            </w:pPr>
            <w:r w:rsidDel="00000000" w:rsidR="00000000" w:rsidRPr="00000000">
              <w:rPr>
                <w:rFonts w:ascii="Times New Roman" w:cs="Times New Roman" w:eastAsia="Times New Roman" w:hAnsi="Times New Roman"/>
                <w:b w:val="0"/>
                <w:bCs w:val="0"/>
                <w:sz w:val="17"/>
                <w:szCs w:val="17"/>
                <w:rtl w:val="0"/>
              </w:rPr>
              <w:t xml:space="preserve">Coordinates GDPR, DPIAs, records of processing, supplier assurance and breach obligations.</w:t>
            </w:r>
            <w:r w:rsidDel="00000000" w:rsidR="00000000" w:rsidRPr="00000000">
              <w:rPr>
                <w:rtl w:val="0"/>
              </w:rPr>
            </w:r>
          </w:p>
        </w:tc>
        <w:tc>
          <w:tcPr>
            <w:vAlign w:val="center"/>
          </w:tcPr>
          <w:p w:rsidR="00000000" w:rsidDel="00000000" w:rsidP="00000000" w:rsidRDefault="00000000" w:rsidRPr="00000000" w14:paraId="00000058">
            <w:pPr>
              <w:jc w:val="left"/>
              <w:rPr/>
            </w:pPr>
            <w:r w:rsidDel="00000000" w:rsidR="00000000" w:rsidRPr="00000000">
              <w:rPr>
                <w:rFonts w:ascii="Times New Roman" w:cs="Times New Roman" w:eastAsia="Times New Roman" w:hAnsi="Times New Roman"/>
                <w:b w:val="0"/>
                <w:bCs w:val="0"/>
                <w:sz w:val="17"/>
                <w:szCs w:val="17"/>
                <w:rtl w:val="0"/>
              </w:rPr>
              <w:t xml:space="preserve">Important because MediTrust handles sensitive health-related data.</w:t>
            </w:r>
            <w:r w:rsidDel="00000000" w:rsidR="00000000" w:rsidRPr="00000000">
              <w:rPr>
                <w:rtl w:val="0"/>
              </w:rPr>
            </w:r>
          </w:p>
        </w:tc>
      </w:tr>
    </w:tbl>
    <w:p w:rsidR="00000000" w:rsidDel="00000000" w:rsidP="00000000" w:rsidRDefault="00000000" w:rsidRPr="00000000" w14:paraId="00000059">
      <w:pPr>
        <w:pStyle w:val="Heading2"/>
        <w:jc w:val="left"/>
        <w:rPr/>
      </w:pPr>
      <w:r w:rsidDel="00000000" w:rsidR="00000000" w:rsidRPr="00000000">
        <w:rPr>
          <w:rFonts w:ascii="Times New Roman" w:cs="Times New Roman" w:eastAsia="Times New Roman" w:hAnsi="Times New Roman"/>
          <w:rtl w:val="0"/>
        </w:rPr>
        <w:t xml:space="preserve">Core policies and procedures</w:t>
      </w:r>
      <w:r w:rsidDel="00000000" w:rsidR="00000000" w:rsidRPr="00000000">
        <w:rPr>
          <w:rtl w:val="0"/>
        </w:rPr>
      </w:r>
    </w:p>
    <w:p w:rsidR="00000000" w:rsidDel="00000000" w:rsidP="00000000" w:rsidRDefault="00000000" w:rsidRPr="00000000" w14:paraId="0000005A">
      <w:pPr>
        <w:jc w:val="both"/>
        <w:rPr/>
      </w:pPr>
      <w:r w:rsidDel="00000000" w:rsidR="00000000" w:rsidRPr="00000000">
        <w:rPr>
          <w:rFonts w:ascii="Times New Roman" w:cs="Times New Roman" w:eastAsia="Times New Roman" w:hAnsi="Times New Roman"/>
          <w:b w:val="0"/>
          <w:bCs w:val="0"/>
          <w:i w:val="0"/>
          <w:iCs w:val="0"/>
          <w:sz w:val="20"/>
          <w:szCs w:val="20"/>
          <w:rtl w:val="0"/>
        </w:rPr>
        <w:t xml:space="preserve">Three policies should be prioritised.</w:t>
      </w:r>
      <w:r w:rsidDel="00000000" w:rsidR="00000000" w:rsidRPr="00000000">
        <w:rPr>
          <w:rtl w:val="0"/>
        </w:rPr>
      </w:r>
    </w:p>
    <w:p w:rsidR="00000000" w:rsidDel="00000000" w:rsidP="00000000" w:rsidRDefault="00000000" w:rsidRPr="00000000" w14:paraId="0000005B">
      <w:pPr>
        <w:jc w:val="both"/>
        <w:rPr/>
      </w:pPr>
      <w:r w:rsidDel="00000000" w:rsidR="00000000" w:rsidRPr="00000000">
        <w:rPr>
          <w:rFonts w:ascii="Times New Roman" w:cs="Times New Roman" w:eastAsia="Times New Roman" w:hAnsi="Times New Roman"/>
          <w:b w:val="0"/>
          <w:bCs w:val="0"/>
          <w:i w:val="0"/>
          <w:iCs w:val="0"/>
          <w:sz w:val="20"/>
          <w:szCs w:val="20"/>
          <w:rtl w:val="0"/>
        </w:rPr>
        <w:t xml:space="preserve">1. AI Usage Policy. This should define approved AI tools, acceptable training data sources, human oversight requirements, model validation, prompt and output handling rules, and restrictions on entering identifiable patient data into external AI services. It should also require traceability for training datasets and model versions.</w:t>
      </w:r>
      <w:r w:rsidDel="00000000" w:rsidR="00000000" w:rsidRPr="00000000">
        <w:rPr>
          <w:rtl w:val="0"/>
        </w:rPr>
      </w:r>
    </w:p>
    <w:p w:rsidR="00000000" w:rsidDel="00000000" w:rsidP="00000000" w:rsidRDefault="00000000" w:rsidRPr="00000000" w14:paraId="0000005C">
      <w:pPr>
        <w:jc w:val="both"/>
        <w:rPr/>
      </w:pPr>
      <w:r w:rsidDel="00000000" w:rsidR="00000000" w:rsidRPr="00000000">
        <w:rPr>
          <w:rFonts w:ascii="Times New Roman" w:cs="Times New Roman" w:eastAsia="Times New Roman" w:hAnsi="Times New Roman"/>
          <w:b w:val="0"/>
          <w:bCs w:val="0"/>
          <w:i w:val="0"/>
          <w:iCs w:val="0"/>
          <w:sz w:val="20"/>
          <w:szCs w:val="20"/>
          <w:rtl w:val="0"/>
        </w:rPr>
        <w:t xml:space="preserve">2. Secure SaaS Configuration Policy. This should set mandatory controls for cloud and SaaS platforms, including single sign-on, MFA enforcement, role-based access, logging, retention settings, data residency review, tenant configuration baselines and formal approval of third-party integrations.</w:t>
      </w:r>
      <w:r w:rsidDel="00000000" w:rsidR="00000000" w:rsidRPr="00000000">
        <w:rPr>
          <w:rtl w:val="0"/>
        </w:rPr>
      </w:r>
    </w:p>
    <w:p w:rsidR="00000000" w:rsidDel="00000000" w:rsidP="00000000" w:rsidRDefault="00000000" w:rsidRPr="00000000" w14:paraId="0000005D">
      <w:pPr>
        <w:jc w:val="both"/>
        <w:rPr/>
      </w:pPr>
      <w:r w:rsidDel="00000000" w:rsidR="00000000" w:rsidRPr="00000000">
        <w:rPr>
          <w:rFonts w:ascii="Times New Roman" w:cs="Times New Roman" w:eastAsia="Times New Roman" w:hAnsi="Times New Roman"/>
          <w:b w:val="0"/>
          <w:bCs w:val="0"/>
          <w:i w:val="0"/>
          <w:iCs w:val="0"/>
          <w:sz w:val="20"/>
          <w:szCs w:val="20"/>
          <w:rtl w:val="0"/>
        </w:rPr>
        <w:t xml:space="preserve">3. BYOD and Hybrid Working Policy. This should distinguish clearly between managed and unmanaged devices. Access to clinical, source-code and administrative systems should only be permitted from managed devices meeting security posture requirements. Personal devices may be limited to low-risk collaboration tools through browser isolation or virtual desktop controls.</w:t>
      </w:r>
      <w:r w:rsidDel="00000000" w:rsidR="00000000" w:rsidRPr="00000000">
        <w:rPr>
          <w:rtl w:val="0"/>
        </w:rPr>
      </w:r>
    </w:p>
    <w:p w:rsidR="00000000" w:rsidDel="00000000" w:rsidP="00000000" w:rsidRDefault="00000000" w:rsidRPr="00000000" w14:paraId="0000005E">
      <w:pPr>
        <w:jc w:val="both"/>
        <w:rPr/>
      </w:pPr>
      <w:r w:rsidDel="00000000" w:rsidR="00000000" w:rsidRPr="00000000">
        <w:rPr>
          <w:rFonts w:ascii="Times New Roman" w:cs="Times New Roman" w:eastAsia="Times New Roman" w:hAnsi="Times New Roman"/>
          <w:b w:val="0"/>
          <w:bCs w:val="0"/>
          <w:i w:val="0"/>
          <w:iCs w:val="0"/>
          <w:sz w:val="20"/>
          <w:szCs w:val="20"/>
          <w:rtl w:val="0"/>
        </w:rPr>
        <w:t xml:space="preserve">Each policy should be supported by procedures, not left as a high-level statement. For example, the BYOD policy needs an enrolment process, posture checks, lost-device reporting steps and clear sanctions for non-compliance.</w:t>
      </w:r>
      <w:r w:rsidDel="00000000" w:rsidR="00000000" w:rsidRPr="00000000">
        <w:rPr>
          <w:rtl w:val="0"/>
        </w:rPr>
      </w:r>
    </w:p>
    <w:p w:rsidR="00000000" w:rsidDel="00000000" w:rsidP="00000000" w:rsidRDefault="00000000" w:rsidRPr="00000000" w14:paraId="0000005F">
      <w:pPr>
        <w:pStyle w:val="Heading2"/>
        <w:jc w:val="left"/>
        <w:rPr/>
      </w:pPr>
      <w:r w:rsidDel="00000000" w:rsidR="00000000" w:rsidRPr="00000000">
        <w:rPr>
          <w:rFonts w:ascii="Times New Roman" w:cs="Times New Roman" w:eastAsia="Times New Roman" w:hAnsi="Times New Roman"/>
          <w:rtl w:val="0"/>
        </w:rPr>
        <w:t xml:space="preserve">Governance model using NIST CSF 2.0</w:t>
      </w:r>
      <w:r w:rsidDel="00000000" w:rsidR="00000000" w:rsidRPr="00000000">
        <w:rPr>
          <w:rtl w:val="0"/>
        </w:rPr>
      </w:r>
    </w:p>
    <w:p w:rsidR="00000000" w:rsidDel="00000000" w:rsidP="00000000" w:rsidRDefault="00000000" w:rsidRPr="00000000" w14:paraId="00000060">
      <w:pPr>
        <w:jc w:val="both"/>
        <w:rPr/>
      </w:pPr>
      <w:r w:rsidDel="00000000" w:rsidR="00000000" w:rsidRPr="00000000">
        <w:rPr>
          <w:rFonts w:ascii="Times New Roman" w:cs="Times New Roman" w:eastAsia="Times New Roman" w:hAnsi="Times New Roman"/>
          <w:b w:val="0"/>
          <w:bCs w:val="0"/>
          <w:i w:val="0"/>
          <w:iCs w:val="0"/>
          <w:sz w:val="20"/>
          <w:szCs w:val="20"/>
          <w:rtl w:val="0"/>
        </w:rPr>
        <w:t xml:space="preserve">NIST CSF 2.0 is a suitable governance model because it begins with Govern rather than treating security only as a technical control set [2]. For MediTrust, the framework can be translated into the following operating model.</w:t>
      </w:r>
      <w:r w:rsidDel="00000000" w:rsidR="00000000" w:rsidRPr="00000000">
        <w:rPr>
          <w:rtl w:val="0"/>
        </w:rPr>
      </w:r>
    </w:p>
    <w:p w:rsidR="00000000" w:rsidDel="00000000" w:rsidP="00000000" w:rsidRDefault="00000000" w:rsidRPr="00000000" w14:paraId="00000061">
      <w:pPr>
        <w:jc w:val="both"/>
        <w:rPr/>
      </w:pPr>
      <w:r w:rsidDel="00000000" w:rsidR="00000000" w:rsidRPr="00000000">
        <w:rPr>
          <w:rFonts w:ascii="Times New Roman" w:cs="Times New Roman" w:eastAsia="Times New Roman" w:hAnsi="Times New Roman"/>
          <w:b w:val="0"/>
          <w:bCs w:val="0"/>
          <w:i w:val="0"/>
          <w:iCs w:val="0"/>
          <w:sz w:val="20"/>
          <w:szCs w:val="20"/>
          <w:rtl w:val="0"/>
        </w:rPr>
        <w:t xml:space="preserve">Govern: define risk appetite, security responsibilities, supplier oversight, AI accountability and board reporting. The board should receive quarterly reporting on cyber risk, major incidents, third-party exposure and resilience testing.</w:t>
      </w:r>
      <w:r w:rsidDel="00000000" w:rsidR="00000000" w:rsidRPr="00000000">
        <w:rPr>
          <w:rtl w:val="0"/>
        </w:rPr>
      </w:r>
    </w:p>
    <w:p w:rsidR="00000000" w:rsidDel="00000000" w:rsidP="00000000" w:rsidRDefault="00000000" w:rsidRPr="00000000" w14:paraId="00000062">
      <w:pPr>
        <w:jc w:val="both"/>
        <w:rPr/>
      </w:pPr>
      <w:r w:rsidDel="00000000" w:rsidR="00000000" w:rsidRPr="00000000">
        <w:rPr>
          <w:rFonts w:ascii="Times New Roman" w:cs="Times New Roman" w:eastAsia="Times New Roman" w:hAnsi="Times New Roman"/>
          <w:b w:val="0"/>
          <w:bCs w:val="0"/>
          <w:i w:val="0"/>
          <w:iCs w:val="0"/>
          <w:sz w:val="20"/>
          <w:szCs w:val="20"/>
          <w:rtl w:val="0"/>
        </w:rPr>
        <w:t xml:space="preserve">Identify: maintain asset inventories for patient data stores, AI models, repositories, cloud assets, SaaS applications and critical suppliers. Data classification must distinguish research data, production health data, and intellectual property.</w:t>
      </w:r>
      <w:r w:rsidDel="00000000" w:rsidR="00000000" w:rsidRPr="00000000">
        <w:rPr>
          <w:rtl w:val="0"/>
        </w:rPr>
      </w:r>
    </w:p>
    <w:p w:rsidR="00000000" w:rsidDel="00000000" w:rsidP="00000000" w:rsidRDefault="00000000" w:rsidRPr="00000000" w14:paraId="00000063">
      <w:pPr>
        <w:jc w:val="both"/>
        <w:rPr/>
      </w:pPr>
      <w:r w:rsidDel="00000000" w:rsidR="00000000" w:rsidRPr="00000000">
        <w:rPr>
          <w:rFonts w:ascii="Times New Roman" w:cs="Times New Roman" w:eastAsia="Times New Roman" w:hAnsi="Times New Roman"/>
          <w:b w:val="0"/>
          <w:bCs w:val="0"/>
          <w:i w:val="0"/>
          <w:iCs w:val="0"/>
          <w:sz w:val="20"/>
          <w:szCs w:val="20"/>
          <w:rtl w:val="0"/>
        </w:rPr>
        <w:t xml:space="preserve">Protect: enforce MFA, conditional access, encryption, secure configuration baselines, privileged access management, endpoint hardening and secure development controls.</w:t>
      </w:r>
      <w:r w:rsidDel="00000000" w:rsidR="00000000" w:rsidRPr="00000000">
        <w:rPr>
          <w:rtl w:val="0"/>
        </w:rPr>
      </w:r>
    </w:p>
    <w:p w:rsidR="00000000" w:rsidDel="00000000" w:rsidP="00000000" w:rsidRDefault="00000000" w:rsidRPr="00000000" w14:paraId="00000064">
      <w:pPr>
        <w:jc w:val="both"/>
        <w:rPr/>
      </w:pPr>
      <w:r w:rsidDel="00000000" w:rsidR="00000000" w:rsidRPr="00000000">
        <w:rPr>
          <w:rFonts w:ascii="Times New Roman" w:cs="Times New Roman" w:eastAsia="Times New Roman" w:hAnsi="Times New Roman"/>
          <w:b w:val="0"/>
          <w:bCs w:val="0"/>
          <w:i w:val="0"/>
          <w:iCs w:val="0"/>
          <w:sz w:val="20"/>
          <w:szCs w:val="20"/>
          <w:rtl w:val="0"/>
        </w:rPr>
        <w:t xml:space="preserve">Detect: centralise logs from identity providers, endpoints, SaaS platforms, code repositories and cloud environments into a SIEM with alerting for suspicious access, privilege misuse, impossible travel, anomalous model changes and cloud misconfiguration.</w:t>
      </w:r>
      <w:r w:rsidDel="00000000" w:rsidR="00000000" w:rsidRPr="00000000">
        <w:rPr>
          <w:rtl w:val="0"/>
        </w:rPr>
      </w:r>
    </w:p>
    <w:p w:rsidR="00000000" w:rsidDel="00000000" w:rsidP="00000000" w:rsidRDefault="00000000" w:rsidRPr="00000000" w14:paraId="00000065">
      <w:pPr>
        <w:jc w:val="both"/>
        <w:rPr/>
      </w:pPr>
      <w:r w:rsidDel="00000000" w:rsidR="00000000" w:rsidRPr="00000000">
        <w:rPr>
          <w:rFonts w:ascii="Times New Roman" w:cs="Times New Roman" w:eastAsia="Times New Roman" w:hAnsi="Times New Roman"/>
          <w:b w:val="0"/>
          <w:bCs w:val="0"/>
          <w:i w:val="0"/>
          <w:iCs w:val="0"/>
          <w:sz w:val="20"/>
          <w:szCs w:val="20"/>
          <w:rtl w:val="0"/>
        </w:rPr>
        <w:t xml:space="preserve">Respond: maintain incident playbooks for ransomware, data breach, supplier compromise and model poisoning. Roles, decision rights and communication paths should be pre-agreed.</w:t>
      </w:r>
      <w:r w:rsidDel="00000000" w:rsidR="00000000" w:rsidRPr="00000000">
        <w:rPr>
          <w:rtl w:val="0"/>
        </w:rPr>
      </w:r>
    </w:p>
    <w:p w:rsidR="00000000" w:rsidDel="00000000" w:rsidP="00000000" w:rsidRDefault="00000000" w:rsidRPr="00000000" w14:paraId="00000066">
      <w:pPr>
        <w:jc w:val="both"/>
        <w:rPr/>
      </w:pPr>
      <w:r w:rsidDel="00000000" w:rsidR="00000000" w:rsidRPr="00000000">
        <w:rPr>
          <w:rFonts w:ascii="Times New Roman" w:cs="Times New Roman" w:eastAsia="Times New Roman" w:hAnsi="Times New Roman"/>
          <w:b w:val="0"/>
          <w:bCs w:val="0"/>
          <w:i w:val="0"/>
          <w:iCs w:val="0"/>
          <w:sz w:val="20"/>
          <w:szCs w:val="20"/>
          <w:rtl w:val="0"/>
        </w:rPr>
        <w:t xml:space="preserve">Recover: define recovery time and recovery point targets for critical systems, maintain immutable backups, and test restoration of code repositories, training datasets and cloud infrastructure regularly.</w:t>
      </w:r>
      <w:r w:rsidDel="00000000" w:rsidR="00000000" w:rsidRPr="00000000">
        <w:rPr>
          <w:rtl w:val="0"/>
        </w:rPr>
      </w:r>
    </w:p>
    <w:p w:rsidR="00000000" w:rsidDel="00000000" w:rsidP="00000000" w:rsidRDefault="00000000" w:rsidRPr="00000000" w14:paraId="00000067">
      <w:pPr>
        <w:jc w:val="both"/>
        <w:rPr/>
      </w:pPr>
      <w:r w:rsidDel="00000000" w:rsidR="00000000" w:rsidRPr="00000000">
        <w:rPr>
          <w:rFonts w:ascii="Times New Roman" w:cs="Times New Roman" w:eastAsia="Times New Roman" w:hAnsi="Times New Roman"/>
          <w:b w:val="0"/>
          <w:bCs w:val="0"/>
          <w:i w:val="0"/>
          <w:iCs w:val="0"/>
          <w:sz w:val="20"/>
          <w:szCs w:val="20"/>
          <w:rtl w:val="0"/>
        </w:rPr>
        <w:t xml:space="preserve">This governance approach links security activity directly to business outcomes. For MediTrust, those outcomes are safe service delivery, evidence of compliance, continuity of software development and preservation of trust with healthcare clients.</w:t>
      </w:r>
      <w:r w:rsidDel="00000000" w:rsidR="00000000" w:rsidRPr="00000000">
        <w:rPr>
          <w:rtl w:val="0"/>
        </w:rPr>
      </w:r>
    </w:p>
    <w:p w:rsidR="00000000" w:rsidDel="00000000" w:rsidP="00000000" w:rsidRDefault="00000000" w:rsidRPr="00000000" w14:paraId="00000068">
      <w:pPr>
        <w:pStyle w:val="Heading2"/>
        <w:jc w:val="left"/>
        <w:rPr/>
      </w:pPr>
      <w:r w:rsidDel="00000000" w:rsidR="00000000" w:rsidRPr="00000000">
        <w:rPr>
          <w:rFonts w:ascii="Times New Roman" w:cs="Times New Roman" w:eastAsia="Times New Roman" w:hAnsi="Times New Roman"/>
          <w:rtl w:val="0"/>
        </w:rPr>
        <w:t xml:space="preserve">Compliance approach for GDPR, DORA and NIS2</w:t>
      </w:r>
      <w:r w:rsidDel="00000000" w:rsidR="00000000" w:rsidRPr="00000000">
        <w:rPr>
          <w:rtl w:val="0"/>
        </w:rPr>
      </w:r>
    </w:p>
    <w:p w:rsidR="00000000" w:rsidDel="00000000" w:rsidP="00000000" w:rsidRDefault="00000000" w:rsidRPr="00000000" w14:paraId="00000069">
      <w:pPr>
        <w:jc w:val="both"/>
        <w:rPr/>
      </w:pPr>
      <w:r w:rsidDel="00000000" w:rsidR="00000000" w:rsidRPr="00000000">
        <w:rPr>
          <w:rtl w:val="0"/>
        </w:rPr>
        <w:t xml:space="preserve">GDPR is clearly relevant because MediTrust handles health-related personal data, which falls within special category data and therefore requires a lawful basis, an appropriate Article 9 condition, and stronger safeguards than ordinary personal data [9], [10]. The company should apply data minimisation, role-based access, encryption, retention controls, data protection impact assessments for high-risk processing and stricter processor due diligence for cloud and analytics suppliers.</w:t>
      </w:r>
    </w:p>
    <w:p w:rsidR="00000000" w:rsidDel="00000000" w:rsidP="00000000" w:rsidRDefault="00000000" w:rsidRPr="00000000" w14:paraId="0000006A">
      <w:pPr>
        <w:jc w:val="both"/>
        <w:rPr/>
      </w:pPr>
      <w:r w:rsidDel="00000000" w:rsidR="00000000" w:rsidRPr="00000000">
        <w:rPr>
          <w:rtl w:val="0"/>
        </w:rPr>
        <w:t xml:space="preserve">NIS2 should be treated as a direct design constraint for this scenario because the brief places MediTrust in the EU healthcare market, where cybersecurity governance, supply-chain assurance and incident reporting expectations are materially higher than older baseline practice [5], [6]. The security programme should therefore support management accountability, documented risk measures, supplier controls and a reporting workflow capable of escalating a significant incident quickly and consistently across affected jurisdictions.</w:t>
      </w:r>
    </w:p>
    <w:p w:rsidR="00000000" w:rsidDel="00000000" w:rsidP="00000000" w:rsidRDefault="00000000" w:rsidRPr="00000000" w14:paraId="0000006B">
      <w:pPr>
        <w:jc w:val="both"/>
        <w:rPr/>
      </w:pPr>
      <w:r w:rsidDel="00000000" w:rsidR="00000000" w:rsidRPr="00000000">
        <w:rPr>
          <w:rtl w:val="0"/>
        </w:rPr>
        <w:t xml:space="preserve">DORA is sector-specific in law, but for this assignment it should be treated as a mandatory operational resilience benchmark rather than an optional reference point. MediTrust should therefore build controls that mirror DORA's expectations for ICT risk management, resilience testing, backup and restoration assurance, incident handling and oversight of critical third-party ICT providers [7], [8]. That is the safer interpretation of the brief, and it produces a more resilient design anyway.</w:t>
      </w:r>
    </w:p>
    <w:p w:rsidR="00000000" w:rsidDel="00000000" w:rsidP="00000000" w:rsidRDefault="00000000" w:rsidRPr="00000000" w14:paraId="0000006C">
      <w:pPr>
        <w:jc w:val="both"/>
        <w:rPr/>
      </w:pPr>
      <w:r w:rsidDel="00000000" w:rsidR="00000000" w:rsidRPr="00000000">
        <w:rPr>
          <w:rtl w:val="0"/>
        </w:rPr>
        <w:t xml:space="preserve">The practical implication is that MediTrust should build one integrated compliance model rather than separate parallel programmes. A single control library mapped to GDPR, NIS2, DORA and internal policy would reduce duplication and make assurance work more manageable. In practical terms, the incident process should be written to meet NIS2-style staged reporting expectations, while resilience testing, failover evidence and third-party oversight should be documented to a DORA-aligned standard [5], [7], [8].</w:t>
      </w:r>
    </w:p>
    <w:p w:rsidR="00000000" w:rsidDel="00000000" w:rsidP="00000000" w:rsidRDefault="00000000" w:rsidRPr="00000000" w14:paraId="0000006D">
      <w:pPr>
        <w:spacing w:after="80" w:before="80" w:lineRule="auto"/>
        <w:jc w:val="center"/>
        <w:rPr/>
      </w:pPr>
      <w:r w:rsidDel="00000000" w:rsidR="00000000" w:rsidRPr="00000000">
        <w:rPr>
          <w:rFonts w:ascii="Times New Roman" w:cs="Times New Roman" w:eastAsia="Times New Roman" w:hAnsi="Times New Roman"/>
          <w:i w:val="1"/>
          <w:iCs w:val="1"/>
          <w:sz w:val="18"/>
          <w:szCs w:val="18"/>
          <w:rtl w:val="0"/>
        </w:rPr>
        <w:t xml:space="preserve">Table 2. Indicative compliance mapping</w:t>
      </w:r>
      <w:r w:rsidDel="00000000" w:rsidR="00000000" w:rsidRPr="00000000">
        <w:rPr>
          <w:rtl w:val="0"/>
        </w:rPr>
      </w:r>
    </w:p>
    <w:tbl>
      <w:tblPr>
        <w:tblStyle w:val="Table2"/>
        <w:tblW w:w="9639.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213"/>
        <w:gridCol w:w="3213"/>
        <w:gridCol w:w="3213"/>
        <w:tblGridChange w:id="0">
          <w:tblGrid>
            <w:gridCol w:w="3213"/>
            <w:gridCol w:w="3213"/>
            <w:gridCol w:w="3213"/>
          </w:tblGrid>
        </w:tblGridChange>
      </w:tblGrid>
      <w:tr>
        <w:trPr>
          <w:cantSplit w:val="0"/>
          <w:tblHeader w:val="0"/>
        </w:trPr>
        <w:tc>
          <w:tcPr>
            <w:vAlign w:val="center"/>
          </w:tcPr>
          <w:p w:rsidR="00000000" w:rsidDel="00000000" w:rsidP="00000000" w:rsidRDefault="00000000" w:rsidRPr="00000000" w14:paraId="0000006E">
            <w:pPr>
              <w:jc w:val="left"/>
              <w:rPr/>
            </w:pPr>
            <w:r w:rsidDel="00000000" w:rsidR="00000000" w:rsidRPr="00000000">
              <w:rPr>
                <w:rFonts w:ascii="Times New Roman" w:cs="Times New Roman" w:eastAsia="Times New Roman" w:hAnsi="Times New Roman"/>
                <w:b w:val="1"/>
                <w:bCs w:val="1"/>
                <w:sz w:val="17"/>
                <w:szCs w:val="17"/>
                <w:rtl w:val="0"/>
              </w:rPr>
              <w:t xml:space="preserve">Regulation / standard</w:t>
            </w:r>
            <w:r w:rsidDel="00000000" w:rsidR="00000000" w:rsidRPr="00000000">
              <w:rPr>
                <w:rtl w:val="0"/>
              </w:rPr>
            </w:r>
          </w:p>
        </w:tc>
        <w:tc>
          <w:tcPr>
            <w:vAlign w:val="center"/>
          </w:tcPr>
          <w:p w:rsidR="00000000" w:rsidDel="00000000" w:rsidP="00000000" w:rsidRDefault="00000000" w:rsidRPr="00000000" w14:paraId="0000006F">
            <w:pPr>
              <w:jc w:val="left"/>
              <w:rPr/>
            </w:pPr>
            <w:r w:rsidDel="00000000" w:rsidR="00000000" w:rsidRPr="00000000">
              <w:rPr>
                <w:rFonts w:ascii="Times New Roman" w:cs="Times New Roman" w:eastAsia="Times New Roman" w:hAnsi="Times New Roman"/>
                <w:b w:val="1"/>
                <w:bCs w:val="1"/>
                <w:sz w:val="17"/>
                <w:szCs w:val="17"/>
                <w:rtl w:val="0"/>
              </w:rPr>
              <w:t xml:space="preserve">Main concern for MediTrust</w:t>
            </w:r>
            <w:r w:rsidDel="00000000" w:rsidR="00000000" w:rsidRPr="00000000">
              <w:rPr>
                <w:rtl w:val="0"/>
              </w:rPr>
            </w:r>
          </w:p>
        </w:tc>
        <w:tc>
          <w:tcPr>
            <w:vAlign w:val="center"/>
          </w:tcPr>
          <w:p w:rsidR="00000000" w:rsidDel="00000000" w:rsidP="00000000" w:rsidRDefault="00000000" w:rsidRPr="00000000" w14:paraId="00000070">
            <w:pPr>
              <w:jc w:val="left"/>
              <w:rPr/>
            </w:pPr>
            <w:r w:rsidDel="00000000" w:rsidR="00000000" w:rsidRPr="00000000">
              <w:rPr>
                <w:rFonts w:ascii="Times New Roman" w:cs="Times New Roman" w:eastAsia="Times New Roman" w:hAnsi="Times New Roman"/>
                <w:b w:val="1"/>
                <w:bCs w:val="1"/>
                <w:sz w:val="17"/>
                <w:szCs w:val="17"/>
                <w:rtl w:val="0"/>
              </w:rPr>
              <w:t xml:space="preserve">Suggested response</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71">
            <w:pPr>
              <w:jc w:val="left"/>
              <w:rPr/>
            </w:pPr>
            <w:r w:rsidDel="00000000" w:rsidR="00000000" w:rsidRPr="00000000">
              <w:rPr>
                <w:rFonts w:ascii="Times New Roman" w:cs="Times New Roman" w:eastAsia="Times New Roman" w:hAnsi="Times New Roman"/>
                <w:b w:val="0"/>
                <w:bCs w:val="0"/>
                <w:sz w:val="17"/>
                <w:szCs w:val="17"/>
                <w:rtl w:val="0"/>
              </w:rPr>
              <w:t xml:space="preserve">GDPR</w:t>
            </w:r>
            <w:r w:rsidDel="00000000" w:rsidR="00000000" w:rsidRPr="00000000">
              <w:rPr>
                <w:rtl w:val="0"/>
              </w:rPr>
            </w:r>
          </w:p>
        </w:tc>
        <w:tc>
          <w:tcPr>
            <w:vAlign w:val="center"/>
          </w:tcPr>
          <w:p w:rsidR="00000000" w:rsidDel="00000000" w:rsidP="00000000" w:rsidRDefault="00000000" w:rsidRPr="00000000" w14:paraId="00000072">
            <w:pPr>
              <w:jc w:val="left"/>
              <w:rPr/>
            </w:pPr>
            <w:r w:rsidDel="00000000" w:rsidR="00000000" w:rsidRPr="00000000">
              <w:rPr>
                <w:rFonts w:ascii="Times New Roman" w:cs="Times New Roman" w:eastAsia="Times New Roman" w:hAnsi="Times New Roman"/>
                <w:b w:val="0"/>
                <w:bCs w:val="0"/>
                <w:sz w:val="17"/>
                <w:szCs w:val="17"/>
                <w:rtl w:val="0"/>
              </w:rPr>
              <w:t xml:space="preserve">Lawful processing of health data, minimisation, security and accountability.</w:t>
            </w:r>
            <w:r w:rsidDel="00000000" w:rsidR="00000000" w:rsidRPr="00000000">
              <w:rPr>
                <w:rtl w:val="0"/>
              </w:rPr>
            </w:r>
          </w:p>
        </w:tc>
        <w:tc>
          <w:tcPr>
            <w:vAlign w:val="center"/>
          </w:tcPr>
          <w:p w:rsidR="00000000" w:rsidDel="00000000" w:rsidP="00000000" w:rsidRDefault="00000000" w:rsidRPr="00000000" w14:paraId="00000073">
            <w:pPr>
              <w:jc w:val="left"/>
              <w:rPr/>
            </w:pPr>
            <w:r w:rsidDel="00000000" w:rsidR="00000000" w:rsidRPr="00000000">
              <w:rPr>
                <w:rFonts w:ascii="Times New Roman" w:cs="Times New Roman" w:eastAsia="Times New Roman" w:hAnsi="Times New Roman"/>
                <w:b w:val="0"/>
                <w:bCs w:val="0"/>
                <w:sz w:val="17"/>
                <w:szCs w:val="17"/>
                <w:rtl w:val="0"/>
              </w:rPr>
              <w:t xml:space="preserve">Use DPIAs, encryption, access control, retention rules and processor due diligence.</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74">
            <w:pPr>
              <w:jc w:val="left"/>
              <w:rPr/>
            </w:pPr>
            <w:r w:rsidDel="00000000" w:rsidR="00000000" w:rsidRPr="00000000">
              <w:rPr>
                <w:rFonts w:ascii="Times New Roman" w:cs="Times New Roman" w:eastAsia="Times New Roman" w:hAnsi="Times New Roman"/>
                <w:b w:val="0"/>
                <w:bCs w:val="0"/>
                <w:sz w:val="17"/>
                <w:szCs w:val="17"/>
                <w:rtl w:val="0"/>
              </w:rPr>
              <w:t xml:space="preserve">NIS2</w:t>
            </w:r>
            <w:r w:rsidDel="00000000" w:rsidR="00000000" w:rsidRPr="00000000">
              <w:rPr>
                <w:rtl w:val="0"/>
              </w:rPr>
            </w:r>
          </w:p>
        </w:tc>
        <w:tc>
          <w:tcPr>
            <w:vAlign w:val="center"/>
          </w:tcPr>
          <w:p w:rsidR="00000000" w:rsidDel="00000000" w:rsidP="00000000" w:rsidRDefault="00000000" w:rsidRPr="00000000" w14:paraId="00000075">
            <w:pPr>
              <w:jc w:val="left"/>
              <w:rPr/>
            </w:pPr>
            <w:r w:rsidDel="00000000" w:rsidR="00000000" w:rsidRPr="00000000">
              <w:rPr>
                <w:rFonts w:ascii="Times New Roman" w:cs="Times New Roman" w:eastAsia="Times New Roman" w:hAnsi="Times New Roman"/>
                <w:b w:val="0"/>
                <w:bCs w:val="0"/>
                <w:sz w:val="17"/>
                <w:szCs w:val="17"/>
                <w:rtl w:val="0"/>
              </w:rPr>
              <w:t xml:space="preserve">Cyber risk management, governance, reporting and supply-chain security.</w:t>
            </w:r>
            <w:r w:rsidDel="00000000" w:rsidR="00000000" w:rsidRPr="00000000">
              <w:rPr>
                <w:rtl w:val="0"/>
              </w:rPr>
            </w:r>
          </w:p>
        </w:tc>
        <w:tc>
          <w:tcPr>
            <w:vAlign w:val="center"/>
          </w:tcPr>
          <w:p w:rsidR="00000000" w:rsidDel="00000000" w:rsidP="00000000" w:rsidRDefault="00000000" w:rsidRPr="00000000" w14:paraId="00000076">
            <w:pPr>
              <w:jc w:val="left"/>
              <w:rPr/>
            </w:pPr>
            <w:r w:rsidDel="00000000" w:rsidR="00000000" w:rsidRPr="00000000">
              <w:rPr>
                <w:rFonts w:ascii="Times New Roman" w:cs="Times New Roman" w:eastAsia="Times New Roman" w:hAnsi="Times New Roman"/>
                <w:b w:val="0"/>
                <w:bCs w:val="0"/>
                <w:sz w:val="17"/>
                <w:szCs w:val="17"/>
                <w:rtl w:val="0"/>
              </w:rPr>
              <w:t xml:space="preserve">Maintain incident playbooks, board oversight, supplier assurance and monitoring.</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77">
            <w:pPr>
              <w:jc w:val="left"/>
              <w:rPr/>
            </w:pPr>
            <w:r w:rsidDel="00000000" w:rsidR="00000000" w:rsidRPr="00000000">
              <w:rPr>
                <w:rFonts w:ascii="Times New Roman" w:cs="Times New Roman" w:eastAsia="Times New Roman" w:hAnsi="Times New Roman"/>
                <w:b w:val="0"/>
                <w:bCs w:val="0"/>
                <w:sz w:val="17"/>
                <w:szCs w:val="17"/>
                <w:rtl w:val="0"/>
              </w:rPr>
              <w:t xml:space="preserve">DORA-aligned resilience</w:t>
            </w:r>
            <w:r w:rsidDel="00000000" w:rsidR="00000000" w:rsidRPr="00000000">
              <w:rPr>
                <w:rtl w:val="0"/>
              </w:rPr>
            </w:r>
          </w:p>
        </w:tc>
        <w:tc>
          <w:tcPr>
            <w:vAlign w:val="center"/>
          </w:tcPr>
          <w:p w:rsidR="00000000" w:rsidDel="00000000" w:rsidP="00000000" w:rsidRDefault="00000000" w:rsidRPr="00000000" w14:paraId="00000078">
            <w:pPr>
              <w:jc w:val="left"/>
              <w:rPr/>
            </w:pPr>
            <w:r w:rsidDel="00000000" w:rsidR="00000000" w:rsidRPr="00000000">
              <w:rPr>
                <w:rFonts w:ascii="Times New Roman" w:cs="Times New Roman" w:eastAsia="Times New Roman" w:hAnsi="Times New Roman"/>
                <w:b w:val="0"/>
                <w:bCs w:val="0"/>
                <w:sz w:val="17"/>
                <w:szCs w:val="17"/>
                <w:rtl w:val="0"/>
              </w:rPr>
              <w:t xml:space="preserve">Operational resilience, testing and ICT third-party oversight.</w:t>
            </w:r>
            <w:r w:rsidDel="00000000" w:rsidR="00000000" w:rsidRPr="00000000">
              <w:rPr>
                <w:rtl w:val="0"/>
              </w:rPr>
            </w:r>
          </w:p>
        </w:tc>
        <w:tc>
          <w:tcPr>
            <w:vAlign w:val="center"/>
          </w:tcPr>
          <w:p w:rsidR="00000000" w:rsidDel="00000000" w:rsidP="00000000" w:rsidRDefault="00000000" w:rsidRPr="00000000" w14:paraId="00000079">
            <w:pPr>
              <w:jc w:val="left"/>
              <w:rPr/>
            </w:pPr>
            <w:r w:rsidDel="00000000" w:rsidR="00000000" w:rsidRPr="00000000">
              <w:rPr>
                <w:rFonts w:ascii="Times New Roman" w:cs="Times New Roman" w:eastAsia="Times New Roman" w:hAnsi="Times New Roman"/>
                <w:b w:val="0"/>
                <w:bCs w:val="0"/>
                <w:sz w:val="17"/>
                <w:szCs w:val="17"/>
                <w:rtl w:val="0"/>
              </w:rPr>
              <w:t xml:space="preserve">Adopt resilience testing, backup assurance and formal cloud provider review.</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7A">
            <w:pPr>
              <w:jc w:val="left"/>
              <w:rPr/>
            </w:pPr>
            <w:r w:rsidDel="00000000" w:rsidR="00000000" w:rsidRPr="00000000">
              <w:rPr>
                <w:rFonts w:ascii="Times New Roman" w:cs="Times New Roman" w:eastAsia="Times New Roman" w:hAnsi="Times New Roman"/>
                <w:b w:val="0"/>
                <w:bCs w:val="0"/>
                <w:sz w:val="17"/>
                <w:szCs w:val="17"/>
                <w:rtl w:val="0"/>
              </w:rPr>
              <w:t xml:space="preserve">NIST CSF 2.0</w:t>
            </w:r>
            <w:r w:rsidDel="00000000" w:rsidR="00000000" w:rsidRPr="00000000">
              <w:rPr>
                <w:rtl w:val="0"/>
              </w:rPr>
            </w:r>
          </w:p>
        </w:tc>
        <w:tc>
          <w:tcPr>
            <w:vAlign w:val="center"/>
          </w:tcPr>
          <w:p w:rsidR="00000000" w:rsidDel="00000000" w:rsidP="00000000" w:rsidRDefault="00000000" w:rsidRPr="00000000" w14:paraId="0000007B">
            <w:pPr>
              <w:jc w:val="left"/>
              <w:rPr/>
            </w:pPr>
            <w:r w:rsidDel="00000000" w:rsidR="00000000" w:rsidRPr="00000000">
              <w:rPr>
                <w:rFonts w:ascii="Times New Roman" w:cs="Times New Roman" w:eastAsia="Times New Roman" w:hAnsi="Times New Roman"/>
                <w:b w:val="0"/>
                <w:bCs w:val="0"/>
                <w:sz w:val="17"/>
                <w:szCs w:val="17"/>
                <w:rtl w:val="0"/>
              </w:rPr>
              <w:t xml:space="preserve">Governance model linking controls to business goals.</w:t>
            </w:r>
            <w:r w:rsidDel="00000000" w:rsidR="00000000" w:rsidRPr="00000000">
              <w:rPr>
                <w:rtl w:val="0"/>
              </w:rPr>
            </w:r>
          </w:p>
        </w:tc>
        <w:tc>
          <w:tcPr>
            <w:vAlign w:val="center"/>
          </w:tcPr>
          <w:p w:rsidR="00000000" w:rsidDel="00000000" w:rsidP="00000000" w:rsidRDefault="00000000" w:rsidRPr="00000000" w14:paraId="0000007C">
            <w:pPr>
              <w:jc w:val="left"/>
              <w:rPr/>
            </w:pPr>
            <w:r w:rsidDel="00000000" w:rsidR="00000000" w:rsidRPr="00000000">
              <w:rPr>
                <w:rFonts w:ascii="Times New Roman" w:cs="Times New Roman" w:eastAsia="Times New Roman" w:hAnsi="Times New Roman"/>
                <w:b w:val="0"/>
                <w:bCs w:val="0"/>
                <w:sz w:val="17"/>
                <w:szCs w:val="17"/>
                <w:rtl w:val="0"/>
              </w:rPr>
              <w:t xml:space="preserve">Use Govern-Identify-Protect-Detect-Respond-Recover as the programme structure.</w:t>
            </w:r>
            <w:r w:rsidDel="00000000" w:rsidR="00000000" w:rsidRPr="00000000">
              <w:rPr>
                <w:rtl w:val="0"/>
              </w:rPr>
            </w:r>
          </w:p>
        </w:tc>
      </w:tr>
    </w:tbl>
    <w:p w:rsidR="00000000" w:rsidDel="00000000" w:rsidP="00000000" w:rsidRDefault="00000000" w:rsidRPr="00000000" w14:paraId="0000007D">
      <w:pPr>
        <w:pStyle w:val="Heading2"/>
        <w:jc w:val="left"/>
        <w:rPr/>
      </w:pPr>
      <w:r w:rsidDel="00000000" w:rsidR="00000000" w:rsidRPr="00000000">
        <w:rPr>
          <w:rFonts w:ascii="Times New Roman" w:cs="Times New Roman" w:eastAsia="Times New Roman" w:hAnsi="Times New Roman"/>
          <w:rtl w:val="0"/>
        </w:rPr>
        <w:t xml:space="preserve">High-level risk assessment</w:t>
      </w:r>
      <w:r w:rsidDel="00000000" w:rsidR="00000000" w:rsidRPr="00000000">
        <w:rPr>
          <w:rtl w:val="0"/>
        </w:rPr>
      </w:r>
    </w:p>
    <w:p w:rsidR="00000000" w:rsidDel="00000000" w:rsidP="00000000" w:rsidRDefault="00000000" w:rsidRPr="00000000" w14:paraId="0000007E">
      <w:pPr>
        <w:jc w:val="both"/>
        <w:rPr/>
      </w:pPr>
      <w:r w:rsidDel="00000000" w:rsidR="00000000" w:rsidRPr="00000000">
        <w:rPr>
          <w:rFonts w:ascii="Times New Roman" w:cs="Times New Roman" w:eastAsia="Times New Roman" w:hAnsi="Times New Roman"/>
          <w:b w:val="0"/>
          <w:bCs w:val="0"/>
          <w:i w:val="0"/>
          <w:iCs w:val="0"/>
          <w:sz w:val="20"/>
          <w:szCs w:val="20"/>
          <w:rtl w:val="0"/>
        </w:rPr>
        <w:t xml:space="preserve">The most significant risks in the scenario are software supply-chain compromise, poisoned or tampered AI models, cloud misconfiguration, privileged account abuse, ransomware affecting development assets, and data leakage through insecure SaaS or unmanaged devices. These risks are serious because they can affect both confidentiality and patient safety. For example, manipulated model artefacts may not only expose data but also degrade clinical recommendations.</w:t>
      </w:r>
      <w:r w:rsidDel="00000000" w:rsidR="00000000" w:rsidRPr="00000000">
        <w:rPr>
          <w:rtl w:val="0"/>
        </w:rPr>
      </w:r>
    </w:p>
    <w:p w:rsidR="00000000" w:rsidDel="00000000" w:rsidP="00000000" w:rsidRDefault="00000000" w:rsidRPr="00000000" w14:paraId="0000007F">
      <w:pPr>
        <w:jc w:val="both"/>
        <w:rPr/>
      </w:pPr>
      <w:r w:rsidDel="00000000" w:rsidR="00000000" w:rsidRPr="00000000">
        <w:rPr>
          <w:rFonts w:ascii="Times New Roman" w:cs="Times New Roman" w:eastAsia="Times New Roman" w:hAnsi="Times New Roman"/>
          <w:b w:val="0"/>
          <w:bCs w:val="0"/>
          <w:i w:val="0"/>
          <w:iCs w:val="0"/>
          <w:sz w:val="20"/>
          <w:szCs w:val="20"/>
          <w:rtl w:val="0"/>
        </w:rPr>
        <w:t xml:space="preserve">A high-level assessment suggests that cloud misconfiguration and dependency risk are the most likely near-term issues, while ransomware and model poisoning are lower-frequency but potentially severe events. This justifies prioritising identity controls, secure configuration monitoring, dependency management and immutable backups before more advanced optimisation work.</w:t>
      </w:r>
      <w:r w:rsidDel="00000000" w:rsidR="00000000" w:rsidRPr="00000000">
        <w:rPr>
          <w:rtl w:val="0"/>
        </w:rPr>
      </w:r>
    </w:p>
    <w:p w:rsidR="00000000" w:rsidDel="00000000" w:rsidP="00000000" w:rsidRDefault="00000000" w:rsidRPr="00000000" w14:paraId="00000080">
      <w:pPr>
        <w:spacing w:after="80" w:before="80" w:lineRule="auto"/>
        <w:jc w:val="center"/>
        <w:rPr/>
      </w:pPr>
      <w:r w:rsidDel="00000000" w:rsidR="00000000" w:rsidRPr="00000000">
        <w:rPr>
          <w:rFonts w:ascii="Times New Roman" w:cs="Times New Roman" w:eastAsia="Times New Roman" w:hAnsi="Times New Roman"/>
          <w:i w:val="1"/>
          <w:iCs w:val="1"/>
          <w:sz w:val="18"/>
          <w:szCs w:val="18"/>
          <w:rtl w:val="0"/>
        </w:rPr>
        <w:t xml:space="preserve">Table 3. High-level risk snapshot</w:t>
      </w:r>
      <w:r w:rsidDel="00000000" w:rsidR="00000000" w:rsidRPr="00000000">
        <w:rPr>
          <w:rtl w:val="0"/>
        </w:rPr>
      </w:r>
    </w:p>
    <w:tbl>
      <w:tblPr>
        <w:tblStyle w:val="Table3"/>
        <w:tblW w:w="9636.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409"/>
        <w:gridCol w:w="2409"/>
        <w:gridCol w:w="2409"/>
        <w:gridCol w:w="2409"/>
        <w:tblGridChange w:id="0">
          <w:tblGrid>
            <w:gridCol w:w="2409"/>
            <w:gridCol w:w="2409"/>
            <w:gridCol w:w="2409"/>
            <w:gridCol w:w="2409"/>
          </w:tblGrid>
        </w:tblGridChange>
      </w:tblGrid>
      <w:tr>
        <w:trPr>
          <w:cantSplit w:val="0"/>
          <w:tblHeader w:val="0"/>
        </w:trPr>
        <w:tc>
          <w:tcPr>
            <w:vAlign w:val="center"/>
          </w:tcPr>
          <w:p w:rsidR="00000000" w:rsidDel="00000000" w:rsidP="00000000" w:rsidRDefault="00000000" w:rsidRPr="00000000" w14:paraId="00000081">
            <w:pPr>
              <w:jc w:val="left"/>
              <w:rPr/>
            </w:pPr>
            <w:r w:rsidDel="00000000" w:rsidR="00000000" w:rsidRPr="00000000">
              <w:rPr>
                <w:rFonts w:ascii="Times New Roman" w:cs="Times New Roman" w:eastAsia="Times New Roman" w:hAnsi="Times New Roman"/>
                <w:b w:val="1"/>
                <w:bCs w:val="1"/>
                <w:sz w:val="16"/>
                <w:szCs w:val="16"/>
                <w:rtl w:val="0"/>
              </w:rPr>
              <w:t xml:space="preserve">Risk</w:t>
            </w:r>
            <w:r w:rsidDel="00000000" w:rsidR="00000000" w:rsidRPr="00000000">
              <w:rPr>
                <w:rtl w:val="0"/>
              </w:rPr>
            </w:r>
          </w:p>
        </w:tc>
        <w:tc>
          <w:tcPr>
            <w:vAlign w:val="center"/>
          </w:tcPr>
          <w:p w:rsidR="00000000" w:rsidDel="00000000" w:rsidP="00000000" w:rsidRDefault="00000000" w:rsidRPr="00000000" w14:paraId="00000082">
            <w:pPr>
              <w:jc w:val="left"/>
              <w:rPr/>
            </w:pPr>
            <w:r w:rsidDel="00000000" w:rsidR="00000000" w:rsidRPr="00000000">
              <w:rPr>
                <w:rFonts w:ascii="Times New Roman" w:cs="Times New Roman" w:eastAsia="Times New Roman" w:hAnsi="Times New Roman"/>
                <w:b w:val="1"/>
                <w:bCs w:val="1"/>
                <w:sz w:val="16"/>
                <w:szCs w:val="16"/>
                <w:rtl w:val="0"/>
              </w:rPr>
              <w:t xml:space="preserve">Likelihood</w:t>
            </w:r>
            <w:r w:rsidDel="00000000" w:rsidR="00000000" w:rsidRPr="00000000">
              <w:rPr>
                <w:rtl w:val="0"/>
              </w:rPr>
            </w:r>
          </w:p>
        </w:tc>
        <w:tc>
          <w:tcPr>
            <w:vAlign w:val="center"/>
          </w:tcPr>
          <w:p w:rsidR="00000000" w:rsidDel="00000000" w:rsidP="00000000" w:rsidRDefault="00000000" w:rsidRPr="00000000" w14:paraId="00000083">
            <w:pPr>
              <w:jc w:val="left"/>
              <w:rPr/>
            </w:pPr>
            <w:r w:rsidDel="00000000" w:rsidR="00000000" w:rsidRPr="00000000">
              <w:rPr>
                <w:rFonts w:ascii="Times New Roman" w:cs="Times New Roman" w:eastAsia="Times New Roman" w:hAnsi="Times New Roman"/>
                <w:b w:val="1"/>
                <w:bCs w:val="1"/>
                <w:sz w:val="16"/>
                <w:szCs w:val="16"/>
                <w:rtl w:val="0"/>
              </w:rPr>
              <w:t xml:space="preserve">Impact</w:t>
            </w:r>
            <w:r w:rsidDel="00000000" w:rsidR="00000000" w:rsidRPr="00000000">
              <w:rPr>
                <w:rtl w:val="0"/>
              </w:rPr>
            </w:r>
          </w:p>
        </w:tc>
        <w:tc>
          <w:tcPr>
            <w:vAlign w:val="center"/>
          </w:tcPr>
          <w:p w:rsidR="00000000" w:rsidDel="00000000" w:rsidP="00000000" w:rsidRDefault="00000000" w:rsidRPr="00000000" w14:paraId="00000084">
            <w:pPr>
              <w:jc w:val="left"/>
              <w:rPr/>
            </w:pPr>
            <w:r w:rsidDel="00000000" w:rsidR="00000000" w:rsidRPr="00000000">
              <w:rPr>
                <w:rFonts w:ascii="Times New Roman" w:cs="Times New Roman" w:eastAsia="Times New Roman" w:hAnsi="Times New Roman"/>
                <w:b w:val="1"/>
                <w:bCs w:val="1"/>
                <w:sz w:val="16"/>
                <w:szCs w:val="16"/>
                <w:rtl w:val="0"/>
              </w:rPr>
              <w:t xml:space="preserve">Priority response</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85">
            <w:pPr>
              <w:jc w:val="left"/>
              <w:rPr/>
            </w:pPr>
            <w:r w:rsidDel="00000000" w:rsidR="00000000" w:rsidRPr="00000000">
              <w:rPr>
                <w:rFonts w:ascii="Times New Roman" w:cs="Times New Roman" w:eastAsia="Times New Roman" w:hAnsi="Times New Roman"/>
                <w:b w:val="0"/>
                <w:bCs w:val="0"/>
                <w:sz w:val="17"/>
                <w:szCs w:val="17"/>
                <w:rtl w:val="0"/>
              </w:rPr>
              <w:t xml:space="preserve">Cloud misconfiguration</w:t>
            </w:r>
            <w:r w:rsidDel="00000000" w:rsidR="00000000" w:rsidRPr="00000000">
              <w:rPr>
                <w:rtl w:val="0"/>
              </w:rPr>
            </w:r>
          </w:p>
        </w:tc>
        <w:tc>
          <w:tcPr>
            <w:vAlign w:val="center"/>
          </w:tcPr>
          <w:p w:rsidR="00000000" w:rsidDel="00000000" w:rsidP="00000000" w:rsidRDefault="00000000" w:rsidRPr="00000000" w14:paraId="00000086">
            <w:pPr>
              <w:jc w:val="left"/>
              <w:rPr/>
            </w:pPr>
            <w:r w:rsidDel="00000000" w:rsidR="00000000" w:rsidRPr="00000000">
              <w:rPr>
                <w:rFonts w:ascii="Times New Roman" w:cs="Times New Roman" w:eastAsia="Times New Roman" w:hAnsi="Times New Roman"/>
                <w:b w:val="0"/>
                <w:bCs w:val="0"/>
                <w:sz w:val="17"/>
                <w:szCs w:val="17"/>
                <w:rtl w:val="0"/>
              </w:rPr>
              <w:t xml:space="preserve">High</w:t>
            </w:r>
            <w:r w:rsidDel="00000000" w:rsidR="00000000" w:rsidRPr="00000000">
              <w:rPr>
                <w:rtl w:val="0"/>
              </w:rPr>
            </w:r>
          </w:p>
        </w:tc>
        <w:tc>
          <w:tcPr>
            <w:vAlign w:val="center"/>
          </w:tcPr>
          <w:p w:rsidR="00000000" w:rsidDel="00000000" w:rsidP="00000000" w:rsidRDefault="00000000" w:rsidRPr="00000000" w14:paraId="00000087">
            <w:pPr>
              <w:jc w:val="left"/>
              <w:rPr/>
            </w:pPr>
            <w:r w:rsidDel="00000000" w:rsidR="00000000" w:rsidRPr="00000000">
              <w:rPr>
                <w:rFonts w:ascii="Times New Roman" w:cs="Times New Roman" w:eastAsia="Times New Roman" w:hAnsi="Times New Roman"/>
                <w:b w:val="0"/>
                <w:bCs w:val="0"/>
                <w:sz w:val="17"/>
                <w:szCs w:val="17"/>
                <w:rtl w:val="0"/>
              </w:rPr>
              <w:t xml:space="preserve">High</w:t>
            </w:r>
            <w:r w:rsidDel="00000000" w:rsidR="00000000" w:rsidRPr="00000000">
              <w:rPr>
                <w:rtl w:val="0"/>
              </w:rPr>
            </w:r>
          </w:p>
        </w:tc>
        <w:tc>
          <w:tcPr>
            <w:vAlign w:val="center"/>
          </w:tcPr>
          <w:p w:rsidR="00000000" w:rsidDel="00000000" w:rsidP="00000000" w:rsidRDefault="00000000" w:rsidRPr="00000000" w14:paraId="00000088">
            <w:pPr>
              <w:jc w:val="left"/>
              <w:rPr/>
            </w:pPr>
            <w:r w:rsidDel="00000000" w:rsidR="00000000" w:rsidRPr="00000000">
              <w:rPr>
                <w:rFonts w:ascii="Times New Roman" w:cs="Times New Roman" w:eastAsia="Times New Roman" w:hAnsi="Times New Roman"/>
                <w:b w:val="0"/>
                <w:bCs w:val="0"/>
                <w:sz w:val="17"/>
                <w:szCs w:val="17"/>
                <w:rtl w:val="0"/>
              </w:rPr>
              <w:t xml:space="preserve">CSPM, hardened baselines, peer review of IaC.</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89">
            <w:pPr>
              <w:jc w:val="left"/>
              <w:rPr/>
            </w:pPr>
            <w:r w:rsidDel="00000000" w:rsidR="00000000" w:rsidRPr="00000000">
              <w:rPr>
                <w:rFonts w:ascii="Times New Roman" w:cs="Times New Roman" w:eastAsia="Times New Roman" w:hAnsi="Times New Roman"/>
                <w:b w:val="0"/>
                <w:bCs w:val="0"/>
                <w:sz w:val="17"/>
                <w:szCs w:val="17"/>
                <w:rtl w:val="0"/>
              </w:rPr>
              <w:t xml:space="preserve">Vulnerable dependencies</w:t>
            </w:r>
            <w:r w:rsidDel="00000000" w:rsidR="00000000" w:rsidRPr="00000000">
              <w:rPr>
                <w:rtl w:val="0"/>
              </w:rPr>
            </w:r>
          </w:p>
        </w:tc>
        <w:tc>
          <w:tcPr>
            <w:vAlign w:val="center"/>
          </w:tcPr>
          <w:p w:rsidR="00000000" w:rsidDel="00000000" w:rsidP="00000000" w:rsidRDefault="00000000" w:rsidRPr="00000000" w14:paraId="0000008A">
            <w:pPr>
              <w:jc w:val="left"/>
              <w:rPr/>
            </w:pPr>
            <w:r w:rsidDel="00000000" w:rsidR="00000000" w:rsidRPr="00000000">
              <w:rPr>
                <w:rFonts w:ascii="Times New Roman" w:cs="Times New Roman" w:eastAsia="Times New Roman" w:hAnsi="Times New Roman"/>
                <w:b w:val="0"/>
                <w:bCs w:val="0"/>
                <w:sz w:val="17"/>
                <w:szCs w:val="17"/>
                <w:rtl w:val="0"/>
              </w:rPr>
              <w:t xml:space="preserve">High</w:t>
            </w:r>
            <w:r w:rsidDel="00000000" w:rsidR="00000000" w:rsidRPr="00000000">
              <w:rPr>
                <w:rtl w:val="0"/>
              </w:rPr>
            </w:r>
          </w:p>
        </w:tc>
        <w:tc>
          <w:tcPr>
            <w:vAlign w:val="center"/>
          </w:tcPr>
          <w:p w:rsidR="00000000" w:rsidDel="00000000" w:rsidP="00000000" w:rsidRDefault="00000000" w:rsidRPr="00000000" w14:paraId="0000008B">
            <w:pPr>
              <w:jc w:val="left"/>
              <w:rPr/>
            </w:pPr>
            <w:r w:rsidDel="00000000" w:rsidR="00000000" w:rsidRPr="00000000">
              <w:rPr>
                <w:rFonts w:ascii="Times New Roman" w:cs="Times New Roman" w:eastAsia="Times New Roman" w:hAnsi="Times New Roman"/>
                <w:b w:val="0"/>
                <w:bCs w:val="0"/>
                <w:sz w:val="17"/>
                <w:szCs w:val="17"/>
                <w:rtl w:val="0"/>
              </w:rPr>
              <w:t xml:space="preserve">High</w:t>
            </w:r>
            <w:r w:rsidDel="00000000" w:rsidR="00000000" w:rsidRPr="00000000">
              <w:rPr>
                <w:rtl w:val="0"/>
              </w:rPr>
            </w:r>
          </w:p>
        </w:tc>
        <w:tc>
          <w:tcPr>
            <w:vAlign w:val="center"/>
          </w:tcPr>
          <w:p w:rsidR="00000000" w:rsidDel="00000000" w:rsidP="00000000" w:rsidRDefault="00000000" w:rsidRPr="00000000" w14:paraId="0000008C">
            <w:pPr>
              <w:jc w:val="left"/>
              <w:rPr/>
            </w:pPr>
            <w:r w:rsidDel="00000000" w:rsidR="00000000" w:rsidRPr="00000000">
              <w:rPr>
                <w:rFonts w:ascii="Times New Roman" w:cs="Times New Roman" w:eastAsia="Times New Roman" w:hAnsi="Times New Roman"/>
                <w:b w:val="0"/>
                <w:bCs w:val="0"/>
                <w:sz w:val="17"/>
                <w:szCs w:val="17"/>
                <w:rtl w:val="0"/>
              </w:rPr>
              <w:t xml:space="preserve">SCA, patch governance, signed builds and SBOM practices.</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8D">
            <w:pPr>
              <w:jc w:val="left"/>
              <w:rPr/>
            </w:pPr>
            <w:r w:rsidDel="00000000" w:rsidR="00000000" w:rsidRPr="00000000">
              <w:rPr>
                <w:rFonts w:ascii="Times New Roman" w:cs="Times New Roman" w:eastAsia="Times New Roman" w:hAnsi="Times New Roman"/>
                <w:b w:val="0"/>
                <w:bCs w:val="0"/>
                <w:sz w:val="17"/>
                <w:szCs w:val="17"/>
                <w:rtl w:val="0"/>
              </w:rPr>
              <w:t xml:space="preserve">Model poisoning / tampering</w:t>
            </w:r>
            <w:r w:rsidDel="00000000" w:rsidR="00000000" w:rsidRPr="00000000">
              <w:rPr>
                <w:rtl w:val="0"/>
              </w:rPr>
            </w:r>
          </w:p>
        </w:tc>
        <w:tc>
          <w:tcPr>
            <w:vAlign w:val="center"/>
          </w:tcPr>
          <w:p w:rsidR="00000000" w:rsidDel="00000000" w:rsidP="00000000" w:rsidRDefault="00000000" w:rsidRPr="00000000" w14:paraId="0000008E">
            <w:pPr>
              <w:jc w:val="left"/>
              <w:rPr/>
            </w:pPr>
            <w:r w:rsidDel="00000000" w:rsidR="00000000" w:rsidRPr="00000000">
              <w:rPr>
                <w:rFonts w:ascii="Times New Roman" w:cs="Times New Roman" w:eastAsia="Times New Roman" w:hAnsi="Times New Roman"/>
                <w:b w:val="0"/>
                <w:bCs w:val="0"/>
                <w:sz w:val="17"/>
                <w:szCs w:val="17"/>
                <w:rtl w:val="0"/>
              </w:rPr>
              <w:t xml:space="preserve">Medium</w:t>
            </w:r>
            <w:r w:rsidDel="00000000" w:rsidR="00000000" w:rsidRPr="00000000">
              <w:rPr>
                <w:rtl w:val="0"/>
              </w:rPr>
            </w:r>
          </w:p>
        </w:tc>
        <w:tc>
          <w:tcPr>
            <w:vAlign w:val="center"/>
          </w:tcPr>
          <w:p w:rsidR="00000000" w:rsidDel="00000000" w:rsidP="00000000" w:rsidRDefault="00000000" w:rsidRPr="00000000" w14:paraId="0000008F">
            <w:pPr>
              <w:jc w:val="left"/>
              <w:rPr/>
            </w:pPr>
            <w:r w:rsidDel="00000000" w:rsidR="00000000" w:rsidRPr="00000000">
              <w:rPr>
                <w:rFonts w:ascii="Times New Roman" w:cs="Times New Roman" w:eastAsia="Times New Roman" w:hAnsi="Times New Roman"/>
                <w:b w:val="0"/>
                <w:bCs w:val="0"/>
                <w:sz w:val="17"/>
                <w:szCs w:val="17"/>
                <w:rtl w:val="0"/>
              </w:rPr>
              <w:t xml:space="preserve">High</w:t>
            </w:r>
            <w:r w:rsidDel="00000000" w:rsidR="00000000" w:rsidRPr="00000000">
              <w:rPr>
                <w:rtl w:val="0"/>
              </w:rPr>
            </w:r>
          </w:p>
        </w:tc>
        <w:tc>
          <w:tcPr>
            <w:vAlign w:val="center"/>
          </w:tcPr>
          <w:p w:rsidR="00000000" w:rsidDel="00000000" w:rsidP="00000000" w:rsidRDefault="00000000" w:rsidRPr="00000000" w14:paraId="00000090">
            <w:pPr>
              <w:jc w:val="left"/>
              <w:rPr/>
            </w:pPr>
            <w:r w:rsidDel="00000000" w:rsidR="00000000" w:rsidRPr="00000000">
              <w:rPr>
                <w:rFonts w:ascii="Times New Roman" w:cs="Times New Roman" w:eastAsia="Times New Roman" w:hAnsi="Times New Roman"/>
                <w:b w:val="0"/>
                <w:bCs w:val="0"/>
                <w:sz w:val="17"/>
                <w:szCs w:val="17"/>
                <w:rtl w:val="0"/>
              </w:rPr>
              <w:t xml:space="preserve">Dataset provenance, controlled promotion and integrity checks.</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91">
            <w:pPr>
              <w:jc w:val="left"/>
              <w:rPr/>
            </w:pPr>
            <w:r w:rsidDel="00000000" w:rsidR="00000000" w:rsidRPr="00000000">
              <w:rPr>
                <w:rFonts w:ascii="Times New Roman" w:cs="Times New Roman" w:eastAsia="Times New Roman" w:hAnsi="Times New Roman"/>
                <w:b w:val="0"/>
                <w:bCs w:val="0"/>
                <w:sz w:val="17"/>
                <w:szCs w:val="17"/>
                <w:rtl w:val="0"/>
              </w:rPr>
              <w:t xml:space="preserve">Ransomware in code and data repos</w:t>
            </w:r>
            <w:r w:rsidDel="00000000" w:rsidR="00000000" w:rsidRPr="00000000">
              <w:rPr>
                <w:rtl w:val="0"/>
              </w:rPr>
            </w:r>
          </w:p>
        </w:tc>
        <w:tc>
          <w:tcPr>
            <w:vAlign w:val="center"/>
          </w:tcPr>
          <w:p w:rsidR="00000000" w:rsidDel="00000000" w:rsidP="00000000" w:rsidRDefault="00000000" w:rsidRPr="00000000" w14:paraId="00000092">
            <w:pPr>
              <w:jc w:val="left"/>
              <w:rPr/>
            </w:pPr>
            <w:r w:rsidDel="00000000" w:rsidR="00000000" w:rsidRPr="00000000">
              <w:rPr>
                <w:rFonts w:ascii="Times New Roman" w:cs="Times New Roman" w:eastAsia="Times New Roman" w:hAnsi="Times New Roman"/>
                <w:b w:val="0"/>
                <w:bCs w:val="0"/>
                <w:sz w:val="17"/>
                <w:szCs w:val="17"/>
                <w:rtl w:val="0"/>
              </w:rPr>
              <w:t xml:space="preserve">Medium</w:t>
            </w:r>
            <w:r w:rsidDel="00000000" w:rsidR="00000000" w:rsidRPr="00000000">
              <w:rPr>
                <w:rtl w:val="0"/>
              </w:rPr>
            </w:r>
          </w:p>
        </w:tc>
        <w:tc>
          <w:tcPr>
            <w:vAlign w:val="center"/>
          </w:tcPr>
          <w:p w:rsidR="00000000" w:rsidDel="00000000" w:rsidP="00000000" w:rsidRDefault="00000000" w:rsidRPr="00000000" w14:paraId="00000093">
            <w:pPr>
              <w:jc w:val="left"/>
              <w:rPr/>
            </w:pPr>
            <w:r w:rsidDel="00000000" w:rsidR="00000000" w:rsidRPr="00000000">
              <w:rPr>
                <w:rFonts w:ascii="Times New Roman" w:cs="Times New Roman" w:eastAsia="Times New Roman" w:hAnsi="Times New Roman"/>
                <w:b w:val="0"/>
                <w:bCs w:val="0"/>
                <w:sz w:val="17"/>
                <w:szCs w:val="17"/>
                <w:rtl w:val="0"/>
              </w:rPr>
              <w:t xml:space="preserve">Very high</w:t>
            </w:r>
            <w:r w:rsidDel="00000000" w:rsidR="00000000" w:rsidRPr="00000000">
              <w:rPr>
                <w:rtl w:val="0"/>
              </w:rPr>
            </w:r>
          </w:p>
        </w:tc>
        <w:tc>
          <w:tcPr>
            <w:vAlign w:val="center"/>
          </w:tcPr>
          <w:p w:rsidR="00000000" w:rsidDel="00000000" w:rsidP="00000000" w:rsidRDefault="00000000" w:rsidRPr="00000000" w14:paraId="00000094">
            <w:pPr>
              <w:jc w:val="left"/>
              <w:rPr/>
            </w:pPr>
            <w:r w:rsidDel="00000000" w:rsidR="00000000" w:rsidRPr="00000000">
              <w:rPr>
                <w:rFonts w:ascii="Times New Roman" w:cs="Times New Roman" w:eastAsia="Times New Roman" w:hAnsi="Times New Roman"/>
                <w:b w:val="0"/>
                <w:bCs w:val="0"/>
                <w:sz w:val="17"/>
                <w:szCs w:val="17"/>
                <w:rtl w:val="0"/>
              </w:rPr>
              <w:t xml:space="preserve">Immutable backups, EDR, segregation of admin accounts and tested recovery.</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95">
            <w:pPr>
              <w:jc w:val="left"/>
              <w:rPr/>
            </w:pPr>
            <w:r w:rsidDel="00000000" w:rsidR="00000000" w:rsidRPr="00000000">
              <w:rPr>
                <w:rFonts w:ascii="Times New Roman" w:cs="Times New Roman" w:eastAsia="Times New Roman" w:hAnsi="Times New Roman"/>
                <w:b w:val="0"/>
                <w:bCs w:val="0"/>
                <w:sz w:val="17"/>
                <w:szCs w:val="17"/>
                <w:rtl w:val="0"/>
              </w:rPr>
              <w:t xml:space="preserve">Data leakage via SaaS / BYOD</w:t>
            </w:r>
            <w:r w:rsidDel="00000000" w:rsidR="00000000" w:rsidRPr="00000000">
              <w:rPr>
                <w:rtl w:val="0"/>
              </w:rPr>
            </w:r>
          </w:p>
        </w:tc>
        <w:tc>
          <w:tcPr>
            <w:vAlign w:val="center"/>
          </w:tcPr>
          <w:p w:rsidR="00000000" w:rsidDel="00000000" w:rsidP="00000000" w:rsidRDefault="00000000" w:rsidRPr="00000000" w14:paraId="00000096">
            <w:pPr>
              <w:jc w:val="left"/>
              <w:rPr/>
            </w:pPr>
            <w:r w:rsidDel="00000000" w:rsidR="00000000" w:rsidRPr="00000000">
              <w:rPr>
                <w:rFonts w:ascii="Times New Roman" w:cs="Times New Roman" w:eastAsia="Times New Roman" w:hAnsi="Times New Roman"/>
                <w:b w:val="0"/>
                <w:bCs w:val="0"/>
                <w:sz w:val="17"/>
                <w:szCs w:val="17"/>
                <w:rtl w:val="0"/>
              </w:rPr>
              <w:t xml:space="preserve">Medium</w:t>
            </w:r>
            <w:r w:rsidDel="00000000" w:rsidR="00000000" w:rsidRPr="00000000">
              <w:rPr>
                <w:rtl w:val="0"/>
              </w:rPr>
            </w:r>
          </w:p>
        </w:tc>
        <w:tc>
          <w:tcPr>
            <w:vAlign w:val="center"/>
          </w:tcPr>
          <w:p w:rsidR="00000000" w:rsidDel="00000000" w:rsidP="00000000" w:rsidRDefault="00000000" w:rsidRPr="00000000" w14:paraId="00000097">
            <w:pPr>
              <w:jc w:val="left"/>
              <w:rPr/>
            </w:pPr>
            <w:r w:rsidDel="00000000" w:rsidR="00000000" w:rsidRPr="00000000">
              <w:rPr>
                <w:rFonts w:ascii="Times New Roman" w:cs="Times New Roman" w:eastAsia="Times New Roman" w:hAnsi="Times New Roman"/>
                <w:b w:val="0"/>
                <w:bCs w:val="0"/>
                <w:sz w:val="17"/>
                <w:szCs w:val="17"/>
                <w:rtl w:val="0"/>
              </w:rPr>
              <w:t xml:space="preserve">High</w:t>
            </w:r>
            <w:r w:rsidDel="00000000" w:rsidR="00000000" w:rsidRPr="00000000">
              <w:rPr>
                <w:rtl w:val="0"/>
              </w:rPr>
            </w:r>
          </w:p>
        </w:tc>
        <w:tc>
          <w:tcPr>
            <w:vAlign w:val="center"/>
          </w:tcPr>
          <w:p w:rsidR="00000000" w:rsidDel="00000000" w:rsidP="00000000" w:rsidRDefault="00000000" w:rsidRPr="00000000" w14:paraId="00000098">
            <w:pPr>
              <w:jc w:val="left"/>
              <w:rPr/>
            </w:pPr>
            <w:r w:rsidDel="00000000" w:rsidR="00000000" w:rsidRPr="00000000">
              <w:rPr>
                <w:rFonts w:ascii="Times New Roman" w:cs="Times New Roman" w:eastAsia="Times New Roman" w:hAnsi="Times New Roman"/>
                <w:b w:val="0"/>
                <w:bCs w:val="0"/>
                <w:sz w:val="17"/>
                <w:szCs w:val="17"/>
                <w:rtl w:val="0"/>
              </w:rPr>
              <w:t xml:space="preserve">DLP, SSO, device posture checks and tighter sharing rules.</w:t>
            </w:r>
            <w:r w:rsidDel="00000000" w:rsidR="00000000" w:rsidRPr="00000000">
              <w:rPr>
                <w:rtl w:val="0"/>
              </w:rPr>
            </w:r>
          </w:p>
        </w:tc>
      </w:tr>
    </w:tbl>
    <w:p w:rsidR="00000000" w:rsidDel="00000000" w:rsidP="00000000" w:rsidRDefault="00000000" w:rsidRPr="00000000" w14:paraId="00000099">
      <w:pPr>
        <w:pStyle w:val="Heading2"/>
        <w:jc w:val="left"/>
        <w:rPr/>
      </w:pPr>
      <w:r w:rsidDel="00000000" w:rsidR="00000000" w:rsidRPr="00000000">
        <w:rPr>
          <w:rFonts w:ascii="Times New Roman" w:cs="Times New Roman" w:eastAsia="Times New Roman" w:hAnsi="Times New Roman"/>
          <w:rtl w:val="0"/>
        </w:rPr>
        <w:t xml:space="preserve">Disaster recovery and ransomware contingency plan</w:t>
      </w:r>
      <w:r w:rsidDel="00000000" w:rsidR="00000000" w:rsidRPr="00000000">
        <w:rPr>
          <w:rtl w:val="0"/>
        </w:rPr>
      </w:r>
    </w:p>
    <w:p w:rsidR="00000000" w:rsidDel="00000000" w:rsidP="00000000" w:rsidRDefault="00000000" w:rsidRPr="00000000" w14:paraId="0000009A">
      <w:pPr>
        <w:jc w:val="both"/>
        <w:rPr/>
      </w:pPr>
      <w:r w:rsidDel="00000000" w:rsidR="00000000" w:rsidRPr="00000000">
        <w:rPr>
          <w:rFonts w:ascii="Times New Roman" w:cs="Times New Roman" w:eastAsia="Times New Roman" w:hAnsi="Times New Roman"/>
          <w:b w:val="0"/>
          <w:bCs w:val="0"/>
          <w:i w:val="0"/>
          <w:iCs w:val="0"/>
          <w:sz w:val="20"/>
          <w:szCs w:val="20"/>
          <w:rtl w:val="0"/>
        </w:rPr>
        <w:t xml:space="preserve">If ransomware encrypts AI training data and source code repositories, MediTrust should follow a disciplined recovery sequence. First, isolate affected endpoints, repositories and cloud workloads to stop further spread. Second, preserve forensic evidence and confirm whether backups are intact before beginning restoration. Third, activate crisis management with defined business, legal, technical and communications leads. Fourth, restore identity services, clean administrative workstations, source-code repositories and critical build systems in a trusted order. Fifth, recover training datasets from immutable backups and verify integrity through checksums and provenance records before they are reused.</w:t>
      </w:r>
      <w:r w:rsidDel="00000000" w:rsidR="00000000" w:rsidRPr="00000000">
        <w:rPr>
          <w:rtl w:val="0"/>
        </w:rPr>
      </w:r>
    </w:p>
    <w:p w:rsidR="00000000" w:rsidDel="00000000" w:rsidP="00000000" w:rsidRDefault="00000000" w:rsidRPr="00000000" w14:paraId="0000009B">
      <w:pPr>
        <w:jc w:val="both"/>
        <w:rPr/>
      </w:pPr>
      <w:r w:rsidDel="00000000" w:rsidR="00000000" w:rsidRPr="00000000">
        <w:rPr>
          <w:rFonts w:ascii="Times New Roman" w:cs="Times New Roman" w:eastAsia="Times New Roman" w:hAnsi="Times New Roman"/>
          <w:b w:val="0"/>
          <w:bCs w:val="0"/>
          <w:i w:val="0"/>
          <w:iCs w:val="0"/>
          <w:sz w:val="20"/>
          <w:szCs w:val="20"/>
          <w:rtl w:val="0"/>
        </w:rPr>
        <w:t xml:space="preserve">The recovery plan should include offline or immutable backups, tested infrastructure-as-code rebuilds, predefined alternate collaboration channels, and criteria for returning services to operation. Table-based exercises should be run at least twice a year, with one scenario focused specifically on ransomware in the development and ML pipeline environment.</w:t>
      </w:r>
      <w:r w:rsidDel="00000000" w:rsidR="00000000" w:rsidRPr="00000000">
        <w:rPr>
          <w:rtl w:val="0"/>
        </w:rPr>
      </w:r>
    </w:p>
    <w:p w:rsidR="00000000" w:rsidDel="00000000" w:rsidP="00000000" w:rsidRDefault="00000000" w:rsidRPr="00000000" w14:paraId="0000009C">
      <w:pPr>
        <w:pStyle w:val="Heading2"/>
        <w:jc w:val="left"/>
        <w:rPr/>
      </w:pPr>
      <w:r w:rsidDel="00000000" w:rsidR="00000000" w:rsidRPr="00000000">
        <w:rPr>
          <w:rFonts w:ascii="Times New Roman" w:cs="Times New Roman" w:eastAsia="Times New Roman" w:hAnsi="Times New Roman"/>
          <w:rtl w:val="0"/>
        </w:rPr>
        <w:t xml:space="preserve">Recommended protection mechanisms</w:t>
      </w:r>
      <w:r w:rsidDel="00000000" w:rsidR="00000000" w:rsidRPr="00000000">
        <w:rPr>
          <w:rtl w:val="0"/>
        </w:rPr>
      </w:r>
    </w:p>
    <w:p w:rsidR="00000000" w:rsidDel="00000000" w:rsidP="00000000" w:rsidRDefault="00000000" w:rsidRPr="00000000" w14:paraId="0000009D">
      <w:pPr>
        <w:jc w:val="both"/>
        <w:rPr/>
      </w:pPr>
      <w:r w:rsidDel="00000000" w:rsidR="00000000" w:rsidRPr="00000000">
        <w:rPr>
          <w:rtl w:val="0"/>
        </w:rPr>
        <w:t xml:space="preserve">The following controls should be implemented as programme priorities: phishing-resistant MFA for all staff and privileged users; privileged access management for admin accounts and service identities; CSPM and CIEM for multi-cloud visibility; EDR/XDR with automated containment for managed endpoints; central SIEM monitoring; secure web gateway or SASE capabilities for hybrid access; software composition analysis and container scanning in CI/CD; secrets management; signed code and artefact validation; DLP for sensitive exports; MDM or endpoint compliance checks for device trust; and tighter session controls such as token lifetime limits and step-up authentication for sensitive actions. This last point matters because a zero-trust programme can still be weakened by session theft if post-login controls are too loose [15], [16], [17].</w:t>
      </w:r>
    </w:p>
    <w:p w:rsidR="00000000" w:rsidDel="00000000" w:rsidP="00000000" w:rsidRDefault="00000000" w:rsidRPr="00000000" w14:paraId="0000009E">
      <w:pPr>
        <w:jc w:val="both"/>
        <w:rPr/>
      </w:pPr>
      <w:r w:rsidDel="00000000" w:rsidR="00000000" w:rsidRPr="00000000">
        <w:rPr>
          <w:rFonts w:ascii="Times New Roman" w:cs="Times New Roman" w:eastAsia="Times New Roman" w:hAnsi="Times New Roman"/>
          <w:b w:val="0"/>
          <w:bCs w:val="0"/>
          <w:i w:val="0"/>
          <w:iCs w:val="0"/>
          <w:sz w:val="20"/>
          <w:szCs w:val="20"/>
          <w:rtl w:val="0"/>
        </w:rPr>
        <w:t xml:space="preserve">These controls support the zero trust model because they improve identity assurance, reduce standing privilege, increase visibility and make policy enforcement more context-aware. Importantly, they should be introduced in a staged roadmap rather than as disconnected purchases.</w:t>
      </w:r>
      <w:r w:rsidDel="00000000" w:rsidR="00000000" w:rsidRPr="00000000">
        <w:rPr>
          <w:rtl w:val="0"/>
        </w:rPr>
      </w:r>
    </w:p>
    <w:p w:rsidR="00000000" w:rsidDel="00000000" w:rsidP="00000000" w:rsidRDefault="00000000" w:rsidRPr="00000000" w14:paraId="0000009F">
      <w:pPr>
        <w:pStyle w:val="Heading2"/>
        <w:jc w:val="left"/>
        <w:rPr/>
      </w:pPr>
      <w:r w:rsidDel="00000000" w:rsidR="00000000" w:rsidRPr="00000000">
        <w:rPr>
          <w:rFonts w:ascii="Times New Roman" w:cs="Times New Roman" w:eastAsia="Times New Roman" w:hAnsi="Times New Roman"/>
          <w:rtl w:val="0"/>
        </w:rPr>
        <w:t xml:space="preserve">Conclusion</w:t>
      </w:r>
      <w:r w:rsidDel="00000000" w:rsidR="00000000" w:rsidRPr="00000000">
        <w:rPr>
          <w:rtl w:val="0"/>
        </w:rPr>
      </w:r>
    </w:p>
    <w:p w:rsidR="00000000" w:rsidDel="00000000" w:rsidP="00000000" w:rsidRDefault="00000000" w:rsidRPr="00000000" w14:paraId="000000A0">
      <w:pPr>
        <w:jc w:val="both"/>
        <w:rPr/>
      </w:pPr>
      <w:r w:rsidDel="00000000" w:rsidR="00000000" w:rsidRPr="00000000">
        <w:rPr>
          <w:rFonts w:ascii="Times New Roman" w:cs="Times New Roman" w:eastAsia="Times New Roman" w:hAnsi="Times New Roman"/>
          <w:b w:val="0"/>
          <w:bCs w:val="0"/>
          <w:i w:val="0"/>
          <w:iCs w:val="0"/>
          <w:sz w:val="20"/>
          <w:szCs w:val="20"/>
          <w:rtl w:val="0"/>
        </w:rPr>
        <w:t xml:space="preserve">MediTrust needs a security programme that treats cyber risk as a business and clinical trust issue rather than a narrow IT matter. A zero-trust-aligned model is appropriate because the company relies on hybrid work, cloud platforms, external partners and sensitive health-related data. The proposed design establishes a governance structure, core policies, regulatory alignment, risk priorities, disaster recovery logic and modern technical controls. Even at this draft stage, the central message is clear: MediTrust should build security around explicit trust decisions, resilient operations and integrated compliance rather than relying on inherited perimeter assumptions.</w:t>
      </w:r>
      <w:r w:rsidDel="00000000" w:rsidR="00000000" w:rsidRPr="00000000">
        <w:rPr>
          <w:rtl w:val="0"/>
        </w:rPr>
      </w:r>
    </w:p>
    <w:p w:rsidR="00000000" w:rsidDel="00000000" w:rsidP="00000000" w:rsidRDefault="00000000" w:rsidRPr="00000000" w14:paraId="000000A1">
      <w:pPr>
        <w:pStyle w:val="Heading2"/>
        <w:jc w:val="left"/>
        <w:rPr/>
      </w:pPr>
      <w:r w:rsidDel="00000000" w:rsidR="00000000" w:rsidRPr="00000000">
        <w:rPr>
          <w:rFonts w:ascii="Times New Roman" w:cs="Times New Roman" w:eastAsia="Times New Roman" w:hAnsi="Times New Roman"/>
          <w:rtl w:val="0"/>
        </w:rPr>
        <w:t xml:space="preserve">Selected references for Tasks 1 and 2</w:t>
      </w:r>
      <w:r w:rsidDel="00000000" w:rsidR="00000000" w:rsidRPr="00000000">
        <w:rPr>
          <w:rtl w:val="0"/>
        </w:rPr>
      </w:r>
    </w:p>
    <w:p w:rsidR="00000000" w:rsidDel="00000000" w:rsidP="00000000" w:rsidRDefault="00000000" w:rsidRPr="00000000" w14:paraId="000000A2">
      <w:pPr>
        <w:rPr/>
      </w:pPr>
      <w:r w:rsidDel="00000000" w:rsidR="00000000" w:rsidRPr="00000000">
        <w:rPr>
          <w:rtl w:val="0"/>
        </w:rPr>
        <w:t xml:space="preserve">[1] S. Rose, O. Borchert, S. Mitchell and S. Connelly, Zero Trust Architecture, NIST SP 800-207, National Institute of Standards and Technology, 2020.</w:t>
      </w:r>
    </w:p>
    <w:p w:rsidR="00000000" w:rsidDel="00000000" w:rsidP="00000000" w:rsidRDefault="00000000" w:rsidRPr="00000000" w14:paraId="000000A3">
      <w:pPr>
        <w:rPr/>
      </w:pPr>
      <w:r w:rsidDel="00000000" w:rsidR="00000000" w:rsidRPr="00000000">
        <w:rPr>
          <w:rtl w:val="0"/>
        </w:rPr>
        <w:t xml:space="preserve">[2] National Institute of Standards and Technology, Cybersecurity Framework (CSF) 2.0, 2024.</w:t>
      </w:r>
    </w:p>
    <w:p w:rsidR="00000000" w:rsidDel="00000000" w:rsidP="00000000" w:rsidRDefault="00000000" w:rsidRPr="00000000" w14:paraId="000000A4">
      <w:pPr>
        <w:rPr/>
      </w:pPr>
      <w:r w:rsidDel="00000000" w:rsidR="00000000" w:rsidRPr="00000000">
        <w:rPr>
          <w:rtl w:val="0"/>
        </w:rPr>
        <w:t xml:space="preserve">[3] R. Chandramouli and C. Wright, A Zero Trust Architecture Model for Access Control in Cloud-Native Applications in Multi-Location Environments, NIST SP 800-207A, 2023.</w:t>
      </w:r>
    </w:p>
    <w:p w:rsidR="00000000" w:rsidDel="00000000" w:rsidP="00000000" w:rsidRDefault="00000000" w:rsidRPr="00000000" w14:paraId="000000A5">
      <w:pPr>
        <w:rPr/>
      </w:pPr>
      <w:r w:rsidDel="00000000" w:rsidR="00000000" w:rsidRPr="00000000">
        <w:rPr>
          <w:rtl w:val="0"/>
        </w:rPr>
        <w:t xml:space="preserve">[4] Cybersecurity and Infrastructure Security Agency, Zero Trust Maturity Model Version 2.0, 2023.</w:t>
      </w:r>
    </w:p>
    <w:p w:rsidR="00000000" w:rsidDel="00000000" w:rsidP="00000000" w:rsidRDefault="00000000" w:rsidRPr="00000000" w14:paraId="000000A6">
      <w:pPr>
        <w:rPr/>
      </w:pPr>
      <w:r w:rsidDel="00000000" w:rsidR="00000000" w:rsidRPr="00000000">
        <w:rPr>
          <w:rtl w:val="0"/>
        </w:rPr>
        <w:t xml:space="preserve">[5] European Union, Directive (EU) 2022/2555 on measures for a high common level of cybersecurity across the Union (NIS2 Directive), 2022.</w:t>
      </w:r>
    </w:p>
    <w:p w:rsidR="00000000" w:rsidDel="00000000" w:rsidP="00000000" w:rsidRDefault="00000000" w:rsidRPr="00000000" w14:paraId="000000A7">
      <w:pPr>
        <w:rPr/>
      </w:pPr>
      <w:r w:rsidDel="00000000" w:rsidR="00000000" w:rsidRPr="00000000">
        <w:rPr>
          <w:rtl w:val="0"/>
        </w:rPr>
        <w:t xml:space="preserve">[6] European Commission, NIS2 Directive: securing network and information systems, 2026.</w:t>
      </w:r>
    </w:p>
    <w:p w:rsidR="00000000" w:rsidDel="00000000" w:rsidP="00000000" w:rsidRDefault="00000000" w:rsidRPr="00000000" w14:paraId="000000A8">
      <w:pPr>
        <w:rPr/>
      </w:pPr>
      <w:r w:rsidDel="00000000" w:rsidR="00000000" w:rsidRPr="00000000">
        <w:rPr>
          <w:rtl w:val="0"/>
        </w:rPr>
        <w:t xml:space="preserve">[7] European Union, Regulation (EU) 2022/2554 on digital operational resilience for the financial sector (DORA), 2022.</w:t>
      </w:r>
    </w:p>
    <w:p w:rsidR="00000000" w:rsidDel="00000000" w:rsidP="00000000" w:rsidRDefault="00000000" w:rsidRPr="00000000" w14:paraId="000000A9">
      <w:pPr>
        <w:rPr/>
      </w:pPr>
      <w:r w:rsidDel="00000000" w:rsidR="00000000" w:rsidRPr="00000000">
        <w:rPr>
          <w:rtl w:val="0"/>
        </w:rPr>
        <w:t xml:space="preserve">[8] European Securities and Markets Authority, Digital Operational Resilience Act (DORA), 2025.</w:t>
      </w:r>
    </w:p>
    <w:p w:rsidR="00000000" w:rsidDel="00000000" w:rsidP="00000000" w:rsidRDefault="00000000" w:rsidRPr="00000000" w14:paraId="000000AA">
      <w:pPr>
        <w:rPr/>
      </w:pPr>
      <w:r w:rsidDel="00000000" w:rsidR="00000000" w:rsidRPr="00000000">
        <w:rPr>
          <w:rtl w:val="0"/>
        </w:rPr>
        <w:t xml:space="preserve">[9] European Union, Regulation (EU) 2016/679 (General Data Protection Regulation), 2016.</w:t>
      </w:r>
    </w:p>
    <w:p w:rsidR="00000000" w:rsidDel="00000000" w:rsidP="00000000" w:rsidRDefault="00000000" w:rsidRPr="00000000" w14:paraId="000000AB">
      <w:pPr>
        <w:rPr/>
      </w:pPr>
      <w:r w:rsidDel="00000000" w:rsidR="00000000" w:rsidRPr="00000000">
        <w:rPr>
          <w:rtl w:val="0"/>
        </w:rPr>
        <w:t xml:space="preserve">[10] Information Commissioner's Office, What is special category data?, 2024.</w:t>
      </w:r>
    </w:p>
    <w:p w:rsidR="00000000" w:rsidDel="00000000" w:rsidP="00000000" w:rsidRDefault="00000000" w:rsidRPr="00000000" w14:paraId="000000AC">
      <w:pPr>
        <w:rPr/>
      </w:pPr>
      <w:r w:rsidDel="00000000" w:rsidR="00000000" w:rsidRPr="00000000">
        <w:rPr>
          <w:rtl w:val="0"/>
        </w:rPr>
        <w:t xml:space="preserve">[11] E. B. Fernandez, M. Hamdi and A. Hashizume, "A critical analysis of Zero Trust Architecture (ZTA)," Computers &amp; Security, vol. 139, 2024.</w:t>
      </w:r>
    </w:p>
    <w:p w:rsidR="00000000" w:rsidDel="00000000" w:rsidP="00000000" w:rsidRDefault="00000000" w:rsidRPr="00000000" w14:paraId="000000AD">
      <w:pPr>
        <w:rPr/>
      </w:pPr>
      <w:r w:rsidDel="00000000" w:rsidR="00000000" w:rsidRPr="00000000">
        <w:rPr>
          <w:rtl w:val="0"/>
        </w:rPr>
        <w:t xml:space="preserve">[12] C. Liu, J. Li and Y. Zhang, "Dissecting zero trust: research landscape and its directions," Cybersecurity, vol. 7, no. 1, 2024.</w:t>
      </w:r>
    </w:p>
    <w:p w:rsidR="00000000" w:rsidDel="00000000" w:rsidP="00000000" w:rsidRDefault="00000000" w:rsidRPr="00000000" w14:paraId="000000AE">
      <w:pPr>
        <w:rPr/>
      </w:pPr>
      <w:r w:rsidDel="00000000" w:rsidR="00000000" w:rsidRPr="00000000">
        <w:rPr>
          <w:rtl w:val="0"/>
        </w:rPr>
        <w:t xml:space="preserve">[13] P. Dhiman, M. K. Yadav and A. Sharma, "A Review and Comparative Analysis of Relevant Zero-Trust Architecture Implementations," Sensors, vol. 24, no. 4, 2024.</w:t>
      </w:r>
    </w:p>
    <w:p w:rsidR="00000000" w:rsidDel="00000000" w:rsidP="00000000" w:rsidRDefault="00000000" w:rsidRPr="00000000" w14:paraId="000000AF">
      <w:pPr>
        <w:rPr/>
      </w:pPr>
      <w:r w:rsidDel="00000000" w:rsidR="00000000" w:rsidRPr="00000000">
        <w:rPr>
          <w:rtl w:val="0"/>
        </w:rPr>
        <w:t xml:space="preserve">[14] S. Mushtaq et al., "A Systematic Literature Review on the Implementation and Evaluation of Zero Trust Architecture," Sensors, vol. 25, no. 19, 2025.</w:t>
      </w:r>
    </w:p>
    <w:p w:rsidR="00000000" w:rsidDel="00000000" w:rsidP="00000000" w:rsidRDefault="00000000" w:rsidRPr="00000000" w14:paraId="000000B0">
      <w:pPr>
        <w:rPr/>
      </w:pPr>
      <w:r w:rsidDel="00000000" w:rsidR="00000000" w:rsidRPr="00000000">
        <w:rPr>
          <w:rtl w:val="0"/>
        </w:rPr>
        <w:t xml:space="preserve">[15] Cybersecurity and Infrastructure Security Agency, Implementing Phishing-Resistant MFA, 2022.</w:t>
      </w:r>
    </w:p>
    <w:p w:rsidR="00000000" w:rsidDel="00000000" w:rsidP="00000000" w:rsidRDefault="00000000" w:rsidRPr="00000000" w14:paraId="000000B1">
      <w:pPr>
        <w:rPr/>
      </w:pPr>
      <w:r w:rsidDel="00000000" w:rsidR="00000000" w:rsidRPr="00000000">
        <w:rPr>
          <w:rtl w:val="0"/>
        </w:rPr>
        <w:t xml:space="preserve">[16] MITRE ATT&amp;CK, Steal Web Session Cookie (T1539), 2019.</w:t>
      </w:r>
    </w:p>
    <w:p w:rsidR="00000000" w:rsidDel="00000000" w:rsidP="00000000" w:rsidRDefault="00000000" w:rsidRPr="00000000" w14:paraId="000000B2">
      <w:pPr>
        <w:rPr/>
      </w:pPr>
      <w:r w:rsidDel="00000000" w:rsidR="00000000" w:rsidRPr="00000000">
        <w:rPr>
          <w:rtl w:val="0"/>
        </w:rPr>
        <w:t xml:space="preserve">[17] OWASP Foundation, Session Management Cheat Sheet, 2024.</w:t>
      </w:r>
    </w:p>
    <w:p w:rsidR="00000000" w:rsidDel="00000000" w:rsidP="00000000" w:rsidRDefault="00000000" w:rsidRPr="00000000" w14:paraId="000000B3">
      <w:pPr>
        <w:rPr/>
      </w:pPr>
      <w:r w:rsidDel="00000000" w:rsidR="00000000" w:rsidRPr="00000000">
        <w:rPr>
          <w:rtl w:val="0"/>
        </w:rPr>
      </w:r>
    </w:p>
    <w:p w:rsidR="00000000" w:rsidDel="00000000" w:rsidP="00000000" w:rsidRDefault="00000000" w:rsidRPr="00000000" w14:paraId="000000B4">
      <w:pPr>
        <w:rPr/>
      </w:pPr>
      <w:r w:rsidDel="00000000" w:rsidR="00000000" w:rsidRPr="00000000">
        <w:rPr>
          <w:rtl w:val="0"/>
        </w:rPr>
      </w:r>
    </w:p>
    <w:p w:rsidR="00000000" w:rsidDel="00000000" w:rsidP="00000000" w:rsidRDefault="00000000" w:rsidRPr="00000000" w14:paraId="000000B5">
      <w:pPr>
        <w:rPr/>
      </w:pPr>
      <w:r w:rsidDel="00000000" w:rsidR="00000000" w:rsidRPr="00000000">
        <w:rPr>
          <w:rtl w:val="0"/>
        </w:rPr>
      </w:r>
    </w:p>
    <w:p w:rsidR="00000000" w:rsidDel="00000000" w:rsidP="00000000" w:rsidRDefault="00000000" w:rsidRPr="00000000" w14:paraId="000000B6">
      <w:pPr>
        <w:rPr/>
      </w:pPr>
      <w:r w:rsidDel="00000000" w:rsidR="00000000" w:rsidRPr="00000000">
        <w:rPr>
          <w:rtl w:val="0"/>
        </w:rPr>
      </w:r>
    </w:p>
    <w:p w:rsidR="00000000" w:rsidDel="00000000" w:rsidP="00000000" w:rsidRDefault="00000000" w:rsidRPr="00000000" w14:paraId="000000B7">
      <w:pPr>
        <w:rPr/>
      </w:pPr>
      <w:r w:rsidDel="00000000" w:rsidR="00000000" w:rsidRPr="00000000">
        <w:rPr>
          <w:rtl w:val="0"/>
        </w:rPr>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rPr/>
      </w:pPr>
      <w:r w:rsidDel="00000000" w:rsidR="00000000" w:rsidRPr="00000000">
        <w:rPr>
          <w:rtl w:val="0"/>
        </w:rPr>
      </w:r>
    </w:p>
    <w:p w:rsidR="00000000" w:rsidDel="00000000" w:rsidP="00000000" w:rsidRDefault="00000000" w:rsidRPr="00000000" w14:paraId="000000BA">
      <w:pPr>
        <w:rPr/>
      </w:pPr>
      <w:r w:rsidDel="00000000" w:rsidR="00000000" w:rsidRPr="00000000">
        <w:rPr>
          <w:rtl w:val="0"/>
        </w:rPr>
      </w:r>
    </w:p>
    <w:p w:rsidR="00000000" w:rsidDel="00000000" w:rsidP="00000000" w:rsidRDefault="00000000" w:rsidRPr="00000000" w14:paraId="000000BB">
      <w:pPr>
        <w:rPr/>
      </w:pPr>
      <w:r w:rsidDel="00000000" w:rsidR="00000000" w:rsidRPr="00000000">
        <w:rPr>
          <w:rtl w:val="0"/>
        </w:rPr>
      </w:r>
    </w:p>
    <w:p w:rsidR="00000000" w:rsidDel="00000000" w:rsidP="00000000" w:rsidRDefault="00000000" w:rsidRPr="00000000" w14:paraId="000000BC">
      <w:pPr>
        <w:rPr/>
      </w:pPr>
      <w:r w:rsidDel="00000000" w:rsidR="00000000" w:rsidRPr="00000000">
        <w:rPr>
          <w:rtl w:val="0"/>
        </w:rPr>
      </w:r>
    </w:p>
    <w:p w:rsidR="00000000" w:rsidDel="00000000" w:rsidP="00000000" w:rsidRDefault="00000000" w:rsidRPr="00000000" w14:paraId="000000BD">
      <w:pPr>
        <w:rPr/>
      </w:pPr>
      <w:r w:rsidDel="00000000" w:rsidR="00000000" w:rsidRPr="00000000">
        <w:rPr>
          <w:rtl w:val="0"/>
        </w:rPr>
      </w:r>
    </w:p>
    <w:p w:rsidR="00000000" w:rsidDel="00000000" w:rsidP="00000000" w:rsidRDefault="00000000" w:rsidRPr="00000000" w14:paraId="000000BE">
      <w:pPr>
        <w:rPr/>
      </w:pPr>
      <w:r w:rsidDel="00000000" w:rsidR="00000000" w:rsidRPr="00000000">
        <w:rPr>
          <w:rtl w:val="0"/>
        </w:rPr>
      </w:r>
    </w:p>
    <w:p w:rsidR="00000000" w:rsidDel="00000000" w:rsidP="00000000" w:rsidRDefault="00000000" w:rsidRPr="00000000" w14:paraId="000000BF">
      <w:pPr>
        <w:rPr/>
      </w:pPr>
      <w:r w:rsidDel="00000000" w:rsidR="00000000" w:rsidRPr="00000000">
        <w:rPr>
          <w:rtl w:val="0"/>
        </w:rPr>
      </w:r>
    </w:p>
    <w:p w:rsidR="00000000" w:rsidDel="00000000" w:rsidP="00000000" w:rsidRDefault="00000000" w:rsidRPr="00000000" w14:paraId="000000C0">
      <w:pPr>
        <w:rPr/>
      </w:pPr>
      <w:r w:rsidDel="00000000" w:rsidR="00000000" w:rsidRPr="00000000">
        <w:rPr>
          <w:rtl w:val="0"/>
        </w:rPr>
      </w:r>
    </w:p>
    <w:p w:rsidR="00000000" w:rsidDel="00000000" w:rsidP="00000000" w:rsidRDefault="00000000" w:rsidRPr="00000000" w14:paraId="000000C1">
      <w:pPr>
        <w:rPr/>
      </w:pPr>
      <w:r w:rsidDel="00000000" w:rsidR="00000000" w:rsidRPr="00000000">
        <w:rPr>
          <w:rtl w:val="0"/>
        </w:rPr>
      </w:r>
    </w:p>
    <w:p w:rsidR="00000000" w:rsidDel="00000000" w:rsidP="00000000" w:rsidRDefault="00000000" w:rsidRPr="00000000" w14:paraId="000000C2">
      <w:pPr>
        <w:rPr/>
      </w:pPr>
      <w:r w:rsidDel="00000000" w:rsidR="00000000" w:rsidRPr="00000000">
        <w:rPr>
          <w:rtl w:val="0"/>
        </w:rPr>
      </w:r>
    </w:p>
    <w:p w:rsidR="00000000" w:rsidDel="00000000" w:rsidP="00000000" w:rsidRDefault="00000000" w:rsidRPr="00000000" w14:paraId="000000C3">
      <w:pPr>
        <w:rPr/>
      </w:pPr>
      <w:r w:rsidDel="00000000" w:rsidR="00000000" w:rsidRPr="00000000">
        <w:rPr>
          <w:rtl w:val="0"/>
        </w:rPr>
      </w:r>
    </w:p>
    <w:sectPr>
      <w:type w:val="nextPage"/>
      <w:pgSz w:h="16838" w:w="11906" w:orient="portrait"/>
      <w:pgMar w:bottom="1247" w:top="1247" w:left="1134" w:right="1134"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Times New Roman"/>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lang w:val="en"/>
      </w:rPr>
    </w:rPrDefault>
    <w:pPrDefault>
      <w:pPr>
        <w:spacing w:after="120"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60" w:before="160" w:lineRule="auto"/>
    </w:pPr>
    <w:rPr>
      <w:rFonts w:ascii="Times New Roman" w:cs="Times New Roman" w:eastAsia="Times New Roman" w:hAnsi="Times New Roman"/>
      <w:b w:val="1"/>
      <w:bCs w:val="1"/>
      <w:color w:val="366091"/>
      <w:sz w:val="22"/>
      <w:szCs w:val="22"/>
    </w:rPr>
  </w:style>
  <w:style w:type="paragraph" w:styleId="Heading2">
    <w:name w:val="heading 2"/>
    <w:basedOn w:val="Normal"/>
    <w:next w:val="Normal"/>
    <w:pPr>
      <w:keepNext w:val="1"/>
      <w:keepLines w:val="1"/>
      <w:spacing w:after="60" w:before="120" w:lineRule="auto"/>
    </w:pPr>
    <w:rPr>
      <w:rFonts w:ascii="Times New Roman" w:cs="Times New Roman" w:eastAsia="Times New Roman" w:hAnsi="Times New Roman"/>
      <w:b w:val="1"/>
      <w:bCs w:val="1"/>
      <w:color w:val="4f81bd"/>
      <w:sz w:val="20"/>
      <w:szCs w:val="20"/>
    </w:rPr>
  </w:style>
  <w:style w:type="paragraph" w:styleId="Heading3">
    <w:name w:val="heading 3"/>
    <w:basedOn w:val="Normal"/>
    <w:next w:val="Normal"/>
    <w:pPr>
      <w:keepNext w:val="1"/>
      <w:keepLines w:val="1"/>
      <w:spacing w:after="0" w:before="200" w:lineRule="auto"/>
    </w:pPr>
    <w:rPr>
      <w:rFonts w:ascii="Times New Roman" w:cs="Times New Roman" w:eastAsia="Times New Roman" w:hAnsi="Times New Roman"/>
      <w:b w:val="1"/>
      <w:bCs w:val="1"/>
      <w:color w:val="4f81bd"/>
    </w:rPr>
  </w:style>
  <w:style w:type="paragraph" w:styleId="Heading4">
    <w:name w:val="heading 4"/>
    <w:basedOn w:val="Normal"/>
    <w:next w:val="Normal"/>
    <w:pPr>
      <w:keepNext w:val="1"/>
      <w:keepLines w:val="1"/>
      <w:spacing w:after="0" w:before="200" w:lineRule="auto"/>
    </w:pPr>
    <w:rPr>
      <w:rFonts w:ascii="Calibri" w:cs="Calibri" w:eastAsia="Calibri" w:hAnsi="Calibri"/>
      <w:b w:val="1"/>
      <w:bCs w:val="1"/>
      <w:i w:val="1"/>
      <w:iCs w:val="1"/>
      <w:color w:val="4f81bd"/>
    </w:rPr>
  </w:style>
  <w:style w:type="paragraph" w:styleId="Heading5">
    <w:name w:val="heading 5"/>
    <w:basedOn w:val="Normal"/>
    <w:next w:val="Normal"/>
    <w:pPr>
      <w:keepNext w:val="1"/>
      <w:keepLines w:val="1"/>
      <w:spacing w:after="0" w:before="200" w:lineRule="auto"/>
    </w:pPr>
    <w:rPr>
      <w:rFonts w:ascii="Calibri" w:cs="Calibri" w:eastAsia="Calibri" w:hAnsi="Calibri"/>
      <w:color w:val="243f61"/>
    </w:rPr>
  </w:style>
  <w:style w:type="paragraph" w:styleId="Heading6">
    <w:name w:val="heading 6"/>
    <w:basedOn w:val="Normal"/>
    <w:next w:val="Normal"/>
    <w:pPr>
      <w:keepNext w:val="1"/>
      <w:keepLines w:val="1"/>
      <w:spacing w:after="0" w:before="200" w:lineRule="auto"/>
    </w:pPr>
    <w:rPr>
      <w:rFonts w:ascii="Calibri" w:cs="Calibri" w:eastAsia="Calibri" w:hAnsi="Calibri"/>
      <w:i w:val="1"/>
      <w:iCs w:val="1"/>
      <w:color w:val="243f61"/>
    </w:rPr>
  </w:style>
  <w:style w:type="paragraph" w:styleId="Title">
    <w:name w:val="Title"/>
    <w:basedOn w:val="Normal"/>
    <w:next w:val="Normal"/>
    <w:pPr>
      <w:pBdr>
        <w:bottom w:color="4f81bd" w:space="4" w:sz="8" w:val="single"/>
      </w:pBdr>
      <w:spacing w:after="200" w:line="240" w:lineRule="auto"/>
    </w:pPr>
    <w:rPr>
      <w:rFonts w:ascii="Times New Roman" w:cs="Times New Roman" w:eastAsia="Times New Roman" w:hAnsi="Times New Roman"/>
      <w:b w:val="1"/>
      <w:bCs w:val="1"/>
      <w:color w:val="17365d"/>
      <w:sz w:val="36"/>
      <w:szCs w:val="36"/>
    </w:rPr>
  </w:style>
  <w:style w:type="paragraph" w:styleId="Subtitle">
    <w:name w:val="Subtitle"/>
    <w:basedOn w:val="Normal"/>
    <w:next w:val="Normal"/>
    <w:pPr/>
    <w:rPr>
      <w:rFonts w:ascii="Times New Roman" w:cs="Times New Roman" w:eastAsia="Times New Roman" w:hAnsi="Times New Roman"/>
      <w:i w:val="1"/>
      <w:iCs w:val="1"/>
      <w:color w:val="4f81bd"/>
      <w:sz w:val="24"/>
      <w:szCs w:val="24"/>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