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comments.xml" ContentType="application/vnd.openxmlformats-officedocument.wordprocessingml.comments+xml"/>
  <Override PartName="/word/commentsExtended.xml" ContentType="application/vnd.openxmlformats-officedocument.wordprocessingml.commentsExtended+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7.3.0.0 -->
  <w:background w:color="ffffff">
    <v:background id="_x0000_s1025" w:themeColor="background1" filled="t"/>
  </w:background>
  <w:body>
    <w:p w:rsidR="00C279B6" w:rsidRPr="00194B5F" w14:paraId="06728853" w14:textId="2D80AEEF">
      <w:pPr>
        <w:rPr>
          <w:rFonts w:ascii="Open Sans" w:hAnsi="Open Sans" w:cs="Calibri"/>
          <w:b/>
          <w:color w:val="373A3C"/>
          <w:sz w:val="21"/>
          <w:szCs w:val="21"/>
          <w:shd w:val="clear" w:color="auto" w:fill="FFFFFF"/>
        </w:rPr>
      </w:pPr>
      <w:r w:rsidRPr="00194B5F">
        <w:rPr>
          <w:rFonts w:ascii="Open Sans" w:hAnsi="Open Sans" w:cs="Calibri"/>
          <w:b/>
          <w:color w:val="373A3C"/>
          <w:sz w:val="21"/>
          <w:szCs w:val="21"/>
          <w:shd w:val="clear" w:color="auto" w:fill="FFFFFF"/>
        </w:rPr>
        <w:t xml:space="preserve">‘Ceramics of the medieval Islamic world were a </w:t>
      </w:r>
      <w:r w:rsidRPr="00194B5F">
        <w:rPr>
          <w:rFonts w:ascii="Open Sans" w:hAnsi="Open Sans" w:cs="Calibri"/>
          <w:b/>
          <w:color w:val="373A3C"/>
          <w:sz w:val="21"/>
          <w:szCs w:val="21"/>
          <w:u w:val="single"/>
          <w:shd w:val="clear" w:color="auto" w:fill="FFFFFF"/>
        </w:rPr>
        <w:t>major technological innovation</w:t>
      </w:r>
      <w:r w:rsidRPr="00194B5F">
        <w:rPr>
          <w:rFonts w:ascii="Open Sans" w:hAnsi="Open Sans" w:cs="Calibri"/>
          <w:b/>
          <w:color w:val="373A3C"/>
          <w:sz w:val="21"/>
          <w:szCs w:val="21"/>
          <w:shd w:val="clear" w:color="auto" w:fill="FFFFFF"/>
        </w:rPr>
        <w:t xml:space="preserve"> in pottery production’ Discuss this statement in reference to at </w:t>
      </w:r>
      <w:r w:rsidRPr="00194B5F">
        <w:rPr>
          <w:rFonts w:ascii="Open Sans" w:hAnsi="Open Sans" w:cs="Calibri"/>
          <w:b/>
          <w:color w:val="373A3C"/>
          <w:sz w:val="21"/>
          <w:szCs w:val="21"/>
          <w:u w:val="single"/>
          <w:shd w:val="clear" w:color="auto" w:fill="FFFFFF"/>
        </w:rPr>
        <w:t>least two technical innovations</w:t>
      </w:r>
      <w:r w:rsidRPr="00194B5F">
        <w:rPr>
          <w:rFonts w:ascii="Open Sans" w:hAnsi="Open Sans" w:cs="Calibri"/>
          <w:b/>
          <w:color w:val="373A3C"/>
          <w:sz w:val="21"/>
          <w:szCs w:val="21"/>
          <w:shd w:val="clear" w:color="auto" w:fill="FFFFFF"/>
        </w:rPr>
        <w:t xml:space="preserve"> in Islamic </w:t>
      </w:r>
      <w:r w:rsidRPr="00194B5F">
        <w:rPr>
          <w:rFonts w:ascii="Open Sans" w:hAnsi="Open Sans" w:cs="Calibri"/>
          <w:b/>
          <w:color w:val="373A3C"/>
          <w:sz w:val="21"/>
          <w:szCs w:val="21"/>
          <w:u w:val="single"/>
          <w:shd w:val="clear" w:color="auto" w:fill="FFFFFF"/>
        </w:rPr>
        <w:t>pottery production</w:t>
      </w:r>
      <w:bookmarkStart w:id="0" w:name="_GoBack"/>
      <w:bookmarkEnd w:id="0"/>
      <w:r w:rsidRPr="00194B5F">
        <w:rPr>
          <w:rFonts w:ascii="Open Sans" w:hAnsi="Open Sans" w:cs="Calibri"/>
          <w:b/>
          <w:color w:val="373A3C"/>
          <w:sz w:val="21"/>
          <w:szCs w:val="21"/>
          <w:shd w:val="clear" w:color="auto" w:fill="FFFFFF"/>
        </w:rPr>
        <w:t>.</w:t>
      </w:r>
    </w:p>
    <w:p w:rsidR="009C6DCA" w14:paraId="3CC3E469" w14:textId="63FD956C">
      <w:r>
        <w:t xml:space="preserve">Ceramics within the Islamic world vary from region, </w:t>
      </w:r>
      <w:r w:rsidR="00D811DE">
        <w:t>time</w:t>
      </w:r>
      <w:r w:rsidR="00AB6EF2">
        <w:t xml:space="preserve"> and by material however they are uniform in </w:t>
      </w:r>
      <w:r w:rsidR="00DD58F6">
        <w:t>design, meaning and technological advancements.</w:t>
      </w:r>
      <w:r w:rsidR="00311D24">
        <w:t xml:space="preserve"> With the Sassanian-Arabic designs, many advancements and techniques derive from the Graeco-Roman style of pottery carried through to Mesopotamia and Persian realms, later becoming part of the Islamic empire.</w:t>
      </w:r>
      <w:r>
        <w:rPr>
          <w:rStyle w:val="FootnoteReference"/>
        </w:rPr>
        <w:footnoteReference w:id="2"/>
      </w:r>
      <w:r w:rsidR="007D4F7D">
        <w:t xml:space="preserve"> </w:t>
      </w:r>
      <w:r w:rsidR="00D413CF">
        <w:t xml:space="preserve">Styles that evolved from the Islamic innovations include that of frit ware, lusterware, earthenware and lead-based glazing, gold inlays and </w:t>
      </w:r>
      <w:r>
        <w:rPr>
          <w:rStyle w:val="CommentReference"/>
        </w:rPr>
        <w:commentReference w:id="1"/>
      </w:r>
      <w:r w:rsidR="00C57ABB">
        <w:t xml:space="preserve">slip designs to create the distinct </w:t>
      </w:r>
      <w:r w:rsidR="0064740E">
        <w:t>eastern styles of potter</w:t>
      </w:r>
      <w:r w:rsidR="006F068A">
        <w:t xml:space="preserve">y. This includes the distinct </w:t>
      </w:r>
      <w:r w:rsidR="0073338F">
        <w:t>turquoise colouring, geometric patterns, with symmetry and the incorporation of stylised script.</w:t>
      </w:r>
      <w:r w:rsidR="00E97827">
        <w:t xml:space="preserve"> </w:t>
      </w:r>
      <w:r w:rsidR="00156EEF">
        <w:t xml:space="preserve">With many regarding ceramics as high valued commodities, </w:t>
      </w:r>
      <w:r w:rsidR="0052026E">
        <w:t>in the later medieval years much focus is aimed upon the Chinese porcelain and attempts to replicate and model it to their tastes.</w:t>
      </w:r>
      <w:r w:rsidR="00BC7DCC">
        <w:t xml:space="preserve"> This essay will explore </w:t>
      </w:r>
      <w:r w:rsidR="00FF15B3">
        <w:t>the methods of creating such works of art referring to design, material, region</w:t>
      </w:r>
      <w:r w:rsidR="001F4D2A">
        <w:t>,</w:t>
      </w:r>
      <w:r w:rsidR="00FF15B3">
        <w:t xml:space="preserve"> and decoration.</w:t>
      </w:r>
      <w:r w:rsidR="001F4D2A">
        <w:t xml:space="preserve"> </w:t>
      </w:r>
    </w:p>
    <w:p w:rsidR="00DF2112" w14:paraId="125A4F17" w14:textId="41FD9B25">
      <w:r>
        <w:t xml:space="preserve">The majority of early Islamic pottery mainly </w:t>
      </w:r>
      <w:r w:rsidR="00160402">
        <w:t xml:space="preserve">comprised of </w:t>
      </w:r>
      <w:r>
        <w:t>earthenware clay pots with basic st</w:t>
      </w:r>
      <w:r w:rsidR="008C29F2">
        <w:t xml:space="preserve">aining to create the earthy </w:t>
      </w:r>
      <w:r w:rsidR="00D73634">
        <w:t xml:space="preserve">brown tones </w:t>
      </w:r>
      <w:r w:rsidR="0074197F">
        <w:t xml:space="preserve">seen as the base of most cheaper made </w:t>
      </w:r>
      <w:r w:rsidR="004654D0">
        <w:t xml:space="preserve">pottery. </w:t>
      </w:r>
      <w:r w:rsidR="007F263E">
        <w:t>As many academics pinpoint the start of Islamic ceramic trades in Abbasid Iraq in around the 8</w:t>
      </w:r>
      <w:r w:rsidRPr="007F263E" w:rsidR="007F263E">
        <w:rPr>
          <w:vertAlign w:val="superscript"/>
        </w:rPr>
        <w:t>th</w:t>
      </w:r>
      <w:r w:rsidR="007F263E">
        <w:t xml:space="preserve"> century AD, there have been arguments to suggest that it originated from an Egyptian style of pottery production, </w:t>
      </w:r>
      <w:r w:rsidR="00680732">
        <w:t xml:space="preserve">earliest forms of </w:t>
      </w:r>
      <w:r w:rsidR="002D09C0">
        <w:t>A</w:t>
      </w:r>
      <w:r w:rsidR="00680732">
        <w:t>rab influence in ceramic production</w:t>
      </w:r>
      <w:r w:rsidR="00E55401">
        <w:t>.</w:t>
      </w:r>
      <w:r>
        <w:rPr>
          <w:rStyle w:val="FootnoteReference"/>
        </w:rPr>
        <w:footnoteReference w:id="3"/>
      </w:r>
      <w:r w:rsidR="00320257">
        <w:t xml:space="preserve"> Earthenware pottery is the more favoured method of creating ceramics as it is made of a simple and accessible material, clay, and it </w:t>
      </w:r>
      <w:r w:rsidR="00505687">
        <w:t>remained the more affordable and household type of ceramic used in the Islamic world.</w:t>
      </w:r>
      <w:r w:rsidR="001B4D87">
        <w:t xml:space="preserve"> </w:t>
      </w:r>
      <w:r w:rsidR="00375C0C">
        <w:t>With the inclusion of different types of tempur incorporated into the design, the durability and strength of the pot was reinforced and it became the ‘working’ ceramic, chosen for practicality over value.</w:t>
      </w:r>
      <w:r w:rsidR="00D700B3">
        <w:t xml:space="preserve"> Creating these practical pieces of </w:t>
      </w:r>
      <w:r w:rsidR="004965D4">
        <w:t xml:space="preserve">pottery with the use of the traditional potters wheel, giving the effect of the </w:t>
      </w:r>
      <w:r w:rsidR="003B43A4">
        <w:t xml:space="preserve">widely recognised spinning lines within the </w:t>
      </w:r>
      <w:r w:rsidR="00497613">
        <w:t>ceramic.</w:t>
      </w:r>
      <w:r>
        <w:rPr>
          <w:rStyle w:val="FootnoteReference"/>
        </w:rPr>
        <w:footnoteReference w:id="4"/>
      </w:r>
    </w:p>
    <w:p w:rsidR="00DA31A5" w14:paraId="118632F2" w14:textId="645D2150">
      <w:commentRangeStart w:id="2"/>
      <w:r>
        <w:t xml:space="preserve">Earthenware decoration grew with the use of science and using chemistry to create a glaze from alkaline elements and the incorporation of lead and tin towards its impermeable nature, adding to the method of firing pottery to create a less porous </w:t>
      </w:r>
      <w:commentRangeEnd w:id="2"/>
      <w:r w:rsidR="00964394">
        <w:t>vessel.</w:t>
      </w:r>
      <w:r w:rsidR="0011605B">
        <w:t xml:space="preserve"> The introduction of lustre glazing to pottery created a wider range of colours, enabling for a metallic looking surface without the implementation of more expensive and rare materials such as gold and silver.</w:t>
      </w:r>
      <w:commentRangeStart w:id="3"/>
      <w:r w:rsidR="00384FD8">
        <w:t xml:space="preserve"> Using metallic oxides including that of cobalt, tin and copper that can result in </w:t>
      </w:r>
      <w:commentRangeEnd w:id="3"/>
      <w:r w:rsidR="002564DD">
        <w:t>a range of blue, green and yellow shades.</w:t>
      </w:r>
      <w:r>
        <w:rPr>
          <w:rStyle w:val="FootnoteReference"/>
        </w:rPr>
        <w:footnoteReference w:id="5"/>
      </w:r>
      <w:r>
        <w:rPr>
          <w:rStyle w:val="CommentReference"/>
        </w:rPr>
        <w:commentReference w:id="2"/>
      </w:r>
      <w:r>
        <w:rPr>
          <w:rStyle w:val="CommentReference"/>
        </w:rPr>
        <w:commentReference w:id="3"/>
      </w:r>
    </w:p>
    <w:p w:rsidR="00DA31A5" w14:paraId="53F02E7F" w14:textId="6C0AB223">
      <w:r>
        <w:t>The use of lead glazing in pottery created the more vibrant yellow and green, but a more monochromatic approach developed with the increase of Chinese design.</w:t>
      </w:r>
      <w:r w:rsidR="00C03C3C">
        <w:t xml:space="preserve"> With Islamic designs beginning and growing from basic spotted backgrounds, evolving into more complicated pictures and artworks, the pottery trade becomes based on a valuable and royally endorsed trade with great popularity within the higher class citizens of the empire.</w:t>
      </w:r>
      <w:r w:rsidR="00BD05E1">
        <w:t xml:space="preserve"> </w:t>
      </w:r>
      <w:r w:rsidR="0092234E">
        <w:t xml:space="preserve">By baking the design on </w:t>
      </w:r>
      <w:r w:rsidR="00077E21">
        <w:t xml:space="preserve">the clay </w:t>
      </w:r>
      <w:r w:rsidR="009C24D0">
        <w:t xml:space="preserve">the decoration is fused to the material and is less likely to flake or fall away, creating a stronger medium for holding </w:t>
      </w:r>
      <w:r w:rsidR="000B585F">
        <w:t>food or water.</w:t>
      </w:r>
      <w:r w:rsidR="00301796">
        <w:t xml:space="preserve"> </w:t>
      </w:r>
      <w:r>
        <w:t xml:space="preserve">The lead colouring was the beginning of a specific and unique type of production, </w:t>
      </w:r>
      <w:r w:rsidR="00F33CAA">
        <w:t>resulting in a strong distinguishable pottery.</w:t>
      </w:r>
    </w:p>
    <w:p w:rsidR="00D90443" w14:paraId="60A554A8" w14:textId="63D3EB21">
      <w:r>
        <w:t xml:space="preserve">Adding a metallic glaze to the pottery we begin to see the development of art within the restraints of the bowls and plates, with the art now being centred around the shape and style of the bowl </w:t>
      </w:r>
      <w:r w:rsidR="00D47351">
        <w:t>in order to achieve a 3D effect and provide emphasis on the imagery its representing.</w:t>
      </w:r>
      <w:r w:rsidR="00FA6B39">
        <w:t xml:space="preserve"> Art within ceramics became a popular way of spreading theology </w:t>
      </w:r>
      <w:r w:rsidR="00045B0C">
        <w:t xml:space="preserve">through household objects and honouring the faith, when incorporating aspects of religious themes or script. </w:t>
      </w:r>
      <w:r w:rsidR="0037119E">
        <w:t>Kufic script within ceramics in the middle east were popular and are often the most common of the ceramics archaeologists uncover which we can still see and infer details from today.</w:t>
      </w:r>
      <w:r w:rsidR="00AC616C">
        <w:t xml:space="preserve"> Kufic script came in many phases, with abstract and floriated worked into a more unusual style of valuable pottery.</w:t>
      </w:r>
      <w:r>
        <w:rPr>
          <w:rStyle w:val="FootnoteReference"/>
        </w:rPr>
        <w:footnoteReference w:id="6"/>
      </w:r>
      <w:r w:rsidR="003C6AC3">
        <w:t xml:space="preserve"> </w:t>
      </w:r>
      <w:r w:rsidR="008D01B4">
        <w:t xml:space="preserve">The importance of script was an innovation with regards to the </w:t>
      </w:r>
      <w:r w:rsidR="00C30B4B">
        <w:t xml:space="preserve">common people </w:t>
      </w:r>
      <w:r w:rsidR="00420B2C">
        <w:t xml:space="preserve">as it enabled the script to be passed down through pottery to those who may not have been able to access it as their </w:t>
      </w:r>
      <w:r w:rsidR="00617ADD">
        <w:t>position in society may have deemed so.</w:t>
      </w:r>
    </w:p>
    <w:p w:rsidR="002F3F21" w14:paraId="42FDA8BA" w14:textId="3CAC4329">
      <w:r>
        <w:t xml:space="preserve">When regarding the innovations of the production of pottery, the design and the composition are equal in importance because of </w:t>
      </w:r>
      <w:r w:rsidR="00137120">
        <w:t xml:space="preserve">their implied meaning and their value as a man-made commodity. </w:t>
      </w:r>
      <w:r>
        <w:rPr>
          <w:rStyle w:val="CommentReference"/>
        </w:rPr>
        <w:commentReference w:id="4"/>
      </w:r>
      <w:r w:rsidR="00982F17">
        <w:t>With the designs of the Islamic pottery picking up and becoming more intricate and expensive, the potters trade grew with prest</w:t>
      </w:r>
      <w:r w:rsidR="00D40179">
        <w:t>i</w:t>
      </w:r>
      <w:r w:rsidR="00982F17">
        <w:t>ge,</w:t>
      </w:r>
      <w:r w:rsidR="00BD68EF">
        <w:t xml:space="preserve"> with influences of other aspects of Islamic art, especially with script.</w:t>
      </w:r>
      <w:r>
        <w:rPr>
          <w:rStyle w:val="FootnoteReference"/>
        </w:rPr>
        <w:footnoteReference w:id="7"/>
      </w:r>
      <w:r w:rsidR="00DA31A5">
        <w:t xml:space="preserve"> </w:t>
      </w:r>
    </w:p>
    <w:p w:rsidR="0007403C" w14:paraId="05D68722" w14:textId="2BAF8187">
      <w:r>
        <w:t xml:space="preserve">As the production of pottery in the Islamic world grew, the inspirations and </w:t>
      </w:r>
      <w:r w:rsidR="00F31B3B">
        <w:t xml:space="preserve">development of techniques grew as the silk road flourished in northern parts of the empire including Iran. </w:t>
      </w:r>
      <w:r w:rsidR="000A66F5">
        <w:t>Much of Islamic production grew and developed out of the need to advance their pottery to reach the same standards of that in China, with the emergence and trade of porcelain wares.</w:t>
      </w:r>
      <w:commentRangeStart w:id="5"/>
      <w:r w:rsidR="00A35672">
        <w:t xml:space="preserve"> With porcelain being such a thin and strong substance there was a great rush in the Islamic world to equal this, to enforce the famed beauty of its </w:t>
      </w:r>
      <w:commentRangeEnd w:id="5"/>
      <w:r>
        <w:rPr>
          <w:rStyle w:val="CommentReference"/>
        </w:rPr>
        <w:commentReference w:id="6"/>
      </w:r>
      <w:r w:rsidR="002D790B">
        <w:t xml:space="preserve">glaze wares </w:t>
      </w:r>
      <w:r w:rsidR="00B64D38">
        <w:t xml:space="preserve">on the </w:t>
      </w:r>
      <w:r w:rsidR="00DD64D4">
        <w:t xml:space="preserve">precision of ceramic production in the </w:t>
      </w:r>
      <w:r w:rsidR="00952EC7">
        <w:t>Islamic world.</w:t>
      </w:r>
      <w:r>
        <w:rPr>
          <w:rStyle w:val="FootnoteReference"/>
        </w:rPr>
        <w:footnoteReference w:id="8"/>
      </w:r>
      <w:r w:rsidR="00AF3A0D">
        <w:t xml:space="preserve"> The silk road went on to become the top </w:t>
      </w:r>
      <w:r w:rsidR="00B91649">
        <w:t xml:space="preserve">motivator </w:t>
      </w:r>
      <w:r w:rsidR="00FA6774">
        <w:t xml:space="preserve">for the development </w:t>
      </w:r>
      <w:r w:rsidR="00900411">
        <w:t xml:space="preserve">of ceramic techniques, </w:t>
      </w:r>
      <w:r w:rsidR="00B63583">
        <w:t xml:space="preserve">the presence of </w:t>
      </w:r>
      <w:commentRangeStart w:id="7"/>
      <w:r w:rsidR="003D780F">
        <w:t xml:space="preserve">Chinese pottery and art within the empire served both as a threat and a motivator </w:t>
      </w:r>
      <w:commentRangeEnd w:id="7"/>
      <w:r w:rsidR="00CB74A8">
        <w:t>to become the most elite in ceramic production</w:t>
      </w:r>
      <w:r w:rsidR="00011C4A">
        <w:t>. With the use of ceramic materials going on to form things other than household objects or drinking vessels.</w:t>
      </w:r>
      <w:r>
        <w:rPr>
          <w:rStyle w:val="CommentReference"/>
        </w:rPr>
        <w:commentReference w:id="5"/>
      </w:r>
      <w:r>
        <w:rPr>
          <w:rStyle w:val="CommentReference"/>
        </w:rPr>
        <w:commentReference w:id="7"/>
      </w:r>
    </w:p>
    <w:p w:rsidR="00CE7F74" w:rsidP="00CE7F74" w14:paraId="173CCDEE" w14:textId="52684FDE">
      <w:r>
        <w:rPr>
          <w:noProof/>
        </w:rPr>
        <w:drawing>
          <wp:anchor distT="0" distB="0" distL="114300" distR="114300" simplePos="0" relativeHeight="251658240" behindDoc="1" locked="0" layoutInCell="1" allowOverlap="1">
            <wp:simplePos x="0" y="0"/>
            <wp:positionH relativeFrom="page">
              <wp:align>right</wp:align>
            </wp:positionH>
            <wp:positionV relativeFrom="paragraph">
              <wp:posOffset>972820</wp:posOffset>
            </wp:positionV>
            <wp:extent cx="2486025" cy="2486025"/>
            <wp:effectExtent l="0" t="0" r="9525" b="9525"/>
            <wp:wrapTight wrapText="bothSides">
              <wp:wrapPolygon>
                <wp:start x="0" y="0"/>
                <wp:lineTo x="0" y="21517"/>
                <wp:lineTo x="21517" y="21517"/>
                <wp:lineTo x="21517" y="0"/>
                <wp:lineTo x="0" y="0"/>
              </wp:wrapPolygon>
            </wp:wrapTight>
            <wp:docPr id="1" name="Picture 1" descr="Wide 10.17 40 1966 kande af frittegods kina imi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319022" name="Picture 1" descr="Wide 10.17 40 1966 kande af frittegods kina imitation"/>
                    <pic:cNvPicPr>
                      <a:picLocks noChangeAspect="1" noChangeArrowheads="1"/>
                    </pic:cNvPicPr>
                  </pic:nvPicPr>
                  <pic:blipFill>
                    <a:blip xmlns:r="http://schemas.openxmlformats.org/officeDocument/2006/relationships" r:embed="rId8">
                      <a:extLst>
                        <a:ext xmlns:a="http://schemas.openxmlformats.org/drawingml/2006/main" uri="{28A0092B-C50C-407E-A947-70E740481C1C}">
                          <a14:useLocalDpi xmlns:a14="http://schemas.microsoft.com/office/drawing/2010/main" val="0"/>
                        </a:ext>
                      </a:extLst>
                    </a:blip>
                    <a:stretch>
                      <a:fillRect/>
                    </a:stretch>
                  </pic:blipFill>
                  <pic:spPr bwMode="auto">
                    <a:xfrm>
                      <a:off x="0" y="0"/>
                      <a:ext cx="2486025" cy="248602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Developing from this, a new method of incorporating tin into the glaze to create a metallic glaze and eventually developing into fritware. Fritware was a popular ceramic as it proved to be </w:t>
      </w:r>
      <w:r w:rsidR="007938CC">
        <w:t>thin</w:t>
      </w:r>
      <w:r>
        <w:t xml:space="preserve"> and reliable. Fritware comprises of clay and stone pastes combined together to created a mixed medium for vessels such as jugs and bowls</w:t>
      </w:r>
      <w:r w:rsidR="007938CC">
        <w:t>, although being stiffer, breaks a lot more easily than the other ceramics produced in this period.</w:t>
      </w:r>
      <w:r>
        <w:rPr>
          <w:rStyle w:val="CommentReference"/>
        </w:rPr>
        <w:commentReference w:id="8"/>
      </w:r>
      <w:commentRangeStart w:id="9"/>
      <w:r>
        <w:t xml:space="preserve"> This attempt to mimic the </w:t>
      </w:r>
      <w:commentRangeEnd w:id="9"/>
      <w:r>
        <w:t xml:space="preserve">Chinese methods </w:t>
      </w:r>
      <w:r w:rsidR="002B3FEB">
        <w:t>of pottery production pushed the potters in the Islamic world to harness all the related methods from across the empire, bringing work from northern Ira</w:t>
      </w:r>
      <w:r w:rsidR="007D12D5">
        <w:t>q</w:t>
      </w:r>
      <w:r w:rsidR="003C6AC3">
        <w:t xml:space="preserve"> and Samarra</w:t>
      </w:r>
      <w:r w:rsidR="002B3FEB">
        <w:t xml:space="preserve"> to the southern Spanish influences</w:t>
      </w:r>
      <w:r w:rsidR="003C6AC3">
        <w:t xml:space="preserve"> in Granada</w:t>
      </w:r>
      <w:r w:rsidR="002B3FEB">
        <w:t>.</w:t>
      </w:r>
      <w:r>
        <w:rPr>
          <w:rStyle w:val="FootnoteReference"/>
        </w:rPr>
        <w:footnoteReference w:id="9"/>
      </w:r>
      <w:r w:rsidR="008E3F34">
        <w:t xml:space="preserve"> The build of fritware meant incorporating previous technological innovations of </w:t>
      </w:r>
      <w:r w:rsidR="00CC1529">
        <w:t>glass making,</w:t>
      </w:r>
      <w:r w:rsidR="00B94B20">
        <w:t xml:space="preserve"> and crushed quartz</w:t>
      </w:r>
      <w:r w:rsidR="00CC1529">
        <w:t xml:space="preserve"> to design a material that was, like porcelain, </w:t>
      </w:r>
      <w:r w:rsidR="00B545C9">
        <w:t>fine</w:t>
      </w:r>
      <w:r w:rsidR="00C40827">
        <w:t xml:space="preserve"> and thin.</w:t>
      </w:r>
      <w:r w:rsidR="00D24FD5">
        <w:t xml:space="preserve"> </w:t>
      </w:r>
      <w:r>
        <w:t xml:space="preserve">An example of such material can be found in the David’s Collection, item 38, the Fritware jug with blue decoration: seen to the </w:t>
      </w:r>
      <w:r>
        <w:t>right.</w:t>
      </w:r>
      <w:r w:rsidR="00B94B20">
        <w:t xml:space="preserve"> </w:t>
      </w:r>
      <w:r>
        <w:rPr>
          <w:rStyle w:val="FootnoteReference"/>
        </w:rPr>
        <w:footnoteReference w:id="10"/>
      </w:r>
      <w:r w:rsidR="00721701">
        <w:t xml:space="preserve"> This is an example of a fritware jug, with pressed decoration, </w:t>
      </w:r>
      <w:r w:rsidR="00F718EF">
        <w:t>an underglaze of strong blue colouring</w:t>
      </w:r>
      <w:r w:rsidR="00FD726A">
        <w:t xml:space="preserve">. As the closest material to porcelain, the advances in </w:t>
      </w:r>
      <w:r w:rsidR="009D3028">
        <w:t xml:space="preserve">fritware development </w:t>
      </w:r>
      <w:commentRangeStart w:id="10"/>
      <w:r w:rsidR="00987AD3">
        <w:t>was the closest the Arabs came to fully imitating the porcelain design.</w:t>
      </w:r>
      <w:commentRangeEnd w:id="10"/>
      <w:r>
        <w:rPr>
          <w:rStyle w:val="CommentReference"/>
        </w:rPr>
        <w:commentReference w:id="11"/>
      </w:r>
      <w:r w:rsidR="001C4719">
        <w:t xml:space="preserve"> </w:t>
      </w:r>
      <w:r>
        <w:rPr>
          <w:rStyle w:val="CommentReference"/>
        </w:rPr>
        <w:commentReference w:id="9"/>
      </w:r>
      <w:r>
        <w:rPr>
          <w:rStyle w:val="CommentReference"/>
        </w:rPr>
        <w:commentReference w:id="10"/>
      </w:r>
    </w:p>
    <w:p w:rsidR="00ED1028" w:rsidP="00CE7F74" w14:paraId="71C053B9" w14:textId="058F9C53">
      <w:r>
        <w:t xml:space="preserve">Although the composition of the materials are extremely important parts of the innovation of Islamic pottery, it is important to take into consideration the way in which </w:t>
      </w:r>
      <w:r w:rsidR="00214E9D">
        <w:t>the designs are administered to the product.</w:t>
      </w:r>
      <w:commentRangeStart w:id="12"/>
      <w:r w:rsidR="000F779D">
        <w:t xml:space="preserve"> The underglaze techniques shown here take a specific approach to firing the clay as it can be fired for short periods of time </w:t>
      </w:r>
      <w:commentRangeEnd w:id="12"/>
      <w:r>
        <w:rPr>
          <w:rStyle w:val="CommentReference"/>
        </w:rPr>
        <w:commentReference w:id="13"/>
      </w:r>
      <w:r w:rsidR="005C2215">
        <w:t>but preserving the glaze underneath to give</w:t>
      </w:r>
      <w:r w:rsidR="001C26AE">
        <w:t xml:space="preserve"> </w:t>
      </w:r>
      <w:r w:rsidR="005C2215">
        <w:t xml:space="preserve">it </w:t>
      </w:r>
      <w:r w:rsidR="004C7853">
        <w:t>a professional finish.</w:t>
      </w:r>
      <w:r w:rsidR="00934815">
        <w:t xml:space="preserve"> Other methods of decoration including pressed patterns</w:t>
      </w:r>
      <w:r w:rsidR="00D857E6">
        <w:t xml:space="preserve">, using moulded work for </w:t>
      </w:r>
      <w:r w:rsidR="00524C3F">
        <w:t>jugs and vases, but also with pressed patterns on top of the original vase shape, giving more texture and structure to the original vessel.</w:t>
      </w:r>
      <w:r w:rsidR="00994B4C">
        <w:t xml:space="preserve"> </w:t>
      </w:r>
      <w:r w:rsidR="001D2717">
        <w:t>Cut decorations are also visible in a lot of remaining Islamic ceramic art</w:t>
      </w:r>
      <w:r w:rsidR="000F6C92">
        <w:t>, creating a mixed media design.</w:t>
      </w:r>
      <w:r w:rsidR="00FD1DA6">
        <w:t xml:space="preserve"> </w:t>
      </w:r>
      <w:r>
        <w:t>Joseph Merri writes in his book, ‘Medieval Islamic Civilisation; An Encyclopaedia’ that “with the invention of white ceramic bodies [as shown with fritware] and opaque glazes, Islamic potters were free to experiment with various techniques of  ceramic decoration,” showing us that the growth of patterning and decoration was an idea and design pertaining to a specific artist to add the variation.</w:t>
      </w:r>
      <w:r w:rsidR="004D6C64">
        <w:t xml:space="preserve"> </w:t>
      </w:r>
      <w:r>
        <w:rPr>
          <w:rStyle w:val="FootnoteReference"/>
        </w:rPr>
        <w:footnoteReference w:id="11"/>
      </w:r>
      <w:r>
        <w:rPr>
          <w:rStyle w:val="CommentReference"/>
        </w:rPr>
        <w:commentReference w:id="12"/>
      </w:r>
    </w:p>
    <w:p w:rsidR="00686E3C" w:rsidP="00CE7F74" w14:paraId="3EF893C8" w14:textId="1B7794D9">
      <w:r>
        <w:t>When consulting w</w:t>
      </w:r>
      <w:r w:rsidR="00B10AD3">
        <w:t>ith the ideas surrounding art and paintwork on white slip paint, there can be</w:t>
      </w:r>
      <w:r w:rsidR="00E85967">
        <w:t xml:space="preserve"> seen</w:t>
      </w:r>
      <w:r w:rsidR="00B10AD3">
        <w:t xml:space="preserve"> a move from more authentic and hand</w:t>
      </w:r>
      <w:r w:rsidR="00E85967">
        <w:t xml:space="preserve">painted designs </w:t>
      </w:r>
      <w:r w:rsidR="00584BE7">
        <w:t>with the employment of calligraphers and</w:t>
      </w:r>
      <w:r w:rsidR="00A876CA">
        <w:t xml:space="preserve"> specialist </w:t>
      </w:r>
      <w:r w:rsidR="00F94423">
        <w:t>artists, to a more commercialised approach.</w:t>
      </w:r>
      <w:r w:rsidR="00B75870">
        <w:t xml:space="preserve"> Pottery became a more uniformed idea, with the use of stencils coming into play when technological advanced moved faster.</w:t>
      </w:r>
      <w:r w:rsidR="00BF034E">
        <w:t xml:space="preserve"> The benefits of stencil work means there is a lot less of the running of colours that potters experience with previous lead-based designs, and a more accurate and precise approach to creating ceramics in a controlled and effective way.</w:t>
      </w:r>
      <w:r>
        <w:rPr>
          <w:rStyle w:val="CommentReference"/>
        </w:rPr>
        <w:commentReference w:id="14"/>
      </w:r>
      <w:r w:rsidR="0024465B">
        <w:t xml:space="preserve"> When the need for pottery became a more generalised</w:t>
      </w:r>
      <w:r>
        <w:t xml:space="preserve"> and affordable due to the commercial and mass produc</w:t>
      </w:r>
      <w:r w:rsidR="00A46C4B">
        <w:t>ed materials increased and became more available.</w:t>
      </w:r>
      <w:r>
        <w:rPr>
          <w:rStyle w:val="FootnoteReference"/>
        </w:rPr>
        <w:footnoteReference w:id="12"/>
      </w:r>
      <w:r w:rsidR="00433979">
        <w:t xml:space="preserve"> Other ways in which the ceramics became </w:t>
      </w:r>
      <w:r w:rsidR="00163E71">
        <w:t>an important part of life was through the production of geometric and symmetrical tiles used within houses and buildings of importance.</w:t>
      </w:r>
      <w:r w:rsidR="007622DF">
        <w:t xml:space="preserve"> The </w:t>
      </w:r>
      <w:r w:rsidR="00DB224B">
        <w:t>tiles within Islamic architecture were integral to the design of buildings, creating an open and beautiful space but also creating a practical and more airated space in which to live.</w:t>
      </w:r>
      <w:r w:rsidR="00AA72BE">
        <w:t xml:space="preserve"> Ceramic tiles within important buildings and palaces were made using the same few features that household pottery was made of, but however more towards the end of the medieval era </w:t>
      </w:r>
      <w:r w:rsidR="00FF1B6F">
        <w:t>there were aspects of more caliphal rule, with royal symbols as seen in the Alhambra palace but also with the art and precision of potters being displayed and honoured in such important houses.</w:t>
      </w:r>
      <w:r>
        <w:rPr>
          <w:rStyle w:val="FootnoteReference"/>
        </w:rPr>
        <w:footnoteReference w:id="13"/>
      </w:r>
    </w:p>
    <w:p w:rsidR="00032A7B" w:rsidP="00CE7F74" w14:paraId="5F4D1CD1" w14:textId="69B298EA">
      <w:r>
        <w:t>Ceramics of the medieval Islamic world grew from the original Graeco-Roman influences in the west, carried across by empire and Byzantine history, through towards a more earthy and traditional clay pottery as found in early Egypt.</w:t>
      </w:r>
      <w:r w:rsidR="003510E9">
        <w:t xml:space="preserve"> </w:t>
      </w:r>
      <w:r w:rsidR="00460206">
        <w:t xml:space="preserve">The pottery production that was a major part of the developments within the medieval period and the medieval caliphates across Europe were a demonstration of the </w:t>
      </w:r>
      <w:r w:rsidR="008B4779">
        <w:t xml:space="preserve">power, skill and development of the Islamic world and its ability to adapt and provide the </w:t>
      </w:r>
      <w:r w:rsidR="006F779E">
        <w:t>best quality products when faced with the opposition of the large mass market and Chinese trades in the far East</w:t>
      </w:r>
      <w:r w:rsidR="003E6AFB">
        <w:t xml:space="preserve">. </w:t>
      </w:r>
      <w:r w:rsidR="00433979">
        <w:t xml:space="preserve">By challenging the original earthenware designs on the majority of practical pottery they </w:t>
      </w:r>
      <w:r w:rsidR="004E3111">
        <w:t>created the means</w:t>
      </w:r>
      <w:r w:rsidR="00433979">
        <w:t xml:space="preserve"> to extend the boundaries of innovation within ceramics</w:t>
      </w:r>
      <w:r w:rsidR="004E3111">
        <w:t xml:space="preserve">, developing and improving the types of pottery they produced to keep up with the silk road trade, </w:t>
      </w:r>
      <w:r w:rsidR="00BD0BEE">
        <w:t xml:space="preserve">and creating </w:t>
      </w:r>
      <w:r w:rsidR="00BD0BEE">
        <w:t xml:space="preserve">fritware, the equal to the forever hidden Chinese secret </w:t>
      </w:r>
      <w:r w:rsidR="00D26C89">
        <w:t xml:space="preserve">of porcelain, </w:t>
      </w:r>
      <w:r w:rsidR="00D70718">
        <w:t>but maintaining the empir</w:t>
      </w:r>
      <w:r w:rsidR="004174CD">
        <w:t>ical standards of an impressive advancing civilisation.</w:t>
      </w:r>
    </w:p>
    <w:p w:rsidR="002F205E" w:rsidP="00CE7F74" w14:paraId="28476678" w14:textId="77777777"/>
    <w:p w:rsidR="001C4719" w:rsidP="00CE7F74" w14:paraId="51ECDB78" w14:textId="77777777"/>
    <w:p w:rsidR="00223A90" w:rsidP="00CE7F74" w14:paraId="34DBF324" w14:textId="77777777"/>
    <w:p w:rsidR="00B94B20" w:rsidP="00CE7F74" w14:paraId="1E307E3B" w14:textId="04F833CF"/>
    <w:p w:rsidR="00E85967" w:rsidP="00CE7F74" w14:paraId="40E83569" w14:textId="2755D33D"/>
    <w:p w:rsidR="00E85967" w:rsidP="00CE7F74" w14:paraId="229599B0" w14:textId="6035B633"/>
    <w:p w:rsidR="00E85967" w:rsidP="00CE7F74" w14:paraId="079BA463" w14:textId="78FE25FB"/>
    <w:p w:rsidR="00E85967" w:rsidP="00CE7F74" w14:paraId="4903FAFB" w14:textId="38C03F22"/>
    <w:p w:rsidR="00E85967" w:rsidP="00CE7F74" w14:paraId="4242CDEC" w14:textId="17E2B705"/>
    <w:p w:rsidR="00E85967" w:rsidP="00CE7F74" w14:paraId="6F93FDF3" w14:textId="1B8249E4"/>
    <w:p w:rsidR="00E85967" w:rsidP="00CE7F74" w14:paraId="705977FB" w14:textId="335CD551"/>
    <w:p w:rsidR="00E85967" w:rsidP="00CE7F74" w14:paraId="0B704518" w14:textId="6D1753D3"/>
    <w:p w:rsidR="00E85967" w:rsidP="00CE7F74" w14:paraId="32F7C901" w14:textId="77777777"/>
    <w:p w:rsidR="001F4D2A" w14:paraId="5D678760" w14:textId="77777777"/>
    <w:p w:rsidR="004D6C64" w:rsidP="004D6C64" w14:paraId="4A358F33" w14:textId="77777777">
      <w:r>
        <w:t>Bibliography:</w:t>
      </w:r>
      <w:r w:rsidRPr="004D6C64">
        <w:t xml:space="preserve"> </w:t>
      </w:r>
    </w:p>
    <w:p w:rsidR="004D6C64" w:rsidRPr="004D6C64" w14:paraId="50D6BACC" w14:textId="03C38108">
      <w:pPr>
        <w:rPr>
          <w:rFonts w:asciiTheme="majorHAnsi" w:hAnsiTheme="majorHAnsi" w:cstheme="majorHAnsi"/>
        </w:rPr>
      </w:pPr>
      <w:r w:rsidRPr="004D6C64">
        <w:rPr>
          <w:rFonts w:asciiTheme="majorHAnsi" w:hAnsiTheme="majorHAnsi" w:cstheme="majorHAnsi"/>
        </w:rPr>
        <w:t>"Davids Collection: Ceramics" &lt;https://www.davidmus.dk/en/collections/islamic/materials/ceramics/art/40-1966&gt; [5 February 2018]</w:t>
      </w:r>
    </w:p>
    <w:p w:rsidR="004D6C64" w:rsidRPr="004D6C64" w14:paraId="58C8F22F" w14:textId="77777777">
      <w:pPr>
        <w:rPr>
          <w:rFonts w:asciiTheme="majorHAnsi" w:hAnsiTheme="majorHAnsi" w:cstheme="majorHAnsi"/>
        </w:rPr>
      </w:pPr>
      <w:r w:rsidRPr="004D6C64">
        <w:rPr>
          <w:rFonts w:asciiTheme="majorHAnsi" w:hAnsiTheme="majorHAnsi" w:cstheme="majorHAnsi"/>
        </w:rPr>
        <w:t xml:space="preserve">Denny, Walter B. “Blue-and-White Islamic Pottery on Chinese Themes.” Boston Museum Bulletin, vol. 72, no. 368, 1974, pp. 76–99. JSTOR, JSTOR, </w:t>
      </w:r>
      <w:r>
        <w:fldChar w:fldCharType="begin"/>
      </w:r>
      <w:r>
        <w:instrText xml:space="preserve"> HYPERLINK "http://www.jstor.org/stable/4171598" </w:instrText>
      </w:r>
      <w:r>
        <w:fldChar w:fldCharType="separate"/>
      </w:r>
      <w:r w:rsidRPr="004D6C64">
        <w:rPr>
          <w:rStyle w:val="Hyperlink"/>
          <w:rFonts w:asciiTheme="majorHAnsi" w:hAnsiTheme="majorHAnsi" w:cstheme="majorHAnsi"/>
          <w:color w:val="auto"/>
        </w:rPr>
        <w:t>www.jstor.org/stable/4171598</w:t>
      </w:r>
      <w:r>
        <w:fldChar w:fldCharType="end"/>
      </w:r>
      <w:r w:rsidRPr="004D6C64">
        <w:rPr>
          <w:rFonts w:asciiTheme="majorHAnsi" w:hAnsiTheme="majorHAnsi" w:cstheme="majorHAnsi"/>
        </w:rPr>
        <w:t>.</w:t>
      </w:r>
    </w:p>
    <w:p w:rsidR="004D6C64" w:rsidRPr="004D6C64" w14:paraId="2FFFD941" w14:textId="77777777">
      <w:pPr>
        <w:rPr>
          <w:rFonts w:asciiTheme="majorHAnsi" w:hAnsiTheme="majorHAnsi" w:cstheme="majorHAnsi"/>
        </w:rPr>
      </w:pPr>
      <w:r w:rsidRPr="004D6C64">
        <w:rPr>
          <w:rFonts w:asciiTheme="majorHAnsi" w:hAnsiTheme="majorHAnsi" w:cstheme="majorHAnsi"/>
        </w:rPr>
        <w:t>Fitzgerald, Erin, "The Arabic Book", 2012 &lt;https://www.metmuseum.org/learn/educators/curriculum-resources/art-of-the-islamic-world/~/media/Files/Learn/For%20Educators/Publications%20for%20Educators/Islamic%20Teacher%20Resource/Unit2.pdf&gt; [4 February 2018]</w:t>
      </w:r>
    </w:p>
    <w:p w:rsidR="004D6C64" w:rsidRPr="004D6C64" w14:paraId="053E66D6" w14:textId="77777777">
      <w:pPr>
        <w:rPr>
          <w:rFonts w:asciiTheme="majorHAnsi" w:hAnsiTheme="majorHAnsi" w:cstheme="majorHAnsi"/>
        </w:rPr>
      </w:pPr>
      <w:r w:rsidRPr="004D6C64">
        <w:rPr>
          <w:rFonts w:asciiTheme="majorHAnsi" w:hAnsiTheme="majorHAnsi" w:cstheme="majorHAnsi"/>
        </w:rPr>
        <w:t>Hillenbrand, Robert, Islamic Art And Architecture (London: Thames and Hudson, 1999), pp. 50-55</w:t>
      </w:r>
    </w:p>
    <w:p w:rsidR="004D6C64" w:rsidRPr="004D6C64" w14:paraId="45FBD983" w14:textId="77777777">
      <w:pPr>
        <w:rPr>
          <w:rFonts w:asciiTheme="majorHAnsi" w:hAnsiTheme="majorHAnsi" w:cstheme="majorHAnsi"/>
        </w:rPr>
      </w:pPr>
      <w:r w:rsidRPr="004D6C64">
        <w:rPr>
          <w:rFonts w:asciiTheme="majorHAnsi" w:hAnsiTheme="majorHAnsi" w:cstheme="majorHAnsi"/>
        </w:rPr>
        <w:t>Jenkins, Marilyn, "Islamic Pottery: A Brief History", MOMA, 1983 &lt;https://www.metmuseum.org/pubs/bulletins/1/pdf/3259456.pdf.bannered.pdf&gt; [5 February 2018]</w:t>
      </w:r>
    </w:p>
    <w:p w:rsidR="004D6C64" w:rsidRPr="004D6C64" w14:paraId="69D45226" w14:textId="77777777">
      <w:pPr>
        <w:rPr>
          <w:rFonts w:asciiTheme="majorHAnsi" w:hAnsiTheme="majorHAnsi" w:cstheme="majorHAnsi"/>
          <w:shd w:val="clear" w:color="auto" w:fill="FFFFFF"/>
        </w:rPr>
      </w:pPr>
      <w:bookmarkStart w:id="15" w:name="_Hlk506315696"/>
      <w:r w:rsidRPr="006F779E">
        <w:rPr>
          <w:rFonts w:asciiTheme="majorHAnsi" w:hAnsiTheme="majorHAnsi" w:cstheme="majorHAnsi"/>
          <w:shd w:val="clear" w:color="auto" w:fill="FFFFFF"/>
        </w:rPr>
        <w:t>Kenesson, Summer S. “Nasrid Luster Pottery: The Alhambra Vases.” </w:t>
      </w:r>
      <w:r w:rsidRPr="006F779E">
        <w:rPr>
          <w:rFonts w:asciiTheme="majorHAnsi" w:hAnsiTheme="majorHAnsi" w:cstheme="majorHAnsi"/>
          <w:i/>
          <w:iCs/>
          <w:shd w:val="clear" w:color="auto" w:fill="FFFFFF"/>
        </w:rPr>
        <w:t>Muqarnas</w:t>
      </w:r>
      <w:r w:rsidRPr="006F779E">
        <w:rPr>
          <w:rFonts w:asciiTheme="majorHAnsi" w:hAnsiTheme="majorHAnsi" w:cstheme="majorHAnsi"/>
          <w:shd w:val="clear" w:color="auto" w:fill="FFFFFF"/>
        </w:rPr>
        <w:t>, vol. 9, 1992, pp. 93–115. </w:t>
      </w:r>
      <w:r w:rsidRPr="006F779E">
        <w:rPr>
          <w:rFonts w:asciiTheme="majorHAnsi" w:hAnsiTheme="majorHAnsi" w:cstheme="majorHAnsi"/>
          <w:i/>
          <w:iCs/>
          <w:shd w:val="clear" w:color="auto" w:fill="FFFFFF"/>
        </w:rPr>
        <w:t>JSTOR</w:t>
      </w:r>
      <w:r w:rsidRPr="006F779E">
        <w:rPr>
          <w:rFonts w:asciiTheme="majorHAnsi" w:hAnsiTheme="majorHAnsi" w:cstheme="majorHAnsi"/>
          <w:shd w:val="clear" w:color="auto" w:fill="FFFFFF"/>
        </w:rPr>
        <w:t xml:space="preserve">, JSTOR, </w:t>
      </w:r>
      <w:r>
        <w:fldChar w:fldCharType="begin"/>
      </w:r>
      <w:r>
        <w:instrText xml:space="preserve"> HYPERLINK "http://www.jstor.org/stable/1523138" </w:instrText>
      </w:r>
      <w:r>
        <w:fldChar w:fldCharType="separate"/>
      </w:r>
      <w:r w:rsidRPr="006F779E">
        <w:rPr>
          <w:rStyle w:val="Hyperlink"/>
          <w:rFonts w:asciiTheme="majorHAnsi" w:hAnsiTheme="majorHAnsi" w:cstheme="majorHAnsi"/>
          <w:color w:val="auto"/>
          <w:shd w:val="clear" w:color="auto" w:fill="FFFFFF"/>
        </w:rPr>
        <w:t>www.jstor.org/stable/1523138</w:t>
      </w:r>
      <w:r>
        <w:fldChar w:fldCharType="end"/>
      </w:r>
      <w:r w:rsidRPr="006F779E">
        <w:rPr>
          <w:rFonts w:asciiTheme="majorHAnsi" w:hAnsiTheme="majorHAnsi" w:cstheme="majorHAnsi"/>
          <w:shd w:val="clear" w:color="auto" w:fill="FFFFFF"/>
        </w:rPr>
        <w:t>.</w:t>
      </w:r>
    </w:p>
    <w:p w:rsidR="004D6C64" w:rsidRPr="004D6C64" w14:paraId="11607AA9" w14:textId="77777777">
      <w:pPr>
        <w:rPr>
          <w:rFonts w:asciiTheme="majorHAnsi" w:hAnsiTheme="majorHAnsi" w:cstheme="majorHAnsi"/>
        </w:rPr>
      </w:pPr>
      <w:bookmarkEnd w:id="15"/>
      <w:r w:rsidRPr="004D6C64">
        <w:rPr>
          <w:rFonts w:asciiTheme="majorHAnsi" w:hAnsiTheme="majorHAnsi" w:cstheme="majorHAnsi"/>
        </w:rPr>
        <w:t>Meri, Josef W, Medieval Islamic Civilisation: An Encyclopaedia (New York: Routledge, 2006), p. 145</w:t>
      </w:r>
    </w:p>
    <w:p w:rsidR="004D6C64" w:rsidRPr="004D6C64" w14:paraId="3D4E6CBA" w14:textId="77777777">
      <w:pPr>
        <w:rPr>
          <w:rFonts w:asciiTheme="majorHAnsi" w:hAnsiTheme="majorHAnsi" w:cstheme="majorHAnsi"/>
          <w:shd w:val="clear" w:color="auto" w:fill="FFFFFF"/>
        </w:rPr>
      </w:pPr>
      <w:r w:rsidRPr="006F779E">
        <w:rPr>
          <w:rFonts w:asciiTheme="majorHAnsi" w:hAnsiTheme="majorHAnsi" w:cstheme="majorHAnsi"/>
          <w:shd w:val="clear" w:color="auto" w:fill="FFFFFF"/>
        </w:rPr>
        <w:t>Watson, Oliver. “Islamic Pots in Chinese Style.” </w:t>
      </w:r>
      <w:r w:rsidRPr="006F779E">
        <w:rPr>
          <w:rFonts w:asciiTheme="majorHAnsi" w:hAnsiTheme="majorHAnsi" w:cstheme="majorHAnsi"/>
          <w:i/>
          <w:iCs/>
          <w:shd w:val="clear" w:color="auto" w:fill="FFFFFF"/>
        </w:rPr>
        <w:t>The Burlington Magazine</w:t>
      </w:r>
      <w:r w:rsidRPr="006F779E">
        <w:rPr>
          <w:rFonts w:asciiTheme="majorHAnsi" w:hAnsiTheme="majorHAnsi" w:cstheme="majorHAnsi"/>
          <w:shd w:val="clear" w:color="auto" w:fill="FFFFFF"/>
        </w:rPr>
        <w:t>, vol. 129, no. 1010, 1987, pp. 304–306. </w:t>
      </w:r>
      <w:r w:rsidRPr="006F779E">
        <w:rPr>
          <w:rFonts w:asciiTheme="majorHAnsi" w:hAnsiTheme="majorHAnsi" w:cstheme="majorHAnsi"/>
          <w:i/>
          <w:iCs/>
          <w:shd w:val="clear" w:color="auto" w:fill="FFFFFF"/>
        </w:rPr>
        <w:t>JSTOR</w:t>
      </w:r>
      <w:r w:rsidRPr="006F779E">
        <w:rPr>
          <w:rFonts w:asciiTheme="majorHAnsi" w:hAnsiTheme="majorHAnsi" w:cstheme="majorHAnsi"/>
          <w:shd w:val="clear" w:color="auto" w:fill="FFFFFF"/>
        </w:rPr>
        <w:t xml:space="preserve">, JSTOR, </w:t>
      </w:r>
      <w:r>
        <w:fldChar w:fldCharType="begin"/>
      </w:r>
      <w:r>
        <w:instrText xml:space="preserve"> HYPERLINK "http://www.jstor.org/stable/882959" </w:instrText>
      </w:r>
      <w:r>
        <w:fldChar w:fldCharType="separate"/>
      </w:r>
      <w:r w:rsidRPr="006F779E">
        <w:rPr>
          <w:rStyle w:val="Hyperlink"/>
          <w:rFonts w:asciiTheme="majorHAnsi" w:hAnsiTheme="majorHAnsi" w:cstheme="majorHAnsi"/>
          <w:color w:val="auto"/>
          <w:shd w:val="clear" w:color="auto" w:fill="FFFFFF"/>
        </w:rPr>
        <w:t>www.jstor.org/stable/882959</w:t>
      </w:r>
      <w:r>
        <w:fldChar w:fldCharType="end"/>
      </w:r>
      <w:r w:rsidRPr="006F779E">
        <w:rPr>
          <w:rFonts w:asciiTheme="majorHAnsi" w:hAnsiTheme="majorHAnsi" w:cstheme="majorHAnsi"/>
          <w:shd w:val="clear" w:color="auto" w:fill="FFFFFF"/>
        </w:rPr>
        <w:t>.</w:t>
      </w:r>
    </w:p>
    <w:sectPr>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comment w:id="1" w:author="Grammarly" w:date="2018-02-13T20:14:54Z" w:initials="G">
    <w:p w14:paraId="94174980">
      <w:r>
        <w:t>Inserted: -</w:t>
      </w:r>
    </w:p>
  </w:comment>
  <w:comment w:id="2" w:author="Grammarly" w:date="2018-02-13T20:14:54Z" w:initials="G">
    <w:p w14:paraId="988A2AF0">
      <w:r>
        <w:t>Deleted:u</w:t>
      </w:r>
    </w:p>
  </w:comment>
  <w:comment w:id="3" w:author="Grammarly" w:date="2018-02-13T20:14:54Z" w:initials="G">
    <w:p w14:paraId="71EC7666">
      <w:r>
        <w:t>Deleted:u</w:t>
      </w:r>
    </w:p>
  </w:comment>
  <w:comment w:id="4" w:author="Grammarly" w:date="2018-02-13T20:14:54Z" w:initials="G">
    <w:p w14:paraId="1A81D5B8">
      <w:r>
        <w:t>Inserted: -</w:t>
      </w:r>
    </w:p>
  </w:comment>
  <w:comment w:id="6" w:author="Grammarly" w:date="2018-02-13T20:14:54Z" w:initials="G">
    <w:p w14:paraId="CCE1DC17">
      <w:r>
        <w:t>Inserted: e</w:t>
      </w:r>
    </w:p>
  </w:comment>
  <w:comment w:id="5" w:author="Grammarly" w:date="2018-02-13T20:14:54Z" w:initials="G">
    <w:p w14:paraId="A7D02695">
      <w:r>
        <w:t>Deleted:i</w:t>
      </w:r>
    </w:p>
  </w:comment>
  <w:comment w:id="7" w:author="Grammarly" w:date="2018-02-13T20:14:54Z" w:initials="G">
    <w:p w14:paraId="A7088F69">
      <w:r>
        <w:t>Deleted:i</w:t>
      </w:r>
    </w:p>
  </w:comment>
  <w:comment w:id="8" w:author="Grammarly" w:date="2018-02-13T20:14:54Z" w:initials="G">
    <w:p w14:paraId="B13BD1CC">
      <w:r>
        <w:t>Inserted: il</w:t>
      </w:r>
    </w:p>
  </w:comment>
  <w:comment w:id="11" w:author="Grammarly" w:date="2018-02-13T20:14:54Z" w:initials="G">
    <w:p w14:paraId="C67C2A06">
      <w:r>
        <w:t>Inserted: A</w:t>
      </w:r>
    </w:p>
  </w:comment>
  <w:comment w:id="9" w:author="Grammarly" w:date="2018-02-13T20:14:54Z" w:initials="G">
    <w:p w14:paraId="B05DC435">
      <w:r>
        <w:t>Deleted:k</w:t>
      </w:r>
    </w:p>
  </w:comment>
  <w:comment w:id="10" w:author="Grammarly" w:date="2018-02-13T20:14:54Z" w:initials="G">
    <w:p w14:paraId="A7B94CE6">
      <w:r>
        <w:t>Deleted:a</w:t>
      </w:r>
    </w:p>
  </w:comment>
  <w:comment w:id="13" w:author="Grammarly" w:date="2018-02-13T20:14:54Z" w:initials="G">
    <w:p w14:paraId="64B1F607">
      <w:r>
        <w:t>Inserted: e</w:t>
      </w:r>
    </w:p>
  </w:comment>
  <w:comment w:id="12" w:author="Grammarly" w:date="2018-02-13T20:14:54Z" w:initials="G">
    <w:p w14:paraId="87692901">
      <w:r>
        <w:t>Deleted:ing</w:t>
      </w:r>
    </w:p>
  </w:comment>
  <w:comment w:id="14" w:author="Grammarly" w:date="2018-02-13T20:14:54Z" w:initials="G">
    <w:p w14:paraId="FA698DBB">
      <w:r>
        <w:t>Inserted: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commentEx w15:paraId="94174980" w15:done="0"/>
  <w15:commentEx w15:paraId="988A2AF0" w15:done="0"/>
  <w15:commentEx w15:paraId="71EC7666" w15:done="0"/>
  <w15:commentEx w15:paraId="1A81D5B8" w15:done="0"/>
  <w15:commentEx w15:paraId="CCE1DC17" w15:done="0"/>
  <w15:commentEx w15:paraId="A7D02695" w15:done="0"/>
  <w15:commentEx w15:paraId="A7088F69" w15:done="0"/>
  <w15:commentEx w15:paraId="B13BD1CC" w15:done="0"/>
  <w15:commentEx w15:paraId="C67C2A06" w15:done="0"/>
  <w15:commentEx w15:paraId="B05DC435" w15:done="0"/>
  <w15:commentEx w15:paraId="A7B94CE6" w15:done="0"/>
  <w15:commentEx w15:paraId="64B1F607" w15:done="0"/>
  <w15:commentEx w15:paraId="87692901" w15:done="0"/>
  <w15:commentEx w15:paraId="FA698DBB"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Open Sans">
    <w:altName w:val="Calibri"/>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footnote w:type="separator" w:id="0">
    <w:p w:rsidR="009A7553" w:rsidP="00894F3A" w14:paraId="3C71683A" w14:textId="77777777">
      <w:pPr>
        <w:spacing w:after="0" w:line="240" w:lineRule="auto"/>
      </w:pPr>
      <w:r>
        <w:separator/>
      </w:r>
    </w:p>
  </w:footnote>
  <w:footnote w:type="continuationSeparator" w:id="1">
    <w:p w:rsidR="009A7553" w:rsidP="00894F3A" w14:paraId="6C1ABD43" w14:textId="77777777">
      <w:pPr>
        <w:spacing w:after="0" w:line="240" w:lineRule="auto"/>
      </w:pPr>
      <w:r>
        <w:continuationSeparator/>
      </w:r>
    </w:p>
  </w:footnote>
  <w:footnote w:id="2">
    <w:p w:rsidR="00894F3A" w:rsidP="00894F3A" w14:paraId="10782C8F" w14:textId="3F787FD0">
      <w:pPr>
        <w:pStyle w:val="FootnoteText"/>
      </w:pPr>
      <w:r>
        <w:rPr>
          <w:rStyle w:val="FootnoteReference"/>
        </w:rPr>
        <w:footnoteRef/>
      </w:r>
      <w:r>
        <w:t xml:space="preserve"> JOURNAL ARTICLE, Islamic Pottery: A Brief History, Marilyn Jenkins</w:t>
      </w:r>
      <w:r w:rsidR="00720EEA">
        <w:t xml:space="preserve">, </w:t>
      </w:r>
      <w:r>
        <w:t>The Metropolitan Museum of Art Bulletin</w:t>
      </w:r>
    </w:p>
    <w:p w:rsidR="00894F3A" w:rsidP="00894F3A" w14:paraId="47B6A663" w14:textId="25FE7D50">
      <w:pPr>
        <w:pStyle w:val="FootnoteText"/>
      </w:pPr>
      <w:r>
        <w:t xml:space="preserve">New Series, Vol. 40, No. 4, Islamic Pottery: A Brief History (Spring, 1983), pp. </w:t>
      </w:r>
      <w:r w:rsidR="00720EEA">
        <w:t>6</w:t>
      </w:r>
    </w:p>
  </w:footnote>
  <w:footnote w:id="3">
    <w:p w:rsidR="004715AA" w14:paraId="77A193ED" w14:textId="734105F7">
      <w:pPr>
        <w:pStyle w:val="FootnoteText"/>
      </w:pPr>
      <w:r>
        <w:rPr>
          <w:rStyle w:val="FootnoteReference"/>
        </w:rPr>
        <w:footnoteRef/>
      </w:r>
      <w:r>
        <w:t xml:space="preserve"> </w:t>
      </w:r>
      <w:r>
        <w:t>Revisiting the beginnings of tin-opacified Islamic glazes</w:t>
      </w:r>
      <w:r>
        <w:t>,</w:t>
      </w:r>
      <w:r>
        <w:t xml:space="preserve"> Michael Tite, Oliver Watson, Trinitat Pradell, Moujan Mati</w:t>
      </w:r>
      <w:r>
        <w:t>n</w:t>
      </w:r>
      <w:r>
        <w:t xml:space="preserve">, Gloria Molina, Kelly Domoney, Anne Bouquillon </w:t>
      </w:r>
      <w:r>
        <w:t>(ARTICLE)</w:t>
      </w:r>
      <w:r w:rsidRPr="004715AA">
        <w:t xml:space="preserve"> 12 September 2014</w:t>
      </w:r>
    </w:p>
  </w:footnote>
  <w:footnote w:id="4">
    <w:p w:rsidR="00D665EB" w14:paraId="7D494E19" w14:textId="2620A6EA">
      <w:pPr>
        <w:pStyle w:val="FootnoteText"/>
      </w:pPr>
      <w:r>
        <w:rPr>
          <w:rStyle w:val="FootnoteReference"/>
        </w:rPr>
        <w:footnoteRef/>
      </w:r>
      <w:r>
        <w:t xml:space="preserve"> Islamic art and architecture Robert Hillenbrand 
</w:t>
      </w:r>
    </w:p>
  </w:footnote>
  <w:footnote w:id="5">
    <w:p w:rsidR="00910768" w14:paraId="29E64321" w14:textId="4DEFB5A1">
      <w:pPr>
        <w:pStyle w:val="FootnoteText"/>
      </w:pPr>
      <w:r>
        <w:rPr>
          <w:rStyle w:val="FootnoteReference"/>
        </w:rPr>
        <w:footnoteRef/>
      </w:r>
      <w:r>
        <w:t xml:space="preserve"> </w:t>
      </w:r>
      <w:r w:rsidRPr="00910768">
        <w:t>https://www.metmuseum.org/pubs/bulletins/1/pdf/3259456.pdf.bannered.pdf</w:t>
      </w:r>
    </w:p>
  </w:footnote>
  <w:footnote w:id="6">
    <w:p w:rsidR="003C6AC3" w:rsidP="003C6AC3" w14:paraId="1C17C7D6" w14:textId="73E8525D">
      <w:pPr>
        <w:pStyle w:val="FootnoteText"/>
      </w:pPr>
      <w:r>
        <w:rPr>
          <w:rStyle w:val="FootnoteReference"/>
        </w:rPr>
        <w:footnoteRef/>
      </w:r>
      <w:r>
        <w:t xml:space="preserve"> </w:t>
      </w:r>
      <w:r w:rsidRPr="008C685E" w:rsidR="008C685E">
        <w:t>Hillenbrand, Robert, Islamic Art And Architecture (London: Thames and Hudson, 1999), pp. 50-55</w:t>
      </w:r>
    </w:p>
  </w:footnote>
  <w:footnote w:id="7">
    <w:p w:rsidR="00E01955" w14:paraId="7E5900EF" w14:textId="4F48FD6C">
      <w:pPr>
        <w:pStyle w:val="FootnoteText"/>
      </w:pPr>
      <w:r>
        <w:rPr>
          <w:rStyle w:val="FootnoteReference"/>
        </w:rPr>
        <w:footnoteRef/>
      </w:r>
      <w:r>
        <w:t xml:space="preserve"> </w:t>
      </w:r>
      <w:r w:rsidRPr="00B15D23" w:rsidR="00B15D23">
        <w:t>Fitzgerald, Erin, "The Arabic Book", 2012</w:t>
      </w:r>
    </w:p>
  </w:footnote>
  <w:footnote w:id="8">
    <w:p w:rsidR="00C35BA3" w14:paraId="15BCF2AB" w14:textId="7DD997A5">
      <w:pPr>
        <w:pStyle w:val="FootnoteText"/>
      </w:pPr>
      <w:r>
        <w:rPr>
          <w:rStyle w:val="FootnoteReference"/>
        </w:rPr>
        <w:footnoteRef/>
      </w:r>
      <w:r>
        <w:t xml:space="preserve"> </w:t>
      </w:r>
      <w:r w:rsidRPr="00C35BA3">
        <w:t>Denny, Walter B. “Blue-and-White Islamic Pottery on Chinese Themes.” Boston Museum Bulletin, vol. 72, no. 368, 1974, pp. 76–99. JSTOR, JSTOR, www.jstor.org/stable/4171598.</w:t>
      </w:r>
    </w:p>
  </w:footnote>
  <w:footnote w:id="9">
    <w:p w:rsidR="00CE7F74" w:rsidP="00CE7F74" w14:paraId="12B4F06A" w14:textId="12E74FCD">
      <w:pPr>
        <w:pStyle w:val="FootnoteText"/>
      </w:pPr>
      <w:r>
        <w:rPr>
          <w:rStyle w:val="FootnoteReference"/>
        </w:rPr>
        <w:footnoteRef/>
      </w:r>
      <w:r>
        <w:t xml:space="preserve"> </w:t>
      </w:r>
      <w:r w:rsidRPr="008C685E" w:rsidR="008C685E">
        <w:t>Caiger-Smith, Alan, Tin-Glaze Pottery In Europe And The Islamic World (London: [s.n.], 1973), pp. 123-180</w:t>
      </w:r>
    </w:p>
  </w:footnote>
  <w:footnote w:id="10">
    <w:p w:rsidR="00CB2642" w14:paraId="25E5C31F" w14:textId="262F6D20">
      <w:pPr>
        <w:pStyle w:val="FootnoteText"/>
      </w:pPr>
      <w:r>
        <w:rPr>
          <w:rStyle w:val="FootnoteReference"/>
        </w:rPr>
        <w:footnoteRef/>
      </w:r>
      <w:r>
        <w:t xml:space="preserve"> </w:t>
      </w:r>
      <w:r w:rsidRPr="000B1802" w:rsidR="000B1802">
        <w:t>"Davids Collection: Ceramics"</w:t>
      </w:r>
    </w:p>
  </w:footnote>
  <w:footnote w:id="11">
    <w:p w:rsidR="004D6C64" w14:paraId="716CDF6F" w14:textId="640D71C8">
      <w:pPr>
        <w:pStyle w:val="FootnoteText"/>
      </w:pPr>
      <w:r>
        <w:rPr>
          <w:rStyle w:val="FootnoteReference"/>
        </w:rPr>
        <w:footnoteRef/>
      </w:r>
      <w:r>
        <w:t xml:space="preserve"> </w:t>
      </w:r>
      <w:r w:rsidRPr="004D6C64">
        <w:t>Meri, Josef W, Medieval Islamic Civilisation: An Encyclopaedia</w:t>
      </w:r>
      <w:r>
        <w:t xml:space="preserve"> </w:t>
      </w:r>
      <w:r w:rsidRPr="004D6C64">
        <w:t>p. 145</w:t>
      </w:r>
    </w:p>
  </w:footnote>
  <w:footnote w:id="12">
    <w:p w:rsidR="006945BF" w14:paraId="1D47D8FA" w14:textId="2B22535C">
      <w:pPr>
        <w:pStyle w:val="FootnoteText"/>
      </w:pPr>
      <w:r>
        <w:rPr>
          <w:rStyle w:val="FootnoteReference"/>
        </w:rPr>
        <w:footnoteRef/>
      </w:r>
      <w:r>
        <w:t xml:space="preserve"> Jenkins, Marilyn, Islamic Pottery: A Brief History</w:t>
      </w:r>
    </w:p>
  </w:footnote>
  <w:footnote w:id="13">
    <w:p w:rsidR="00FF1B6F" w:rsidP="00FF1B6F" w14:paraId="444198B6" w14:textId="651B2466">
      <w:pPr>
        <w:pStyle w:val="FootnoteText"/>
      </w:pPr>
      <w:r>
        <w:rPr>
          <w:rStyle w:val="FootnoteReference"/>
        </w:rPr>
        <w:footnoteRef/>
      </w:r>
      <w:r>
        <w:t xml:space="preserve"> </w:t>
      </w:r>
      <w:r w:rsidRPr="00FF1B6F">
        <w:t>Kenesson, Summer S. “Nasrid Luster Pottery: The Alhambra Vases.” Muqarnas, vol. 9, 1992, pp. 93–115.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mathPr>
  <w:themeFontLang w:val="en-GB"/>
  <w:clrSchemeMapping w:bg1="light1" w:t1="dark1" w:bg2="light2" w:t2="dark2" w:accent1="accent1" w:accent2="accent2" w:accent3="accent3" w:accent4="accent4" w:accent5="accent5" w:accent6="accent6" w:hyperlink="hyperlink" w:followedHyperlink="followedHyperlink"/>
  <w:doNotIncludeSubdocsInStats/>
  <w15:chartTrackingRefBased/>
  <w15:docId w15:val="{8D8EF541-CDF6-4248-B63A-CB6B895FD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94F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94F3A"/>
    <w:rPr>
      <w:sz w:val="20"/>
      <w:szCs w:val="20"/>
    </w:rPr>
  </w:style>
  <w:style w:type="character" w:styleId="FootnoteReference">
    <w:name w:val="footnote reference"/>
    <w:basedOn w:val="DefaultParagraphFont"/>
    <w:uiPriority w:val="99"/>
    <w:semiHidden/>
    <w:unhideWhenUsed/>
    <w:rsid w:val="00894F3A"/>
    <w:rPr>
      <w:vertAlign w:val="superscript"/>
    </w:rPr>
  </w:style>
  <w:style w:type="character" w:styleId="Hyperlink">
    <w:name w:val="Hyperlink"/>
    <w:basedOn w:val="DefaultParagraphFont"/>
    <w:uiPriority w:val="99"/>
    <w:unhideWhenUsed/>
    <w:rsid w:val="001C4719"/>
    <w:rPr>
      <w:color w:val="0563C1" w:themeColor="hyperlink"/>
      <w:u w:val="single"/>
    </w:rPr>
  </w:style>
  <w:style w:type="character" w:customStyle="1" w:styleId="UnresolvedMention">
    <w:name w:val="Unresolved Mention"/>
    <w:basedOn w:val="DefaultParagraphFont"/>
    <w:uiPriority w:val="99"/>
    <w:semiHidden/>
    <w:unhideWhenUsed/>
    <w:rsid w:val="001C4719"/>
    <w:rPr>
      <w:color w:val="808080"/>
      <w:shd w:val="clear" w:color="auto" w:fill="E6E6E6"/>
    </w:rPr>
  </w:style>
  <w:style w:type="character" w:styleId="CommentReference">
    <w:name w:val="annotation reference"/>
    <w:basedOn w:val="DefaultParagraphFont"/>
    <w:rsid w:val="00805BCE"/>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footnotes" Target="footnotes.xml" /><Relationship Id="rId10" Type="http://schemas.openxmlformats.org/officeDocument/2006/relationships/styles" Target="styl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customXml" Target="../customXml/item1.xml" /><Relationship Id="rId6" Type="http://schemas.microsoft.com/office/2011/relationships/commentsExtended" Target="commentsExtended.xml" /><Relationship Id="rId7" Type="http://schemas.openxmlformats.org/officeDocument/2006/relationships/comments" Target="comments.xml" /><Relationship Id="rId8" Type="http://schemas.openxmlformats.org/officeDocument/2006/relationships/image" Target="media/image1.jpeg"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7B86392-A567-4298-9C85-0B0F43917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6418</TotalTime>
  <Pages>4</Pages>
  <Words>1868</Words>
  <Characters>10317</Characters>
  <Application>Microsoft Office Word</Application>
  <DocSecurity>0</DocSecurity>
  <Lines>161</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Grace Loveday (1600336)</dc:creator>
  <cp:lastModifiedBy>Grace Loveday (1600336)</cp:lastModifiedBy>
  <cp:revision>197</cp:revision>
  <dcterms:created xsi:type="dcterms:W3CDTF">2018-02-05T14:08:00Z</dcterms:created>
  <dcterms:modified xsi:type="dcterms:W3CDTF">2018-02-13T20:11:00Z</dcterms:modified>
</cp:coreProperties>
</file>