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415C" w:rsidRPr="0075415C" w:rsidRDefault="0075415C" w:rsidP="0075415C">
      <w:pPr>
        <w:spacing w:after="120" w:line="240" w:lineRule="auto"/>
        <w:outlineLvl w:val="1"/>
        <w:rPr>
          <w:rFonts w:ascii="Arial" w:eastAsia="Times New Roman" w:hAnsi="Arial" w:cs="Arial"/>
          <w:b/>
          <w:bCs/>
          <w:color w:val="303B44"/>
          <w:kern w:val="36"/>
          <w:sz w:val="40"/>
          <w:szCs w:val="40"/>
        </w:rPr>
      </w:pPr>
      <w:bookmarkStart w:id="0" w:name="_GoBack"/>
      <w:bookmarkEnd w:id="0"/>
      <w:r>
        <w:rPr>
          <w:rFonts w:ascii="Arial" w:eastAsia="Times New Roman" w:hAnsi="Arial" w:cs="Arial"/>
          <w:b/>
          <w:bCs/>
          <w:color w:val="303B44"/>
          <w:kern w:val="36"/>
          <w:sz w:val="40"/>
          <w:szCs w:val="40"/>
        </w:rPr>
        <w:t>CIPD Factsheet - Human C</w:t>
      </w:r>
      <w:r w:rsidRPr="0075415C">
        <w:rPr>
          <w:rFonts w:ascii="Arial" w:eastAsia="Times New Roman" w:hAnsi="Arial" w:cs="Arial"/>
          <w:b/>
          <w:bCs/>
          <w:color w:val="303B44"/>
          <w:kern w:val="36"/>
          <w:sz w:val="40"/>
          <w:szCs w:val="40"/>
        </w:rPr>
        <w:t>apital</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Revised July 2012 </w:t>
      </w:r>
    </w:p>
    <w:p w:rsidR="0075415C" w:rsidRPr="0075415C" w:rsidRDefault="0075415C" w:rsidP="0075415C">
      <w:pPr>
        <w:spacing w:before="150" w:after="100" w:afterAutospacing="1" w:line="336" w:lineRule="atLeast"/>
        <w:outlineLvl w:val="2"/>
        <w:rPr>
          <w:rFonts w:ascii="Arial" w:eastAsia="Times New Roman" w:hAnsi="Arial" w:cs="Arial"/>
          <w:b/>
          <w:bCs/>
          <w:color w:val="303B44"/>
          <w:sz w:val="28"/>
          <w:szCs w:val="28"/>
        </w:rPr>
      </w:pPr>
      <w:r w:rsidRPr="0075415C">
        <w:rPr>
          <w:rFonts w:ascii="Arial" w:eastAsia="Times New Roman" w:hAnsi="Arial" w:cs="Arial"/>
          <w:b/>
          <w:bCs/>
          <w:color w:val="303B44"/>
          <w:sz w:val="28"/>
          <w:szCs w:val="28"/>
        </w:rPr>
        <w:t xml:space="preserve">In this factsheet </w:t>
      </w:r>
    </w:p>
    <w:p w:rsidR="0075415C" w:rsidRPr="0075415C" w:rsidRDefault="006500D9" w:rsidP="0075415C">
      <w:pPr>
        <w:numPr>
          <w:ilvl w:val="0"/>
          <w:numId w:val="1"/>
        </w:numPr>
        <w:spacing w:before="100" w:beforeAutospacing="1" w:after="120" w:line="336" w:lineRule="atLeast"/>
        <w:ind w:left="150"/>
        <w:rPr>
          <w:rFonts w:ascii="Arial" w:eastAsia="Times New Roman" w:hAnsi="Arial" w:cs="Arial"/>
          <w:color w:val="303B44"/>
          <w:sz w:val="20"/>
          <w:szCs w:val="20"/>
        </w:rPr>
      </w:pPr>
      <w:hyperlink r:id="rId6" w:anchor="link_0" w:history="1">
        <w:r w:rsidR="0075415C" w:rsidRPr="0075415C">
          <w:rPr>
            <w:rFonts w:ascii="Arial" w:eastAsia="Times New Roman" w:hAnsi="Arial" w:cs="Arial"/>
            <w:color w:val="1578BE"/>
            <w:sz w:val="20"/>
            <w:szCs w:val="20"/>
          </w:rPr>
          <w:t>What is human capital?</w:t>
        </w:r>
      </w:hyperlink>
    </w:p>
    <w:p w:rsidR="0075415C" w:rsidRPr="0075415C" w:rsidRDefault="006500D9" w:rsidP="0075415C">
      <w:pPr>
        <w:numPr>
          <w:ilvl w:val="0"/>
          <w:numId w:val="1"/>
        </w:numPr>
        <w:spacing w:before="100" w:beforeAutospacing="1" w:after="120" w:line="336" w:lineRule="atLeast"/>
        <w:ind w:left="150"/>
        <w:rPr>
          <w:rFonts w:ascii="Arial" w:eastAsia="Times New Roman" w:hAnsi="Arial" w:cs="Arial"/>
          <w:color w:val="303B44"/>
          <w:sz w:val="20"/>
          <w:szCs w:val="20"/>
        </w:rPr>
      </w:pPr>
      <w:hyperlink r:id="rId7" w:anchor="link_1" w:history="1">
        <w:r w:rsidR="0075415C" w:rsidRPr="0075415C">
          <w:rPr>
            <w:rFonts w:ascii="Arial" w:eastAsia="Times New Roman" w:hAnsi="Arial" w:cs="Arial"/>
            <w:color w:val="1578BE"/>
            <w:sz w:val="20"/>
            <w:szCs w:val="20"/>
          </w:rPr>
          <w:t>Measuring human capital</w:t>
        </w:r>
      </w:hyperlink>
    </w:p>
    <w:p w:rsidR="0075415C" w:rsidRPr="0075415C" w:rsidRDefault="006500D9" w:rsidP="0075415C">
      <w:pPr>
        <w:numPr>
          <w:ilvl w:val="0"/>
          <w:numId w:val="1"/>
        </w:numPr>
        <w:spacing w:before="100" w:beforeAutospacing="1" w:after="120" w:line="336" w:lineRule="atLeast"/>
        <w:ind w:left="150"/>
        <w:rPr>
          <w:rFonts w:ascii="Arial" w:eastAsia="Times New Roman" w:hAnsi="Arial" w:cs="Arial"/>
          <w:color w:val="303B44"/>
          <w:sz w:val="20"/>
          <w:szCs w:val="20"/>
        </w:rPr>
      </w:pPr>
      <w:hyperlink r:id="rId8" w:anchor="link_2" w:history="1">
        <w:r w:rsidR="0075415C" w:rsidRPr="0075415C">
          <w:rPr>
            <w:rFonts w:ascii="Arial" w:eastAsia="Times New Roman" w:hAnsi="Arial" w:cs="Arial"/>
            <w:color w:val="1578BE"/>
            <w:sz w:val="20"/>
            <w:szCs w:val="20"/>
          </w:rPr>
          <w:t>Reporting human capital</w:t>
        </w:r>
      </w:hyperlink>
    </w:p>
    <w:p w:rsidR="0075415C" w:rsidRPr="0075415C" w:rsidRDefault="006500D9" w:rsidP="0075415C">
      <w:pPr>
        <w:numPr>
          <w:ilvl w:val="0"/>
          <w:numId w:val="1"/>
        </w:numPr>
        <w:spacing w:before="100" w:beforeAutospacing="1" w:after="120" w:line="336" w:lineRule="atLeast"/>
        <w:ind w:left="150"/>
        <w:rPr>
          <w:rFonts w:ascii="Arial" w:eastAsia="Times New Roman" w:hAnsi="Arial" w:cs="Arial"/>
          <w:color w:val="303B44"/>
          <w:sz w:val="20"/>
          <w:szCs w:val="20"/>
        </w:rPr>
      </w:pPr>
      <w:hyperlink r:id="rId9" w:anchor="link_cipd_view" w:history="1">
        <w:r w:rsidR="0075415C" w:rsidRPr="0075415C">
          <w:rPr>
            <w:rFonts w:ascii="Arial" w:eastAsia="Times New Roman" w:hAnsi="Arial" w:cs="Arial"/>
            <w:color w:val="1578BE"/>
            <w:sz w:val="20"/>
            <w:szCs w:val="20"/>
          </w:rPr>
          <w:t>CIPD viewpoint</w:t>
        </w:r>
      </w:hyperlink>
    </w:p>
    <w:p w:rsidR="0075415C" w:rsidRPr="0075415C" w:rsidRDefault="006500D9" w:rsidP="0075415C">
      <w:pPr>
        <w:numPr>
          <w:ilvl w:val="0"/>
          <w:numId w:val="1"/>
        </w:numPr>
        <w:spacing w:before="100" w:beforeAutospacing="1" w:after="120" w:line="336" w:lineRule="atLeast"/>
        <w:ind w:left="150"/>
        <w:rPr>
          <w:rFonts w:ascii="Arial" w:eastAsia="Times New Roman" w:hAnsi="Arial" w:cs="Arial"/>
          <w:color w:val="303B44"/>
          <w:sz w:val="20"/>
          <w:szCs w:val="20"/>
        </w:rPr>
      </w:pPr>
      <w:hyperlink r:id="rId10" w:anchor="link_references" w:history="1">
        <w:r w:rsidR="0075415C" w:rsidRPr="0075415C">
          <w:rPr>
            <w:rFonts w:ascii="Arial" w:eastAsia="Times New Roman" w:hAnsi="Arial" w:cs="Arial"/>
            <w:color w:val="1578BE"/>
            <w:sz w:val="20"/>
            <w:szCs w:val="20"/>
          </w:rPr>
          <w:t>References</w:t>
        </w:r>
      </w:hyperlink>
    </w:p>
    <w:p w:rsidR="0075415C" w:rsidRPr="0075415C" w:rsidRDefault="006500D9" w:rsidP="0075415C">
      <w:pPr>
        <w:numPr>
          <w:ilvl w:val="0"/>
          <w:numId w:val="1"/>
        </w:numPr>
        <w:spacing w:before="100" w:beforeAutospacing="1" w:after="120" w:line="336" w:lineRule="atLeast"/>
        <w:ind w:left="150"/>
        <w:rPr>
          <w:rFonts w:ascii="Arial" w:eastAsia="Times New Roman" w:hAnsi="Arial" w:cs="Arial"/>
          <w:color w:val="303B44"/>
          <w:sz w:val="20"/>
          <w:szCs w:val="20"/>
        </w:rPr>
      </w:pPr>
      <w:hyperlink r:id="rId11" w:anchor="link_furtherreading" w:history="1">
        <w:r w:rsidR="0075415C" w:rsidRPr="0075415C">
          <w:rPr>
            <w:rFonts w:ascii="Arial" w:eastAsia="Times New Roman" w:hAnsi="Arial" w:cs="Arial"/>
            <w:color w:val="1578BE"/>
            <w:sz w:val="20"/>
            <w:szCs w:val="20"/>
          </w:rPr>
          <w:t>Further reading</w:t>
        </w:r>
      </w:hyperlink>
    </w:p>
    <w:p w:rsidR="0075415C" w:rsidRPr="0075415C" w:rsidRDefault="0075415C" w:rsidP="0075415C">
      <w:pPr>
        <w:spacing w:line="0" w:lineRule="auto"/>
        <w:rPr>
          <w:rFonts w:ascii="Arial" w:eastAsia="Times New Roman" w:hAnsi="Arial" w:cs="Arial"/>
          <w:color w:val="303B44"/>
          <w:sz w:val="2"/>
          <w:szCs w:val="2"/>
        </w:rPr>
      </w:pPr>
      <w:r w:rsidRPr="0075415C">
        <w:rPr>
          <w:rFonts w:ascii="Arial" w:eastAsia="Times New Roman" w:hAnsi="Arial" w:cs="Arial"/>
          <w:color w:val="303B44"/>
          <w:sz w:val="2"/>
          <w:szCs w:val="2"/>
        </w:rPr>
        <w:t> </w:t>
      </w:r>
    </w:p>
    <w:p w:rsidR="0075415C" w:rsidRPr="0075415C" w:rsidRDefault="0075415C" w:rsidP="0075415C">
      <w:pPr>
        <w:pBdr>
          <w:bottom w:val="single" w:sz="36" w:space="0" w:color="DAE6DB"/>
        </w:pBdr>
        <w:spacing w:before="150" w:after="225" w:line="336" w:lineRule="atLeast"/>
        <w:outlineLvl w:val="2"/>
        <w:rPr>
          <w:rFonts w:ascii="Arial" w:eastAsia="Times New Roman" w:hAnsi="Arial" w:cs="Arial"/>
          <w:b/>
          <w:bCs/>
          <w:color w:val="303B44"/>
          <w:sz w:val="28"/>
          <w:szCs w:val="28"/>
        </w:rPr>
      </w:pPr>
      <w:r w:rsidRPr="0075415C">
        <w:rPr>
          <w:rFonts w:ascii="Arial" w:eastAsia="Times New Roman" w:hAnsi="Arial" w:cs="Arial"/>
          <w:b/>
          <w:bCs/>
          <w:color w:val="303B44"/>
          <w:sz w:val="28"/>
          <w:szCs w:val="28"/>
        </w:rPr>
        <w:t xml:space="preserve">What is human capital? </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The term ‘human capital’ is widely used in HR to describe people at work and their collective knowledge, skills, abilities and capacity to develop and innovate. Human capital reporting aims to provide quantitative, as well as qualitative, data on a range of measures (such as labour turnover or employee engagement levels) to help identify which sort of HR or management interventions will drive business performance.</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It is now commonly accepted that the value of organisations is drawn from a mixture of tangible assets in the form of equipment, money, land or other physical objects together with intangibles in the form of brand, reputation, knowledge and, of course, people – critically important in an increasingly knowledge-based economy.</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However, the evaluation of human capital remains difficult for most companies. There are a number of reasons for this:</w:t>
      </w:r>
    </w:p>
    <w:p w:rsidR="0075415C" w:rsidRPr="0075415C" w:rsidRDefault="0075415C" w:rsidP="0075415C">
      <w:pPr>
        <w:numPr>
          <w:ilvl w:val="0"/>
          <w:numId w:val="2"/>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The contribution of people is difficult to isolate from other factors such as the economic situation, market forces and customer or social trends.</w:t>
      </w:r>
    </w:p>
    <w:p w:rsidR="0075415C" w:rsidRPr="0075415C" w:rsidRDefault="0075415C" w:rsidP="0075415C">
      <w:pPr>
        <w:numPr>
          <w:ilvl w:val="0"/>
          <w:numId w:val="2"/>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The value of people is often expressed in qualitative rather than quantitative terms that make it difficult to represent in traditional accountancy models.</w:t>
      </w:r>
    </w:p>
    <w:p w:rsidR="0075415C" w:rsidRPr="0075415C" w:rsidRDefault="0075415C" w:rsidP="0075415C">
      <w:pPr>
        <w:numPr>
          <w:ilvl w:val="0"/>
          <w:numId w:val="2"/>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HR data has traditionally been collected for administrative rather than evaluation purposes.</w:t>
      </w:r>
    </w:p>
    <w:p w:rsidR="0075415C" w:rsidRPr="0075415C" w:rsidRDefault="0075415C" w:rsidP="0075415C">
      <w:pPr>
        <w:numPr>
          <w:ilvl w:val="0"/>
          <w:numId w:val="2"/>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HR people do not always have the skills or resources to interpret or explain data to evaluate the contribution of people to business performance.</w:t>
      </w:r>
    </w:p>
    <w:p w:rsidR="0075415C" w:rsidRPr="0075415C" w:rsidRDefault="0075415C" w:rsidP="0075415C">
      <w:pPr>
        <w:numPr>
          <w:ilvl w:val="0"/>
          <w:numId w:val="2"/>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Senior leaders or stakeholders do not recognise human capital as a performance measure and therefore do not demand human capital information.</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lastRenderedPageBreak/>
        <w:t>These difficulties have been further compounded by the varying definitions of human capital developed over the years. </w:t>
      </w:r>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Intellectual capital</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t>In our CIPD research work, we have found it helpful to describe human capital as one of three elements that make up intellectual capital. Intellectual capital encompasses: </w:t>
      </w:r>
    </w:p>
    <w:p w:rsidR="0075415C" w:rsidRPr="0075415C" w:rsidRDefault="0075415C" w:rsidP="0075415C">
      <w:pPr>
        <w:numPr>
          <w:ilvl w:val="0"/>
          <w:numId w:val="3"/>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Human capital</w:t>
      </w:r>
      <w:r w:rsidRPr="0075415C">
        <w:rPr>
          <w:rFonts w:ascii="Arial" w:eastAsia="Times New Roman" w:hAnsi="Arial" w:cs="Arial"/>
          <w:color w:val="303B44"/>
          <w:sz w:val="20"/>
          <w:szCs w:val="20"/>
        </w:rPr>
        <w:t xml:space="preserve"> – the knowledge, skills, abilities and capacity to develop and innovate possessed by people in an organisation</w:t>
      </w:r>
    </w:p>
    <w:p w:rsidR="0075415C" w:rsidRPr="0075415C" w:rsidRDefault="0075415C" w:rsidP="0075415C">
      <w:pPr>
        <w:numPr>
          <w:ilvl w:val="0"/>
          <w:numId w:val="3"/>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Social capital</w:t>
      </w:r>
      <w:r w:rsidRPr="0075415C">
        <w:rPr>
          <w:rFonts w:ascii="Arial" w:eastAsia="Times New Roman" w:hAnsi="Arial" w:cs="Arial"/>
          <w:color w:val="303B44"/>
          <w:sz w:val="20"/>
          <w:szCs w:val="20"/>
        </w:rPr>
        <w:t xml:space="preserve"> – the structures, networks and procedures that enable those people to acquire and develop intellectual capital, represented by the stocks and flows of knowledge derived from relationships within and outside the organisation</w:t>
      </w:r>
    </w:p>
    <w:p w:rsidR="0075415C" w:rsidRPr="0075415C" w:rsidRDefault="0075415C" w:rsidP="0075415C">
      <w:pPr>
        <w:numPr>
          <w:ilvl w:val="0"/>
          <w:numId w:val="3"/>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Organisational capital</w:t>
      </w:r>
      <w:r w:rsidRPr="0075415C">
        <w:rPr>
          <w:rFonts w:ascii="Arial" w:eastAsia="Times New Roman" w:hAnsi="Arial" w:cs="Arial"/>
          <w:color w:val="303B44"/>
          <w:sz w:val="20"/>
          <w:szCs w:val="20"/>
        </w:rPr>
        <w:t xml:space="preserve"> –the institutionalised knowledge possessed by an organisation which is stored in databases and manuals, including the HR policies and processes used to manage people.</w:t>
      </w:r>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Human capital management</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t>While some commentators argue that there is little difference between the concept of human capital and that of human resources, perhaps the key distinction is the focus of human capital on the value of employees, and how this may be measured, rather than on the HR function itself.</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CIPD members may view our online tool </w:t>
      </w:r>
      <w:r w:rsidRPr="0075415C">
        <w:rPr>
          <w:rFonts w:ascii="Arial" w:eastAsia="Times New Roman" w:hAnsi="Arial" w:cs="Arial"/>
          <w:i/>
          <w:iCs/>
          <w:color w:val="303B44"/>
          <w:sz w:val="20"/>
        </w:rPr>
        <w:t>Human capital management: introducing and operating human capital management processes</w:t>
      </w:r>
      <w:r w:rsidRPr="0075415C">
        <w:rPr>
          <w:rFonts w:ascii="Arial" w:eastAsia="Times New Roman" w:hAnsi="Arial" w:cs="Arial"/>
          <w:color w:val="303B44"/>
          <w:sz w:val="20"/>
          <w:szCs w:val="20"/>
        </w:rPr>
        <w:t>.</w:t>
      </w:r>
    </w:p>
    <w:p w:rsidR="0075415C" w:rsidRPr="0075415C" w:rsidRDefault="006500D9" w:rsidP="0075415C">
      <w:pPr>
        <w:numPr>
          <w:ilvl w:val="0"/>
          <w:numId w:val="4"/>
        </w:numPr>
        <w:spacing w:after="225" w:line="336" w:lineRule="atLeast"/>
        <w:rPr>
          <w:rFonts w:ascii="Arial" w:eastAsia="Times New Roman" w:hAnsi="Arial" w:cs="Arial"/>
          <w:color w:val="303B44"/>
          <w:sz w:val="20"/>
          <w:szCs w:val="20"/>
        </w:rPr>
      </w:pPr>
      <w:hyperlink r:id="rId12" w:history="1">
        <w:r w:rsidR="0075415C" w:rsidRPr="0075415C">
          <w:rPr>
            <w:rFonts w:ascii="Arial" w:eastAsia="Times New Roman" w:hAnsi="Arial" w:cs="Arial"/>
            <w:color w:val="1578BE"/>
            <w:sz w:val="20"/>
            <w:szCs w:val="20"/>
          </w:rPr>
          <w:t>Visit the human capital management online tool</w:t>
        </w:r>
      </w:hyperlink>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Types of human capital data</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t>There are many different types of data that can be useful in measuring and evaluating human capital.  Generally these fall under the following headings:</w:t>
      </w:r>
    </w:p>
    <w:p w:rsidR="0075415C" w:rsidRPr="0075415C" w:rsidRDefault="0075415C" w:rsidP="0075415C">
      <w:pPr>
        <w:numPr>
          <w:ilvl w:val="0"/>
          <w:numId w:val="5"/>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demographic data</w:t>
      </w:r>
      <w:r w:rsidRPr="0075415C">
        <w:rPr>
          <w:rFonts w:ascii="Arial" w:eastAsia="Times New Roman" w:hAnsi="Arial" w:cs="Arial"/>
          <w:color w:val="303B44"/>
          <w:sz w:val="20"/>
          <w:szCs w:val="20"/>
        </w:rPr>
        <w:t>: information on workforce composition including age, gender and ethnicity</w:t>
      </w:r>
    </w:p>
    <w:p w:rsidR="0075415C" w:rsidRPr="0075415C" w:rsidRDefault="0075415C" w:rsidP="0075415C">
      <w:pPr>
        <w:numPr>
          <w:ilvl w:val="0"/>
          <w:numId w:val="5"/>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recruitment and retention</w:t>
      </w:r>
      <w:r w:rsidRPr="0075415C">
        <w:rPr>
          <w:rFonts w:ascii="Arial" w:eastAsia="Times New Roman" w:hAnsi="Arial" w:cs="Arial"/>
          <w:color w:val="303B44"/>
          <w:sz w:val="20"/>
          <w:szCs w:val="20"/>
        </w:rPr>
        <w:t>: number of resignations/vacancies/applications, length of service</w:t>
      </w:r>
    </w:p>
    <w:p w:rsidR="0075415C" w:rsidRPr="0075415C" w:rsidRDefault="0075415C" w:rsidP="0075415C">
      <w:pPr>
        <w:numPr>
          <w:ilvl w:val="0"/>
          <w:numId w:val="5"/>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learning and talent development</w:t>
      </w:r>
      <w:r w:rsidRPr="0075415C">
        <w:rPr>
          <w:rFonts w:ascii="Arial" w:eastAsia="Times New Roman" w:hAnsi="Arial" w:cs="Arial"/>
          <w:color w:val="303B44"/>
          <w:sz w:val="20"/>
          <w:szCs w:val="20"/>
        </w:rPr>
        <w:t>: levels of expenditure on training, types of training provided, length of time to reach competence levels, data on training needs&gt;</w:t>
      </w:r>
    </w:p>
    <w:p w:rsidR="0075415C" w:rsidRPr="0075415C" w:rsidRDefault="0075415C" w:rsidP="0075415C">
      <w:pPr>
        <w:numPr>
          <w:ilvl w:val="0"/>
          <w:numId w:val="5"/>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performance</w:t>
      </w:r>
      <w:r w:rsidRPr="0075415C">
        <w:rPr>
          <w:rFonts w:ascii="Arial" w:eastAsia="Times New Roman" w:hAnsi="Arial" w:cs="Arial"/>
          <w:color w:val="303B44"/>
          <w:sz w:val="20"/>
          <w:szCs w:val="20"/>
        </w:rPr>
        <w:t>: performance management results, productivity and profitability data, targets set and met, levels of customer satisfaction, customer loyalty</w:t>
      </w:r>
    </w:p>
    <w:p w:rsidR="0075415C" w:rsidRPr="0075415C" w:rsidRDefault="0075415C" w:rsidP="0075415C">
      <w:pPr>
        <w:numPr>
          <w:ilvl w:val="0"/>
          <w:numId w:val="5"/>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engagement and opinion</w:t>
      </w:r>
      <w:r w:rsidRPr="0075415C">
        <w:rPr>
          <w:rFonts w:ascii="Arial" w:eastAsia="Times New Roman" w:hAnsi="Arial" w:cs="Arial"/>
          <w:color w:val="303B44"/>
          <w:sz w:val="20"/>
          <w:szCs w:val="20"/>
        </w:rPr>
        <w:t>: findings from employee attitude surveys</w:t>
      </w:r>
    </w:p>
    <w:p w:rsidR="0075415C" w:rsidRPr="0075415C" w:rsidRDefault="0075415C" w:rsidP="0075415C">
      <w:pPr>
        <w:numPr>
          <w:ilvl w:val="0"/>
          <w:numId w:val="5"/>
        </w:numPr>
        <w:spacing w:before="100" w:beforeAutospacing="1" w:after="120" w:line="336" w:lineRule="atLeast"/>
        <w:rPr>
          <w:rFonts w:ascii="Arial" w:eastAsia="Times New Roman" w:hAnsi="Arial" w:cs="Arial"/>
          <w:color w:val="303B44"/>
          <w:sz w:val="20"/>
          <w:szCs w:val="20"/>
        </w:rPr>
      </w:pPr>
      <w:proofErr w:type="gramStart"/>
      <w:r w:rsidRPr="0075415C">
        <w:rPr>
          <w:rFonts w:ascii="Arial" w:eastAsia="Times New Roman" w:hAnsi="Arial" w:cs="Arial"/>
          <w:b/>
          <w:bCs/>
          <w:color w:val="303B44"/>
          <w:sz w:val="20"/>
        </w:rPr>
        <w:lastRenderedPageBreak/>
        <w:t>reward</w:t>
      </w:r>
      <w:proofErr w:type="gramEnd"/>
      <w:r w:rsidRPr="0075415C">
        <w:rPr>
          <w:rFonts w:ascii="Arial" w:eastAsia="Times New Roman" w:hAnsi="Arial" w:cs="Arial"/>
          <w:b/>
          <w:bCs/>
          <w:color w:val="303B44"/>
          <w:sz w:val="20"/>
        </w:rPr>
        <w:t xml:space="preserve"> and pay</w:t>
      </w:r>
      <w:r w:rsidRPr="0075415C">
        <w:rPr>
          <w:rFonts w:ascii="Arial" w:eastAsia="Times New Roman" w:hAnsi="Arial" w:cs="Arial"/>
          <w:color w:val="303B44"/>
          <w:sz w:val="20"/>
          <w:szCs w:val="20"/>
        </w:rPr>
        <w:t>: overall wage bill costs, distribution of individual performance-related pay awards, level of total reward package.</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Wherever possible, it is important to distinguish between measures of outputs and measures of inputs. For example, figures for expenditure on specialist training provision is an input, the output might be higher levels of customer sales or higher levels of employee skill and capability.</w:t>
      </w:r>
    </w:p>
    <w:p w:rsidR="0075415C" w:rsidRPr="0075415C" w:rsidRDefault="0075415C" w:rsidP="0075415C">
      <w:pPr>
        <w:pBdr>
          <w:bottom w:val="single" w:sz="36" w:space="0" w:color="DAE6DB"/>
        </w:pBdr>
        <w:spacing w:before="150" w:after="225" w:line="336" w:lineRule="atLeast"/>
        <w:outlineLvl w:val="2"/>
        <w:rPr>
          <w:rFonts w:ascii="Arial" w:eastAsia="Times New Roman" w:hAnsi="Arial" w:cs="Arial"/>
          <w:b/>
          <w:bCs/>
          <w:color w:val="303B44"/>
          <w:sz w:val="28"/>
          <w:szCs w:val="28"/>
        </w:rPr>
      </w:pPr>
      <w:r w:rsidRPr="0075415C">
        <w:rPr>
          <w:rFonts w:ascii="Arial" w:eastAsia="Times New Roman" w:hAnsi="Arial" w:cs="Arial"/>
          <w:b/>
          <w:bCs/>
          <w:color w:val="303B44"/>
          <w:sz w:val="28"/>
          <w:szCs w:val="28"/>
        </w:rPr>
        <w:t xml:space="preserve">Measuring human capital </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The CIPD has been undertaking work in the field of human capital since 2000 – around the time the subject emerged as a key issue for the HR profession. Much of our research in this area since then suggests that there is no single measure or set of measures that can uniformly provide a value for human capital.</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This conclusion was confirmed by the 2003 report</w:t>
      </w:r>
      <w:r w:rsidRPr="0075415C">
        <w:rPr>
          <w:rFonts w:ascii="Arial" w:eastAsia="Times New Roman" w:hAnsi="Arial" w:cs="Arial"/>
          <w:color w:val="303B44"/>
          <w:sz w:val="20"/>
          <w:szCs w:val="20"/>
          <w:vertAlign w:val="superscript"/>
        </w:rPr>
        <w:t>1</w:t>
      </w:r>
      <w:r w:rsidRPr="0075415C">
        <w:rPr>
          <w:rFonts w:ascii="Arial" w:eastAsia="Times New Roman" w:hAnsi="Arial" w:cs="Arial"/>
          <w:color w:val="303B44"/>
          <w:sz w:val="20"/>
          <w:szCs w:val="20"/>
        </w:rPr>
        <w:t xml:space="preserve"> of the Task Force on Human Capital Management, which was set up by the government under the chair of Denise </w:t>
      </w:r>
      <w:proofErr w:type="spellStart"/>
      <w:r w:rsidRPr="0075415C">
        <w:rPr>
          <w:rFonts w:ascii="Arial" w:eastAsia="Times New Roman" w:hAnsi="Arial" w:cs="Arial"/>
          <w:color w:val="303B44"/>
          <w:sz w:val="20"/>
          <w:szCs w:val="20"/>
        </w:rPr>
        <w:t>Kingsmill</w:t>
      </w:r>
      <w:proofErr w:type="spellEnd"/>
      <w:r w:rsidRPr="0075415C">
        <w:rPr>
          <w:rFonts w:ascii="Arial" w:eastAsia="Times New Roman" w:hAnsi="Arial" w:cs="Arial"/>
          <w:color w:val="303B44"/>
          <w:sz w:val="20"/>
          <w:szCs w:val="20"/>
        </w:rPr>
        <w:t xml:space="preserve"> to address the lack of reporting on human capital in business - as this was felt to be inhibiting competitiveness. </w:t>
      </w:r>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Measurement difficulties</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t>Measurement is notoriously difficult, in part because the factors that human capital is likely to influence (such as customer satisfaction, innovation and service delivery) are at the mercy of numerous other contextual factors. Whereas it can be relatively easy to collect data to describe the workforce and the prevalence of certain practices, particularly where sophisticated human resource information systems (HRIS) exist (such as absence and attendance data) it is more difficult to develop credible and reliable new measures and assess how such data may be interpreted.</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For example, CIPD research has found that engaged employees are more likely to perform better and hence contribute to bottom line performance, meaning that this is a key measure impacting on business success.  However, engagement levels are extremely difficult to quantify as much of the data pertaining to engagement is actually measuring elements of it, such as satisfaction or commitment. To find </w:t>
      </w:r>
      <w:proofErr w:type="spellStart"/>
      <w:r w:rsidRPr="0075415C">
        <w:rPr>
          <w:rFonts w:ascii="Arial" w:eastAsia="Times New Roman" w:hAnsi="Arial" w:cs="Arial"/>
          <w:color w:val="303B44"/>
          <w:sz w:val="20"/>
          <w:szCs w:val="20"/>
        </w:rPr>
        <w:t>our</w:t>
      </w:r>
      <w:proofErr w:type="spellEnd"/>
      <w:r w:rsidRPr="0075415C">
        <w:rPr>
          <w:rFonts w:ascii="Arial" w:eastAsia="Times New Roman" w:hAnsi="Arial" w:cs="Arial"/>
          <w:color w:val="303B44"/>
          <w:sz w:val="20"/>
          <w:szCs w:val="20"/>
        </w:rPr>
        <w:t xml:space="preserve"> more about engagement, see our factsheet on that topic.</w:t>
      </w:r>
    </w:p>
    <w:p w:rsidR="0075415C" w:rsidRPr="0075415C" w:rsidRDefault="006500D9" w:rsidP="0075415C">
      <w:pPr>
        <w:numPr>
          <w:ilvl w:val="0"/>
          <w:numId w:val="6"/>
        </w:numPr>
        <w:spacing w:after="225" w:line="336" w:lineRule="atLeast"/>
        <w:rPr>
          <w:rFonts w:ascii="Arial" w:eastAsia="Times New Roman" w:hAnsi="Arial" w:cs="Arial"/>
          <w:color w:val="303B44"/>
          <w:sz w:val="20"/>
          <w:szCs w:val="20"/>
        </w:rPr>
      </w:pPr>
      <w:hyperlink r:id="rId13" w:history="1">
        <w:r w:rsidR="0075415C" w:rsidRPr="0075415C">
          <w:rPr>
            <w:rFonts w:ascii="Arial" w:eastAsia="Times New Roman" w:hAnsi="Arial" w:cs="Arial"/>
            <w:color w:val="1578BE"/>
            <w:sz w:val="20"/>
            <w:szCs w:val="20"/>
          </w:rPr>
          <w:t>Go to our factsheet on employee engagement </w:t>
        </w:r>
      </w:hyperlink>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Focus on business context</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t>Organisations will, in addition, wish to measure the aspects of human capital that are relevant to their own business strategy (for example the need for a particular type of employee competency). As a result of this consideration, together with the other factors identified here, the emphasis of measurement has shifted away from absolute measures towards understanding of context to make an informed decision.</w:t>
      </w:r>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lastRenderedPageBreak/>
        <w:t>Differing levels of data collection</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t>At the most basic level, human capital data can be collected for simple monitoring purposes, such as controlling absence or monitoring retention difficulties. At the highest level data can be used to identify performance drivers: by correlating different types of data with performance data organisations can begin to understand what the real benefits are of improving levels of motivation or retention.</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The table below summarises the different levels of data collection that might take place and the likely outcomes of data collection.</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146"/>
        <w:gridCol w:w="2720"/>
        <w:gridCol w:w="2996"/>
        <w:gridCol w:w="2524"/>
      </w:tblGrid>
      <w:tr w:rsidR="0075415C" w:rsidRPr="0075415C" w:rsidTr="0075415C">
        <w:trPr>
          <w:tblHeader/>
          <w:tblCellSpacing w:w="15" w:type="dxa"/>
        </w:trPr>
        <w:tc>
          <w:tcPr>
            <w:tcW w:w="0" w:type="auto"/>
            <w:shd w:val="clear" w:color="auto" w:fill="517417"/>
            <w:tcMar>
              <w:top w:w="60" w:type="dxa"/>
              <w:left w:w="150" w:type="dxa"/>
              <w:bottom w:w="75" w:type="dxa"/>
              <w:right w:w="150" w:type="dxa"/>
            </w:tcMar>
            <w:hideMark/>
          </w:tcPr>
          <w:p w:rsidR="0075415C" w:rsidRPr="0075415C" w:rsidRDefault="0075415C" w:rsidP="0075415C">
            <w:pPr>
              <w:spacing w:after="150" w:line="240" w:lineRule="auto"/>
              <w:jc w:val="center"/>
              <w:rPr>
                <w:rFonts w:ascii="Arial" w:eastAsia="Times New Roman" w:hAnsi="Arial" w:cs="Arial"/>
                <w:b/>
                <w:bCs/>
                <w:color w:val="FFFFFF"/>
                <w:sz w:val="15"/>
                <w:szCs w:val="15"/>
              </w:rPr>
            </w:pPr>
          </w:p>
        </w:tc>
        <w:tc>
          <w:tcPr>
            <w:tcW w:w="0" w:type="auto"/>
            <w:shd w:val="clear" w:color="auto" w:fill="517417"/>
            <w:tcMar>
              <w:top w:w="60" w:type="dxa"/>
              <w:left w:w="150" w:type="dxa"/>
              <w:bottom w:w="75" w:type="dxa"/>
              <w:right w:w="150" w:type="dxa"/>
            </w:tcMar>
            <w:hideMark/>
          </w:tcPr>
          <w:p w:rsidR="0075415C" w:rsidRPr="0075415C" w:rsidRDefault="0075415C" w:rsidP="0075415C">
            <w:pPr>
              <w:spacing w:after="150" w:line="240" w:lineRule="auto"/>
              <w:jc w:val="center"/>
              <w:rPr>
                <w:rFonts w:ascii="Arial" w:eastAsia="Times New Roman" w:hAnsi="Arial" w:cs="Arial"/>
                <w:b/>
                <w:bCs/>
                <w:color w:val="FFFFFF"/>
                <w:sz w:val="15"/>
                <w:szCs w:val="15"/>
              </w:rPr>
            </w:pPr>
            <w:r w:rsidRPr="0075415C">
              <w:rPr>
                <w:rFonts w:ascii="Arial" w:eastAsia="Times New Roman" w:hAnsi="Arial" w:cs="Arial"/>
                <w:b/>
                <w:bCs/>
                <w:color w:val="FFFFFF"/>
                <w:sz w:val="15"/>
                <w:szCs w:val="15"/>
              </w:rPr>
              <w:t>Basic level</w:t>
            </w:r>
          </w:p>
        </w:tc>
        <w:tc>
          <w:tcPr>
            <w:tcW w:w="0" w:type="auto"/>
            <w:shd w:val="clear" w:color="auto" w:fill="517417"/>
            <w:tcMar>
              <w:top w:w="60" w:type="dxa"/>
              <w:left w:w="150" w:type="dxa"/>
              <w:bottom w:w="75" w:type="dxa"/>
              <w:right w:w="150" w:type="dxa"/>
            </w:tcMar>
            <w:hideMark/>
          </w:tcPr>
          <w:p w:rsidR="0075415C" w:rsidRPr="0075415C" w:rsidRDefault="0075415C" w:rsidP="0075415C">
            <w:pPr>
              <w:spacing w:after="150" w:line="240" w:lineRule="auto"/>
              <w:jc w:val="center"/>
              <w:rPr>
                <w:rFonts w:ascii="Arial" w:eastAsia="Times New Roman" w:hAnsi="Arial" w:cs="Arial"/>
                <w:b/>
                <w:bCs/>
                <w:color w:val="FFFFFF"/>
                <w:sz w:val="15"/>
                <w:szCs w:val="15"/>
              </w:rPr>
            </w:pPr>
            <w:r w:rsidRPr="0075415C">
              <w:rPr>
                <w:rFonts w:ascii="Arial" w:eastAsia="Times New Roman" w:hAnsi="Arial" w:cs="Arial"/>
                <w:b/>
                <w:bCs/>
                <w:color w:val="FFFFFF"/>
                <w:sz w:val="15"/>
                <w:szCs w:val="15"/>
              </w:rPr>
              <w:t>Intermediate level</w:t>
            </w:r>
          </w:p>
        </w:tc>
        <w:tc>
          <w:tcPr>
            <w:tcW w:w="0" w:type="auto"/>
            <w:shd w:val="clear" w:color="auto" w:fill="517417"/>
            <w:tcMar>
              <w:top w:w="60" w:type="dxa"/>
              <w:left w:w="150" w:type="dxa"/>
              <w:bottom w:w="75" w:type="dxa"/>
              <w:right w:w="150" w:type="dxa"/>
            </w:tcMar>
            <w:hideMark/>
          </w:tcPr>
          <w:p w:rsidR="0075415C" w:rsidRPr="0075415C" w:rsidRDefault="0075415C" w:rsidP="0075415C">
            <w:pPr>
              <w:spacing w:after="150" w:line="240" w:lineRule="auto"/>
              <w:jc w:val="center"/>
              <w:rPr>
                <w:rFonts w:ascii="Arial" w:eastAsia="Times New Roman" w:hAnsi="Arial" w:cs="Arial"/>
                <w:b/>
                <w:bCs/>
                <w:color w:val="FFFFFF"/>
                <w:sz w:val="15"/>
                <w:szCs w:val="15"/>
              </w:rPr>
            </w:pPr>
            <w:r w:rsidRPr="0075415C">
              <w:rPr>
                <w:rFonts w:ascii="Arial" w:eastAsia="Times New Roman" w:hAnsi="Arial" w:cs="Arial"/>
                <w:b/>
                <w:bCs/>
                <w:color w:val="FFFFFF"/>
                <w:sz w:val="15"/>
                <w:szCs w:val="15"/>
              </w:rPr>
              <w:t>Higher level</w:t>
            </w:r>
          </w:p>
        </w:tc>
      </w:tr>
      <w:tr w:rsidR="0075415C" w:rsidRPr="0075415C" w:rsidTr="0075415C">
        <w:trPr>
          <w:tblCellSpacing w:w="15" w:type="dxa"/>
        </w:trPr>
        <w:tc>
          <w:tcPr>
            <w:tcW w:w="0" w:type="auto"/>
            <w:shd w:val="clear" w:color="auto" w:fill="F9F9F9"/>
            <w:tcMar>
              <w:top w:w="225" w:type="dxa"/>
              <w:left w:w="225" w:type="dxa"/>
              <w:bottom w:w="225" w:type="dxa"/>
              <w:right w:w="225" w:type="dxa"/>
            </w:tcMar>
            <w:hideMark/>
          </w:tcPr>
          <w:p w:rsidR="0075415C" w:rsidRPr="0075415C" w:rsidRDefault="0075415C" w:rsidP="0075415C">
            <w:pPr>
              <w:spacing w:after="150" w:line="240" w:lineRule="auto"/>
              <w:jc w:val="center"/>
              <w:rPr>
                <w:rFonts w:ascii="Arial" w:eastAsia="Times New Roman" w:hAnsi="Arial" w:cs="Arial"/>
                <w:color w:val="303B44"/>
                <w:sz w:val="15"/>
                <w:szCs w:val="15"/>
              </w:rPr>
            </w:pPr>
            <w:r w:rsidRPr="0075415C">
              <w:rPr>
                <w:rFonts w:ascii="Arial" w:eastAsia="Times New Roman" w:hAnsi="Arial" w:cs="Arial"/>
                <w:b/>
                <w:bCs/>
                <w:color w:val="303B44"/>
                <w:sz w:val="15"/>
              </w:rPr>
              <w:t>Action</w:t>
            </w:r>
          </w:p>
        </w:tc>
        <w:tc>
          <w:tcPr>
            <w:tcW w:w="0" w:type="auto"/>
            <w:shd w:val="clear" w:color="auto" w:fill="F9F9F9"/>
            <w:tcMar>
              <w:top w:w="225" w:type="dxa"/>
              <w:left w:w="225" w:type="dxa"/>
              <w:bottom w:w="225" w:type="dxa"/>
              <w:right w:w="225" w:type="dxa"/>
            </w:tcMar>
            <w:hideMark/>
          </w:tcPr>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Collect basic input measures such as absence data, turnover data</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Identify useful data already available, such as data from pay reviews, performance management, job evaluation, training, the recruitment process</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Use this data to communicate essential information to managers about absence, turnover or accident levels, compared by department</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Look for trends or patterns in the data and investigate their causes</w:t>
            </w:r>
          </w:p>
        </w:tc>
        <w:tc>
          <w:tcPr>
            <w:tcW w:w="0" w:type="auto"/>
            <w:shd w:val="clear" w:color="auto" w:fill="F9F9F9"/>
            <w:tcMar>
              <w:top w:w="225" w:type="dxa"/>
              <w:left w:w="225" w:type="dxa"/>
              <w:bottom w:w="225" w:type="dxa"/>
              <w:right w:w="225" w:type="dxa"/>
            </w:tcMar>
            <w:hideMark/>
          </w:tcPr>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Design data collection for specific human capital needs. For example, conduct an employee attitude survey to measure satisfaction, or follow up on training activity to monitor implementation and use</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Look for correlations between data – for example, whether high levels of job satisfaction occur when certain HR practices are in place, such as performance management, career management or flexible working</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Identify specific actions to improve people management</w:t>
            </w:r>
          </w:p>
        </w:tc>
        <w:tc>
          <w:tcPr>
            <w:tcW w:w="0" w:type="auto"/>
            <w:shd w:val="clear" w:color="auto" w:fill="F9F9F9"/>
            <w:tcMar>
              <w:top w:w="225" w:type="dxa"/>
              <w:left w:w="225" w:type="dxa"/>
              <w:bottom w:w="225" w:type="dxa"/>
              <w:right w:w="225" w:type="dxa"/>
            </w:tcMar>
            <w:hideMark/>
          </w:tcPr>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Identify key performance indicators relating to the business strategy, and design data collection processes to measure against them</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Provide managers with indicators on a range of measures designed to inform them on performance and progress in their department</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Accompany this with specific actions to be taken informed by the resulting human capital data</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Communicate data in ways that are meaningful to differing audiences</w:t>
            </w:r>
          </w:p>
        </w:tc>
      </w:tr>
      <w:tr w:rsidR="0075415C" w:rsidRPr="0075415C" w:rsidTr="0075415C">
        <w:trPr>
          <w:tblCellSpacing w:w="15" w:type="dxa"/>
        </w:trPr>
        <w:tc>
          <w:tcPr>
            <w:tcW w:w="0" w:type="auto"/>
            <w:shd w:val="clear" w:color="auto" w:fill="F9F9F9"/>
            <w:tcMar>
              <w:top w:w="225" w:type="dxa"/>
              <w:left w:w="225" w:type="dxa"/>
              <w:bottom w:w="225" w:type="dxa"/>
              <w:right w:w="225" w:type="dxa"/>
            </w:tcMar>
            <w:hideMark/>
          </w:tcPr>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b/>
                <w:bCs/>
                <w:color w:val="303B44"/>
                <w:sz w:val="15"/>
              </w:rPr>
              <w:t>Outcome</w:t>
            </w:r>
          </w:p>
        </w:tc>
        <w:tc>
          <w:tcPr>
            <w:tcW w:w="0" w:type="auto"/>
            <w:shd w:val="clear" w:color="auto" w:fill="F9F9F9"/>
            <w:tcMar>
              <w:top w:w="225" w:type="dxa"/>
              <w:left w:w="225" w:type="dxa"/>
              <w:bottom w:w="225" w:type="dxa"/>
              <w:right w:w="225" w:type="dxa"/>
            </w:tcMar>
            <w:hideMark/>
          </w:tcPr>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Basic information for managers on headcount and make-up of the workforce</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Identification of any action that might be needed as a result of these measures – for example, to reduce accident rates, to improve the diversity profile of the workforce or to reduce absence</w:t>
            </w:r>
          </w:p>
        </w:tc>
        <w:tc>
          <w:tcPr>
            <w:tcW w:w="0" w:type="auto"/>
            <w:shd w:val="clear" w:color="auto" w:fill="F9F9F9"/>
            <w:tcMar>
              <w:top w:w="225" w:type="dxa"/>
              <w:left w:w="225" w:type="dxa"/>
              <w:bottom w:w="225" w:type="dxa"/>
              <w:right w:w="225" w:type="dxa"/>
            </w:tcMar>
            <w:hideMark/>
          </w:tcPr>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Information to help design the HR model most likely to contribute to performance</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Communication to managers not just on how to implement processes, but with accompanying information on why they are important and what they can achieve</w:t>
            </w:r>
          </w:p>
        </w:tc>
        <w:tc>
          <w:tcPr>
            <w:tcW w:w="0" w:type="auto"/>
            <w:shd w:val="clear" w:color="auto" w:fill="F9F9F9"/>
            <w:tcMar>
              <w:top w:w="225" w:type="dxa"/>
              <w:left w:w="225" w:type="dxa"/>
              <w:bottom w:w="225" w:type="dxa"/>
              <w:right w:w="225" w:type="dxa"/>
            </w:tcMar>
            <w:hideMark/>
          </w:tcPr>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Identification of the drivers of business performance</w:t>
            </w:r>
          </w:p>
          <w:p w:rsidR="0075415C" w:rsidRPr="0075415C" w:rsidRDefault="0075415C" w:rsidP="0075415C">
            <w:pPr>
              <w:spacing w:after="225" w:line="240" w:lineRule="auto"/>
              <w:jc w:val="center"/>
              <w:rPr>
                <w:rFonts w:ascii="Arial" w:eastAsia="Times New Roman" w:hAnsi="Arial" w:cs="Arial"/>
                <w:color w:val="303B44"/>
                <w:sz w:val="15"/>
                <w:szCs w:val="15"/>
              </w:rPr>
            </w:pPr>
            <w:r w:rsidRPr="0075415C">
              <w:rPr>
                <w:rFonts w:ascii="Arial" w:eastAsia="Times New Roman" w:hAnsi="Arial" w:cs="Arial"/>
                <w:color w:val="303B44"/>
                <w:sz w:val="15"/>
                <w:szCs w:val="15"/>
              </w:rPr>
              <w:t>Information that will enable better-informed decision-making both internally on the management of people and externally on the progress with regard to strategy</w:t>
            </w:r>
          </w:p>
        </w:tc>
      </w:tr>
    </w:tbl>
    <w:p w:rsidR="0075415C" w:rsidRPr="0075415C" w:rsidRDefault="0075415C" w:rsidP="0075415C">
      <w:pPr>
        <w:pBdr>
          <w:bottom w:val="single" w:sz="36" w:space="0" w:color="DAE6DB"/>
        </w:pBdr>
        <w:spacing w:before="150" w:after="225" w:line="336" w:lineRule="atLeast"/>
        <w:outlineLvl w:val="2"/>
        <w:rPr>
          <w:rFonts w:ascii="Arial" w:eastAsia="Times New Roman" w:hAnsi="Arial" w:cs="Arial"/>
          <w:b/>
          <w:bCs/>
          <w:color w:val="303B44"/>
          <w:sz w:val="28"/>
          <w:szCs w:val="28"/>
        </w:rPr>
      </w:pPr>
      <w:r w:rsidRPr="0075415C">
        <w:rPr>
          <w:rFonts w:ascii="Arial" w:eastAsia="Times New Roman" w:hAnsi="Arial" w:cs="Arial"/>
          <w:b/>
          <w:bCs/>
          <w:color w:val="303B44"/>
          <w:sz w:val="28"/>
          <w:szCs w:val="28"/>
        </w:rPr>
        <w:t xml:space="preserve">Reporting human capital </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Different types of information will be of value to different audiences within the business:</w:t>
      </w:r>
    </w:p>
    <w:p w:rsidR="0075415C" w:rsidRPr="0075415C" w:rsidRDefault="0075415C" w:rsidP="0075415C">
      <w:pPr>
        <w:numPr>
          <w:ilvl w:val="0"/>
          <w:numId w:val="7"/>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Shareholders seek information on the employee attributes or behaviours that are likely to influence short- or long-term financial performance.</w:t>
      </w:r>
    </w:p>
    <w:p w:rsidR="0075415C" w:rsidRPr="0075415C" w:rsidRDefault="0075415C" w:rsidP="0075415C">
      <w:pPr>
        <w:numPr>
          <w:ilvl w:val="0"/>
          <w:numId w:val="7"/>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Customers wish to know if they will get good service and after sales support.</w:t>
      </w:r>
    </w:p>
    <w:p w:rsidR="0075415C" w:rsidRPr="0075415C" w:rsidRDefault="0075415C" w:rsidP="0075415C">
      <w:pPr>
        <w:numPr>
          <w:ilvl w:val="0"/>
          <w:numId w:val="7"/>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Employees want to know their jobs are secure and how they can develop themselves and their skills.</w:t>
      </w:r>
    </w:p>
    <w:p w:rsidR="0075415C" w:rsidRPr="0075415C" w:rsidRDefault="0075415C" w:rsidP="0075415C">
      <w:pPr>
        <w:numPr>
          <w:ilvl w:val="0"/>
          <w:numId w:val="7"/>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lastRenderedPageBreak/>
        <w:t>Managers require information on which actions they can take to improve the performance of their business units.</w:t>
      </w:r>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External reporting</w:t>
      </w:r>
    </w:p>
    <w:p w:rsidR="0075415C" w:rsidRPr="0075415C" w:rsidRDefault="0075415C" w:rsidP="0075415C">
      <w:pPr>
        <w:spacing w:before="100" w:beforeAutospacing="1" w:after="48" w:line="336" w:lineRule="atLeast"/>
        <w:outlineLvl w:val="4"/>
        <w:rPr>
          <w:rFonts w:ascii="Arial" w:eastAsia="Times New Roman" w:hAnsi="Arial" w:cs="Arial"/>
          <w:b/>
          <w:bCs/>
          <w:color w:val="303B44"/>
        </w:rPr>
      </w:pPr>
      <w:r w:rsidRPr="0075415C">
        <w:rPr>
          <w:rFonts w:ascii="Arial" w:eastAsia="Times New Roman" w:hAnsi="Arial" w:cs="Arial"/>
          <w:b/>
          <w:bCs/>
          <w:color w:val="303B44"/>
        </w:rPr>
        <w:t>Regulatory background</w:t>
      </w:r>
    </w:p>
    <w:p w:rsidR="0075415C" w:rsidRPr="0075415C" w:rsidRDefault="0075415C" w:rsidP="0075415C">
      <w:pPr>
        <w:spacing w:after="225" w:line="336" w:lineRule="atLeast"/>
        <w:rPr>
          <w:rFonts w:ascii="Arial" w:eastAsia="Times New Roman" w:hAnsi="Arial" w:cs="Arial"/>
          <w:color w:val="303B44"/>
          <w:sz w:val="20"/>
          <w:szCs w:val="20"/>
        </w:rPr>
      </w:pPr>
      <w:proofErr w:type="gramStart"/>
      <w:r w:rsidRPr="0075415C">
        <w:rPr>
          <w:rFonts w:ascii="Arial" w:eastAsia="Times New Roman" w:hAnsi="Arial" w:cs="Arial"/>
          <w:color w:val="303B44"/>
          <w:sz w:val="20"/>
          <w:szCs w:val="20"/>
        </w:rPr>
        <w:t>The extent of external reporting on human capital remains limited.</w:t>
      </w:r>
      <w:proofErr w:type="gramEnd"/>
      <w:r w:rsidRPr="0075415C">
        <w:rPr>
          <w:rFonts w:ascii="Arial" w:eastAsia="Times New Roman" w:hAnsi="Arial" w:cs="Arial"/>
          <w:color w:val="303B44"/>
          <w:sz w:val="20"/>
          <w:szCs w:val="20"/>
        </w:rPr>
        <w:t xml:space="preserve"> There are two main sections where such data may be published within companies’ annual reports:</w:t>
      </w:r>
    </w:p>
    <w:p w:rsidR="0075415C" w:rsidRPr="0075415C" w:rsidRDefault="0075415C" w:rsidP="0075415C">
      <w:pPr>
        <w:numPr>
          <w:ilvl w:val="0"/>
          <w:numId w:val="8"/>
        </w:numPr>
        <w:spacing w:after="225"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Business review</w:t>
      </w:r>
      <w:r w:rsidRPr="0075415C">
        <w:rPr>
          <w:rFonts w:ascii="Arial" w:eastAsia="Times New Roman" w:hAnsi="Arial" w:cs="Arial"/>
          <w:color w:val="303B44"/>
          <w:sz w:val="20"/>
          <w:szCs w:val="20"/>
        </w:rPr>
        <w:t xml:space="preserve"> - quoted companies are required to include information on employees (as well as other issues) within the business review section of the annual report.</w:t>
      </w:r>
    </w:p>
    <w:p w:rsidR="0075415C" w:rsidRPr="0075415C" w:rsidRDefault="0075415C" w:rsidP="0075415C">
      <w:pPr>
        <w:numPr>
          <w:ilvl w:val="0"/>
          <w:numId w:val="8"/>
        </w:numPr>
        <w:spacing w:after="225" w:line="336" w:lineRule="atLeast"/>
        <w:rPr>
          <w:rFonts w:ascii="Arial" w:eastAsia="Times New Roman" w:hAnsi="Arial" w:cs="Arial"/>
          <w:color w:val="303B44"/>
          <w:sz w:val="20"/>
          <w:szCs w:val="20"/>
        </w:rPr>
      </w:pPr>
      <w:r w:rsidRPr="0075415C">
        <w:rPr>
          <w:rFonts w:ascii="Arial" w:eastAsia="Times New Roman" w:hAnsi="Arial" w:cs="Arial"/>
          <w:b/>
          <w:bCs/>
          <w:color w:val="303B44"/>
          <w:sz w:val="20"/>
        </w:rPr>
        <w:t>Operating and financial review</w:t>
      </w:r>
      <w:r w:rsidRPr="0075415C">
        <w:rPr>
          <w:rFonts w:ascii="Arial" w:eastAsia="Times New Roman" w:hAnsi="Arial" w:cs="Arial"/>
          <w:color w:val="303B44"/>
          <w:sz w:val="20"/>
          <w:szCs w:val="20"/>
        </w:rPr>
        <w:t xml:space="preserve"> - with the growth of interest in the idea of human capital reporting during the early years of this century, culminating in the publication of the </w:t>
      </w:r>
      <w:proofErr w:type="spellStart"/>
      <w:r w:rsidRPr="0075415C">
        <w:rPr>
          <w:rFonts w:ascii="Arial" w:eastAsia="Times New Roman" w:hAnsi="Arial" w:cs="Arial"/>
          <w:color w:val="303B44"/>
          <w:sz w:val="20"/>
          <w:szCs w:val="20"/>
        </w:rPr>
        <w:t>Kingsmill</w:t>
      </w:r>
      <w:proofErr w:type="spellEnd"/>
      <w:r w:rsidRPr="0075415C">
        <w:rPr>
          <w:rFonts w:ascii="Arial" w:eastAsia="Times New Roman" w:hAnsi="Arial" w:cs="Arial"/>
          <w:color w:val="303B44"/>
          <w:sz w:val="20"/>
          <w:szCs w:val="20"/>
        </w:rPr>
        <w:t xml:space="preserve"> report (mentioned above), government proposals were developed to introduce mandatory compliance with best practice principles on narrative reporting in the operating and financial review section of annual reports. However, these plans for compulsion were abandoned in 2005, although some companies follow such principles on a voluntary basis, though only among in a minority of cases, according to the latest analysis of the content of annual reports from Deloitte</w:t>
      </w:r>
      <w:r w:rsidRPr="0075415C">
        <w:rPr>
          <w:rFonts w:ascii="Arial" w:eastAsia="Times New Roman" w:hAnsi="Arial" w:cs="Arial"/>
          <w:color w:val="303B44"/>
          <w:sz w:val="20"/>
          <w:szCs w:val="20"/>
          <w:vertAlign w:val="superscript"/>
        </w:rPr>
        <w:t>2</w:t>
      </w:r>
      <w:r w:rsidRPr="0075415C">
        <w:rPr>
          <w:rFonts w:ascii="Arial" w:eastAsia="Times New Roman" w:hAnsi="Arial" w:cs="Arial"/>
          <w:color w:val="303B44"/>
          <w:sz w:val="20"/>
          <w:szCs w:val="20"/>
        </w:rPr>
        <w:t>.</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A detailed consideration of the highly complex regulatory background is beyond the scope of this factsheet. However, recent years have seen a renewed interest in the issue of company reporting as a result of perceived deficiencies in companies’ reporting procedures in the wake of the global financial crisis. More information can be found in our factsheet on corporate governance.</w:t>
      </w:r>
    </w:p>
    <w:p w:rsidR="0075415C" w:rsidRPr="0075415C" w:rsidRDefault="006500D9" w:rsidP="0075415C">
      <w:pPr>
        <w:numPr>
          <w:ilvl w:val="0"/>
          <w:numId w:val="9"/>
        </w:numPr>
        <w:spacing w:after="225" w:line="336" w:lineRule="atLeast"/>
        <w:rPr>
          <w:rFonts w:ascii="Arial" w:eastAsia="Times New Roman" w:hAnsi="Arial" w:cs="Arial"/>
          <w:color w:val="303B44"/>
          <w:sz w:val="20"/>
          <w:szCs w:val="20"/>
        </w:rPr>
      </w:pPr>
      <w:hyperlink r:id="rId14" w:history="1">
        <w:r w:rsidR="0075415C" w:rsidRPr="0075415C">
          <w:rPr>
            <w:rFonts w:ascii="Arial" w:eastAsia="Times New Roman" w:hAnsi="Arial" w:cs="Arial"/>
            <w:color w:val="1578BE"/>
            <w:sz w:val="20"/>
            <w:szCs w:val="20"/>
          </w:rPr>
          <w:t>Go to our corporate governance factsheet</w:t>
        </w:r>
      </w:hyperlink>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In 2010, the Department for Business Innovation and Skills launched a consultation on the future of narrative reporting (sometimes known as ‘the front half’ of company reports</w:t>
      </w:r>
      <w:proofErr w:type="gramStart"/>
      <w:r w:rsidRPr="0075415C">
        <w:rPr>
          <w:rFonts w:ascii="Arial" w:eastAsia="Times New Roman" w:hAnsi="Arial" w:cs="Arial"/>
          <w:color w:val="303B44"/>
          <w:sz w:val="20"/>
          <w:szCs w:val="20"/>
        </w:rPr>
        <w:t>)</w:t>
      </w:r>
      <w:r w:rsidRPr="0075415C">
        <w:rPr>
          <w:rFonts w:ascii="Arial" w:eastAsia="Times New Roman" w:hAnsi="Arial" w:cs="Arial"/>
          <w:color w:val="303B44"/>
          <w:sz w:val="20"/>
          <w:szCs w:val="20"/>
          <w:vertAlign w:val="superscript"/>
        </w:rPr>
        <w:t>3</w:t>
      </w:r>
      <w:proofErr w:type="gramEnd"/>
      <w:r w:rsidRPr="0075415C">
        <w:rPr>
          <w:rFonts w:ascii="Arial" w:eastAsia="Times New Roman" w:hAnsi="Arial" w:cs="Arial"/>
          <w:color w:val="303B44"/>
          <w:sz w:val="20"/>
          <w:szCs w:val="20"/>
        </w:rPr>
        <w:t>. Information on the CIPD’s position is available in our response to that consultation. As yet no firm proposals or reporting have been forthcoming.</w:t>
      </w:r>
    </w:p>
    <w:p w:rsidR="0075415C" w:rsidRPr="0075415C" w:rsidRDefault="006500D9" w:rsidP="0075415C">
      <w:pPr>
        <w:numPr>
          <w:ilvl w:val="0"/>
          <w:numId w:val="10"/>
        </w:numPr>
        <w:spacing w:after="225" w:line="336" w:lineRule="atLeast"/>
        <w:rPr>
          <w:rFonts w:ascii="Arial" w:eastAsia="Times New Roman" w:hAnsi="Arial" w:cs="Arial"/>
          <w:color w:val="303B44"/>
          <w:sz w:val="20"/>
          <w:szCs w:val="20"/>
        </w:rPr>
      </w:pPr>
      <w:hyperlink r:id="rId15" w:history="1">
        <w:r w:rsidR="0075415C" w:rsidRPr="0075415C">
          <w:rPr>
            <w:rFonts w:ascii="Arial" w:eastAsia="Times New Roman" w:hAnsi="Arial" w:cs="Arial"/>
            <w:color w:val="1578BE"/>
            <w:sz w:val="20"/>
            <w:szCs w:val="20"/>
          </w:rPr>
          <w:t>Visit CIPD response</w:t>
        </w:r>
      </w:hyperlink>
    </w:p>
    <w:p w:rsidR="0075415C" w:rsidRPr="0075415C" w:rsidRDefault="0075415C" w:rsidP="0075415C">
      <w:pPr>
        <w:spacing w:before="100" w:beforeAutospacing="1" w:after="48" w:line="336" w:lineRule="atLeast"/>
        <w:outlineLvl w:val="4"/>
        <w:rPr>
          <w:rFonts w:ascii="Arial" w:eastAsia="Times New Roman" w:hAnsi="Arial" w:cs="Arial"/>
          <w:b/>
          <w:bCs/>
          <w:color w:val="303B44"/>
        </w:rPr>
      </w:pPr>
      <w:r w:rsidRPr="0075415C">
        <w:rPr>
          <w:rFonts w:ascii="Arial" w:eastAsia="Times New Roman" w:hAnsi="Arial" w:cs="Arial"/>
          <w:b/>
          <w:bCs/>
          <w:color w:val="303B44"/>
        </w:rPr>
        <w:t>Published human capital data</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More information on the extent of human capital reporting that is included within annual reports is available in our report </w:t>
      </w:r>
      <w:r w:rsidRPr="0075415C">
        <w:rPr>
          <w:rFonts w:ascii="Arial" w:eastAsia="Times New Roman" w:hAnsi="Arial" w:cs="Arial"/>
          <w:i/>
          <w:iCs/>
          <w:color w:val="303B44"/>
          <w:sz w:val="20"/>
        </w:rPr>
        <w:t>Human capital management: an analysis of disclosure in UK reports</w:t>
      </w:r>
      <w:r w:rsidRPr="0075415C">
        <w:rPr>
          <w:rFonts w:ascii="Arial" w:eastAsia="Times New Roman" w:hAnsi="Arial" w:cs="Arial"/>
          <w:color w:val="303B44"/>
          <w:sz w:val="20"/>
          <w:szCs w:val="20"/>
        </w:rPr>
        <w:t xml:space="preserve"> setting out an analysis of disclosure levels produced in conjunction with professional accountants’ body ACCA.</w:t>
      </w:r>
    </w:p>
    <w:p w:rsidR="0075415C" w:rsidRPr="0075415C" w:rsidRDefault="006500D9" w:rsidP="0075415C">
      <w:pPr>
        <w:numPr>
          <w:ilvl w:val="0"/>
          <w:numId w:val="11"/>
        </w:numPr>
        <w:spacing w:after="225" w:line="336" w:lineRule="atLeast"/>
        <w:rPr>
          <w:rFonts w:ascii="Arial" w:eastAsia="Times New Roman" w:hAnsi="Arial" w:cs="Arial"/>
          <w:color w:val="303B44"/>
          <w:sz w:val="20"/>
          <w:szCs w:val="20"/>
        </w:rPr>
      </w:pPr>
      <w:hyperlink r:id="rId16" w:history="1">
        <w:r w:rsidR="0075415C" w:rsidRPr="0075415C">
          <w:rPr>
            <w:rFonts w:ascii="Arial" w:eastAsia="Times New Roman" w:hAnsi="Arial" w:cs="Arial"/>
            <w:color w:val="1578BE"/>
            <w:sz w:val="20"/>
            <w:szCs w:val="20"/>
          </w:rPr>
          <w:t>Visit the report</w:t>
        </w:r>
      </w:hyperlink>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Additionally, our latest research into the ways in which human capital reporting can inform investment decisions  has found that stakeholders would particularly value information that is comparable, </w:t>
      </w:r>
      <w:r w:rsidRPr="0075415C">
        <w:rPr>
          <w:rFonts w:ascii="Arial" w:eastAsia="Times New Roman" w:hAnsi="Arial" w:cs="Arial"/>
          <w:color w:val="303B44"/>
          <w:sz w:val="20"/>
          <w:szCs w:val="20"/>
        </w:rPr>
        <w:lastRenderedPageBreak/>
        <w:t>explained in context and related to business outcomes, whilst also finding that a focus on risk in human capital reporting would be particularly relevant to the business community.</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Find out more in our report </w:t>
      </w:r>
      <w:r w:rsidRPr="0075415C">
        <w:rPr>
          <w:rFonts w:ascii="Arial" w:eastAsia="Times New Roman" w:hAnsi="Arial" w:cs="Arial"/>
          <w:i/>
          <w:iCs/>
          <w:color w:val="303B44"/>
          <w:sz w:val="20"/>
        </w:rPr>
        <w:t>View from the City: how can human capital reporting inform investment decisions?</w:t>
      </w:r>
    </w:p>
    <w:p w:rsidR="0075415C" w:rsidRPr="0075415C" w:rsidRDefault="006500D9" w:rsidP="0075415C">
      <w:pPr>
        <w:numPr>
          <w:ilvl w:val="0"/>
          <w:numId w:val="12"/>
        </w:numPr>
        <w:spacing w:after="225" w:line="336" w:lineRule="atLeast"/>
        <w:rPr>
          <w:rFonts w:ascii="Arial" w:eastAsia="Times New Roman" w:hAnsi="Arial" w:cs="Arial"/>
          <w:color w:val="303B44"/>
          <w:sz w:val="20"/>
          <w:szCs w:val="20"/>
        </w:rPr>
      </w:pPr>
      <w:hyperlink r:id="rId17" w:history="1">
        <w:r w:rsidR="0075415C" w:rsidRPr="0075415C">
          <w:rPr>
            <w:rFonts w:ascii="Arial" w:eastAsia="Times New Roman" w:hAnsi="Arial" w:cs="Arial"/>
            <w:color w:val="1578BE"/>
            <w:sz w:val="20"/>
            <w:szCs w:val="20"/>
          </w:rPr>
          <w:t>Go to the report</w:t>
        </w:r>
      </w:hyperlink>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Internal reporting</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t>Internal reporting is far more prevalent than external reporting, as this is important in the evaluation of the effectiveness of HR interventions and guiding future HR strategy, while also protecting business confidentiality where desired. It takes a number of forms. </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Generally any human capital data reported internally should be:</w:t>
      </w:r>
    </w:p>
    <w:p w:rsidR="0075415C" w:rsidRPr="0075415C" w:rsidRDefault="0075415C" w:rsidP="0075415C">
      <w:pPr>
        <w:numPr>
          <w:ilvl w:val="0"/>
          <w:numId w:val="13"/>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reliable and open to scrutiny</w:t>
      </w:r>
    </w:p>
    <w:p w:rsidR="0075415C" w:rsidRPr="0075415C" w:rsidRDefault="0075415C" w:rsidP="0075415C">
      <w:pPr>
        <w:numPr>
          <w:ilvl w:val="0"/>
          <w:numId w:val="13"/>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accompanied by adequate explanation</w:t>
      </w:r>
    </w:p>
    <w:p w:rsidR="0075415C" w:rsidRPr="0075415C" w:rsidRDefault="0075415C" w:rsidP="0075415C">
      <w:pPr>
        <w:numPr>
          <w:ilvl w:val="0"/>
          <w:numId w:val="13"/>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presented in a manner that is easily understandable for the audience</w:t>
      </w:r>
    </w:p>
    <w:p w:rsidR="0075415C" w:rsidRPr="0075415C" w:rsidRDefault="0075415C" w:rsidP="0075415C">
      <w:pPr>
        <w:numPr>
          <w:ilvl w:val="0"/>
          <w:numId w:val="13"/>
        </w:numPr>
        <w:spacing w:before="100" w:beforeAutospacing="1" w:after="120"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related to business needs</w:t>
      </w:r>
    </w:p>
    <w:p w:rsidR="0075415C" w:rsidRPr="0075415C" w:rsidRDefault="0075415C" w:rsidP="0075415C">
      <w:pPr>
        <w:numPr>
          <w:ilvl w:val="0"/>
          <w:numId w:val="13"/>
        </w:numPr>
        <w:spacing w:before="100" w:beforeAutospacing="1" w:after="120" w:line="336" w:lineRule="atLeast"/>
        <w:rPr>
          <w:rFonts w:ascii="Arial" w:eastAsia="Times New Roman" w:hAnsi="Arial" w:cs="Arial"/>
          <w:color w:val="303B44"/>
          <w:sz w:val="20"/>
          <w:szCs w:val="20"/>
        </w:rPr>
      </w:pPr>
      <w:proofErr w:type="gramStart"/>
      <w:r w:rsidRPr="0075415C">
        <w:rPr>
          <w:rFonts w:ascii="Arial" w:eastAsia="Times New Roman" w:hAnsi="Arial" w:cs="Arial"/>
          <w:color w:val="303B44"/>
          <w:sz w:val="20"/>
          <w:szCs w:val="20"/>
        </w:rPr>
        <w:t>enable</w:t>
      </w:r>
      <w:proofErr w:type="gramEnd"/>
      <w:r w:rsidRPr="0075415C">
        <w:rPr>
          <w:rFonts w:ascii="Arial" w:eastAsia="Times New Roman" w:hAnsi="Arial" w:cs="Arial"/>
          <w:color w:val="303B44"/>
          <w:sz w:val="20"/>
          <w:szCs w:val="20"/>
        </w:rPr>
        <w:t xml:space="preserve"> managers to identify appropriate actions that will improve business performance.</w:t>
      </w:r>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Identifying business drivers</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t xml:space="preserve">Because the evaluation of human capital is context-dependent, the key to identifying business </w:t>
      </w:r>
      <w:proofErr w:type="gramStart"/>
      <w:r w:rsidRPr="0075415C">
        <w:rPr>
          <w:rFonts w:ascii="Arial" w:eastAsia="Times New Roman" w:hAnsi="Arial" w:cs="Arial"/>
          <w:color w:val="303B44"/>
          <w:sz w:val="20"/>
          <w:szCs w:val="20"/>
        </w:rPr>
        <w:t>drivers</w:t>
      </w:r>
      <w:proofErr w:type="gramEnd"/>
      <w:r w:rsidRPr="0075415C">
        <w:rPr>
          <w:rFonts w:ascii="Arial" w:eastAsia="Times New Roman" w:hAnsi="Arial" w:cs="Arial"/>
          <w:color w:val="303B44"/>
          <w:sz w:val="20"/>
          <w:szCs w:val="20"/>
        </w:rPr>
        <w:t xml:space="preserve"> lies in developing a better understanding of the people element of the business and what policies and practices to manage teams or individuals are likely to achieve results.</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There are a number of good examples of organisations that have successfully correlated human capital data with performance data to identify which interventions are likely to produce results.  Many of these are reported in our guide on internal human capital reporting </w:t>
      </w:r>
      <w:r w:rsidRPr="0075415C">
        <w:rPr>
          <w:rFonts w:ascii="Arial" w:eastAsia="Times New Roman" w:hAnsi="Arial" w:cs="Arial"/>
          <w:i/>
          <w:iCs/>
          <w:color w:val="303B44"/>
          <w:sz w:val="20"/>
        </w:rPr>
        <w:t>Human capital reporting: an internal perspective</w:t>
      </w:r>
      <w:r w:rsidRPr="0075415C">
        <w:rPr>
          <w:rFonts w:ascii="Arial" w:eastAsia="Times New Roman" w:hAnsi="Arial" w:cs="Arial"/>
          <w:color w:val="303B44"/>
          <w:sz w:val="20"/>
          <w:szCs w:val="20"/>
        </w:rPr>
        <w:t>.</w:t>
      </w:r>
    </w:p>
    <w:p w:rsidR="0075415C" w:rsidRPr="0075415C" w:rsidRDefault="006500D9" w:rsidP="0075415C">
      <w:pPr>
        <w:numPr>
          <w:ilvl w:val="0"/>
          <w:numId w:val="14"/>
        </w:numPr>
        <w:spacing w:after="225" w:line="336" w:lineRule="atLeast"/>
        <w:rPr>
          <w:rFonts w:ascii="Arial" w:eastAsia="Times New Roman" w:hAnsi="Arial" w:cs="Arial"/>
          <w:color w:val="303B44"/>
          <w:sz w:val="20"/>
          <w:szCs w:val="20"/>
        </w:rPr>
      </w:pPr>
      <w:hyperlink r:id="rId18" w:history="1">
        <w:r w:rsidR="0075415C" w:rsidRPr="0075415C">
          <w:rPr>
            <w:rFonts w:ascii="Arial" w:eastAsia="Times New Roman" w:hAnsi="Arial" w:cs="Arial"/>
            <w:color w:val="1578BE"/>
            <w:sz w:val="20"/>
            <w:szCs w:val="20"/>
          </w:rPr>
          <w:t>Go to our guide</w:t>
        </w:r>
      </w:hyperlink>
    </w:p>
    <w:p w:rsidR="0075415C" w:rsidRPr="0075415C" w:rsidRDefault="0075415C" w:rsidP="0075415C">
      <w:pPr>
        <w:pBdr>
          <w:bottom w:val="single" w:sz="36" w:space="0" w:color="DAE6DB"/>
        </w:pBdr>
        <w:spacing w:before="150" w:after="225" w:line="336" w:lineRule="atLeast"/>
        <w:outlineLvl w:val="2"/>
        <w:rPr>
          <w:rFonts w:ascii="Arial" w:eastAsia="Times New Roman" w:hAnsi="Arial" w:cs="Arial"/>
          <w:b/>
          <w:bCs/>
          <w:color w:val="303B44"/>
          <w:sz w:val="28"/>
          <w:szCs w:val="28"/>
        </w:rPr>
      </w:pPr>
      <w:r w:rsidRPr="0075415C">
        <w:rPr>
          <w:rFonts w:ascii="Arial" w:eastAsia="Times New Roman" w:hAnsi="Arial" w:cs="Arial"/>
          <w:b/>
          <w:bCs/>
          <w:color w:val="303B44"/>
          <w:sz w:val="28"/>
          <w:szCs w:val="28"/>
        </w:rPr>
        <w:t>CIPD viewpoint</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There is a great deal of evidence that the contribution of people is the largest driver of organisational performance. Systematically collecting, analysing and communicating information on the value of this contribution is vital and will assist in the design and implementation of HR policies and practices to maximise the impact on business performance. However, all our research to date indicates that the evaluation of human capital is highly contextual and therefore no single measure or set of measures </w:t>
      </w:r>
      <w:r w:rsidRPr="0075415C">
        <w:rPr>
          <w:rFonts w:ascii="Arial" w:eastAsia="Times New Roman" w:hAnsi="Arial" w:cs="Arial"/>
          <w:color w:val="303B44"/>
          <w:sz w:val="20"/>
          <w:szCs w:val="20"/>
        </w:rPr>
        <w:lastRenderedPageBreak/>
        <w:t xml:space="preserve">can adequately convey its value. Organisations need to decide which measures are relevant to them and will give them to information they need to effectively communicate the value and contribution of human capital both internally and externally. They will then need to interpret </w:t>
      </w:r>
      <w:proofErr w:type="gramStart"/>
      <w:r w:rsidRPr="0075415C">
        <w:rPr>
          <w:rFonts w:ascii="Arial" w:eastAsia="Times New Roman" w:hAnsi="Arial" w:cs="Arial"/>
          <w:color w:val="303B44"/>
          <w:sz w:val="20"/>
          <w:szCs w:val="20"/>
        </w:rPr>
        <w:t>these measure</w:t>
      </w:r>
      <w:proofErr w:type="gramEnd"/>
      <w:r w:rsidRPr="0075415C">
        <w:rPr>
          <w:rFonts w:ascii="Arial" w:eastAsia="Times New Roman" w:hAnsi="Arial" w:cs="Arial"/>
          <w:color w:val="303B44"/>
          <w:sz w:val="20"/>
          <w:szCs w:val="20"/>
        </w:rPr>
        <w:t xml:space="preserve"> in context to inform their relevance to key business performance indicators.</w:t>
      </w:r>
    </w:p>
    <w:p w:rsidR="0075415C" w:rsidRPr="0075415C" w:rsidRDefault="0075415C" w:rsidP="0075415C">
      <w:pPr>
        <w:pBdr>
          <w:bottom w:val="single" w:sz="36" w:space="0" w:color="DAE6DB"/>
        </w:pBdr>
        <w:spacing w:before="150" w:after="225" w:line="336" w:lineRule="atLeast"/>
        <w:outlineLvl w:val="2"/>
        <w:rPr>
          <w:rFonts w:ascii="Arial" w:eastAsia="Times New Roman" w:hAnsi="Arial" w:cs="Arial"/>
          <w:b/>
          <w:bCs/>
          <w:color w:val="303B44"/>
          <w:sz w:val="28"/>
          <w:szCs w:val="28"/>
        </w:rPr>
      </w:pPr>
      <w:r w:rsidRPr="0075415C">
        <w:rPr>
          <w:rFonts w:ascii="Arial" w:eastAsia="Times New Roman" w:hAnsi="Arial" w:cs="Arial"/>
          <w:b/>
          <w:bCs/>
          <w:color w:val="303B44"/>
          <w:sz w:val="28"/>
          <w:szCs w:val="28"/>
        </w:rPr>
        <w:t>References</w:t>
      </w:r>
    </w:p>
    <w:p w:rsidR="0075415C" w:rsidRPr="0075415C" w:rsidRDefault="0075415C" w:rsidP="0075415C">
      <w:pPr>
        <w:numPr>
          <w:ilvl w:val="0"/>
          <w:numId w:val="15"/>
        </w:num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KINGSMILL, D. (2003) </w:t>
      </w:r>
      <w:proofErr w:type="gramStart"/>
      <w:r w:rsidRPr="0075415C">
        <w:rPr>
          <w:rFonts w:ascii="Arial" w:eastAsia="Times New Roman" w:hAnsi="Arial" w:cs="Arial"/>
          <w:i/>
          <w:iCs/>
          <w:color w:val="303B44"/>
          <w:sz w:val="20"/>
        </w:rPr>
        <w:t>Accounting</w:t>
      </w:r>
      <w:proofErr w:type="gramEnd"/>
      <w:r w:rsidRPr="0075415C">
        <w:rPr>
          <w:rFonts w:ascii="Arial" w:eastAsia="Times New Roman" w:hAnsi="Arial" w:cs="Arial"/>
          <w:i/>
          <w:iCs/>
          <w:color w:val="303B44"/>
          <w:sz w:val="20"/>
        </w:rPr>
        <w:t xml:space="preserve"> for people: report</w:t>
      </w:r>
      <w:r w:rsidRPr="0075415C">
        <w:rPr>
          <w:rFonts w:ascii="Arial" w:eastAsia="Times New Roman" w:hAnsi="Arial" w:cs="Arial"/>
          <w:color w:val="303B44"/>
          <w:sz w:val="20"/>
          <w:szCs w:val="20"/>
        </w:rPr>
        <w:t>. London: Task Force on Human Capital Management.</w:t>
      </w:r>
    </w:p>
    <w:p w:rsidR="0075415C" w:rsidRPr="0075415C" w:rsidRDefault="0075415C" w:rsidP="0075415C">
      <w:pPr>
        <w:numPr>
          <w:ilvl w:val="0"/>
          <w:numId w:val="15"/>
        </w:num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DELOITTE. (2010) </w:t>
      </w:r>
      <w:r w:rsidRPr="0075415C">
        <w:rPr>
          <w:rFonts w:ascii="Arial" w:eastAsia="Times New Roman" w:hAnsi="Arial" w:cs="Arial"/>
          <w:i/>
          <w:iCs/>
          <w:color w:val="303B44"/>
          <w:sz w:val="20"/>
        </w:rPr>
        <w:t>Swimming in words – surveying narrative reporting in annual reports</w:t>
      </w:r>
      <w:r w:rsidRPr="0075415C">
        <w:rPr>
          <w:rFonts w:ascii="Arial" w:eastAsia="Times New Roman" w:hAnsi="Arial" w:cs="Arial"/>
          <w:color w:val="303B44"/>
          <w:sz w:val="20"/>
          <w:szCs w:val="20"/>
        </w:rPr>
        <w:t xml:space="preserve">. London: Deloitte. Available at: </w:t>
      </w:r>
      <w:hyperlink r:id="rId19" w:history="1">
        <w:r w:rsidRPr="0075415C">
          <w:rPr>
            <w:rFonts w:ascii="Arial" w:eastAsia="Times New Roman" w:hAnsi="Arial" w:cs="Arial"/>
            <w:color w:val="1578BE"/>
            <w:sz w:val="20"/>
            <w:szCs w:val="20"/>
          </w:rPr>
          <w:t>http://www.deloitte.com/view/en_GB/uk/news/news-releases/3f68dca8434cb210VgnVCM3000001c56f00aRCRD.htm</w:t>
        </w:r>
      </w:hyperlink>
    </w:p>
    <w:p w:rsidR="0075415C" w:rsidRPr="0075415C" w:rsidRDefault="0075415C" w:rsidP="0075415C">
      <w:pPr>
        <w:numPr>
          <w:ilvl w:val="0"/>
          <w:numId w:val="15"/>
        </w:num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DEPARTMENT FOR BUSSINESS INNOVATION AND SKILLS. (2010) </w:t>
      </w:r>
      <w:proofErr w:type="gramStart"/>
      <w:r w:rsidRPr="0075415C">
        <w:rPr>
          <w:rFonts w:ascii="Arial" w:eastAsia="Times New Roman" w:hAnsi="Arial" w:cs="Arial"/>
          <w:i/>
          <w:iCs/>
          <w:color w:val="303B44"/>
          <w:sz w:val="20"/>
        </w:rPr>
        <w:t>The</w:t>
      </w:r>
      <w:proofErr w:type="gramEnd"/>
      <w:r w:rsidRPr="0075415C">
        <w:rPr>
          <w:rFonts w:ascii="Arial" w:eastAsia="Times New Roman" w:hAnsi="Arial" w:cs="Arial"/>
          <w:i/>
          <w:iCs/>
          <w:color w:val="303B44"/>
          <w:sz w:val="20"/>
        </w:rPr>
        <w:t xml:space="preserve"> future of narrative reporting: a consultation.</w:t>
      </w:r>
      <w:r w:rsidRPr="0075415C">
        <w:rPr>
          <w:rFonts w:ascii="Arial" w:eastAsia="Times New Roman" w:hAnsi="Arial" w:cs="Arial"/>
          <w:color w:val="303B44"/>
          <w:sz w:val="20"/>
          <w:szCs w:val="20"/>
        </w:rPr>
        <w:t xml:space="preserve"> London: BIS. Available at: </w:t>
      </w:r>
      <w:hyperlink r:id="rId20" w:history="1">
        <w:r w:rsidRPr="0075415C">
          <w:rPr>
            <w:rFonts w:ascii="Arial" w:eastAsia="Times New Roman" w:hAnsi="Arial" w:cs="Arial"/>
            <w:color w:val="1578BE"/>
            <w:sz w:val="20"/>
            <w:szCs w:val="20"/>
          </w:rPr>
          <w:t>http://www.bis.gov.uk/assets/biscore/business-law/docs/n/10-1057-future-narrative-reporting-consultation</w:t>
        </w:r>
      </w:hyperlink>
    </w:p>
    <w:p w:rsidR="0075415C" w:rsidRPr="0075415C" w:rsidRDefault="0075415C" w:rsidP="0075415C">
      <w:pPr>
        <w:spacing w:before="450" w:after="100" w:afterAutospacing="1" w:line="336" w:lineRule="atLeast"/>
        <w:outlineLvl w:val="2"/>
        <w:rPr>
          <w:rFonts w:ascii="Arial" w:eastAsia="Times New Roman" w:hAnsi="Arial" w:cs="Arial"/>
          <w:b/>
          <w:bCs/>
          <w:color w:val="303B44"/>
          <w:sz w:val="28"/>
          <w:szCs w:val="28"/>
        </w:rPr>
      </w:pPr>
      <w:r w:rsidRPr="0075415C">
        <w:rPr>
          <w:rFonts w:ascii="Arial" w:eastAsia="Times New Roman" w:hAnsi="Arial" w:cs="Arial"/>
          <w:b/>
          <w:bCs/>
          <w:color w:val="303B44"/>
          <w:sz w:val="28"/>
          <w:szCs w:val="28"/>
        </w:rPr>
        <w:t>Further reading</w:t>
      </w:r>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Books and reports</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r>
      <w:proofErr w:type="gramStart"/>
      <w:r w:rsidRPr="0075415C">
        <w:rPr>
          <w:rFonts w:ascii="Arial" w:eastAsia="Times New Roman" w:hAnsi="Arial" w:cs="Arial"/>
          <w:color w:val="303B44"/>
          <w:sz w:val="20"/>
          <w:szCs w:val="20"/>
        </w:rPr>
        <w:t>ACCENTURE.</w:t>
      </w:r>
      <w:proofErr w:type="gramEnd"/>
      <w:r w:rsidRPr="0075415C">
        <w:rPr>
          <w:rFonts w:ascii="Arial" w:eastAsia="Times New Roman" w:hAnsi="Arial" w:cs="Arial"/>
          <w:color w:val="303B44"/>
          <w:sz w:val="20"/>
          <w:szCs w:val="20"/>
        </w:rPr>
        <w:t xml:space="preserve"> (2010) </w:t>
      </w:r>
      <w:proofErr w:type="gramStart"/>
      <w:r w:rsidRPr="0075415C">
        <w:rPr>
          <w:rFonts w:ascii="Arial" w:eastAsia="Times New Roman" w:hAnsi="Arial" w:cs="Arial"/>
          <w:i/>
          <w:iCs/>
          <w:color w:val="303B44"/>
          <w:sz w:val="20"/>
        </w:rPr>
        <w:t>The</w:t>
      </w:r>
      <w:proofErr w:type="gramEnd"/>
      <w:r w:rsidRPr="0075415C">
        <w:rPr>
          <w:rFonts w:ascii="Arial" w:eastAsia="Times New Roman" w:hAnsi="Arial" w:cs="Arial"/>
          <w:i/>
          <w:iCs/>
          <w:color w:val="303B44"/>
          <w:sz w:val="20"/>
        </w:rPr>
        <w:t xml:space="preserve"> new generation of human capital analytics</w:t>
      </w:r>
      <w:r w:rsidRPr="0075415C">
        <w:rPr>
          <w:rFonts w:ascii="Arial" w:eastAsia="Times New Roman" w:hAnsi="Arial" w:cs="Arial"/>
          <w:color w:val="303B44"/>
          <w:sz w:val="20"/>
          <w:szCs w:val="20"/>
        </w:rPr>
        <w:t xml:space="preserve">. Boston, MA: Accenture. 10pp. Available at:   </w:t>
      </w:r>
      <w:r w:rsidRPr="0075415C">
        <w:rPr>
          <w:rFonts w:ascii="Arial" w:eastAsia="Times New Roman" w:hAnsi="Arial" w:cs="Arial"/>
          <w:color w:val="303B44"/>
          <w:sz w:val="20"/>
          <w:szCs w:val="20"/>
        </w:rPr>
        <w:br/>
      </w:r>
      <w:hyperlink r:id="rId21" w:history="1">
        <w:r w:rsidRPr="0075415C">
          <w:rPr>
            <w:rFonts w:ascii="Arial" w:eastAsia="Times New Roman" w:hAnsi="Arial" w:cs="Arial"/>
            <w:color w:val="1578BE"/>
            <w:sz w:val="20"/>
            <w:szCs w:val="20"/>
          </w:rPr>
          <w:t>http://www.accenture.com/us-en/Pages/insight-new-generation-human-capital-analytics-summary.asp</w:t>
        </w:r>
      </w:hyperlink>
      <w:r w:rsidRPr="0075415C">
        <w:rPr>
          <w:rFonts w:ascii="Arial" w:eastAsia="Times New Roman" w:hAnsi="Arial" w:cs="Arial"/>
          <w:color w:val="303B44"/>
          <w:sz w:val="20"/>
          <w:szCs w:val="20"/>
        </w:rPr>
        <w:t xml:space="preserve">  </w:t>
      </w:r>
      <w:r w:rsidRPr="0075415C">
        <w:rPr>
          <w:rFonts w:ascii="Arial" w:eastAsia="Times New Roman" w:hAnsi="Arial" w:cs="Arial"/>
          <w:color w:val="303B44"/>
          <w:sz w:val="20"/>
          <w:szCs w:val="20"/>
        </w:rPr>
        <w:br/>
      </w:r>
      <w:r w:rsidRPr="0075415C">
        <w:rPr>
          <w:rFonts w:ascii="Arial" w:eastAsia="Times New Roman" w:hAnsi="Arial" w:cs="Arial"/>
          <w:color w:val="303B44"/>
          <w:sz w:val="20"/>
          <w:szCs w:val="20"/>
        </w:rPr>
        <w:br/>
        <w:t xml:space="preserve">BARON, A. and ARMSTRONG, M. (2007) </w:t>
      </w:r>
      <w:r w:rsidRPr="0075415C">
        <w:rPr>
          <w:rFonts w:ascii="Arial" w:eastAsia="Times New Roman" w:hAnsi="Arial" w:cs="Arial"/>
          <w:i/>
          <w:iCs/>
          <w:color w:val="303B44"/>
          <w:sz w:val="20"/>
        </w:rPr>
        <w:t>Human capital management: achieving added value through people.</w:t>
      </w:r>
      <w:r w:rsidRPr="0075415C">
        <w:rPr>
          <w:rFonts w:ascii="Arial" w:eastAsia="Times New Roman" w:hAnsi="Arial" w:cs="Arial"/>
          <w:color w:val="303B44"/>
          <w:sz w:val="20"/>
          <w:szCs w:val="20"/>
        </w:rPr>
        <w:t xml:space="preserve"> London: Kogan Page. </w:t>
      </w:r>
      <w:r w:rsidRPr="0075415C">
        <w:rPr>
          <w:rFonts w:ascii="Arial" w:eastAsia="Times New Roman" w:hAnsi="Arial" w:cs="Arial"/>
          <w:color w:val="303B44"/>
          <w:sz w:val="20"/>
          <w:szCs w:val="20"/>
        </w:rPr>
        <w:br/>
      </w:r>
      <w:r w:rsidRPr="0075415C">
        <w:rPr>
          <w:rFonts w:ascii="Arial" w:eastAsia="Times New Roman" w:hAnsi="Arial" w:cs="Arial"/>
          <w:color w:val="303B44"/>
          <w:sz w:val="20"/>
          <w:szCs w:val="20"/>
        </w:rPr>
        <w:br/>
        <w:t xml:space="preserve">KEARNS, P. et al. (2006) </w:t>
      </w:r>
      <w:proofErr w:type="gramStart"/>
      <w:r w:rsidRPr="0075415C">
        <w:rPr>
          <w:rFonts w:ascii="Arial" w:eastAsia="Times New Roman" w:hAnsi="Arial" w:cs="Arial"/>
          <w:i/>
          <w:iCs/>
          <w:color w:val="303B44"/>
          <w:sz w:val="20"/>
        </w:rPr>
        <w:t>What's</w:t>
      </w:r>
      <w:proofErr w:type="gramEnd"/>
      <w:r w:rsidRPr="0075415C">
        <w:rPr>
          <w:rFonts w:ascii="Arial" w:eastAsia="Times New Roman" w:hAnsi="Arial" w:cs="Arial"/>
          <w:i/>
          <w:iCs/>
          <w:color w:val="303B44"/>
          <w:sz w:val="20"/>
        </w:rPr>
        <w:t xml:space="preserve"> the future for human capital?</w:t>
      </w:r>
      <w:r w:rsidRPr="0075415C">
        <w:rPr>
          <w:rFonts w:ascii="Arial" w:eastAsia="Times New Roman" w:hAnsi="Arial" w:cs="Arial"/>
          <w:color w:val="303B44"/>
          <w:sz w:val="20"/>
          <w:szCs w:val="20"/>
        </w:rPr>
        <w:t xml:space="preserve"> </w:t>
      </w:r>
      <w:proofErr w:type="gramStart"/>
      <w:r w:rsidRPr="0075415C">
        <w:rPr>
          <w:rFonts w:ascii="Arial" w:eastAsia="Times New Roman" w:hAnsi="Arial" w:cs="Arial"/>
          <w:color w:val="303B44"/>
          <w:sz w:val="20"/>
          <w:szCs w:val="20"/>
        </w:rPr>
        <w:t>Executive briefing.</w:t>
      </w:r>
      <w:proofErr w:type="gramEnd"/>
      <w:r w:rsidRPr="0075415C">
        <w:rPr>
          <w:rFonts w:ascii="Arial" w:eastAsia="Times New Roman" w:hAnsi="Arial" w:cs="Arial"/>
          <w:color w:val="303B44"/>
          <w:sz w:val="20"/>
          <w:szCs w:val="20"/>
        </w:rPr>
        <w:t xml:space="preserve"> London: Chartered Institute of Personnel and Development. </w:t>
      </w:r>
      <w:r w:rsidRPr="0075415C">
        <w:rPr>
          <w:rFonts w:ascii="Arial" w:eastAsia="Times New Roman" w:hAnsi="Arial" w:cs="Arial"/>
          <w:color w:val="303B44"/>
          <w:sz w:val="20"/>
          <w:szCs w:val="20"/>
        </w:rPr>
        <w:br/>
      </w:r>
      <w:r w:rsidRPr="0075415C">
        <w:rPr>
          <w:rFonts w:ascii="Arial" w:eastAsia="Times New Roman" w:hAnsi="Arial" w:cs="Arial"/>
          <w:color w:val="303B44"/>
          <w:sz w:val="20"/>
          <w:szCs w:val="20"/>
        </w:rPr>
        <w:br/>
        <w:t xml:space="preserve">Visit the </w:t>
      </w:r>
      <w:hyperlink r:id="rId22" w:history="1">
        <w:r w:rsidRPr="0075415C">
          <w:rPr>
            <w:rFonts w:ascii="Arial" w:eastAsia="Times New Roman" w:hAnsi="Arial" w:cs="Arial"/>
            <w:color w:val="1578BE"/>
            <w:sz w:val="20"/>
            <w:szCs w:val="20"/>
          </w:rPr>
          <w:t>CIPD Store</w:t>
        </w:r>
      </w:hyperlink>
      <w:r w:rsidRPr="0075415C">
        <w:rPr>
          <w:rFonts w:ascii="Arial" w:eastAsia="Times New Roman" w:hAnsi="Arial" w:cs="Arial"/>
          <w:color w:val="303B44"/>
          <w:sz w:val="20"/>
          <w:szCs w:val="20"/>
        </w:rPr>
        <w:t xml:space="preserve"> to see all our priced publications currently in print.</w:t>
      </w:r>
    </w:p>
    <w:p w:rsidR="0075415C" w:rsidRPr="0075415C" w:rsidRDefault="0075415C" w:rsidP="0075415C">
      <w:pPr>
        <w:spacing w:before="100" w:beforeAutospacing="1" w:after="48" w:line="336" w:lineRule="atLeast"/>
        <w:outlineLvl w:val="3"/>
        <w:rPr>
          <w:rFonts w:ascii="Arial" w:eastAsia="Times New Roman" w:hAnsi="Arial" w:cs="Arial"/>
          <w:b/>
          <w:bCs/>
          <w:color w:val="303B44"/>
          <w:sz w:val="26"/>
          <w:szCs w:val="26"/>
        </w:rPr>
      </w:pPr>
      <w:r w:rsidRPr="0075415C">
        <w:rPr>
          <w:rFonts w:ascii="Arial" w:eastAsia="Times New Roman" w:hAnsi="Arial" w:cs="Arial"/>
          <w:b/>
          <w:bCs/>
          <w:color w:val="303B44"/>
          <w:sz w:val="26"/>
          <w:szCs w:val="26"/>
        </w:rPr>
        <w:t>Journal articles</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br/>
        <w:t xml:space="preserve">BARBER, F. and STRACK, R. (2005) </w:t>
      </w:r>
      <w:proofErr w:type="gramStart"/>
      <w:r w:rsidRPr="0075415C">
        <w:rPr>
          <w:rFonts w:ascii="Arial" w:eastAsia="Times New Roman" w:hAnsi="Arial" w:cs="Arial"/>
          <w:color w:val="303B44"/>
          <w:sz w:val="20"/>
          <w:szCs w:val="20"/>
        </w:rPr>
        <w:t>The</w:t>
      </w:r>
      <w:proofErr w:type="gramEnd"/>
      <w:r w:rsidRPr="0075415C">
        <w:rPr>
          <w:rFonts w:ascii="Arial" w:eastAsia="Times New Roman" w:hAnsi="Arial" w:cs="Arial"/>
          <w:color w:val="303B44"/>
          <w:sz w:val="20"/>
          <w:szCs w:val="20"/>
        </w:rPr>
        <w:t xml:space="preserve"> surprising economics of a people business. </w:t>
      </w:r>
      <w:r w:rsidRPr="0075415C">
        <w:rPr>
          <w:rFonts w:ascii="Arial" w:eastAsia="Times New Roman" w:hAnsi="Arial" w:cs="Arial"/>
          <w:i/>
          <w:iCs/>
          <w:color w:val="303B44"/>
          <w:sz w:val="20"/>
        </w:rPr>
        <w:t>Harvard Business Review</w:t>
      </w:r>
      <w:r w:rsidRPr="0075415C">
        <w:rPr>
          <w:rFonts w:ascii="Arial" w:eastAsia="Times New Roman" w:hAnsi="Arial" w:cs="Arial"/>
          <w:color w:val="303B44"/>
          <w:sz w:val="20"/>
          <w:szCs w:val="20"/>
        </w:rPr>
        <w:t xml:space="preserve">. </w:t>
      </w:r>
      <w:proofErr w:type="spellStart"/>
      <w:proofErr w:type="gramStart"/>
      <w:r w:rsidRPr="0075415C">
        <w:rPr>
          <w:rFonts w:ascii="Arial" w:eastAsia="Times New Roman" w:hAnsi="Arial" w:cs="Arial"/>
          <w:color w:val="303B44"/>
          <w:sz w:val="20"/>
          <w:szCs w:val="20"/>
        </w:rPr>
        <w:t>Vol</w:t>
      </w:r>
      <w:proofErr w:type="spellEnd"/>
      <w:r w:rsidRPr="0075415C">
        <w:rPr>
          <w:rFonts w:ascii="Arial" w:eastAsia="Times New Roman" w:hAnsi="Arial" w:cs="Arial"/>
          <w:color w:val="303B44"/>
          <w:sz w:val="20"/>
          <w:szCs w:val="20"/>
        </w:rPr>
        <w:t xml:space="preserve"> 83, No 6, June.</w:t>
      </w:r>
      <w:proofErr w:type="gramEnd"/>
      <w:r w:rsidRPr="0075415C">
        <w:rPr>
          <w:rFonts w:ascii="Arial" w:eastAsia="Times New Roman" w:hAnsi="Arial" w:cs="Arial"/>
          <w:color w:val="303B44"/>
          <w:sz w:val="20"/>
          <w:szCs w:val="20"/>
        </w:rPr>
        <w:t xml:space="preserve"> </w:t>
      </w:r>
      <w:proofErr w:type="gramStart"/>
      <w:r w:rsidRPr="0075415C">
        <w:rPr>
          <w:rFonts w:ascii="Arial" w:eastAsia="Times New Roman" w:hAnsi="Arial" w:cs="Arial"/>
          <w:color w:val="303B44"/>
          <w:sz w:val="20"/>
          <w:szCs w:val="20"/>
        </w:rPr>
        <w:t>pp81-90</w:t>
      </w:r>
      <w:proofErr w:type="gramEnd"/>
      <w:r w:rsidRPr="0075415C">
        <w:rPr>
          <w:rFonts w:ascii="Arial" w:eastAsia="Times New Roman" w:hAnsi="Arial" w:cs="Arial"/>
          <w:color w:val="303B44"/>
          <w:sz w:val="20"/>
          <w:szCs w:val="20"/>
        </w:rPr>
        <w:t>.</w:t>
      </w:r>
    </w:p>
    <w:p w:rsidR="0075415C" w:rsidRPr="0075415C" w:rsidRDefault="0075415C" w:rsidP="0075415C">
      <w:pPr>
        <w:spacing w:after="225" w:line="336" w:lineRule="atLeast"/>
        <w:rPr>
          <w:rFonts w:ascii="Arial" w:eastAsia="Times New Roman" w:hAnsi="Arial" w:cs="Arial"/>
          <w:color w:val="303B44"/>
          <w:sz w:val="20"/>
          <w:szCs w:val="20"/>
        </w:rPr>
      </w:pPr>
      <w:proofErr w:type="gramStart"/>
      <w:r w:rsidRPr="0075415C">
        <w:rPr>
          <w:rFonts w:ascii="Arial" w:eastAsia="Times New Roman" w:hAnsi="Arial" w:cs="Arial"/>
          <w:color w:val="303B44"/>
          <w:sz w:val="20"/>
          <w:szCs w:val="20"/>
        </w:rPr>
        <w:t>BARON, A. (2011) Measuring human capital.</w:t>
      </w:r>
      <w:proofErr w:type="gramEnd"/>
      <w:r w:rsidRPr="0075415C">
        <w:rPr>
          <w:rFonts w:ascii="Arial" w:eastAsia="Times New Roman" w:hAnsi="Arial" w:cs="Arial"/>
          <w:color w:val="303B44"/>
          <w:sz w:val="20"/>
          <w:szCs w:val="20"/>
        </w:rPr>
        <w:t xml:space="preserve"> </w:t>
      </w:r>
      <w:proofErr w:type="gramStart"/>
      <w:r w:rsidRPr="0075415C">
        <w:rPr>
          <w:rFonts w:ascii="Arial" w:eastAsia="Times New Roman" w:hAnsi="Arial" w:cs="Arial"/>
          <w:i/>
          <w:iCs/>
          <w:color w:val="303B44"/>
          <w:sz w:val="20"/>
        </w:rPr>
        <w:t>Strategic HR Review</w:t>
      </w:r>
      <w:r w:rsidRPr="0075415C">
        <w:rPr>
          <w:rFonts w:ascii="Arial" w:eastAsia="Times New Roman" w:hAnsi="Arial" w:cs="Arial"/>
          <w:color w:val="303B44"/>
          <w:sz w:val="20"/>
          <w:szCs w:val="20"/>
        </w:rPr>
        <w:t>.</w:t>
      </w:r>
      <w:proofErr w:type="gramEnd"/>
      <w:r w:rsidRPr="0075415C">
        <w:rPr>
          <w:rFonts w:ascii="Arial" w:eastAsia="Times New Roman" w:hAnsi="Arial" w:cs="Arial"/>
          <w:color w:val="303B44"/>
          <w:sz w:val="20"/>
          <w:szCs w:val="20"/>
        </w:rPr>
        <w:t xml:space="preserve"> </w:t>
      </w:r>
      <w:proofErr w:type="spellStart"/>
      <w:proofErr w:type="gramStart"/>
      <w:r w:rsidRPr="0075415C">
        <w:rPr>
          <w:rFonts w:ascii="Arial" w:eastAsia="Times New Roman" w:hAnsi="Arial" w:cs="Arial"/>
          <w:color w:val="303B44"/>
          <w:sz w:val="20"/>
          <w:szCs w:val="20"/>
        </w:rPr>
        <w:t>Vol</w:t>
      </w:r>
      <w:proofErr w:type="spellEnd"/>
      <w:r w:rsidRPr="0075415C">
        <w:rPr>
          <w:rFonts w:ascii="Arial" w:eastAsia="Times New Roman" w:hAnsi="Arial" w:cs="Arial"/>
          <w:color w:val="303B44"/>
          <w:sz w:val="20"/>
          <w:szCs w:val="20"/>
        </w:rPr>
        <w:t xml:space="preserve"> 10, No 2.</w:t>
      </w:r>
      <w:proofErr w:type="gramEnd"/>
      <w:r w:rsidRPr="0075415C">
        <w:rPr>
          <w:rFonts w:ascii="Arial" w:eastAsia="Times New Roman" w:hAnsi="Arial" w:cs="Arial"/>
          <w:color w:val="303B44"/>
          <w:sz w:val="20"/>
          <w:szCs w:val="20"/>
        </w:rPr>
        <w:t xml:space="preserve"> </w:t>
      </w:r>
      <w:proofErr w:type="gramStart"/>
      <w:r w:rsidRPr="0075415C">
        <w:rPr>
          <w:rFonts w:ascii="Arial" w:eastAsia="Times New Roman" w:hAnsi="Arial" w:cs="Arial"/>
          <w:color w:val="303B44"/>
          <w:sz w:val="20"/>
          <w:szCs w:val="20"/>
        </w:rPr>
        <w:t>pp30-35</w:t>
      </w:r>
      <w:proofErr w:type="gramEnd"/>
      <w:r w:rsidRPr="0075415C">
        <w:rPr>
          <w:rFonts w:ascii="Arial" w:eastAsia="Times New Roman" w:hAnsi="Arial" w:cs="Arial"/>
          <w:color w:val="303B44"/>
          <w:sz w:val="20"/>
          <w:szCs w:val="20"/>
        </w:rPr>
        <w:t>.</w:t>
      </w:r>
    </w:p>
    <w:p w:rsidR="0075415C" w:rsidRPr="0075415C" w:rsidRDefault="0075415C" w:rsidP="0075415C">
      <w:pPr>
        <w:spacing w:after="225" w:line="336" w:lineRule="atLeast"/>
        <w:rPr>
          <w:rFonts w:ascii="Arial" w:eastAsia="Times New Roman" w:hAnsi="Arial" w:cs="Arial"/>
          <w:color w:val="303B44"/>
          <w:sz w:val="20"/>
          <w:szCs w:val="20"/>
        </w:rPr>
      </w:pPr>
      <w:proofErr w:type="gramStart"/>
      <w:r w:rsidRPr="0075415C">
        <w:rPr>
          <w:rFonts w:ascii="Arial" w:eastAsia="Times New Roman" w:hAnsi="Arial" w:cs="Arial"/>
          <w:color w:val="303B44"/>
          <w:sz w:val="20"/>
          <w:szCs w:val="20"/>
        </w:rPr>
        <w:lastRenderedPageBreak/>
        <w:t>LAWLER, E.E. (2009) Make human capital a source of competitive advantage.</w:t>
      </w:r>
      <w:proofErr w:type="gramEnd"/>
      <w:r w:rsidRPr="0075415C">
        <w:rPr>
          <w:rFonts w:ascii="Arial" w:eastAsia="Times New Roman" w:hAnsi="Arial" w:cs="Arial"/>
          <w:color w:val="303B44"/>
          <w:sz w:val="20"/>
          <w:szCs w:val="20"/>
        </w:rPr>
        <w:t xml:space="preserve"> </w:t>
      </w:r>
      <w:proofErr w:type="gramStart"/>
      <w:r w:rsidRPr="0075415C">
        <w:rPr>
          <w:rFonts w:ascii="Arial" w:eastAsia="Times New Roman" w:hAnsi="Arial" w:cs="Arial"/>
          <w:i/>
          <w:iCs/>
          <w:color w:val="303B44"/>
          <w:sz w:val="20"/>
        </w:rPr>
        <w:t>Organizational Dynamics</w:t>
      </w:r>
      <w:r w:rsidRPr="0075415C">
        <w:rPr>
          <w:rFonts w:ascii="Arial" w:eastAsia="Times New Roman" w:hAnsi="Arial" w:cs="Arial"/>
          <w:color w:val="303B44"/>
          <w:sz w:val="20"/>
          <w:szCs w:val="20"/>
        </w:rPr>
        <w:t>.</w:t>
      </w:r>
      <w:proofErr w:type="gramEnd"/>
      <w:r w:rsidRPr="0075415C">
        <w:rPr>
          <w:rFonts w:ascii="Arial" w:eastAsia="Times New Roman" w:hAnsi="Arial" w:cs="Arial"/>
          <w:color w:val="303B44"/>
          <w:sz w:val="20"/>
          <w:szCs w:val="20"/>
        </w:rPr>
        <w:t xml:space="preserve"> </w:t>
      </w:r>
      <w:proofErr w:type="spellStart"/>
      <w:proofErr w:type="gramStart"/>
      <w:r w:rsidRPr="0075415C">
        <w:rPr>
          <w:rFonts w:ascii="Arial" w:eastAsia="Times New Roman" w:hAnsi="Arial" w:cs="Arial"/>
          <w:color w:val="303B44"/>
          <w:sz w:val="20"/>
          <w:szCs w:val="20"/>
        </w:rPr>
        <w:t>Vol</w:t>
      </w:r>
      <w:proofErr w:type="spellEnd"/>
      <w:r w:rsidRPr="0075415C">
        <w:rPr>
          <w:rFonts w:ascii="Arial" w:eastAsia="Times New Roman" w:hAnsi="Arial" w:cs="Arial"/>
          <w:color w:val="303B44"/>
          <w:sz w:val="20"/>
          <w:szCs w:val="20"/>
        </w:rPr>
        <w:t xml:space="preserve"> 38, No 1, January-March.</w:t>
      </w:r>
      <w:proofErr w:type="gramEnd"/>
      <w:r w:rsidRPr="0075415C">
        <w:rPr>
          <w:rFonts w:ascii="Arial" w:eastAsia="Times New Roman" w:hAnsi="Arial" w:cs="Arial"/>
          <w:color w:val="303B44"/>
          <w:sz w:val="20"/>
          <w:szCs w:val="20"/>
        </w:rPr>
        <w:t xml:space="preserve"> </w:t>
      </w:r>
      <w:proofErr w:type="gramStart"/>
      <w:r w:rsidRPr="0075415C">
        <w:rPr>
          <w:rFonts w:ascii="Arial" w:eastAsia="Times New Roman" w:hAnsi="Arial" w:cs="Arial"/>
          <w:color w:val="303B44"/>
          <w:sz w:val="20"/>
          <w:szCs w:val="20"/>
        </w:rPr>
        <w:t>pp1-7</w:t>
      </w:r>
      <w:proofErr w:type="gramEnd"/>
      <w:r w:rsidRPr="0075415C">
        <w:rPr>
          <w:rFonts w:ascii="Arial" w:eastAsia="Times New Roman" w:hAnsi="Arial" w:cs="Arial"/>
          <w:color w:val="303B44"/>
          <w:sz w:val="20"/>
          <w:szCs w:val="20"/>
        </w:rPr>
        <w:t>.</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WRIGHT, P.M. and MCMAHAN, G.C. (2011) Exploring human capital: putting human back into strategic human resource management. </w:t>
      </w:r>
      <w:proofErr w:type="gramStart"/>
      <w:r w:rsidRPr="0075415C">
        <w:rPr>
          <w:rFonts w:ascii="Arial" w:eastAsia="Times New Roman" w:hAnsi="Arial" w:cs="Arial"/>
          <w:i/>
          <w:iCs/>
          <w:color w:val="303B44"/>
          <w:sz w:val="20"/>
        </w:rPr>
        <w:t>Human Resource Management Journal</w:t>
      </w:r>
      <w:r w:rsidRPr="0075415C">
        <w:rPr>
          <w:rFonts w:ascii="Arial" w:eastAsia="Times New Roman" w:hAnsi="Arial" w:cs="Arial"/>
          <w:color w:val="303B44"/>
          <w:sz w:val="20"/>
          <w:szCs w:val="20"/>
        </w:rPr>
        <w:t>.</w:t>
      </w:r>
      <w:proofErr w:type="gramEnd"/>
      <w:r w:rsidRPr="0075415C">
        <w:rPr>
          <w:rFonts w:ascii="Arial" w:eastAsia="Times New Roman" w:hAnsi="Arial" w:cs="Arial"/>
          <w:color w:val="303B44"/>
          <w:sz w:val="20"/>
          <w:szCs w:val="20"/>
        </w:rPr>
        <w:t xml:space="preserve"> </w:t>
      </w:r>
      <w:proofErr w:type="spellStart"/>
      <w:proofErr w:type="gramStart"/>
      <w:r w:rsidRPr="0075415C">
        <w:rPr>
          <w:rFonts w:ascii="Arial" w:eastAsia="Times New Roman" w:hAnsi="Arial" w:cs="Arial"/>
          <w:color w:val="303B44"/>
          <w:sz w:val="20"/>
          <w:szCs w:val="20"/>
        </w:rPr>
        <w:t>Vol</w:t>
      </w:r>
      <w:proofErr w:type="spellEnd"/>
      <w:r w:rsidRPr="0075415C">
        <w:rPr>
          <w:rFonts w:ascii="Arial" w:eastAsia="Times New Roman" w:hAnsi="Arial" w:cs="Arial"/>
          <w:color w:val="303B44"/>
          <w:sz w:val="20"/>
          <w:szCs w:val="20"/>
        </w:rPr>
        <w:t xml:space="preserve"> 21, No 2.</w:t>
      </w:r>
      <w:proofErr w:type="gramEnd"/>
      <w:r w:rsidRPr="0075415C">
        <w:rPr>
          <w:rFonts w:ascii="Arial" w:eastAsia="Times New Roman" w:hAnsi="Arial" w:cs="Arial"/>
          <w:color w:val="303B44"/>
          <w:sz w:val="20"/>
          <w:szCs w:val="20"/>
        </w:rPr>
        <w:t xml:space="preserve"> April. </w:t>
      </w:r>
      <w:proofErr w:type="gramStart"/>
      <w:r w:rsidRPr="0075415C">
        <w:rPr>
          <w:rFonts w:ascii="Arial" w:eastAsia="Times New Roman" w:hAnsi="Arial" w:cs="Arial"/>
          <w:color w:val="303B44"/>
          <w:sz w:val="20"/>
          <w:szCs w:val="20"/>
        </w:rPr>
        <w:t>pp93-104</w:t>
      </w:r>
      <w:proofErr w:type="gramEnd"/>
      <w:r w:rsidRPr="0075415C">
        <w:rPr>
          <w:rFonts w:ascii="Arial" w:eastAsia="Times New Roman" w:hAnsi="Arial" w:cs="Arial"/>
          <w:color w:val="303B44"/>
          <w:sz w:val="20"/>
          <w:szCs w:val="20"/>
        </w:rPr>
        <w:t>. </w:t>
      </w:r>
    </w:p>
    <w:p w:rsidR="0075415C" w:rsidRPr="0075415C" w:rsidRDefault="0075415C" w:rsidP="0075415C">
      <w:pPr>
        <w:spacing w:after="225" w:line="336" w:lineRule="atLeast"/>
        <w:rPr>
          <w:rFonts w:ascii="Arial" w:eastAsia="Times New Roman" w:hAnsi="Arial" w:cs="Arial"/>
          <w:color w:val="303B44"/>
          <w:sz w:val="20"/>
          <w:szCs w:val="20"/>
        </w:rPr>
      </w:pPr>
      <w:r w:rsidRPr="0075415C">
        <w:rPr>
          <w:rFonts w:ascii="Arial" w:eastAsia="Times New Roman" w:hAnsi="Arial" w:cs="Arial"/>
          <w:color w:val="303B44"/>
          <w:sz w:val="20"/>
          <w:szCs w:val="20"/>
        </w:rPr>
        <w:t xml:space="preserve">CIPD members can use our </w:t>
      </w:r>
      <w:hyperlink r:id="rId23" w:history="1">
        <w:r w:rsidRPr="0075415C">
          <w:rPr>
            <w:rFonts w:ascii="Arial" w:eastAsia="Times New Roman" w:hAnsi="Arial" w:cs="Arial"/>
            <w:color w:val="1578BE"/>
            <w:sz w:val="20"/>
            <w:szCs w:val="20"/>
          </w:rPr>
          <w:t>online journals</w:t>
        </w:r>
      </w:hyperlink>
      <w:r w:rsidRPr="0075415C">
        <w:rPr>
          <w:rFonts w:ascii="Arial" w:eastAsia="Times New Roman" w:hAnsi="Arial" w:cs="Arial"/>
          <w:color w:val="303B44"/>
          <w:sz w:val="20"/>
          <w:szCs w:val="20"/>
        </w:rPr>
        <w:t xml:space="preserve"> to find articles from over 300 journal titles relevant to HR. </w:t>
      </w:r>
      <w:r w:rsidRPr="0075415C">
        <w:rPr>
          <w:rFonts w:ascii="Arial" w:eastAsia="Times New Roman" w:hAnsi="Arial" w:cs="Arial"/>
          <w:color w:val="303B44"/>
          <w:sz w:val="20"/>
          <w:szCs w:val="20"/>
        </w:rPr>
        <w:br/>
        <w:t xml:space="preserve">Members and </w:t>
      </w:r>
      <w:r w:rsidRPr="0075415C">
        <w:rPr>
          <w:rFonts w:ascii="Arial" w:eastAsia="Times New Roman" w:hAnsi="Arial" w:cs="Arial"/>
          <w:i/>
          <w:iCs/>
          <w:color w:val="303B44"/>
          <w:sz w:val="20"/>
        </w:rPr>
        <w:t>People Management</w:t>
      </w:r>
      <w:r w:rsidRPr="0075415C">
        <w:rPr>
          <w:rFonts w:ascii="Arial" w:eastAsia="Times New Roman" w:hAnsi="Arial" w:cs="Arial"/>
          <w:color w:val="303B44"/>
          <w:sz w:val="20"/>
          <w:szCs w:val="20"/>
        </w:rPr>
        <w:t xml:space="preserve"> subscribers can see articles on the </w:t>
      </w:r>
      <w:hyperlink r:id="rId24" w:history="1">
        <w:r w:rsidRPr="0075415C">
          <w:rPr>
            <w:rFonts w:ascii="Arial" w:eastAsia="Times New Roman" w:hAnsi="Arial" w:cs="Arial"/>
            <w:i/>
            <w:iCs/>
            <w:color w:val="1578BE"/>
            <w:sz w:val="20"/>
          </w:rPr>
          <w:t>People Management</w:t>
        </w:r>
        <w:r w:rsidRPr="0075415C">
          <w:rPr>
            <w:rFonts w:ascii="Arial" w:eastAsia="Times New Roman" w:hAnsi="Arial" w:cs="Arial"/>
            <w:color w:val="1578BE"/>
            <w:sz w:val="20"/>
            <w:szCs w:val="20"/>
          </w:rPr>
          <w:t xml:space="preserve"> website.</w:t>
        </w:r>
      </w:hyperlink>
    </w:p>
    <w:p w:rsidR="0041518C" w:rsidRDefault="0041518C"/>
    <w:sectPr w:rsidR="0041518C" w:rsidSect="004151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514CA"/>
    <w:multiLevelType w:val="multilevel"/>
    <w:tmpl w:val="63BED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006CCA"/>
    <w:multiLevelType w:val="multilevel"/>
    <w:tmpl w:val="9806A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2438CC"/>
    <w:multiLevelType w:val="multilevel"/>
    <w:tmpl w:val="505E9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5A04AD9"/>
    <w:multiLevelType w:val="multilevel"/>
    <w:tmpl w:val="3EBE9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8785D33"/>
    <w:multiLevelType w:val="multilevel"/>
    <w:tmpl w:val="927E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3495DBE"/>
    <w:multiLevelType w:val="multilevel"/>
    <w:tmpl w:val="0A48F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7383A0D"/>
    <w:multiLevelType w:val="multilevel"/>
    <w:tmpl w:val="A7BA1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0EB67A5"/>
    <w:multiLevelType w:val="multilevel"/>
    <w:tmpl w:val="E7F2E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F0D0730"/>
    <w:multiLevelType w:val="multilevel"/>
    <w:tmpl w:val="C60C6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300297F"/>
    <w:multiLevelType w:val="multilevel"/>
    <w:tmpl w:val="30C8E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0F340F3"/>
    <w:multiLevelType w:val="multilevel"/>
    <w:tmpl w:val="CAB4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2984AF6"/>
    <w:multiLevelType w:val="multilevel"/>
    <w:tmpl w:val="04581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A037B19"/>
    <w:multiLevelType w:val="multilevel"/>
    <w:tmpl w:val="39840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DAC38D5"/>
    <w:multiLevelType w:val="multilevel"/>
    <w:tmpl w:val="23DAB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F3E31EA"/>
    <w:multiLevelType w:val="multilevel"/>
    <w:tmpl w:val="301E7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6"/>
  </w:num>
  <w:num w:numId="3">
    <w:abstractNumId w:val="0"/>
  </w:num>
  <w:num w:numId="4">
    <w:abstractNumId w:val="2"/>
  </w:num>
  <w:num w:numId="5">
    <w:abstractNumId w:val="9"/>
  </w:num>
  <w:num w:numId="6">
    <w:abstractNumId w:val="14"/>
  </w:num>
  <w:num w:numId="7">
    <w:abstractNumId w:val="3"/>
  </w:num>
  <w:num w:numId="8">
    <w:abstractNumId w:val="1"/>
  </w:num>
  <w:num w:numId="9">
    <w:abstractNumId w:val="10"/>
  </w:num>
  <w:num w:numId="10">
    <w:abstractNumId w:val="5"/>
  </w:num>
  <w:num w:numId="11">
    <w:abstractNumId w:val="7"/>
  </w:num>
  <w:num w:numId="12">
    <w:abstractNumId w:val="8"/>
  </w:num>
  <w:num w:numId="13">
    <w:abstractNumId w:val="4"/>
  </w:num>
  <w:num w:numId="14">
    <w:abstractNumId w:val="13"/>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415C"/>
    <w:rsid w:val="00151405"/>
    <w:rsid w:val="002F5A81"/>
    <w:rsid w:val="0041518C"/>
    <w:rsid w:val="006500D9"/>
    <w:rsid w:val="0075415C"/>
    <w:rsid w:val="00C85F14"/>
    <w:rsid w:val="00FF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415C"/>
    <w:pPr>
      <w:spacing w:after="225"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5415C"/>
    <w:rPr>
      <w:b/>
      <w:bCs/>
    </w:rPr>
  </w:style>
  <w:style w:type="character" w:styleId="Emphasis">
    <w:name w:val="Emphasis"/>
    <w:basedOn w:val="DefaultParagraphFont"/>
    <w:uiPriority w:val="20"/>
    <w:qFormat/>
    <w:rsid w:val="0075415C"/>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415C"/>
    <w:pPr>
      <w:spacing w:after="225"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5415C"/>
    <w:rPr>
      <w:b/>
      <w:bCs/>
    </w:rPr>
  </w:style>
  <w:style w:type="character" w:styleId="Emphasis">
    <w:name w:val="Emphasis"/>
    <w:basedOn w:val="DefaultParagraphFont"/>
    <w:uiPriority w:val="20"/>
    <w:qFormat/>
    <w:rsid w:val="007541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98459798">
      <w:bodyDiv w:val="1"/>
      <w:marLeft w:val="0"/>
      <w:marRight w:val="0"/>
      <w:marTop w:val="0"/>
      <w:marBottom w:val="0"/>
      <w:divBdr>
        <w:top w:val="none" w:sz="0" w:space="0" w:color="auto"/>
        <w:left w:val="none" w:sz="0" w:space="0" w:color="auto"/>
        <w:bottom w:val="none" w:sz="0" w:space="0" w:color="auto"/>
        <w:right w:val="none" w:sz="0" w:space="0" w:color="auto"/>
      </w:divBdr>
      <w:divsChild>
        <w:div w:id="473104580">
          <w:marLeft w:val="0"/>
          <w:marRight w:val="0"/>
          <w:marTop w:val="0"/>
          <w:marBottom w:val="0"/>
          <w:divBdr>
            <w:top w:val="none" w:sz="0" w:space="0" w:color="auto"/>
            <w:left w:val="none" w:sz="0" w:space="0" w:color="auto"/>
            <w:bottom w:val="none" w:sz="0" w:space="0" w:color="auto"/>
            <w:right w:val="none" w:sz="0" w:space="0" w:color="auto"/>
          </w:divBdr>
          <w:divsChild>
            <w:div w:id="780607497">
              <w:marLeft w:val="0"/>
              <w:marRight w:val="0"/>
              <w:marTop w:val="0"/>
              <w:marBottom w:val="0"/>
              <w:divBdr>
                <w:top w:val="none" w:sz="0" w:space="0" w:color="auto"/>
                <w:left w:val="none" w:sz="0" w:space="0" w:color="auto"/>
                <w:bottom w:val="none" w:sz="0" w:space="0" w:color="auto"/>
                <w:right w:val="none" w:sz="0" w:space="0" w:color="auto"/>
              </w:divBdr>
              <w:divsChild>
                <w:div w:id="1385563554">
                  <w:marLeft w:val="0"/>
                  <w:marRight w:val="300"/>
                  <w:marTop w:val="0"/>
                  <w:marBottom w:val="0"/>
                  <w:divBdr>
                    <w:top w:val="none" w:sz="0" w:space="0" w:color="auto"/>
                    <w:left w:val="none" w:sz="0" w:space="0" w:color="auto"/>
                    <w:bottom w:val="none" w:sz="0" w:space="0" w:color="auto"/>
                    <w:right w:val="none" w:sz="0" w:space="0" w:color="auto"/>
                  </w:divBdr>
                  <w:divsChild>
                    <w:div w:id="389840321">
                      <w:marLeft w:val="0"/>
                      <w:marRight w:val="0"/>
                      <w:marTop w:val="0"/>
                      <w:marBottom w:val="0"/>
                      <w:divBdr>
                        <w:top w:val="none" w:sz="0" w:space="0" w:color="auto"/>
                        <w:left w:val="none" w:sz="0" w:space="0" w:color="auto"/>
                        <w:bottom w:val="none" w:sz="0" w:space="0" w:color="auto"/>
                        <w:right w:val="none" w:sz="0" w:space="0" w:color="auto"/>
                      </w:divBdr>
                    </w:div>
                    <w:div w:id="1030444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ipd.co.uk/hr-resources/factsheets/human-capital.aspx" TargetMode="External"/><Relationship Id="rId13" Type="http://schemas.openxmlformats.org/officeDocument/2006/relationships/hyperlink" Target="http://www.cipd.co.uk/hr-resources/factsheets/employee-engagement.aspx" TargetMode="External"/><Relationship Id="rId18" Type="http://schemas.openxmlformats.org/officeDocument/2006/relationships/hyperlink" Target="http://www.cipd.co.uk/hr-resources/guides/human-capital-reporting-internal-perspective.aspx"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www.accenture.com/us-en/Pages/insight-new-generation-human-capital-analytics-summary.asp" TargetMode="External"/><Relationship Id="rId7" Type="http://schemas.openxmlformats.org/officeDocument/2006/relationships/hyperlink" Target="http://www.cipd.co.uk/hr-resources/factsheets/human-capital.aspx" TargetMode="External"/><Relationship Id="rId12" Type="http://schemas.openxmlformats.org/officeDocument/2006/relationships/hyperlink" Target="http://www.cipd.co.uk/hr-resources/practical-tools/human-capital-management.aspx" TargetMode="External"/><Relationship Id="rId17" Type="http://schemas.openxmlformats.org/officeDocument/2006/relationships/hyperlink" Target="http://www.cipd.co.uk/hr-resources/research/human-capital-management-inform-decisions.asp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cipd.co.uk/hr-resources/research/human-capital-management-disclosure-uk-reports-analysis.aspx" TargetMode="External"/><Relationship Id="rId20" Type="http://schemas.openxmlformats.org/officeDocument/2006/relationships/hyperlink" Target="http://www.bis.gov.uk/assets/biscore/business-law/docs/n/10-1057-future-narrative-reporting-consultation" TargetMode="External"/><Relationship Id="rId1" Type="http://schemas.openxmlformats.org/officeDocument/2006/relationships/numbering" Target="numbering.xml"/><Relationship Id="rId6" Type="http://schemas.openxmlformats.org/officeDocument/2006/relationships/hyperlink" Target="http://www.cipd.co.uk/hr-resources/factsheets/human-capital.aspx" TargetMode="External"/><Relationship Id="rId11" Type="http://schemas.openxmlformats.org/officeDocument/2006/relationships/hyperlink" Target="http://www.cipd.co.uk/hr-resources/factsheets/human-capital.aspx" TargetMode="External"/><Relationship Id="rId24" Type="http://schemas.openxmlformats.org/officeDocument/2006/relationships/hyperlink" Target="http://www.peoplemanagement.co.uk" TargetMode="External"/><Relationship Id="rId5" Type="http://schemas.openxmlformats.org/officeDocument/2006/relationships/webSettings" Target="webSettings.xml"/><Relationship Id="rId15" Type="http://schemas.openxmlformats.org/officeDocument/2006/relationships/hyperlink" Target="http://www.cipd.co.uk/publicpolicy/_narrativereporting1010.htm" TargetMode="External"/><Relationship Id="rId23" Type="http://schemas.openxmlformats.org/officeDocument/2006/relationships/hyperlink" Target="http://www.cipd.co.uk/onlineinfodocuments/journals" TargetMode="External"/><Relationship Id="rId10" Type="http://schemas.openxmlformats.org/officeDocument/2006/relationships/hyperlink" Target="http://www.cipd.co.uk/hr-resources/factsheets/human-capital.aspx" TargetMode="External"/><Relationship Id="rId19" Type="http://schemas.openxmlformats.org/officeDocument/2006/relationships/hyperlink" Target="http://www.deloitte.com/view/en_GB/uk/news/news-releases/3f68dca8434cb210VgnVCM3000001c56f00aRCRD.htm" TargetMode="External"/><Relationship Id="rId4" Type="http://schemas.openxmlformats.org/officeDocument/2006/relationships/settings" Target="settings.xml"/><Relationship Id="rId9" Type="http://schemas.openxmlformats.org/officeDocument/2006/relationships/hyperlink" Target="http://www.cipd.co.uk/hr-resources/factsheets/human-capital.aspx" TargetMode="External"/><Relationship Id="rId14" Type="http://schemas.openxmlformats.org/officeDocument/2006/relationships/hyperlink" Target="http://www.cipd.co.uk/hr-resources/factsheets/corporate-governance.aspx" TargetMode="External"/><Relationship Id="rId22" Type="http://schemas.openxmlformats.org/officeDocument/2006/relationships/hyperlink" Target="http://www.cipd.co.uk/bookst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2702</Words>
  <Characters>15407</Characters>
  <Application>Microsoft Office Word</Application>
  <DocSecurity>4</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Glyndwr University</Company>
  <LinksUpToDate>false</LinksUpToDate>
  <CharactersWithSpaces>18073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Emmens</dc:creator>
  <cp:lastModifiedBy>Andrew Caswell</cp:lastModifiedBy>
  <cp:revision>2</cp:revision>
  <dcterms:created xsi:type="dcterms:W3CDTF">2013-01-03T12:05:00Z</dcterms:created>
  <dcterms:modified xsi:type="dcterms:W3CDTF">2013-01-03T12:05:00Z</dcterms:modified>
</cp:coreProperties>
</file>