
<file path=[Content_Types].xml><?xml version="1.0" encoding="utf-8"?>
<Types xmlns="http://schemas.openxmlformats.org/package/2006/content-types">
  <Override PartName="/customXml/itemProps1.xml" ContentType="application/vnd.openxmlformats-officedocument.customXmlProperties+xml"/>
  <Override PartName="/word/glossary/fontTable.xml" ContentType="application/vnd.openxmlformats-officedocument.wordprocessingml.fontTable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glossary/document.xml" ContentType="application/vnd.openxmlformats-officedocument.wordprocessingml.document.glossary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16447" w:rsidRDefault="00516447" w:rsidP="00516447">
      <w:pPr>
        <w:rPr>
          <w:rFonts w:asciiTheme="majorHAnsi" w:hAnsiTheme="majorHAnsi"/>
          <w:b/>
          <w:sz w:val="36"/>
          <w:szCs w:val="36"/>
        </w:rPr>
      </w:pPr>
      <w:bookmarkStart w:id="0" w:name="_Toc310852102"/>
      <w:bookmarkStart w:id="1" w:name="_Toc310852194"/>
      <w:bookmarkStart w:id="2" w:name="_Toc310852253"/>
    </w:p>
    <w:p w:rsidR="00516447" w:rsidRDefault="00516447" w:rsidP="00516447">
      <w:pPr>
        <w:rPr>
          <w:rFonts w:asciiTheme="majorHAnsi" w:hAnsiTheme="majorHAnsi"/>
          <w:b/>
          <w:sz w:val="36"/>
          <w:szCs w:val="36"/>
        </w:rPr>
      </w:pPr>
    </w:p>
    <w:p w:rsidR="00516447" w:rsidRDefault="00516447" w:rsidP="00516447">
      <w:pPr>
        <w:rPr>
          <w:rFonts w:asciiTheme="majorHAnsi" w:hAnsiTheme="majorHAnsi"/>
          <w:b/>
          <w:sz w:val="36"/>
          <w:szCs w:val="36"/>
        </w:rPr>
      </w:pPr>
    </w:p>
    <w:p w:rsidR="00516447" w:rsidRDefault="00516447" w:rsidP="00516447">
      <w:pPr>
        <w:rPr>
          <w:rFonts w:asciiTheme="majorHAnsi" w:hAnsiTheme="majorHAnsi"/>
          <w:b/>
          <w:sz w:val="36"/>
          <w:szCs w:val="36"/>
        </w:rPr>
      </w:pPr>
    </w:p>
    <w:p w:rsidR="00516447" w:rsidRPr="00516447" w:rsidRDefault="00ED302E" w:rsidP="00516447">
      <w:pPr>
        <w:rPr>
          <w:rFonts w:asciiTheme="majorHAnsi" w:hAnsiTheme="majorHAnsi"/>
          <w:b/>
          <w:sz w:val="36"/>
          <w:szCs w:val="36"/>
        </w:rPr>
      </w:pPr>
      <w:r w:rsidRPr="00516447">
        <w:rPr>
          <w:rFonts w:asciiTheme="majorHAnsi" w:hAnsiTheme="majorHAnsi"/>
          <w:b/>
          <w:sz w:val="36"/>
          <w:szCs w:val="36"/>
        </w:rPr>
        <w:t>An</w:t>
      </w:r>
      <w:bookmarkStart w:id="3" w:name="_Toc310852254"/>
      <w:bookmarkEnd w:id="2"/>
      <w:r w:rsidR="00516447" w:rsidRPr="00516447">
        <w:rPr>
          <w:rFonts w:asciiTheme="majorHAnsi" w:hAnsiTheme="majorHAnsi"/>
          <w:b/>
          <w:sz w:val="36"/>
          <w:szCs w:val="36"/>
        </w:rPr>
        <w:t xml:space="preserve"> unstructured report</w:t>
      </w:r>
      <w:bookmarkEnd w:id="3"/>
    </w:p>
    <w:p w:rsidR="00516447" w:rsidRPr="00516447" w:rsidRDefault="00516447" w:rsidP="00516447">
      <w:pPr>
        <w:rPr>
          <w:rFonts w:asciiTheme="majorHAnsi" w:hAnsiTheme="majorHAnsi"/>
          <w:b/>
          <w:sz w:val="36"/>
          <w:szCs w:val="36"/>
        </w:rPr>
      </w:pPr>
      <w:bookmarkStart w:id="4" w:name="_Toc310852103"/>
      <w:bookmarkStart w:id="5" w:name="_Toc310852195"/>
      <w:bookmarkStart w:id="6" w:name="_Toc310852255"/>
      <w:r w:rsidRPr="00516447">
        <w:rPr>
          <w:rFonts w:asciiTheme="majorHAnsi" w:hAnsiTheme="majorHAnsi"/>
          <w:b/>
          <w:sz w:val="36"/>
          <w:szCs w:val="36"/>
        </w:rPr>
        <w:t xml:space="preserve">By </w:t>
      </w:r>
      <w:proofErr w:type="spellStart"/>
      <w:proofErr w:type="gramStart"/>
      <w:r w:rsidRPr="00516447">
        <w:rPr>
          <w:rFonts w:asciiTheme="majorHAnsi" w:hAnsiTheme="majorHAnsi"/>
          <w:b/>
          <w:sz w:val="36"/>
          <w:szCs w:val="36"/>
        </w:rPr>
        <w:t>chris</w:t>
      </w:r>
      <w:proofErr w:type="spellEnd"/>
      <w:proofErr w:type="gramEnd"/>
      <w:r w:rsidRPr="00516447">
        <w:rPr>
          <w:rFonts w:asciiTheme="majorHAnsi" w:hAnsiTheme="majorHAnsi"/>
          <w:b/>
          <w:sz w:val="36"/>
          <w:szCs w:val="36"/>
        </w:rPr>
        <w:t xml:space="preserve"> </w:t>
      </w:r>
      <w:proofErr w:type="spellStart"/>
      <w:r w:rsidRPr="00516447">
        <w:rPr>
          <w:rFonts w:asciiTheme="majorHAnsi" w:hAnsiTheme="majorHAnsi"/>
          <w:b/>
          <w:sz w:val="36"/>
          <w:szCs w:val="36"/>
        </w:rPr>
        <w:t>wyatt</w:t>
      </w:r>
      <w:bookmarkStart w:id="7" w:name="_Toc310852104"/>
      <w:bookmarkStart w:id="8" w:name="_Toc310852196"/>
      <w:bookmarkStart w:id="9" w:name="_Toc310852256"/>
      <w:bookmarkEnd w:id="4"/>
      <w:bookmarkEnd w:id="5"/>
      <w:bookmarkEnd w:id="6"/>
      <w:proofErr w:type="spellEnd"/>
    </w:p>
    <w:p w:rsidR="00516447" w:rsidRPr="00516447" w:rsidRDefault="00516447" w:rsidP="00516447">
      <w:pPr>
        <w:rPr>
          <w:rFonts w:asciiTheme="majorHAnsi" w:hAnsiTheme="majorHAnsi"/>
          <w:b/>
          <w:sz w:val="36"/>
          <w:szCs w:val="36"/>
        </w:rPr>
      </w:pPr>
      <w:r w:rsidRPr="00516447">
        <w:rPr>
          <w:rFonts w:asciiTheme="majorHAnsi" w:hAnsiTheme="majorHAnsi"/>
          <w:b/>
          <w:sz w:val="36"/>
          <w:szCs w:val="36"/>
        </w:rPr>
        <w:t>2/12/11</w:t>
      </w:r>
      <w:bookmarkEnd w:id="7"/>
      <w:bookmarkEnd w:id="8"/>
      <w:bookmarkEnd w:id="9"/>
    </w:p>
    <w:bookmarkEnd w:id="0"/>
    <w:bookmarkEnd w:id="1"/>
    <w:p w:rsidR="00516447" w:rsidRDefault="00516447">
      <w:pPr>
        <w:rPr>
          <w:rFonts w:asciiTheme="majorHAnsi" w:hAnsiTheme="majorHAnsi"/>
          <w:b/>
          <w:sz w:val="36"/>
          <w:szCs w:val="36"/>
        </w:rPr>
      </w:pPr>
      <w:r>
        <w:rPr>
          <w:rFonts w:asciiTheme="majorHAnsi" w:hAnsiTheme="majorHAnsi"/>
          <w:b/>
          <w:sz w:val="36"/>
          <w:szCs w:val="36"/>
        </w:rPr>
        <w:br w:type="page"/>
      </w:r>
    </w:p>
    <w:p w:rsidR="00ED302E" w:rsidRPr="00516447" w:rsidRDefault="00ED302E" w:rsidP="00516447">
      <w:pPr>
        <w:rPr>
          <w:rFonts w:asciiTheme="majorHAnsi" w:hAnsiTheme="majorHAnsi"/>
          <w:b/>
          <w:sz w:val="36"/>
          <w:szCs w:val="36"/>
        </w:rPr>
      </w:pPr>
    </w:p>
    <w:p w:rsidR="00046307" w:rsidRPr="00046307" w:rsidRDefault="00046307" w:rsidP="00046307">
      <w:pPr>
        <w:pStyle w:val="HEding"/>
      </w:pPr>
      <w:r w:rsidRPr="00046307">
        <w:t>Abstract</w:t>
      </w:r>
    </w:p>
    <w:p w:rsidR="00516447" w:rsidRDefault="00ED302E" w:rsidP="00516447">
      <w:r w:rsidRPr="002532A1">
        <w:rPr>
          <w:rStyle w:val="AbstractChar"/>
        </w:rPr>
        <w:t>This report tell</w:t>
      </w:r>
      <w:r w:rsidR="00FD01A9">
        <w:rPr>
          <w:rStyle w:val="AbstractChar"/>
        </w:rPr>
        <w:t xml:space="preserve">s you how not to use word when </w:t>
      </w:r>
      <w:r w:rsidRPr="002532A1">
        <w:rPr>
          <w:rStyle w:val="AbstractChar"/>
        </w:rPr>
        <w:t>creating a report.  There are numerous innovative features in the reports such as a lack of table o</w:t>
      </w:r>
      <w:r w:rsidR="00A810EB" w:rsidRPr="002532A1">
        <w:rPr>
          <w:rStyle w:val="AbstractChar"/>
        </w:rPr>
        <w:t xml:space="preserve">f contents, no reference table and </w:t>
      </w:r>
    </w:p>
    <w:sdt>
      <w:sdtPr>
        <w:id w:val="12702719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b w:val="0"/>
          <w:bCs w:val="0"/>
          <w:sz w:val="22"/>
          <w:szCs w:val="22"/>
        </w:rPr>
      </w:sdtEndPr>
      <w:sdtContent>
        <w:p w:rsidR="00516447" w:rsidRDefault="00516447">
          <w:pPr>
            <w:pStyle w:val="TOCHeading"/>
          </w:pPr>
          <w:r>
            <w:t>Contents</w:t>
          </w:r>
        </w:p>
        <w:p w:rsidR="00516447" w:rsidRDefault="00516447">
          <w:pPr>
            <w:pStyle w:val="TOC1"/>
            <w:tabs>
              <w:tab w:val="right" w:leader="dot" w:pos="9016"/>
            </w:tabs>
            <w:rPr>
              <w:noProof/>
              <w:lang w:val="en-GB" w:eastAsia="en-GB" w:bidi="ar-SA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310852346" w:history="1">
            <w:r w:rsidRPr="00DF31FF">
              <w:rPr>
                <w:rStyle w:val="Hyperlink"/>
                <w:noProof/>
              </w:rPr>
              <w:t>Abstract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_Toc310852346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16447" w:rsidRDefault="00516447">
          <w:pPr>
            <w:pStyle w:val="TOC1"/>
            <w:tabs>
              <w:tab w:val="right" w:leader="dot" w:pos="9016"/>
            </w:tabs>
            <w:rPr>
              <w:noProof/>
              <w:lang w:val="en-GB" w:eastAsia="en-GB" w:bidi="ar-SA"/>
            </w:rPr>
          </w:pPr>
          <w:hyperlink w:anchor="_Toc310852347" w:history="1">
            <w:r w:rsidRPr="00DF31FF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_Toc310852347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16447" w:rsidRDefault="00516447">
          <w:pPr>
            <w:pStyle w:val="TOC1"/>
            <w:tabs>
              <w:tab w:val="right" w:leader="dot" w:pos="9016"/>
            </w:tabs>
            <w:rPr>
              <w:noProof/>
              <w:lang w:val="en-GB" w:eastAsia="en-GB" w:bidi="ar-SA"/>
            </w:rPr>
          </w:pPr>
          <w:hyperlink w:anchor="_Toc310852348" w:history="1">
            <w:r w:rsidRPr="00DF31FF">
              <w:rPr>
                <w:rStyle w:val="Hyperlink"/>
                <w:noProof/>
              </w:rPr>
              <w:t>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_Toc310852348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16447" w:rsidRDefault="00516447">
          <w:pPr>
            <w:pStyle w:val="TOC1"/>
            <w:tabs>
              <w:tab w:val="right" w:leader="dot" w:pos="9016"/>
            </w:tabs>
            <w:rPr>
              <w:noProof/>
              <w:lang w:val="en-GB" w:eastAsia="en-GB" w:bidi="ar-SA"/>
            </w:rPr>
          </w:pPr>
          <w:hyperlink w:anchor="_Toc310852349" w:history="1">
            <w:r w:rsidRPr="00DF31FF">
              <w:rPr>
                <w:rStyle w:val="Hyperlink"/>
                <w:noProof/>
              </w:rPr>
              <w:t>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_Toc310852349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16447" w:rsidRDefault="00516447">
          <w:pPr>
            <w:pStyle w:val="TOC1"/>
            <w:tabs>
              <w:tab w:val="right" w:leader="dot" w:pos="9016"/>
            </w:tabs>
            <w:rPr>
              <w:noProof/>
              <w:lang w:val="en-GB" w:eastAsia="en-GB" w:bidi="ar-SA"/>
            </w:rPr>
          </w:pPr>
          <w:hyperlink w:anchor="_Toc310852350" w:history="1">
            <w:r w:rsidRPr="00DF31FF">
              <w:rPr>
                <w:rStyle w:val="Hyperlink"/>
                <w:noProof/>
              </w:rPr>
              <w:t>Discussion of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_Toc310852350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16447" w:rsidRDefault="00516447">
          <w:pPr>
            <w:pStyle w:val="TOC1"/>
            <w:tabs>
              <w:tab w:val="right" w:leader="dot" w:pos="9016"/>
            </w:tabs>
            <w:rPr>
              <w:noProof/>
              <w:lang w:val="en-GB" w:eastAsia="en-GB" w:bidi="ar-SA"/>
            </w:rPr>
          </w:pPr>
          <w:hyperlink w:anchor="_Toc310852351" w:history="1">
            <w:r w:rsidRPr="00DF31FF">
              <w:rPr>
                <w:rStyle w:val="Hyperlink"/>
                <w:noProof/>
              </w:rPr>
              <w:t>Conclusions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_Toc310852351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16447" w:rsidRDefault="00516447">
          <w:r>
            <w:fldChar w:fldCharType="end"/>
          </w:r>
        </w:p>
      </w:sdtContent>
    </w:sdt>
    <w:p w:rsidR="00A810EB" w:rsidRDefault="00A810EB" w:rsidP="002532A1">
      <w:pPr>
        <w:pStyle w:val="Abstract"/>
      </w:pPr>
    </w:p>
    <w:p w:rsidR="00DB1076" w:rsidRDefault="00A810EB" w:rsidP="0028749A">
      <w:bookmarkStart w:id="10" w:name="_Toc310852198"/>
      <w:bookmarkStart w:id="11" w:name="_Toc310852258"/>
      <w:bookmarkStart w:id="12" w:name="_Toc310852347"/>
      <w:r w:rsidRPr="002532A1">
        <w:rPr>
          <w:rStyle w:val="Heading1Char"/>
        </w:rPr>
        <w:t>Introduction</w:t>
      </w:r>
      <w:bookmarkEnd w:id="10"/>
      <w:bookmarkEnd w:id="11"/>
      <w:bookmarkEnd w:id="12"/>
      <w:r>
        <w:t xml:space="preserve"> </w:t>
      </w:r>
    </w:p>
    <w:p w:rsidR="00A810EB" w:rsidRDefault="00A810EB" w:rsidP="0028749A">
      <w:pPr>
        <w:rPr>
          <w:sz w:val="20"/>
          <w:szCs w:val="20"/>
        </w:rPr>
      </w:pPr>
      <w:r>
        <w:t xml:space="preserve"> </w:t>
      </w:r>
      <w:proofErr w:type="spellStart"/>
      <w:r w:rsidRPr="002532A1">
        <w:t>Organisations</w:t>
      </w:r>
      <w:proofErr w:type="spellEnd"/>
      <w:r w:rsidRPr="002532A1">
        <w:t xml:space="preserve"> in the unconstrained sector have an estimated annual energy use of 182 </w:t>
      </w:r>
      <w:proofErr w:type="spellStart"/>
      <w:r w:rsidRPr="002532A1">
        <w:t>TWh</w:t>
      </w:r>
      <w:proofErr w:type="spellEnd"/>
      <w:r w:rsidRPr="002532A1">
        <w:t>. This applies to energy use from stationary sources, such as space heating and lighting in buildings, or manufacturing processes within industry. When expressed in terms of the associated</w:t>
      </w:r>
      <w:r>
        <w:rPr>
          <w:sz w:val="20"/>
          <w:szCs w:val="20"/>
        </w:rPr>
        <w:t xml:space="preserve"> </w:t>
      </w:r>
    </w:p>
    <w:p w:rsidR="00537D2D" w:rsidRDefault="00537D2D" w:rsidP="0028749A">
      <w:pPr>
        <w:rPr>
          <w:sz w:val="24"/>
          <w:szCs w:val="24"/>
        </w:rPr>
      </w:pPr>
    </w:p>
    <w:p w:rsidR="002532A1" w:rsidRDefault="00537D2D" w:rsidP="0028749A">
      <w:pPr>
        <w:pStyle w:val="NoSpacing"/>
        <w:rPr>
          <w:rStyle w:val="Heading1Char"/>
        </w:rPr>
      </w:pPr>
      <w:bookmarkStart w:id="13" w:name="_Toc310852199"/>
      <w:bookmarkStart w:id="14" w:name="_Toc310852259"/>
      <w:bookmarkStart w:id="15" w:name="_Toc310852348"/>
      <w:r w:rsidRPr="002532A1">
        <w:rPr>
          <w:rStyle w:val="Heading1Char"/>
        </w:rPr>
        <w:t>M</w:t>
      </w:r>
      <w:r w:rsidR="00A810EB" w:rsidRPr="002532A1">
        <w:rPr>
          <w:rStyle w:val="Heading1Char"/>
        </w:rPr>
        <w:t>ethodology</w:t>
      </w:r>
      <w:bookmarkEnd w:id="13"/>
      <w:bookmarkEnd w:id="14"/>
      <w:bookmarkEnd w:id="15"/>
    </w:p>
    <w:p w:rsidR="002532A1" w:rsidRDefault="002532A1" w:rsidP="0028749A">
      <w:pPr>
        <w:pStyle w:val="NoSpacing"/>
      </w:pPr>
    </w:p>
    <w:p w:rsidR="00A810EB" w:rsidRDefault="00DB1076" w:rsidP="0028749A">
      <w:pPr>
        <w:pStyle w:val="NoSpacing"/>
      </w:pPr>
      <w:r>
        <w:br/>
      </w:r>
      <w:r w:rsidR="00A810EB">
        <w:t xml:space="preserve">The methodology </w:t>
      </w:r>
      <w:proofErr w:type="gramStart"/>
      <w:r w:rsidR="00A810EB">
        <w:t>is  described</w:t>
      </w:r>
      <w:proofErr w:type="gramEnd"/>
      <w:r w:rsidR="00A810EB">
        <w:t xml:space="preserve"> here but in Includes some maths</w:t>
      </w:r>
    </w:p>
    <w:p w:rsidR="00DB1076" w:rsidRDefault="00DB1076" w:rsidP="0028749A"/>
    <w:p w:rsidR="00DB1076" w:rsidRDefault="00DB1076" w:rsidP="0028749A"/>
    <w:p w:rsidR="00A810EB" w:rsidRDefault="00DB1076" w:rsidP="0028749A">
      <w:pPr>
        <w:rPr>
          <w:sz w:val="20"/>
          <w:szCs w:val="20"/>
        </w:rPr>
      </w:pPr>
      <m:oMathPara>
        <m:oMath>
          <m:r>
            <w:rPr>
              <w:rFonts w:ascii="Cambria Math" w:hAnsi="Symbol"/>
            </w:rPr>
            <m:t>x=R</m:t>
          </m:r>
          <m:func>
            <m:funcPr>
              <m:ctrlPr>
                <w:rPr>
                  <w:rFonts w:ascii="Cambria Math" w:hAnsi="Symbol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Symbol"/>
                </w:rPr>
                <m:t>sin</m:t>
              </m:r>
              <m:ctrlPr>
                <w:rPr>
                  <w:rFonts w:ascii="Cambria Math" w:hAnsi="Symbol"/>
                </w:rPr>
              </m:ctrlPr>
            </m:fName>
            <m:e>
              <m:d>
                <m:dPr>
                  <m:ctrlPr>
                    <w:rPr>
                      <w:rFonts w:ascii="Cambria Math" w:hAnsi="Symbol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ω</m:t>
                  </m:r>
                  <m:r>
                    <w:rPr>
                      <w:rFonts w:ascii="Cambria Math" w:hAnsi="Symbol"/>
                    </w:rPr>
                    <m:t>t</m:t>
                  </m:r>
                </m:e>
              </m:d>
            </m:e>
          </m:func>
        </m:oMath>
      </m:oMathPara>
    </w:p>
    <w:p w:rsidR="00A810EB" w:rsidRDefault="000620E9" w:rsidP="0028749A">
      <w:pPr>
        <w:rPr>
          <w:sz w:val="20"/>
          <w:szCs w:val="20"/>
        </w:rPr>
      </w:pPr>
      <m:oMathPara>
        <m:oMath>
          <m:r>
            <w:rPr>
              <w:rFonts w:ascii="Cambria Math" w:hAnsi="Cambria Math"/>
              <w:sz w:val="20"/>
              <w:szCs w:val="20"/>
            </w:rPr>
            <m:t>φ=</m:t>
          </m:r>
          <m:func>
            <m:funcPr>
              <m:ctrlPr>
                <w:rPr>
                  <w:rFonts w:ascii="Cambria Math" w:hAnsi="Cambria Math"/>
                  <w:i/>
                  <w:sz w:val="20"/>
                  <w:szCs w:val="20"/>
                </w:rPr>
              </m:ctrlPr>
            </m:funcPr>
            <m:fName>
              <m:sSup>
                <m:sSupPr>
                  <m:ctrlPr>
                    <w:rPr>
                      <w:rFonts w:ascii="Cambria Math" w:hAnsi="Cambria Math"/>
                      <w:i/>
                      <w:sz w:val="20"/>
                      <w:szCs w:val="20"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hAnsi="Cambria Math"/>
                      <w:sz w:val="20"/>
                      <w:szCs w:val="20"/>
                    </w:rPr>
                    <m:t>sin</m:t>
                  </m:r>
                  <m:ctrlPr>
                    <w:rPr>
                      <w:rFonts w:ascii="Cambria Math" w:hAnsi="Cambria Math"/>
                      <w:sz w:val="20"/>
                      <w:szCs w:val="20"/>
                    </w:rPr>
                  </m:ctrlPr>
                </m:e>
                <m:sup>
                  <m:r>
                    <w:rPr>
                      <w:rFonts w:ascii="Cambria Math" w:hAnsi="Cambria Math"/>
                      <w:sz w:val="20"/>
                      <w:szCs w:val="20"/>
                    </w:rPr>
                    <m:t>-1</m:t>
                  </m:r>
                </m:sup>
              </m:sSup>
            </m:fName>
            <m:e>
              <m:f>
                <m:fPr>
                  <m:ctrlPr>
                    <w:rPr>
                      <w:rFonts w:ascii="Cambria Math" w:hAnsi="Cambria Math"/>
                      <w:i/>
                      <w:sz w:val="20"/>
                      <w:szCs w:val="20"/>
                    </w:rPr>
                  </m:ctrlPr>
                </m:fPr>
                <m:num>
                  <m:r>
                    <w:rPr>
                      <w:rFonts w:ascii="Cambria Math" w:hAnsi="Cambria Math"/>
                      <w:sz w:val="20"/>
                      <w:szCs w:val="20"/>
                    </w:rPr>
                    <m:t>x</m:t>
                  </m:r>
                </m:num>
                <m:den>
                  <m:r>
                    <w:rPr>
                      <w:rFonts w:ascii="Cambria Math" w:hAnsi="Cambria Math"/>
                      <w:sz w:val="20"/>
                      <w:szCs w:val="20"/>
                    </w:rPr>
                    <m:t>l</m:t>
                  </m:r>
                </m:den>
              </m:f>
            </m:e>
          </m:func>
        </m:oMath>
      </m:oMathPara>
    </w:p>
    <w:p w:rsidR="00E0110C" w:rsidRDefault="00E0110C" w:rsidP="0028749A">
      <w:pPr>
        <w:rPr>
          <w:sz w:val="20"/>
          <w:szCs w:val="20"/>
        </w:rPr>
      </w:pPr>
    </w:p>
    <w:p w:rsidR="00A810EB" w:rsidRDefault="00E0110C" w:rsidP="0028749A">
      <w:pPr>
        <w:rPr>
          <w:sz w:val="20"/>
          <w:szCs w:val="20"/>
        </w:rPr>
      </w:pPr>
      <m:oMathPara>
        <m:oMath>
          <m:r>
            <w:rPr>
              <w:rFonts w:ascii="Cambria Math" w:hAnsi="Cambria Math"/>
              <w:sz w:val="20"/>
              <w:szCs w:val="20"/>
            </w:rPr>
            <m:t xml:space="preserve">h=l </m:t>
          </m:r>
          <m:func>
            <m:funcPr>
              <m:ctrlPr>
                <w:rPr>
                  <w:rFonts w:ascii="Cambria Math" w:hAnsi="Cambria Math"/>
                  <w:i/>
                  <w:sz w:val="20"/>
                  <w:szCs w:val="20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  <w:sz w:val="20"/>
                  <w:szCs w:val="20"/>
                </w:rPr>
                <m:t>cos</m:t>
              </m:r>
            </m:fName>
            <m:e>
              <m:r>
                <w:rPr>
                  <w:rFonts w:ascii="Cambria Math" w:hAnsi="Cambria Math"/>
                  <w:sz w:val="20"/>
                  <w:szCs w:val="20"/>
                </w:rPr>
                <m:t xml:space="preserve">φ+r </m:t>
              </m:r>
              <m:func>
                <m:funcPr>
                  <m:ctrlPr>
                    <w:rPr>
                      <w:rFonts w:ascii="Cambria Math" w:hAnsi="Cambria Math"/>
                      <w:i/>
                      <w:sz w:val="20"/>
                      <w:szCs w:val="20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  <w:sz w:val="20"/>
                      <w:szCs w:val="20"/>
                    </w:rPr>
                    <m:t>cos</m:t>
                  </m:r>
                </m:fName>
                <m:e>
                  <m:r>
                    <w:rPr>
                      <w:rFonts w:ascii="Cambria Math" w:hAnsi="Cambria Math"/>
                      <w:sz w:val="20"/>
                      <w:szCs w:val="20"/>
                    </w:rPr>
                    <m:t>ωt</m:t>
                  </m:r>
                </m:e>
              </m:func>
            </m:e>
          </m:func>
        </m:oMath>
      </m:oMathPara>
    </w:p>
    <w:p w:rsidR="00537D2D" w:rsidRDefault="00537D2D" w:rsidP="0028749A">
      <w:pPr>
        <w:rPr>
          <w:sz w:val="20"/>
          <w:szCs w:val="20"/>
        </w:rPr>
      </w:pPr>
      <w:r>
        <w:rPr>
          <w:sz w:val="20"/>
          <w:szCs w:val="20"/>
        </w:rPr>
        <w:t xml:space="preserve">It probably includes a reference or two to the </w:t>
      </w:r>
      <w:proofErr w:type="gramStart"/>
      <w:r>
        <w:rPr>
          <w:sz w:val="20"/>
          <w:szCs w:val="20"/>
        </w:rPr>
        <w:t>spreadsheet .</w:t>
      </w:r>
      <w:proofErr w:type="gramEnd"/>
      <w:r>
        <w:rPr>
          <w:sz w:val="20"/>
          <w:szCs w:val="20"/>
        </w:rPr>
        <w:t xml:space="preserve">  How would you do this?</w:t>
      </w:r>
    </w:p>
    <w:p w:rsidR="00E0110C" w:rsidRPr="00E0110C" w:rsidRDefault="00E0110C" w:rsidP="0028749A">
      <w:pPr>
        <w:rPr>
          <w:rStyle w:val="SubtleReference"/>
        </w:rPr>
      </w:pPr>
      <w:r>
        <w:rPr>
          <w:rStyle w:val="SubtleReference"/>
        </w:rPr>
        <w:t>(</w:t>
      </w:r>
      <w:r w:rsidRPr="00E0110C">
        <w:rPr>
          <w:rStyle w:val="SubtleReference"/>
        </w:rPr>
        <w:t xml:space="preserve">C </w:t>
      </w:r>
      <w:r w:rsidRPr="00FD01A9">
        <w:rPr>
          <w:rStyle w:val="SubtleEmphasis"/>
        </w:rPr>
        <w:t>Wyatt</w:t>
      </w:r>
      <w:r w:rsidRPr="00E0110C">
        <w:rPr>
          <w:rStyle w:val="SubtleReference"/>
        </w:rPr>
        <w:t xml:space="preserve"> 2007</w:t>
      </w:r>
      <w:r>
        <w:rPr>
          <w:rStyle w:val="SubtleReference"/>
        </w:rPr>
        <w:t>)</w:t>
      </w:r>
    </w:p>
    <w:p w:rsidR="00537D2D" w:rsidRDefault="00537D2D" w:rsidP="0028749A">
      <w:pPr>
        <w:rPr>
          <w:sz w:val="20"/>
          <w:szCs w:val="20"/>
        </w:rPr>
      </w:pPr>
    </w:p>
    <w:p w:rsidR="002532A1" w:rsidRDefault="00537D2D" w:rsidP="0028749A">
      <w:pPr>
        <w:rPr>
          <w:rStyle w:val="Heading1Char"/>
        </w:rPr>
      </w:pPr>
      <w:bookmarkStart w:id="16" w:name="_Toc310852200"/>
      <w:bookmarkStart w:id="17" w:name="_Toc310852260"/>
      <w:bookmarkStart w:id="18" w:name="_Toc310852349"/>
      <w:r w:rsidRPr="002532A1">
        <w:rPr>
          <w:rStyle w:val="Heading1Char"/>
        </w:rPr>
        <w:t>Results</w:t>
      </w:r>
      <w:bookmarkEnd w:id="16"/>
      <w:bookmarkEnd w:id="17"/>
      <w:bookmarkEnd w:id="18"/>
    </w:p>
    <w:p w:rsidR="00E0110C" w:rsidRDefault="00537D2D">
      <w:pPr>
        <w:rPr>
          <w:sz w:val="20"/>
          <w:szCs w:val="20"/>
        </w:rPr>
      </w:pPr>
      <w:r w:rsidRPr="00537D2D">
        <w:rPr>
          <w:sz w:val="24"/>
          <w:szCs w:val="24"/>
        </w:rPr>
        <w:t xml:space="preserve"> </w:t>
      </w:r>
      <w:r>
        <w:rPr>
          <w:sz w:val="20"/>
          <w:szCs w:val="20"/>
        </w:rPr>
        <w:t xml:space="preserve">:  How do you get a spreadsheet graph into a word </w:t>
      </w:r>
      <w:proofErr w:type="gramStart"/>
      <w:r>
        <w:rPr>
          <w:sz w:val="20"/>
          <w:szCs w:val="20"/>
        </w:rPr>
        <w:t>document</w:t>
      </w:r>
      <w:proofErr w:type="gramEnd"/>
    </w:p>
    <w:p w:rsidR="00E0110C" w:rsidRDefault="00E0110C" w:rsidP="0028749A">
      <w:pPr>
        <w:rPr>
          <w:sz w:val="20"/>
          <w:szCs w:val="20"/>
        </w:rPr>
      </w:pPr>
      <w:r w:rsidRPr="00E0110C">
        <w:rPr>
          <w:sz w:val="20"/>
          <w:szCs w:val="20"/>
        </w:rPr>
        <w:drawing>
          <wp:inline distT="0" distB="0" distL="0" distR="0">
            <wp:extent cx="5731510" cy="3178049"/>
            <wp:effectExtent l="19050" t="0" r="21590" b="3301"/>
            <wp:docPr id="1" name="Chart 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5"/>
              </a:graphicData>
            </a:graphic>
          </wp:inline>
        </w:drawing>
      </w:r>
    </w:p>
    <w:p w:rsidR="002532A1" w:rsidRDefault="00537D2D" w:rsidP="0028749A">
      <w:pPr>
        <w:rPr>
          <w:sz w:val="24"/>
          <w:szCs w:val="24"/>
        </w:rPr>
      </w:pPr>
      <w:bookmarkStart w:id="19" w:name="_Toc310852201"/>
      <w:bookmarkStart w:id="20" w:name="_Toc310852261"/>
      <w:bookmarkStart w:id="21" w:name="_Toc310852350"/>
      <w:r w:rsidRPr="002532A1">
        <w:rPr>
          <w:rStyle w:val="Heading1Char"/>
        </w:rPr>
        <w:t>Discussion of results</w:t>
      </w:r>
      <w:bookmarkEnd w:id="19"/>
      <w:bookmarkEnd w:id="20"/>
      <w:bookmarkEnd w:id="21"/>
    </w:p>
    <w:p w:rsidR="00537D2D" w:rsidRPr="00537D2D" w:rsidRDefault="00537D2D" w:rsidP="0028749A">
      <w:pPr>
        <w:rPr>
          <w:sz w:val="24"/>
          <w:szCs w:val="24"/>
        </w:rPr>
      </w:pPr>
      <w:r w:rsidRPr="00537D2D">
        <w:rPr>
          <w:sz w:val="20"/>
          <w:szCs w:val="20"/>
        </w:rPr>
        <w:t xml:space="preserve"> </w:t>
      </w:r>
      <w:proofErr w:type="spellStart"/>
      <w:r>
        <w:rPr>
          <w:sz w:val="20"/>
          <w:szCs w:val="20"/>
        </w:rPr>
        <w:t>Organisations</w:t>
      </w:r>
      <w:proofErr w:type="spellEnd"/>
      <w:r>
        <w:rPr>
          <w:sz w:val="20"/>
          <w:szCs w:val="20"/>
        </w:rPr>
        <w:t xml:space="preserve"> in the unconstrained sector have an estimated annual energy use of 182 </w:t>
      </w:r>
      <w:proofErr w:type="spellStart"/>
      <w:r>
        <w:rPr>
          <w:sz w:val="20"/>
          <w:szCs w:val="20"/>
        </w:rPr>
        <w:t>TWh</w:t>
      </w:r>
      <w:proofErr w:type="spellEnd"/>
      <w:r>
        <w:rPr>
          <w:sz w:val="20"/>
          <w:szCs w:val="20"/>
        </w:rPr>
        <w:t>. This applies to energy use from stationary sources, such as space heating and lighting in buildings, or manufacturing processes within industry. When expressed in terms of the associated</w:t>
      </w:r>
    </w:p>
    <w:p w:rsidR="002532A1" w:rsidRDefault="00537D2D" w:rsidP="0028749A">
      <w:pPr>
        <w:rPr>
          <w:rStyle w:val="Heading1Char"/>
        </w:rPr>
      </w:pPr>
      <w:bookmarkStart w:id="22" w:name="_Toc310852202"/>
      <w:bookmarkStart w:id="23" w:name="_Toc310852262"/>
      <w:bookmarkStart w:id="24" w:name="_Toc310852351"/>
      <w:r w:rsidRPr="002532A1">
        <w:rPr>
          <w:rStyle w:val="Heading1Char"/>
        </w:rPr>
        <w:t>Con</w:t>
      </w:r>
      <w:r w:rsidR="00516447">
        <w:rPr>
          <w:rStyle w:val="Heading1Char"/>
        </w:rPr>
        <w:t>c</w:t>
      </w:r>
      <w:r w:rsidRPr="002532A1">
        <w:rPr>
          <w:rStyle w:val="Heading1Char"/>
        </w:rPr>
        <w:t>lusions</w:t>
      </w:r>
      <w:bookmarkEnd w:id="22"/>
      <w:bookmarkEnd w:id="23"/>
      <w:bookmarkEnd w:id="24"/>
    </w:p>
    <w:p w:rsidR="00537D2D" w:rsidRDefault="00537D2D" w:rsidP="0028749A">
      <w:pPr>
        <w:rPr>
          <w:sz w:val="20"/>
          <w:szCs w:val="20"/>
        </w:rPr>
      </w:pPr>
      <w:r w:rsidRPr="00537D2D">
        <w:rPr>
          <w:sz w:val="24"/>
          <w:szCs w:val="24"/>
        </w:rPr>
        <w:t xml:space="preserve"> </w:t>
      </w:r>
      <w:proofErr w:type="spellStart"/>
      <w:r>
        <w:rPr>
          <w:sz w:val="20"/>
          <w:szCs w:val="20"/>
        </w:rPr>
        <w:t>Organisations</w:t>
      </w:r>
      <w:proofErr w:type="spellEnd"/>
      <w:r>
        <w:rPr>
          <w:sz w:val="20"/>
          <w:szCs w:val="20"/>
        </w:rPr>
        <w:t xml:space="preserve"> in the unconstrained sector have an estimated annual energy use of 182 </w:t>
      </w:r>
      <w:proofErr w:type="spellStart"/>
      <w:r>
        <w:rPr>
          <w:sz w:val="20"/>
          <w:szCs w:val="20"/>
        </w:rPr>
        <w:t>TWh</w:t>
      </w:r>
      <w:proofErr w:type="spellEnd"/>
      <w:r>
        <w:rPr>
          <w:sz w:val="20"/>
          <w:szCs w:val="20"/>
        </w:rPr>
        <w:t>. This applies to energy use from stationary sources, such as space heating and lighting in buildings, or manufacturing processes within industry. When expressed in terms of the associated</w:t>
      </w:r>
    </w:p>
    <w:p w:rsidR="00FD01A9" w:rsidRDefault="00FD01A9" w:rsidP="0028749A">
      <w:pPr>
        <w:rPr>
          <w:sz w:val="20"/>
          <w:szCs w:val="20"/>
        </w:rPr>
      </w:pPr>
    </w:p>
    <w:p w:rsidR="00FD01A9" w:rsidRDefault="00FD01A9" w:rsidP="00FD01A9">
      <w:pPr>
        <w:pStyle w:val="Heading1"/>
      </w:pPr>
      <w:r>
        <w:t>References</w:t>
      </w:r>
    </w:p>
    <w:p w:rsidR="00FD01A9" w:rsidRDefault="00FD01A9" w:rsidP="00FD01A9">
      <w:pPr>
        <w:rPr>
          <w:rStyle w:val="SubtleEmphasis"/>
        </w:rPr>
      </w:pPr>
    </w:p>
    <w:p w:rsidR="00FD01A9" w:rsidRPr="00FD01A9" w:rsidRDefault="00FD01A9" w:rsidP="00FD01A9">
      <w:pPr>
        <w:rPr>
          <w:rStyle w:val="SubtleEmphasis"/>
        </w:rPr>
      </w:pPr>
      <w:r>
        <w:rPr>
          <w:rStyle w:val="SubtleEmphasis"/>
        </w:rPr>
        <w:t xml:space="preserve">C Wyatt </w:t>
      </w:r>
      <w:proofErr w:type="gramStart"/>
      <w:r>
        <w:rPr>
          <w:rStyle w:val="SubtleEmphasis"/>
        </w:rPr>
        <w:t>2007 :</w:t>
      </w:r>
      <w:proofErr w:type="gramEnd"/>
      <w:r>
        <w:rPr>
          <w:rStyle w:val="SubtleEmphasis"/>
        </w:rPr>
        <w:t xml:space="preserve">  Spreadsheet to demonstrate </w:t>
      </w:r>
      <w:proofErr w:type="spellStart"/>
      <w:r>
        <w:rPr>
          <w:rStyle w:val="SubtleEmphasis"/>
        </w:rPr>
        <w:t>conrod</w:t>
      </w:r>
      <w:proofErr w:type="spellEnd"/>
      <w:r>
        <w:rPr>
          <w:rStyle w:val="SubtleEmphasis"/>
        </w:rPr>
        <w:t xml:space="preserve"> movement, Study skills course notes</w:t>
      </w:r>
    </w:p>
    <w:p w:rsidR="00FD01A9" w:rsidRDefault="00FD01A9" w:rsidP="00FD01A9"/>
    <w:p w:rsidR="00FD01A9" w:rsidRPr="00FD01A9" w:rsidRDefault="00FD01A9" w:rsidP="00FD01A9"/>
    <w:p w:rsidR="00537D2D" w:rsidRDefault="00537D2D" w:rsidP="0028749A">
      <w:pPr>
        <w:rPr>
          <w:sz w:val="24"/>
          <w:szCs w:val="24"/>
        </w:rPr>
      </w:pPr>
    </w:p>
    <w:p w:rsidR="00537D2D" w:rsidRDefault="00537D2D" w:rsidP="0028749A">
      <w:pPr>
        <w:rPr>
          <w:sz w:val="20"/>
          <w:szCs w:val="20"/>
        </w:rPr>
      </w:pPr>
    </w:p>
    <w:p w:rsidR="00537D2D" w:rsidRPr="00A810EB" w:rsidRDefault="00537D2D" w:rsidP="00A810EB">
      <w:pPr>
        <w:rPr>
          <w:sz w:val="20"/>
          <w:szCs w:val="20"/>
        </w:rPr>
      </w:pPr>
    </w:p>
    <w:sectPr w:rsidR="00537D2D" w:rsidRPr="00A810E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Lucida Sans">
    <w:panose1 w:val="020B0602030504020204"/>
    <w:charset w:val="00"/>
    <w:family w:val="swiss"/>
    <w:pitch w:val="variable"/>
    <w:sig w:usb0="00000003" w:usb1="00000000" w:usb2="00000000" w:usb3="00000000" w:csb0="00000001" w:csb1="00000000"/>
  </w:font>
  <w:font w:name="Arial">
    <w:altName w:val="Arial"/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Cambria Math">
    <w:panose1 w:val="02040503050406030204"/>
    <w:charset w:val="00"/>
    <w:family w:val="roman"/>
    <w:pitch w:val="variable"/>
    <w:sig w:usb0="A00002EF" w:usb1="420020EB" w:usb2="00000000" w:usb3="00000000" w:csb0="0000009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>
    <w:useFELayout/>
  </w:compat>
  <w:rsids>
    <w:rsidRoot w:val="00ED302E"/>
    <w:rsid w:val="00046307"/>
    <w:rsid w:val="000620E9"/>
    <w:rsid w:val="002532A1"/>
    <w:rsid w:val="0028749A"/>
    <w:rsid w:val="00516447"/>
    <w:rsid w:val="00537D2D"/>
    <w:rsid w:val="00A810EB"/>
    <w:rsid w:val="00DB1076"/>
    <w:rsid w:val="00E0110C"/>
    <w:rsid w:val="00ED302E"/>
    <w:rsid w:val="00FD01A9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en-US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8749A"/>
  </w:style>
  <w:style w:type="paragraph" w:styleId="Heading1">
    <w:name w:val="heading 1"/>
    <w:basedOn w:val="Normal"/>
    <w:next w:val="Normal"/>
    <w:link w:val="Heading1Char"/>
    <w:uiPriority w:val="9"/>
    <w:qFormat/>
    <w:rsid w:val="0028749A"/>
    <w:pPr>
      <w:spacing w:before="480" w:after="0"/>
      <w:contextualSpacing/>
      <w:outlineLvl w:val="0"/>
    </w:pPr>
    <w:rPr>
      <w:rFonts w:asciiTheme="majorHAnsi" w:eastAsiaTheme="majorEastAsia" w:hAnsiTheme="majorHAnsi" w:cstheme="majorBidi"/>
      <w:b/>
      <w:bCs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8749A"/>
    <w:pPr>
      <w:spacing w:before="200" w:after="0"/>
      <w:outlineLvl w:val="1"/>
    </w:pPr>
    <w:rPr>
      <w:rFonts w:asciiTheme="majorHAnsi" w:eastAsiaTheme="majorEastAsia" w:hAnsiTheme="majorHAnsi" w:cstheme="majorBidi"/>
      <w:b/>
      <w:bCs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8749A"/>
    <w:pPr>
      <w:spacing w:before="200" w:after="0" w:line="271" w:lineRule="auto"/>
      <w:outlineLvl w:val="2"/>
    </w:pPr>
    <w:rPr>
      <w:rFonts w:asciiTheme="majorHAnsi" w:eastAsiaTheme="majorEastAsia" w:hAnsiTheme="majorHAnsi" w:cstheme="majorBidi"/>
      <w:b/>
      <w:bCs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8749A"/>
    <w:pPr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8749A"/>
    <w:pPr>
      <w:spacing w:before="200" w:after="0"/>
      <w:outlineLvl w:val="4"/>
    </w:pPr>
    <w:rPr>
      <w:rFonts w:asciiTheme="majorHAnsi" w:eastAsiaTheme="majorEastAsia" w:hAnsiTheme="majorHAnsi" w:cstheme="majorBidi"/>
      <w:b/>
      <w:bCs/>
      <w:color w:val="7F7F7F" w:themeColor="text1" w:themeTint="8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8749A"/>
    <w:pPr>
      <w:spacing w:after="0" w:line="271" w:lineRule="auto"/>
      <w:outlineLvl w:val="5"/>
    </w:pPr>
    <w:rPr>
      <w:rFonts w:asciiTheme="majorHAnsi" w:eastAsiaTheme="majorEastAsia" w:hAnsiTheme="majorHAnsi" w:cstheme="majorBidi"/>
      <w:b/>
      <w:bCs/>
      <w:i/>
      <w:iCs/>
      <w:color w:val="7F7F7F" w:themeColor="text1" w:themeTint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8749A"/>
    <w:pPr>
      <w:spacing w:after="0"/>
      <w:outlineLvl w:val="6"/>
    </w:pPr>
    <w:rPr>
      <w:rFonts w:asciiTheme="majorHAnsi" w:eastAsiaTheme="majorEastAsia" w:hAnsiTheme="majorHAnsi" w:cstheme="majorBidi"/>
      <w:i/>
      <w:iCs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8749A"/>
    <w:pPr>
      <w:spacing w:after="0"/>
      <w:outlineLvl w:val="7"/>
    </w:pPr>
    <w:rPr>
      <w:rFonts w:asciiTheme="majorHAnsi" w:eastAsiaTheme="majorEastAsia" w:hAnsiTheme="majorHAnsi" w:cstheme="majorBidi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8749A"/>
    <w:pPr>
      <w:spacing w:after="0"/>
      <w:outlineLvl w:val="8"/>
    </w:pPr>
    <w:rPr>
      <w:rFonts w:asciiTheme="majorHAnsi" w:eastAsiaTheme="majorEastAsia" w:hAnsiTheme="majorHAnsi" w:cstheme="majorBidi"/>
      <w:i/>
      <w:iCs/>
      <w:spacing w:val="5"/>
      <w:sz w:val="20"/>
      <w:szCs w:val="2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A810EB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28749A"/>
    <w:rPr>
      <w:rFonts w:asciiTheme="majorHAnsi" w:eastAsiaTheme="majorEastAsia" w:hAnsiTheme="majorHAnsi" w:cstheme="majorBidi"/>
      <w:b/>
      <w:bCs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8749A"/>
    <w:rPr>
      <w:rFonts w:asciiTheme="majorHAnsi" w:eastAsiaTheme="majorEastAsia" w:hAnsiTheme="majorHAnsi" w:cstheme="majorBidi"/>
      <w:b/>
      <w:bCs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8749A"/>
    <w:rPr>
      <w:rFonts w:asciiTheme="majorHAnsi" w:eastAsiaTheme="majorEastAsia" w:hAnsiTheme="majorHAnsi" w:cstheme="majorBidi"/>
      <w:b/>
      <w:bCs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8749A"/>
    <w:rPr>
      <w:rFonts w:asciiTheme="majorHAnsi" w:eastAsiaTheme="majorEastAsia" w:hAnsiTheme="majorHAnsi" w:cstheme="majorBidi"/>
      <w:b/>
      <w:bCs/>
      <w:i/>
      <w:iCs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8749A"/>
    <w:rPr>
      <w:rFonts w:asciiTheme="majorHAnsi" w:eastAsiaTheme="majorEastAsia" w:hAnsiTheme="majorHAnsi" w:cstheme="majorBidi"/>
      <w:b/>
      <w:bCs/>
      <w:color w:val="7F7F7F" w:themeColor="text1" w:themeTint="8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8749A"/>
    <w:rPr>
      <w:rFonts w:asciiTheme="majorHAnsi" w:eastAsiaTheme="majorEastAsia" w:hAnsiTheme="majorHAnsi" w:cstheme="majorBidi"/>
      <w:b/>
      <w:bCs/>
      <w:i/>
      <w:iCs/>
      <w:color w:val="7F7F7F" w:themeColor="text1" w:themeTint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8749A"/>
    <w:rPr>
      <w:rFonts w:asciiTheme="majorHAnsi" w:eastAsiaTheme="majorEastAsia" w:hAnsiTheme="majorHAnsi" w:cstheme="majorBidi"/>
      <w:i/>
      <w:iCs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8749A"/>
    <w:rPr>
      <w:rFonts w:asciiTheme="majorHAnsi" w:eastAsiaTheme="majorEastAsia" w:hAnsiTheme="majorHAnsi" w:cstheme="majorBidi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8749A"/>
    <w:rPr>
      <w:rFonts w:asciiTheme="majorHAnsi" w:eastAsiaTheme="majorEastAsia" w:hAnsiTheme="majorHAnsi" w:cstheme="majorBidi"/>
      <w:i/>
      <w:iCs/>
      <w:spacing w:val="5"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28749A"/>
    <w:pPr>
      <w:pBdr>
        <w:bottom w:val="single" w:sz="4" w:space="1" w:color="auto"/>
      </w:pBdr>
      <w:spacing w:line="240" w:lineRule="auto"/>
      <w:contextualSpacing/>
    </w:pPr>
    <w:rPr>
      <w:rFonts w:asciiTheme="majorHAnsi" w:eastAsiaTheme="majorEastAsia" w:hAnsiTheme="majorHAnsi" w:cstheme="majorBidi"/>
      <w:spacing w:val="5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28749A"/>
    <w:rPr>
      <w:rFonts w:asciiTheme="majorHAnsi" w:eastAsiaTheme="majorEastAsia" w:hAnsiTheme="majorHAnsi" w:cstheme="majorBidi"/>
      <w:spacing w:val="5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8749A"/>
    <w:pPr>
      <w:spacing w:after="600"/>
    </w:pPr>
    <w:rPr>
      <w:rFonts w:asciiTheme="majorHAnsi" w:eastAsiaTheme="majorEastAsia" w:hAnsiTheme="majorHAnsi" w:cstheme="majorBidi"/>
      <w:i/>
      <w:iCs/>
      <w:spacing w:val="13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28749A"/>
    <w:rPr>
      <w:rFonts w:asciiTheme="majorHAnsi" w:eastAsiaTheme="majorEastAsia" w:hAnsiTheme="majorHAnsi" w:cstheme="majorBidi"/>
      <w:i/>
      <w:iCs/>
      <w:spacing w:val="13"/>
      <w:sz w:val="24"/>
      <w:szCs w:val="24"/>
    </w:rPr>
  </w:style>
  <w:style w:type="character" w:styleId="Strong">
    <w:name w:val="Strong"/>
    <w:uiPriority w:val="22"/>
    <w:qFormat/>
    <w:rsid w:val="0028749A"/>
    <w:rPr>
      <w:b/>
      <w:bCs/>
    </w:rPr>
  </w:style>
  <w:style w:type="character" w:styleId="Emphasis">
    <w:name w:val="Emphasis"/>
    <w:uiPriority w:val="20"/>
    <w:qFormat/>
    <w:rsid w:val="0028749A"/>
    <w:rPr>
      <w:b/>
      <w:bCs/>
      <w:i/>
      <w:iCs/>
      <w:spacing w:val="10"/>
      <w:bdr w:val="none" w:sz="0" w:space="0" w:color="auto"/>
      <w:shd w:val="clear" w:color="auto" w:fill="auto"/>
    </w:rPr>
  </w:style>
  <w:style w:type="paragraph" w:styleId="NoSpacing">
    <w:name w:val="No Spacing"/>
    <w:basedOn w:val="Normal"/>
    <w:uiPriority w:val="1"/>
    <w:qFormat/>
    <w:rsid w:val="0028749A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28749A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28749A"/>
    <w:pPr>
      <w:spacing w:before="200" w:after="0"/>
      <w:ind w:left="360" w:right="360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28749A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8749A"/>
    <w:pPr>
      <w:pBdr>
        <w:bottom w:val="single" w:sz="4" w:space="1" w:color="auto"/>
      </w:pBdr>
      <w:spacing w:before="200" w:after="280"/>
      <w:ind w:left="1008" w:right="1152"/>
      <w:jc w:val="both"/>
    </w:pPr>
    <w:rPr>
      <w:b/>
      <w:bCs/>
      <w:i/>
      <w:iCs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8749A"/>
    <w:rPr>
      <w:b/>
      <w:bCs/>
      <w:i/>
      <w:iCs/>
    </w:rPr>
  </w:style>
  <w:style w:type="character" w:styleId="SubtleEmphasis">
    <w:name w:val="Subtle Emphasis"/>
    <w:uiPriority w:val="19"/>
    <w:qFormat/>
    <w:rsid w:val="0028749A"/>
    <w:rPr>
      <w:i/>
      <w:iCs/>
    </w:rPr>
  </w:style>
  <w:style w:type="character" w:styleId="IntenseEmphasis">
    <w:name w:val="Intense Emphasis"/>
    <w:uiPriority w:val="21"/>
    <w:qFormat/>
    <w:rsid w:val="0028749A"/>
    <w:rPr>
      <w:b/>
      <w:bCs/>
    </w:rPr>
  </w:style>
  <w:style w:type="character" w:styleId="SubtleReference">
    <w:name w:val="Subtle Reference"/>
    <w:uiPriority w:val="31"/>
    <w:qFormat/>
    <w:rsid w:val="00E0110C"/>
    <w:rPr>
      <w:color w:val="auto"/>
    </w:rPr>
  </w:style>
  <w:style w:type="character" w:styleId="IntenseReference">
    <w:name w:val="Intense Reference"/>
    <w:uiPriority w:val="32"/>
    <w:qFormat/>
    <w:rsid w:val="0028749A"/>
    <w:rPr>
      <w:smallCaps/>
      <w:spacing w:val="5"/>
      <w:u w:val="single"/>
    </w:rPr>
  </w:style>
  <w:style w:type="character" w:styleId="BookTitle">
    <w:name w:val="Book Title"/>
    <w:uiPriority w:val="33"/>
    <w:qFormat/>
    <w:rsid w:val="0028749A"/>
    <w:rPr>
      <w:i/>
      <w:iCs/>
      <w:smallCaps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28749A"/>
    <w:pPr>
      <w:outlineLvl w:val="9"/>
    </w:pPr>
  </w:style>
  <w:style w:type="paragraph" w:customStyle="1" w:styleId="Abstract">
    <w:name w:val="Abstract"/>
    <w:basedOn w:val="Normal"/>
    <w:link w:val="AbstractChar"/>
    <w:qFormat/>
    <w:rsid w:val="00FD01A9"/>
  </w:style>
  <w:style w:type="paragraph" w:styleId="TOC1">
    <w:name w:val="toc 1"/>
    <w:basedOn w:val="Normal"/>
    <w:next w:val="Normal"/>
    <w:autoRedefine/>
    <w:uiPriority w:val="39"/>
    <w:unhideWhenUsed/>
    <w:rsid w:val="00516447"/>
    <w:pPr>
      <w:spacing w:after="100"/>
    </w:pPr>
  </w:style>
  <w:style w:type="character" w:customStyle="1" w:styleId="AbstractChar">
    <w:name w:val="Abstract Char"/>
    <w:basedOn w:val="DefaultParagraphFont"/>
    <w:link w:val="Abstract"/>
    <w:rsid w:val="00FD01A9"/>
  </w:style>
  <w:style w:type="character" w:styleId="Hyperlink">
    <w:name w:val="Hyperlink"/>
    <w:basedOn w:val="DefaultParagraphFont"/>
    <w:uiPriority w:val="99"/>
    <w:unhideWhenUsed/>
    <w:rsid w:val="00516447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1644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16447"/>
    <w:rPr>
      <w:rFonts w:ascii="Tahoma" w:hAnsi="Tahoma" w:cs="Tahoma"/>
      <w:sz w:val="16"/>
      <w:szCs w:val="16"/>
    </w:rPr>
  </w:style>
  <w:style w:type="paragraph" w:customStyle="1" w:styleId="Heading1Out">
    <w:name w:val="Heading1_Out"/>
    <w:basedOn w:val="Heading1"/>
    <w:link w:val="Heading1OutChar"/>
    <w:qFormat/>
    <w:rsid w:val="00516447"/>
  </w:style>
  <w:style w:type="paragraph" w:customStyle="1" w:styleId="HEding">
    <w:name w:val="HEding"/>
    <w:basedOn w:val="Normal"/>
    <w:link w:val="HEdingChar"/>
    <w:qFormat/>
    <w:rsid w:val="00046307"/>
    <w:rPr>
      <w:b/>
      <w:sz w:val="36"/>
      <w:szCs w:val="36"/>
    </w:rPr>
  </w:style>
  <w:style w:type="character" w:customStyle="1" w:styleId="Heading1OutChar">
    <w:name w:val="Heading1_Out Char"/>
    <w:basedOn w:val="Heading1Char"/>
    <w:link w:val="Heading1Out"/>
    <w:rsid w:val="00516447"/>
    <w:rPr>
      <w:b/>
      <w:bCs/>
    </w:rPr>
  </w:style>
  <w:style w:type="character" w:styleId="PlaceholderText">
    <w:name w:val="Placeholder Text"/>
    <w:basedOn w:val="DefaultParagraphFont"/>
    <w:uiPriority w:val="99"/>
    <w:semiHidden/>
    <w:rsid w:val="00DB1076"/>
    <w:rPr>
      <w:color w:val="808080"/>
    </w:rPr>
  </w:style>
  <w:style w:type="character" w:customStyle="1" w:styleId="HEdingChar">
    <w:name w:val="HEding Char"/>
    <w:basedOn w:val="DefaultParagraphFont"/>
    <w:link w:val="HEding"/>
    <w:rsid w:val="00046307"/>
    <w:rPr>
      <w:b/>
      <w:sz w:val="36"/>
      <w:szCs w:val="3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glossaryDocument" Target="glossary/document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chart" Target="charts/chart1.xml"/><Relationship Id="rId4" Type="http://schemas.openxmlformats.org/officeDocument/2006/relationships/webSettings" Target="webSettings.xml"/></Relationships>
</file>

<file path=word/charts/_rels/chart1.xml.rels><?xml version="1.0" encoding="UTF-8" standalone="yes"?>
<Relationships xmlns="http://schemas.openxmlformats.org/package/2006/relationships"><Relationship Id="rId1" Type="http://schemas.openxmlformats.org/officeDocument/2006/relationships/oleObject" Target="file:///\\kestrel\Public\Chris%20Wyatt\teaching_aids\studyskills\conrod.xlsx" TargetMode="Externa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>
  <c:lang val="en-GB"/>
  <c:chart>
    <c:plotArea>
      <c:layout/>
      <c:lineChart>
        <c:grouping val="standard"/>
        <c:ser>
          <c:idx val="0"/>
          <c:order val="0"/>
          <c:tx>
            <c:v>Acceleration</c:v>
          </c:tx>
          <c:marker>
            <c:symbol val="none"/>
          </c:marker>
          <c:cat>
            <c:numRef>
              <c:f>Sheet1!$C$8:$ES$8</c:f>
              <c:numCache>
                <c:formatCode>General</c:formatCode>
                <c:ptCount val="147"/>
                <c:pt idx="0">
                  <c:v>0</c:v>
                </c:pt>
                <c:pt idx="1">
                  <c:v>2.0000000000000001E-4</c:v>
                </c:pt>
                <c:pt idx="2">
                  <c:v>4.0000000000000002E-4</c:v>
                </c:pt>
                <c:pt idx="3">
                  <c:v>6.0000000000000006E-4</c:v>
                </c:pt>
                <c:pt idx="4">
                  <c:v>8.0000000000000004E-4</c:v>
                </c:pt>
                <c:pt idx="5">
                  <c:v>1E-3</c:v>
                </c:pt>
                <c:pt idx="6">
                  <c:v>1.2000000000000001E-3</c:v>
                </c:pt>
                <c:pt idx="7">
                  <c:v>1.4000000000000002E-3</c:v>
                </c:pt>
                <c:pt idx="8">
                  <c:v>1.6000000000000003E-3</c:v>
                </c:pt>
                <c:pt idx="9">
                  <c:v>1.8000000000000004E-3</c:v>
                </c:pt>
                <c:pt idx="10">
                  <c:v>2.0000000000000005E-3</c:v>
                </c:pt>
                <c:pt idx="11">
                  <c:v>2.2000000000000006E-3</c:v>
                </c:pt>
                <c:pt idx="12">
                  <c:v>2.4000000000000007E-3</c:v>
                </c:pt>
                <c:pt idx="13">
                  <c:v>2.6000000000000007E-3</c:v>
                </c:pt>
                <c:pt idx="14">
                  <c:v>2.8000000000000008E-3</c:v>
                </c:pt>
                <c:pt idx="15">
                  <c:v>3.0000000000000009E-3</c:v>
                </c:pt>
                <c:pt idx="16">
                  <c:v>3.200000000000001E-3</c:v>
                </c:pt>
                <c:pt idx="17">
                  <c:v>3.4000000000000011E-3</c:v>
                </c:pt>
                <c:pt idx="18">
                  <c:v>3.6000000000000012E-3</c:v>
                </c:pt>
                <c:pt idx="19">
                  <c:v>3.8000000000000013E-3</c:v>
                </c:pt>
                <c:pt idx="20">
                  <c:v>4.000000000000001E-3</c:v>
                </c:pt>
                <c:pt idx="21">
                  <c:v>4.2000000000000006E-3</c:v>
                </c:pt>
                <c:pt idx="22">
                  <c:v>4.4000000000000003E-3</c:v>
                </c:pt>
                <c:pt idx="23">
                  <c:v>4.5999999999999999E-3</c:v>
                </c:pt>
                <c:pt idx="24">
                  <c:v>4.7999999999999996E-3</c:v>
                </c:pt>
                <c:pt idx="25">
                  <c:v>4.9999999999999992E-3</c:v>
                </c:pt>
                <c:pt idx="26">
                  <c:v>5.1999999999999989E-3</c:v>
                </c:pt>
                <c:pt idx="27">
                  <c:v>5.3999999999999986E-3</c:v>
                </c:pt>
                <c:pt idx="28">
                  <c:v>5.5999999999999982E-3</c:v>
                </c:pt>
                <c:pt idx="29">
                  <c:v>5.7999999999999979E-3</c:v>
                </c:pt>
                <c:pt idx="30">
                  <c:v>5.9999999999999975E-3</c:v>
                </c:pt>
                <c:pt idx="31">
                  <c:v>6.1999999999999972E-3</c:v>
                </c:pt>
                <c:pt idx="32">
                  <c:v>6.3999999999999968E-3</c:v>
                </c:pt>
                <c:pt idx="33">
                  <c:v>6.5999999999999965E-3</c:v>
                </c:pt>
                <c:pt idx="34">
                  <c:v>6.7999999999999962E-3</c:v>
                </c:pt>
                <c:pt idx="35">
                  <c:v>6.9999999999999958E-3</c:v>
                </c:pt>
                <c:pt idx="36">
                  <c:v>7.1999999999999955E-3</c:v>
                </c:pt>
                <c:pt idx="37">
                  <c:v>7.3999999999999951E-3</c:v>
                </c:pt>
                <c:pt idx="38">
                  <c:v>7.5999999999999948E-3</c:v>
                </c:pt>
                <c:pt idx="39">
                  <c:v>7.7999999999999944E-3</c:v>
                </c:pt>
                <c:pt idx="40">
                  <c:v>7.999999999999995E-3</c:v>
                </c:pt>
                <c:pt idx="41">
                  <c:v>8.1999999999999955E-3</c:v>
                </c:pt>
                <c:pt idx="42">
                  <c:v>8.399999999999996E-3</c:v>
                </c:pt>
                <c:pt idx="43">
                  <c:v>8.5999999999999965E-3</c:v>
                </c:pt>
                <c:pt idx="44">
                  <c:v>8.7999999999999971E-3</c:v>
                </c:pt>
                <c:pt idx="45">
                  <c:v>8.9999999999999976E-3</c:v>
                </c:pt>
                <c:pt idx="46">
                  <c:v>9.1999999999999981E-3</c:v>
                </c:pt>
                <c:pt idx="47">
                  <c:v>9.3999999999999986E-3</c:v>
                </c:pt>
                <c:pt idx="48">
                  <c:v>9.5999999999999992E-3</c:v>
                </c:pt>
                <c:pt idx="49">
                  <c:v>9.7999999999999997E-3</c:v>
                </c:pt>
                <c:pt idx="50">
                  <c:v>0.01</c:v>
                </c:pt>
                <c:pt idx="51">
                  <c:v>1.0200000000000001E-2</c:v>
                </c:pt>
                <c:pt idx="52">
                  <c:v>1.0400000000000001E-2</c:v>
                </c:pt>
                <c:pt idx="53">
                  <c:v>1.0600000000000002E-2</c:v>
                </c:pt>
                <c:pt idx="54">
                  <c:v>1.0800000000000002E-2</c:v>
                </c:pt>
                <c:pt idx="55">
                  <c:v>1.1000000000000003E-2</c:v>
                </c:pt>
                <c:pt idx="56">
                  <c:v>1.1200000000000003E-2</c:v>
                </c:pt>
                <c:pt idx="57">
                  <c:v>1.1400000000000004E-2</c:v>
                </c:pt>
                <c:pt idx="58">
                  <c:v>1.1600000000000004E-2</c:v>
                </c:pt>
                <c:pt idx="59">
                  <c:v>1.1800000000000005E-2</c:v>
                </c:pt>
                <c:pt idx="60">
                  <c:v>1.2000000000000005E-2</c:v>
                </c:pt>
                <c:pt idx="61">
                  <c:v>1.2200000000000006E-2</c:v>
                </c:pt>
                <c:pt idx="62">
                  <c:v>1.2400000000000007E-2</c:v>
                </c:pt>
                <c:pt idx="63">
                  <c:v>1.2600000000000007E-2</c:v>
                </c:pt>
                <c:pt idx="64">
                  <c:v>1.2800000000000008E-2</c:v>
                </c:pt>
                <c:pt idx="65">
                  <c:v>1.3000000000000008E-2</c:v>
                </c:pt>
                <c:pt idx="66">
                  <c:v>1.3200000000000009E-2</c:v>
                </c:pt>
                <c:pt idx="67">
                  <c:v>1.3400000000000009E-2</c:v>
                </c:pt>
                <c:pt idx="68">
                  <c:v>1.360000000000001E-2</c:v>
                </c:pt>
                <c:pt idx="69">
                  <c:v>1.380000000000001E-2</c:v>
                </c:pt>
                <c:pt idx="70">
                  <c:v>1.4000000000000011E-2</c:v>
                </c:pt>
                <c:pt idx="71">
                  <c:v>1.4200000000000011E-2</c:v>
                </c:pt>
                <c:pt idx="72">
                  <c:v>1.4400000000000012E-2</c:v>
                </c:pt>
                <c:pt idx="73">
                  <c:v>1.4600000000000012E-2</c:v>
                </c:pt>
                <c:pt idx="74">
                  <c:v>1.4800000000000013E-2</c:v>
                </c:pt>
                <c:pt idx="75">
                  <c:v>1.5000000000000013E-2</c:v>
                </c:pt>
                <c:pt idx="76">
                  <c:v>1.5200000000000014E-2</c:v>
                </c:pt>
                <c:pt idx="77">
                  <c:v>1.5400000000000014E-2</c:v>
                </c:pt>
                <c:pt idx="78">
                  <c:v>1.5600000000000015E-2</c:v>
                </c:pt>
                <c:pt idx="79">
                  <c:v>1.5800000000000015E-2</c:v>
                </c:pt>
                <c:pt idx="80">
                  <c:v>1.6000000000000014E-2</c:v>
                </c:pt>
                <c:pt idx="81">
                  <c:v>1.6200000000000013E-2</c:v>
                </c:pt>
                <c:pt idx="82">
                  <c:v>1.6400000000000012E-2</c:v>
                </c:pt>
                <c:pt idx="83">
                  <c:v>1.6600000000000011E-2</c:v>
                </c:pt>
                <c:pt idx="84">
                  <c:v>1.6800000000000009E-2</c:v>
                </c:pt>
                <c:pt idx="85">
                  <c:v>1.7000000000000008E-2</c:v>
                </c:pt>
                <c:pt idx="86">
                  <c:v>1.7200000000000007E-2</c:v>
                </c:pt>
                <c:pt idx="87">
                  <c:v>1.7400000000000006E-2</c:v>
                </c:pt>
                <c:pt idx="88">
                  <c:v>1.7600000000000005E-2</c:v>
                </c:pt>
                <c:pt idx="89">
                  <c:v>1.7800000000000003E-2</c:v>
                </c:pt>
                <c:pt idx="90">
                  <c:v>1.8000000000000002E-2</c:v>
                </c:pt>
                <c:pt idx="91">
                  <c:v>1.8200000000000001E-2</c:v>
                </c:pt>
                <c:pt idx="92">
                  <c:v>1.84E-2</c:v>
                </c:pt>
                <c:pt idx="93">
                  <c:v>1.8599999999999998E-2</c:v>
                </c:pt>
                <c:pt idx="94">
                  <c:v>1.8799999999999997E-2</c:v>
                </c:pt>
                <c:pt idx="95">
                  <c:v>1.8999999999999996E-2</c:v>
                </c:pt>
                <c:pt idx="96">
                  <c:v>1.9199999999999995E-2</c:v>
                </c:pt>
                <c:pt idx="97">
                  <c:v>1.9399999999999994E-2</c:v>
                </c:pt>
                <c:pt idx="98">
                  <c:v>1.9599999999999992E-2</c:v>
                </c:pt>
                <c:pt idx="99">
                  <c:v>1.9799999999999991E-2</c:v>
                </c:pt>
                <c:pt idx="100">
                  <c:v>1.999999999999999E-2</c:v>
                </c:pt>
                <c:pt idx="101">
                  <c:v>2.0199999999999989E-2</c:v>
                </c:pt>
                <c:pt idx="102">
                  <c:v>2.0399999999999988E-2</c:v>
                </c:pt>
                <c:pt idx="103">
                  <c:v>2.0599999999999986E-2</c:v>
                </c:pt>
                <c:pt idx="104">
                  <c:v>2.0799999999999985E-2</c:v>
                </c:pt>
                <c:pt idx="105">
                  <c:v>2.0999999999999984E-2</c:v>
                </c:pt>
                <c:pt idx="106">
                  <c:v>2.1199999999999983E-2</c:v>
                </c:pt>
                <c:pt idx="107">
                  <c:v>2.1399999999999982E-2</c:v>
                </c:pt>
                <c:pt idx="108">
                  <c:v>2.159999999999998E-2</c:v>
                </c:pt>
                <c:pt idx="109">
                  <c:v>2.1799999999999979E-2</c:v>
                </c:pt>
                <c:pt idx="110">
                  <c:v>2.1999999999999978E-2</c:v>
                </c:pt>
                <c:pt idx="111">
                  <c:v>2.2199999999999977E-2</c:v>
                </c:pt>
                <c:pt idx="112">
                  <c:v>2.2399999999999975E-2</c:v>
                </c:pt>
                <c:pt idx="113">
                  <c:v>2.2599999999999974E-2</c:v>
                </c:pt>
                <c:pt idx="114">
                  <c:v>2.2799999999999973E-2</c:v>
                </c:pt>
                <c:pt idx="115">
                  <c:v>2.2999999999999972E-2</c:v>
                </c:pt>
                <c:pt idx="116">
                  <c:v>2.3199999999999971E-2</c:v>
                </c:pt>
                <c:pt idx="117">
                  <c:v>2.3399999999999969E-2</c:v>
                </c:pt>
                <c:pt idx="118">
                  <c:v>2.3599999999999968E-2</c:v>
                </c:pt>
                <c:pt idx="119">
                  <c:v>2.3799999999999967E-2</c:v>
                </c:pt>
                <c:pt idx="120">
                  <c:v>2.3999999999999966E-2</c:v>
                </c:pt>
                <c:pt idx="121">
                  <c:v>2.4199999999999965E-2</c:v>
                </c:pt>
                <c:pt idx="122">
                  <c:v>2.4399999999999963E-2</c:v>
                </c:pt>
                <c:pt idx="123">
                  <c:v>2.4599999999999962E-2</c:v>
                </c:pt>
                <c:pt idx="124">
                  <c:v>2.4799999999999961E-2</c:v>
                </c:pt>
                <c:pt idx="125">
                  <c:v>2.499999999999996E-2</c:v>
                </c:pt>
                <c:pt idx="126">
                  <c:v>2.5199999999999959E-2</c:v>
                </c:pt>
                <c:pt idx="127">
                  <c:v>2.5399999999999957E-2</c:v>
                </c:pt>
                <c:pt idx="128">
                  <c:v>2.5599999999999956E-2</c:v>
                </c:pt>
                <c:pt idx="129">
                  <c:v>2.5799999999999955E-2</c:v>
                </c:pt>
                <c:pt idx="130">
                  <c:v>2.5999999999999954E-2</c:v>
                </c:pt>
                <c:pt idx="131">
                  <c:v>2.6199999999999952E-2</c:v>
                </c:pt>
                <c:pt idx="132">
                  <c:v>2.6399999999999951E-2</c:v>
                </c:pt>
                <c:pt idx="133">
                  <c:v>2.659999999999995E-2</c:v>
                </c:pt>
                <c:pt idx="134">
                  <c:v>2.6799999999999949E-2</c:v>
                </c:pt>
                <c:pt idx="135">
                  <c:v>2.6999999999999948E-2</c:v>
                </c:pt>
                <c:pt idx="136">
                  <c:v>2.7199999999999946E-2</c:v>
                </c:pt>
                <c:pt idx="137">
                  <c:v>2.7399999999999945E-2</c:v>
                </c:pt>
                <c:pt idx="138">
                  <c:v>2.7599999999999944E-2</c:v>
                </c:pt>
                <c:pt idx="139">
                  <c:v>2.7799999999999943E-2</c:v>
                </c:pt>
                <c:pt idx="140">
                  <c:v>2.7999999999999942E-2</c:v>
                </c:pt>
                <c:pt idx="141">
                  <c:v>2.819999999999994E-2</c:v>
                </c:pt>
                <c:pt idx="142">
                  <c:v>2.8399999999999939E-2</c:v>
                </c:pt>
                <c:pt idx="143">
                  <c:v>2.8599999999999938E-2</c:v>
                </c:pt>
                <c:pt idx="144">
                  <c:v>2.8799999999999937E-2</c:v>
                </c:pt>
                <c:pt idx="145">
                  <c:v>2.8999999999999936E-2</c:v>
                </c:pt>
                <c:pt idx="146">
                  <c:v>2.9199999999999934E-2</c:v>
                </c:pt>
              </c:numCache>
            </c:numRef>
          </c:cat>
          <c:val>
            <c:numRef>
              <c:f>Sheet1!$C$19:$ES$19</c:f>
              <c:numCache>
                <c:formatCode>General</c:formatCode>
                <c:ptCount val="147"/>
                <c:pt idx="0">
                  <c:v>-46830.121929707493</c:v>
                </c:pt>
                <c:pt idx="1">
                  <c:v>-44734.837055463562</c:v>
                </c:pt>
                <c:pt idx="2">
                  <c:v>-41332.841034989084</c:v>
                </c:pt>
                <c:pt idx="3">
                  <c:v>-36758.596100192182</c:v>
                </c:pt>
                <c:pt idx="4">
                  <c:v>-31197.844584407616</c:v>
                </c:pt>
                <c:pt idx="5">
                  <c:v>-24882.915247162884</c:v>
                </c:pt>
                <c:pt idx="6">
                  <c:v>-18083.976807942257</c:v>
                </c:pt>
                <c:pt idx="7">
                  <c:v>-11095.107742151809</c:v>
                </c:pt>
                <c:pt idx="8">
                  <c:v>-4214.9812724943913</c:v>
                </c:pt>
                <c:pt idx="9">
                  <c:v>2276.4933414109478</c:v>
                </c:pt>
                <c:pt idx="10">
                  <c:v>8142.4565960546142</c:v>
                </c:pt>
                <c:pt idx="11">
                  <c:v>13209.909870767653</c:v>
                </c:pt>
                <c:pt idx="12">
                  <c:v>17382.627668646932</c:v>
                </c:pt>
                <c:pt idx="13">
                  <c:v>20643.316995053596</c:v>
                </c:pt>
                <c:pt idx="14">
                  <c:v>23044.878810223679</c:v>
                </c:pt>
                <c:pt idx="15">
                  <c:v>24693.383196074625</c:v>
                </c:pt>
                <c:pt idx="16">
                  <c:v>25727.056049311122</c:v>
                </c:pt>
                <c:pt idx="17">
                  <c:v>26295.675132085704</c:v>
                </c:pt>
                <c:pt idx="18">
                  <c:v>26543.564310115642</c:v>
                </c:pt>
                <c:pt idx="19">
                  <c:v>26597.613070057952</c:v>
                </c:pt>
                <c:pt idx="20">
                  <c:v>26560.175605847282</c:v>
                </c:pt>
                <c:pt idx="21">
                  <c:v>26505.728837846476</c:v>
                </c:pt>
                <c:pt idx="22">
                  <c:v>26479.838964053924</c:v>
                </c:pt>
                <c:pt idx="23">
                  <c:v>26499.137253806282</c:v>
                </c:pt>
                <c:pt idx="24">
                  <c:v>26551.430229215355</c:v>
                </c:pt>
                <c:pt idx="25">
                  <c:v>26595.612571392023</c:v>
                </c:pt>
                <c:pt idx="26">
                  <c:v>26561.62650494025</c:v>
                </c:pt>
                <c:pt idx="27">
                  <c:v>26351.263823656267</c:v>
                </c:pt>
                <c:pt idx="28">
                  <c:v>25841.057614287874</c:v>
                </c:pt>
                <c:pt idx="29">
                  <c:v>24888.716742681536</c:v>
                </c:pt>
                <c:pt idx="30">
                  <c:v>23344.313855655193</c:v>
                </c:pt>
                <c:pt idx="31">
                  <c:v>21066.566363114027</c:v>
                </c:pt>
                <c:pt idx="32">
                  <c:v>17943.052444664394</c:v>
                </c:pt>
                <c:pt idx="33">
                  <c:v>13911.429317892789</c:v>
                </c:pt>
                <c:pt idx="34">
                  <c:v>8977.3726220442986</c:v>
                </c:pt>
                <c:pt idx="35">
                  <c:v>3224.8188385167609</c:v>
                </c:pt>
                <c:pt idx="36">
                  <c:v>-3184.4521690032579</c:v>
                </c:pt>
                <c:pt idx="37">
                  <c:v>-10022.201805253417</c:v>
                </c:pt>
                <c:pt idx="38">
                  <c:v>-17013.59545314034</c:v>
                </c:pt>
                <c:pt idx="39">
                  <c:v>-23861.258587777455</c:v>
                </c:pt>
                <c:pt idx="40">
                  <c:v>-30269.023019486951</c:v>
                </c:pt>
                <c:pt idx="41">
                  <c:v>-35961.995998741259</c:v>
                </c:pt>
                <c:pt idx="42">
                  <c:v>-40701.33822941246</c:v>
                </c:pt>
                <c:pt idx="43">
                  <c:v>-44293.749594334018</c:v>
                </c:pt>
                <c:pt idx="44">
                  <c:v>-46596.694547037019</c:v>
                </c:pt>
                <c:pt idx="45">
                  <c:v>-47520.781556887923</c:v>
                </c:pt>
                <c:pt idx="46">
                  <c:v>-47030.597128942019</c:v>
                </c:pt>
                <c:pt idx="47">
                  <c:v>-45144.89338318981</c:v>
                </c:pt>
                <c:pt idx="48">
                  <c:v>-41936.498891503485</c:v>
                </c:pt>
                <c:pt idx="49">
                  <c:v>-37531.756176915129</c:v>
                </c:pt>
                <c:pt idx="50">
                  <c:v>-32108.741557111385</c:v>
                </c:pt>
                <c:pt idx="51">
                  <c:v>-25893.068586493937</c:v>
                </c:pt>
                <c:pt idx="52">
                  <c:v>-19149.852804730472</c:v>
                </c:pt>
                <c:pt idx="53">
                  <c:v>-12170.623306531033</c:v>
                </c:pt>
                <c:pt idx="54">
                  <c:v>-5254.7930204809745</c:v>
                </c:pt>
                <c:pt idx="55">
                  <c:v>1313.2377807650284</c:v>
                </c:pt>
                <c:pt idx="56">
                  <c:v>7288.4902190338607</c:v>
                </c:pt>
                <c:pt idx="57">
                  <c:v>12487.05834851691</c:v>
                </c:pt>
                <c:pt idx="58">
                  <c:v>16800.479059227058</c:v>
                </c:pt>
                <c:pt idx="59">
                  <c:v>20199.629840539757</c:v>
                </c:pt>
                <c:pt idx="60">
                  <c:v>22727.558158000993</c:v>
                </c:pt>
                <c:pt idx="61">
                  <c:v>24483.476174714269</c:v>
                </c:pt>
                <c:pt idx="62">
                  <c:v>25602.059147058717</c:v>
                </c:pt>
                <c:pt idx="63">
                  <c:v>26232.530059044024</c:v>
                </c:pt>
                <c:pt idx="64">
                  <c:v>26520.962395562718</c:v>
                </c:pt>
                <c:pt idx="65">
                  <c:v>26597.502479056344</c:v>
                </c:pt>
                <c:pt idx="66">
                  <c:v>26568.574307975723</c:v>
                </c:pt>
                <c:pt idx="67">
                  <c:v>26513.052056294127</c:v>
                </c:pt>
                <c:pt idx="68">
                  <c:v>26480.963940068134</c:v>
                </c:pt>
                <c:pt idx="69">
                  <c:v>26493.382273451971</c:v>
                </c:pt>
                <c:pt idx="70">
                  <c:v>26542.548834346027</c:v>
                </c:pt>
                <c:pt idx="71">
                  <c:v>26591.816665607843</c:v>
                </c:pt>
                <c:pt idx="72">
                  <c:v>26575.56365871798</c:v>
                </c:pt>
                <c:pt idx="73">
                  <c:v>26399.79312553109</c:v>
                </c:pt>
                <c:pt idx="74">
                  <c:v>25944.610522294908</c:v>
                </c:pt>
                <c:pt idx="75">
                  <c:v>25070.021422393969</c:v>
                </c:pt>
                <c:pt idx="76">
                  <c:v>23626.336372514343</c:v>
                </c:pt>
                <c:pt idx="77">
                  <c:v>21469.700325654627</c:v>
                </c:pt>
                <c:pt idx="78">
                  <c:v>18481.850501241617</c:v>
                </c:pt>
                <c:pt idx="79">
                  <c:v>14591.435845343134</c:v>
                </c:pt>
                <c:pt idx="80">
                  <c:v>9792.7631096411005</c:v>
                </c:pt>
                <c:pt idx="81">
                  <c:v>4157.4705109795568</c:v>
                </c:pt>
                <c:pt idx="82">
                  <c:v>-2164.1553787816647</c:v>
                </c:pt>
                <c:pt idx="83">
                  <c:v>-8952.9756864407864</c:v>
                </c:pt>
                <c:pt idx="84">
                  <c:v>-15939.808853373484</c:v>
                </c:pt>
                <c:pt idx="85">
                  <c:v>-22829.147734890397</c:v>
                </c:pt>
                <c:pt idx="86">
                  <c:v>-29323.212492087689</c:v>
                </c:pt>
                <c:pt idx="87">
                  <c:v>-35142.73595871625</c:v>
                </c:pt>
                <c:pt idx="88">
                  <c:v>-40042.590653581552</c:v>
                </c:pt>
                <c:pt idx="89">
                  <c:v>-43822.039501694118</c:v>
                </c:pt>
                <c:pt idx="90">
                  <c:v>-46330.527385003959</c:v>
                </c:pt>
                <c:pt idx="91">
                  <c:v>-47470.406615364875</c:v>
                </c:pt>
                <c:pt idx="92">
                  <c:v>-47197.938052032383</c:v>
                </c:pt>
                <c:pt idx="93">
                  <c:v>-45523.540077890328</c:v>
                </c:pt>
                <c:pt idx="94">
                  <c:v>-42511.740583762519</c:v>
                </c:pt>
                <c:pt idx="95">
                  <c:v>-38280.722614162245</c:v>
                </c:pt>
                <c:pt idx="96">
                  <c:v>-33000.799993148175</c:v>
                </c:pt>
                <c:pt idx="97">
                  <c:v>-26890.683389865444</c:v>
                </c:pt>
                <c:pt idx="98">
                  <c:v>-20210.126303422236</c:v>
                </c:pt>
                <c:pt idx="99">
                  <c:v>-13247.667903490878</c:v>
                </c:pt>
                <c:pt idx="100">
                  <c:v>-6302.9133123635356</c:v>
                </c:pt>
                <c:pt idx="101">
                  <c:v>335.83243908598348</c:v>
                </c:pt>
                <c:pt idx="102">
                  <c:v>6415.9927135576918</c:v>
                </c:pt>
                <c:pt idx="103">
                  <c:v>11743.100854688748</c:v>
                </c:pt>
                <c:pt idx="104">
                  <c:v>16196.549608993428</c:v>
                </c:pt>
                <c:pt idx="105">
                  <c:v>19735.212668349042</c:v>
                </c:pt>
                <c:pt idx="106">
                  <c:v>22391.896775653953</c:v>
                </c:pt>
                <c:pt idx="107">
                  <c:v>24258.457183980616</c:v>
                </c:pt>
                <c:pt idx="108">
                  <c:v>25465.516687801679</c:v>
                </c:pt>
                <c:pt idx="109">
                  <c:v>26161.321385691153</c:v>
                </c:pt>
                <c:pt idx="110">
                  <c:v>26493.391990540258</c:v>
                </c:pt>
                <c:pt idx="111">
                  <c:v>26594.949291494875</c:v>
                </c:pt>
                <c:pt idx="112">
                  <c:v>26576.399398555848</c:v>
                </c:pt>
                <c:pt idx="113">
                  <c:v>26520.985726949664</c:v>
                </c:pt>
                <c:pt idx="114">
                  <c:v>26483.197771550946</c:v>
                </c:pt>
                <c:pt idx="115">
                  <c:v>26488.552674184972</c:v>
                </c:pt>
                <c:pt idx="116">
                  <c:v>26533.725788959826</c:v>
                </c:pt>
                <c:pt idx="117">
                  <c:v>26586.525078640476</c:v>
                </c:pt>
                <c:pt idx="118">
                  <c:v>26585.775973931901</c:v>
                </c:pt>
                <c:pt idx="119">
                  <c:v>26441.749037110167</c:v>
                </c:pt>
                <c:pt idx="120">
                  <c:v>26038.256686891276</c:v>
                </c:pt>
                <c:pt idx="121">
                  <c:v>25237.846296963082</c:v>
                </c:pt>
                <c:pt idx="122">
                  <c:v>23891.435491665154</c:v>
                </c:pt>
                <c:pt idx="123">
                  <c:v>21853.069613479936</c:v>
                </c:pt>
                <c:pt idx="124">
                  <c:v>18999.157782401708</c:v>
                </c:pt>
                <c:pt idx="125">
                  <c:v>15249.793467783235</c:v>
                </c:pt>
                <c:pt idx="126">
                  <c:v>10588.197527363263</c:v>
                </c:pt>
                <c:pt idx="127">
                  <c:v>5073.7426311869167</c:v>
                </c:pt>
                <c:pt idx="128">
                  <c:v>-1155.0140824112987</c:v>
                </c:pt>
                <c:pt idx="129">
                  <c:v>-7888.4869980698013</c:v>
                </c:pt>
                <c:pt idx="130">
                  <c:v>-14863.718162736424</c:v>
                </c:pt>
                <c:pt idx="131">
                  <c:v>-21787.644242749593</c:v>
                </c:pt>
                <c:pt idx="132">
                  <c:v>-28361.369328122521</c:v>
                </c:pt>
                <c:pt idx="133">
                  <c:v>-34301.621971331995</c:v>
                </c:pt>
                <c:pt idx="134">
                  <c:v>-39357.227181834271</c:v>
                </c:pt>
                <c:pt idx="135">
                  <c:v>-43320.145184995337</c:v>
                </c:pt>
                <c:pt idx="136">
                  <c:v>-46031.863136774118</c:v>
                </c:pt>
                <c:pt idx="137">
                  <c:v>-47386.498980020515</c:v>
                </c:pt>
                <c:pt idx="138">
                  <c:v>-47331.992934481088</c:v>
                </c:pt>
                <c:pt idx="139">
                  <c:v>-45870.428722105316</c:v>
                </c:pt>
                <c:pt idx="140">
                  <c:v>-43058.024094213448</c:v>
                </c:pt>
                <c:pt idx="141">
                  <c:v>-39004.76878031325</c:v>
                </c:pt>
                <c:pt idx="142">
                  <c:v>-33873.12855077198</c:v>
                </c:pt>
                <c:pt idx="143">
                  <c:v>-27874.739758399905</c:v>
                </c:pt>
                <c:pt idx="144">
                  <c:v>-21263.705008790588</c:v>
                </c:pt>
                <c:pt idx="145">
                  <c:v>-14325.152690793175</c:v>
                </c:pt>
                <c:pt idx="146">
                  <c:v>-7358.3457177292994</c:v>
                </c:pt>
              </c:numCache>
            </c:numRef>
          </c:val>
        </c:ser>
        <c:ser>
          <c:idx val="1"/>
          <c:order val="1"/>
          <c:tx>
            <c:v>Force</c:v>
          </c:tx>
          <c:marker>
            <c:symbol val="none"/>
          </c:marker>
          <c:cat>
            <c:numRef>
              <c:f>Sheet1!$C$8:$ES$8</c:f>
              <c:numCache>
                <c:formatCode>General</c:formatCode>
                <c:ptCount val="147"/>
                <c:pt idx="0">
                  <c:v>0</c:v>
                </c:pt>
                <c:pt idx="1">
                  <c:v>2.0000000000000001E-4</c:v>
                </c:pt>
                <c:pt idx="2">
                  <c:v>4.0000000000000002E-4</c:v>
                </c:pt>
                <c:pt idx="3">
                  <c:v>6.0000000000000006E-4</c:v>
                </c:pt>
                <c:pt idx="4">
                  <c:v>8.0000000000000004E-4</c:v>
                </c:pt>
                <c:pt idx="5">
                  <c:v>1E-3</c:v>
                </c:pt>
                <c:pt idx="6">
                  <c:v>1.2000000000000001E-3</c:v>
                </c:pt>
                <c:pt idx="7">
                  <c:v>1.4000000000000002E-3</c:v>
                </c:pt>
                <c:pt idx="8">
                  <c:v>1.6000000000000003E-3</c:v>
                </c:pt>
                <c:pt idx="9">
                  <c:v>1.8000000000000004E-3</c:v>
                </c:pt>
                <c:pt idx="10">
                  <c:v>2.0000000000000005E-3</c:v>
                </c:pt>
                <c:pt idx="11">
                  <c:v>2.2000000000000006E-3</c:v>
                </c:pt>
                <c:pt idx="12">
                  <c:v>2.4000000000000007E-3</c:v>
                </c:pt>
                <c:pt idx="13">
                  <c:v>2.6000000000000007E-3</c:v>
                </c:pt>
                <c:pt idx="14">
                  <c:v>2.8000000000000008E-3</c:v>
                </c:pt>
                <c:pt idx="15">
                  <c:v>3.0000000000000009E-3</c:v>
                </c:pt>
                <c:pt idx="16">
                  <c:v>3.200000000000001E-3</c:v>
                </c:pt>
                <c:pt idx="17">
                  <c:v>3.4000000000000011E-3</c:v>
                </c:pt>
                <c:pt idx="18">
                  <c:v>3.6000000000000012E-3</c:v>
                </c:pt>
                <c:pt idx="19">
                  <c:v>3.8000000000000013E-3</c:v>
                </c:pt>
                <c:pt idx="20">
                  <c:v>4.000000000000001E-3</c:v>
                </c:pt>
                <c:pt idx="21">
                  <c:v>4.2000000000000006E-3</c:v>
                </c:pt>
                <c:pt idx="22">
                  <c:v>4.4000000000000003E-3</c:v>
                </c:pt>
                <c:pt idx="23">
                  <c:v>4.5999999999999999E-3</c:v>
                </c:pt>
                <c:pt idx="24">
                  <c:v>4.7999999999999996E-3</c:v>
                </c:pt>
                <c:pt idx="25">
                  <c:v>4.9999999999999992E-3</c:v>
                </c:pt>
                <c:pt idx="26">
                  <c:v>5.1999999999999989E-3</c:v>
                </c:pt>
                <c:pt idx="27">
                  <c:v>5.3999999999999986E-3</c:v>
                </c:pt>
                <c:pt idx="28">
                  <c:v>5.5999999999999982E-3</c:v>
                </c:pt>
                <c:pt idx="29">
                  <c:v>5.7999999999999979E-3</c:v>
                </c:pt>
                <c:pt idx="30">
                  <c:v>5.9999999999999975E-3</c:v>
                </c:pt>
                <c:pt idx="31">
                  <c:v>6.1999999999999972E-3</c:v>
                </c:pt>
                <c:pt idx="32">
                  <c:v>6.3999999999999968E-3</c:v>
                </c:pt>
                <c:pt idx="33">
                  <c:v>6.5999999999999965E-3</c:v>
                </c:pt>
                <c:pt idx="34">
                  <c:v>6.7999999999999962E-3</c:v>
                </c:pt>
                <c:pt idx="35">
                  <c:v>6.9999999999999958E-3</c:v>
                </c:pt>
                <c:pt idx="36">
                  <c:v>7.1999999999999955E-3</c:v>
                </c:pt>
                <c:pt idx="37">
                  <c:v>7.3999999999999951E-3</c:v>
                </c:pt>
                <c:pt idx="38">
                  <c:v>7.5999999999999948E-3</c:v>
                </c:pt>
                <c:pt idx="39">
                  <c:v>7.7999999999999944E-3</c:v>
                </c:pt>
                <c:pt idx="40">
                  <c:v>7.999999999999995E-3</c:v>
                </c:pt>
                <c:pt idx="41">
                  <c:v>8.1999999999999955E-3</c:v>
                </c:pt>
                <c:pt idx="42">
                  <c:v>8.399999999999996E-3</c:v>
                </c:pt>
                <c:pt idx="43">
                  <c:v>8.5999999999999965E-3</c:v>
                </c:pt>
                <c:pt idx="44">
                  <c:v>8.7999999999999971E-3</c:v>
                </c:pt>
                <c:pt idx="45">
                  <c:v>8.9999999999999976E-3</c:v>
                </c:pt>
                <c:pt idx="46">
                  <c:v>9.1999999999999981E-3</c:v>
                </c:pt>
                <c:pt idx="47">
                  <c:v>9.3999999999999986E-3</c:v>
                </c:pt>
                <c:pt idx="48">
                  <c:v>9.5999999999999992E-3</c:v>
                </c:pt>
                <c:pt idx="49">
                  <c:v>9.7999999999999997E-3</c:v>
                </c:pt>
                <c:pt idx="50">
                  <c:v>0.01</c:v>
                </c:pt>
                <c:pt idx="51">
                  <c:v>1.0200000000000001E-2</c:v>
                </c:pt>
                <c:pt idx="52">
                  <c:v>1.0400000000000001E-2</c:v>
                </c:pt>
                <c:pt idx="53">
                  <c:v>1.0600000000000002E-2</c:v>
                </c:pt>
                <c:pt idx="54">
                  <c:v>1.0800000000000002E-2</c:v>
                </c:pt>
                <c:pt idx="55">
                  <c:v>1.1000000000000003E-2</c:v>
                </c:pt>
                <c:pt idx="56">
                  <c:v>1.1200000000000003E-2</c:v>
                </c:pt>
                <c:pt idx="57">
                  <c:v>1.1400000000000004E-2</c:v>
                </c:pt>
                <c:pt idx="58">
                  <c:v>1.1600000000000004E-2</c:v>
                </c:pt>
                <c:pt idx="59">
                  <c:v>1.1800000000000005E-2</c:v>
                </c:pt>
                <c:pt idx="60">
                  <c:v>1.2000000000000005E-2</c:v>
                </c:pt>
                <c:pt idx="61">
                  <c:v>1.2200000000000006E-2</c:v>
                </c:pt>
                <c:pt idx="62">
                  <c:v>1.2400000000000007E-2</c:v>
                </c:pt>
                <c:pt idx="63">
                  <c:v>1.2600000000000007E-2</c:v>
                </c:pt>
                <c:pt idx="64">
                  <c:v>1.2800000000000008E-2</c:v>
                </c:pt>
                <c:pt idx="65">
                  <c:v>1.3000000000000008E-2</c:v>
                </c:pt>
                <c:pt idx="66">
                  <c:v>1.3200000000000009E-2</c:v>
                </c:pt>
                <c:pt idx="67">
                  <c:v>1.3400000000000009E-2</c:v>
                </c:pt>
                <c:pt idx="68">
                  <c:v>1.360000000000001E-2</c:v>
                </c:pt>
                <c:pt idx="69">
                  <c:v>1.380000000000001E-2</c:v>
                </c:pt>
                <c:pt idx="70">
                  <c:v>1.4000000000000011E-2</c:v>
                </c:pt>
                <c:pt idx="71">
                  <c:v>1.4200000000000011E-2</c:v>
                </c:pt>
                <c:pt idx="72">
                  <c:v>1.4400000000000012E-2</c:v>
                </c:pt>
                <c:pt idx="73">
                  <c:v>1.4600000000000012E-2</c:v>
                </c:pt>
                <c:pt idx="74">
                  <c:v>1.4800000000000013E-2</c:v>
                </c:pt>
                <c:pt idx="75">
                  <c:v>1.5000000000000013E-2</c:v>
                </c:pt>
                <c:pt idx="76">
                  <c:v>1.5200000000000014E-2</c:v>
                </c:pt>
                <c:pt idx="77">
                  <c:v>1.5400000000000014E-2</c:v>
                </c:pt>
                <c:pt idx="78">
                  <c:v>1.5600000000000015E-2</c:v>
                </c:pt>
                <c:pt idx="79">
                  <c:v>1.5800000000000015E-2</c:v>
                </c:pt>
                <c:pt idx="80">
                  <c:v>1.6000000000000014E-2</c:v>
                </c:pt>
                <c:pt idx="81">
                  <c:v>1.6200000000000013E-2</c:v>
                </c:pt>
                <c:pt idx="82">
                  <c:v>1.6400000000000012E-2</c:v>
                </c:pt>
                <c:pt idx="83">
                  <c:v>1.6600000000000011E-2</c:v>
                </c:pt>
                <c:pt idx="84">
                  <c:v>1.6800000000000009E-2</c:v>
                </c:pt>
                <c:pt idx="85">
                  <c:v>1.7000000000000008E-2</c:v>
                </c:pt>
                <c:pt idx="86">
                  <c:v>1.7200000000000007E-2</c:v>
                </c:pt>
                <c:pt idx="87">
                  <c:v>1.7400000000000006E-2</c:v>
                </c:pt>
                <c:pt idx="88">
                  <c:v>1.7600000000000005E-2</c:v>
                </c:pt>
                <c:pt idx="89">
                  <c:v>1.7800000000000003E-2</c:v>
                </c:pt>
                <c:pt idx="90">
                  <c:v>1.8000000000000002E-2</c:v>
                </c:pt>
                <c:pt idx="91">
                  <c:v>1.8200000000000001E-2</c:v>
                </c:pt>
                <c:pt idx="92">
                  <c:v>1.84E-2</c:v>
                </c:pt>
                <c:pt idx="93">
                  <c:v>1.8599999999999998E-2</c:v>
                </c:pt>
                <c:pt idx="94">
                  <c:v>1.8799999999999997E-2</c:v>
                </c:pt>
                <c:pt idx="95">
                  <c:v>1.8999999999999996E-2</c:v>
                </c:pt>
                <c:pt idx="96">
                  <c:v>1.9199999999999995E-2</c:v>
                </c:pt>
                <c:pt idx="97">
                  <c:v>1.9399999999999994E-2</c:v>
                </c:pt>
                <c:pt idx="98">
                  <c:v>1.9599999999999992E-2</c:v>
                </c:pt>
                <c:pt idx="99">
                  <c:v>1.9799999999999991E-2</c:v>
                </c:pt>
                <c:pt idx="100">
                  <c:v>1.999999999999999E-2</c:v>
                </c:pt>
                <c:pt idx="101">
                  <c:v>2.0199999999999989E-2</c:v>
                </c:pt>
                <c:pt idx="102">
                  <c:v>2.0399999999999988E-2</c:v>
                </c:pt>
                <c:pt idx="103">
                  <c:v>2.0599999999999986E-2</c:v>
                </c:pt>
                <c:pt idx="104">
                  <c:v>2.0799999999999985E-2</c:v>
                </c:pt>
                <c:pt idx="105">
                  <c:v>2.0999999999999984E-2</c:v>
                </c:pt>
                <c:pt idx="106">
                  <c:v>2.1199999999999983E-2</c:v>
                </c:pt>
                <c:pt idx="107">
                  <c:v>2.1399999999999982E-2</c:v>
                </c:pt>
                <c:pt idx="108">
                  <c:v>2.159999999999998E-2</c:v>
                </c:pt>
                <c:pt idx="109">
                  <c:v>2.1799999999999979E-2</c:v>
                </c:pt>
                <c:pt idx="110">
                  <c:v>2.1999999999999978E-2</c:v>
                </c:pt>
                <c:pt idx="111">
                  <c:v>2.2199999999999977E-2</c:v>
                </c:pt>
                <c:pt idx="112">
                  <c:v>2.2399999999999975E-2</c:v>
                </c:pt>
                <c:pt idx="113">
                  <c:v>2.2599999999999974E-2</c:v>
                </c:pt>
                <c:pt idx="114">
                  <c:v>2.2799999999999973E-2</c:v>
                </c:pt>
                <c:pt idx="115">
                  <c:v>2.2999999999999972E-2</c:v>
                </c:pt>
                <c:pt idx="116">
                  <c:v>2.3199999999999971E-2</c:v>
                </c:pt>
                <c:pt idx="117">
                  <c:v>2.3399999999999969E-2</c:v>
                </c:pt>
                <c:pt idx="118">
                  <c:v>2.3599999999999968E-2</c:v>
                </c:pt>
                <c:pt idx="119">
                  <c:v>2.3799999999999967E-2</c:v>
                </c:pt>
                <c:pt idx="120">
                  <c:v>2.3999999999999966E-2</c:v>
                </c:pt>
                <c:pt idx="121">
                  <c:v>2.4199999999999965E-2</c:v>
                </c:pt>
                <c:pt idx="122">
                  <c:v>2.4399999999999963E-2</c:v>
                </c:pt>
                <c:pt idx="123">
                  <c:v>2.4599999999999962E-2</c:v>
                </c:pt>
                <c:pt idx="124">
                  <c:v>2.4799999999999961E-2</c:v>
                </c:pt>
                <c:pt idx="125">
                  <c:v>2.499999999999996E-2</c:v>
                </c:pt>
                <c:pt idx="126">
                  <c:v>2.5199999999999959E-2</c:v>
                </c:pt>
                <c:pt idx="127">
                  <c:v>2.5399999999999957E-2</c:v>
                </c:pt>
                <c:pt idx="128">
                  <c:v>2.5599999999999956E-2</c:v>
                </c:pt>
                <c:pt idx="129">
                  <c:v>2.5799999999999955E-2</c:v>
                </c:pt>
                <c:pt idx="130">
                  <c:v>2.5999999999999954E-2</c:v>
                </c:pt>
                <c:pt idx="131">
                  <c:v>2.6199999999999952E-2</c:v>
                </c:pt>
                <c:pt idx="132">
                  <c:v>2.6399999999999951E-2</c:v>
                </c:pt>
                <c:pt idx="133">
                  <c:v>2.659999999999995E-2</c:v>
                </c:pt>
                <c:pt idx="134">
                  <c:v>2.6799999999999949E-2</c:v>
                </c:pt>
                <c:pt idx="135">
                  <c:v>2.6999999999999948E-2</c:v>
                </c:pt>
                <c:pt idx="136">
                  <c:v>2.7199999999999946E-2</c:v>
                </c:pt>
                <c:pt idx="137">
                  <c:v>2.7399999999999945E-2</c:v>
                </c:pt>
                <c:pt idx="138">
                  <c:v>2.7599999999999944E-2</c:v>
                </c:pt>
                <c:pt idx="139">
                  <c:v>2.7799999999999943E-2</c:v>
                </c:pt>
                <c:pt idx="140">
                  <c:v>2.7999999999999942E-2</c:v>
                </c:pt>
                <c:pt idx="141">
                  <c:v>2.819999999999994E-2</c:v>
                </c:pt>
                <c:pt idx="142">
                  <c:v>2.8399999999999939E-2</c:v>
                </c:pt>
                <c:pt idx="143">
                  <c:v>2.8599999999999938E-2</c:v>
                </c:pt>
                <c:pt idx="144">
                  <c:v>2.8799999999999937E-2</c:v>
                </c:pt>
                <c:pt idx="145">
                  <c:v>2.8999999999999936E-2</c:v>
                </c:pt>
                <c:pt idx="146">
                  <c:v>2.9199999999999934E-2</c:v>
                </c:pt>
              </c:numCache>
            </c:numRef>
          </c:cat>
          <c:val>
            <c:numRef>
              <c:f>Sheet1!$C$20:$ES$20</c:f>
              <c:numCache>
                <c:formatCode>General</c:formatCode>
                <c:ptCount val="147"/>
                <c:pt idx="0">
                  <c:v>-16390.542675397621</c:v>
                </c:pt>
                <c:pt idx="1">
                  <c:v>-15657.192969412246</c:v>
                </c:pt>
                <c:pt idx="2">
                  <c:v>-14466.494362246178</c:v>
                </c:pt>
                <c:pt idx="3">
                  <c:v>-12865.508635067263</c:v>
                </c:pt>
                <c:pt idx="4">
                  <c:v>-10919.245604542664</c:v>
                </c:pt>
                <c:pt idx="5">
                  <c:v>-8709.0203365070083</c:v>
                </c:pt>
                <c:pt idx="6">
                  <c:v>-6329.3918827797897</c:v>
                </c:pt>
                <c:pt idx="7">
                  <c:v>-3883.2877097531332</c:v>
                </c:pt>
                <c:pt idx="8">
                  <c:v>-1475.2434453730368</c:v>
                </c:pt>
                <c:pt idx="9">
                  <c:v>796.7726694938317</c:v>
                </c:pt>
                <c:pt idx="10">
                  <c:v>2849.859808619115</c:v>
                </c:pt>
                <c:pt idx="11">
                  <c:v>4623.4684547686784</c:v>
                </c:pt>
                <c:pt idx="12">
                  <c:v>6083.9196840264258</c:v>
                </c:pt>
                <c:pt idx="13">
                  <c:v>7225.1609482687581</c:v>
                </c:pt>
                <c:pt idx="14">
                  <c:v>8065.7075835782871</c:v>
                </c:pt>
                <c:pt idx="15">
                  <c:v>8642.6841186261172</c:v>
                </c:pt>
                <c:pt idx="16">
                  <c:v>9004.469617258892</c:v>
                </c:pt>
                <c:pt idx="17">
                  <c:v>9203.4862962299958</c:v>
                </c:pt>
                <c:pt idx="18">
                  <c:v>9290.2475085404749</c:v>
                </c:pt>
                <c:pt idx="19">
                  <c:v>9309.1645745202823</c:v>
                </c:pt>
                <c:pt idx="20">
                  <c:v>9296.0614620465476</c:v>
                </c:pt>
                <c:pt idx="21">
                  <c:v>9277.0050932462655</c:v>
                </c:pt>
                <c:pt idx="22">
                  <c:v>9267.9436374188735</c:v>
                </c:pt>
                <c:pt idx="23">
                  <c:v>9274.698038832199</c:v>
                </c:pt>
                <c:pt idx="24">
                  <c:v>9293.0005802253745</c:v>
                </c:pt>
                <c:pt idx="25">
                  <c:v>9308.4643999872078</c:v>
                </c:pt>
                <c:pt idx="26">
                  <c:v>9296.5692767290875</c:v>
                </c:pt>
                <c:pt idx="27">
                  <c:v>9222.9423382796922</c:v>
                </c:pt>
                <c:pt idx="28">
                  <c:v>9044.3701650007552</c:v>
                </c:pt>
                <c:pt idx="29">
                  <c:v>8711.0508599385375</c:v>
                </c:pt>
                <c:pt idx="30">
                  <c:v>8170.5098494793174</c:v>
                </c:pt>
                <c:pt idx="31">
                  <c:v>7373.2982270899092</c:v>
                </c:pt>
                <c:pt idx="32">
                  <c:v>6280.0683556325375</c:v>
                </c:pt>
                <c:pt idx="33">
                  <c:v>4869.0002612624758</c:v>
                </c:pt>
                <c:pt idx="34">
                  <c:v>3142.0804177155042</c:v>
                </c:pt>
                <c:pt idx="35">
                  <c:v>1128.6865934808663</c:v>
                </c:pt>
                <c:pt idx="36">
                  <c:v>-1114.5582591511402</c:v>
                </c:pt>
                <c:pt idx="37">
                  <c:v>-3507.7706318386959</c:v>
                </c:pt>
                <c:pt idx="38">
                  <c:v>-5954.7584085991184</c:v>
                </c:pt>
                <c:pt idx="39">
                  <c:v>-8351.4405057221084</c:v>
                </c:pt>
                <c:pt idx="40">
                  <c:v>-10594.158056820432</c:v>
                </c:pt>
                <c:pt idx="41">
                  <c:v>-12586.69859955944</c:v>
                </c:pt>
                <c:pt idx="42">
                  <c:v>-14245.46838029436</c:v>
                </c:pt>
                <c:pt idx="43">
                  <c:v>-15502.812358016905</c:v>
                </c:pt>
                <c:pt idx="44">
                  <c:v>-16308.843091462955</c:v>
                </c:pt>
                <c:pt idx="45">
                  <c:v>-16632.273544910771</c:v>
                </c:pt>
                <c:pt idx="46">
                  <c:v>-16460.708995129706</c:v>
                </c:pt>
                <c:pt idx="47">
                  <c:v>-15800.712684116432</c:v>
                </c:pt>
                <c:pt idx="48">
                  <c:v>-14677.774612026218</c:v>
                </c:pt>
                <c:pt idx="49">
                  <c:v>-13136.114661920294</c:v>
                </c:pt>
                <c:pt idx="50">
                  <c:v>-11238.059544988984</c:v>
                </c:pt>
                <c:pt idx="51">
                  <c:v>-9062.5740052728779</c:v>
                </c:pt>
                <c:pt idx="52">
                  <c:v>-6702.4484816556651</c:v>
                </c:pt>
                <c:pt idx="53">
                  <c:v>-4259.7181572858617</c:v>
                </c:pt>
                <c:pt idx="54">
                  <c:v>-1839.1775571683409</c:v>
                </c:pt>
                <c:pt idx="55">
                  <c:v>459.63322326775994</c:v>
                </c:pt>
                <c:pt idx="56">
                  <c:v>2550.971576661851</c:v>
                </c:pt>
                <c:pt idx="57">
                  <c:v>4370.4704219809182</c:v>
                </c:pt>
                <c:pt idx="58">
                  <c:v>5880.16767072947</c:v>
                </c:pt>
                <c:pt idx="59">
                  <c:v>7069.8704441889149</c:v>
                </c:pt>
                <c:pt idx="60">
                  <c:v>7954.6453553003466</c:v>
                </c:pt>
                <c:pt idx="61">
                  <c:v>8569.2166611499943</c:v>
                </c:pt>
                <c:pt idx="62">
                  <c:v>8960.7207014705509</c:v>
                </c:pt>
                <c:pt idx="63">
                  <c:v>9181.385520665408</c:v>
                </c:pt>
                <c:pt idx="64">
                  <c:v>9282.3368384469504</c:v>
                </c:pt>
                <c:pt idx="65">
                  <c:v>9309.1258676697198</c:v>
                </c:pt>
                <c:pt idx="66">
                  <c:v>9299.0010077915031</c:v>
                </c:pt>
                <c:pt idx="67">
                  <c:v>9279.5682197029437</c:v>
                </c:pt>
                <c:pt idx="68">
                  <c:v>9268.3373790238456</c:v>
                </c:pt>
                <c:pt idx="69">
                  <c:v>9272.6837957081898</c:v>
                </c:pt>
                <c:pt idx="70">
                  <c:v>9289.8920920211094</c:v>
                </c:pt>
                <c:pt idx="71">
                  <c:v>9307.1358329627437</c:v>
                </c:pt>
                <c:pt idx="72">
                  <c:v>9301.4472805512924</c:v>
                </c:pt>
                <c:pt idx="73">
                  <c:v>9239.9275939358813</c:v>
                </c:pt>
                <c:pt idx="74">
                  <c:v>9080.6136828032177</c:v>
                </c:pt>
                <c:pt idx="75">
                  <c:v>8774.5074978378889</c:v>
                </c:pt>
                <c:pt idx="76">
                  <c:v>8269.2177303800199</c:v>
                </c:pt>
                <c:pt idx="77">
                  <c:v>7514.3951139791188</c:v>
                </c:pt>
                <c:pt idx="78">
                  <c:v>6468.6476754345658</c:v>
                </c:pt>
                <c:pt idx="79">
                  <c:v>5107.0025458700966</c:v>
                </c:pt>
                <c:pt idx="80">
                  <c:v>3427.4670883743852</c:v>
                </c:pt>
                <c:pt idx="81">
                  <c:v>1455.1146788428448</c:v>
                </c:pt>
                <c:pt idx="82">
                  <c:v>-757.45438257358262</c:v>
                </c:pt>
                <c:pt idx="83">
                  <c:v>-3133.5414902542752</c:v>
                </c:pt>
                <c:pt idx="84">
                  <c:v>-5578.933098680719</c:v>
                </c:pt>
                <c:pt idx="85">
                  <c:v>-7990.2017072116387</c:v>
                </c:pt>
                <c:pt idx="86">
                  <c:v>-10263.12437223069</c:v>
                </c:pt>
                <c:pt idx="87">
                  <c:v>-12299.957585550686</c:v>
                </c:pt>
                <c:pt idx="88">
                  <c:v>-14014.906728753542</c:v>
                </c:pt>
                <c:pt idx="89">
                  <c:v>-15337.71382559294</c:v>
                </c:pt>
                <c:pt idx="90">
                  <c:v>-16215.684584751385</c:v>
                </c:pt>
                <c:pt idx="91">
                  <c:v>-16614.642315377707</c:v>
                </c:pt>
                <c:pt idx="92">
                  <c:v>-16519.278318211334</c:v>
                </c:pt>
                <c:pt idx="93">
                  <c:v>-15933.239027261614</c:v>
                </c:pt>
                <c:pt idx="94">
                  <c:v>-14879.109204316881</c:v>
                </c:pt>
                <c:pt idx="95">
                  <c:v>-13398.252914956785</c:v>
                </c:pt>
                <c:pt idx="96">
                  <c:v>-11550.279997601861</c:v>
                </c:pt>
                <c:pt idx="97">
                  <c:v>-9411.7391864529054</c:v>
                </c:pt>
                <c:pt idx="98">
                  <c:v>-7073.5442061977819</c:v>
                </c:pt>
                <c:pt idx="99">
                  <c:v>-4636.6837662218068</c:v>
                </c:pt>
                <c:pt idx="100">
                  <c:v>-2206.0196593272372</c:v>
                </c:pt>
                <c:pt idx="101">
                  <c:v>117.5413536800942</c:v>
                </c:pt>
                <c:pt idx="102">
                  <c:v>2245.5974497451921</c:v>
                </c:pt>
                <c:pt idx="103">
                  <c:v>4110.0852991410611</c:v>
                </c:pt>
                <c:pt idx="104">
                  <c:v>5668.7923631476997</c:v>
                </c:pt>
                <c:pt idx="105">
                  <c:v>6907.3244339221646</c:v>
                </c:pt>
                <c:pt idx="106">
                  <c:v>7837.1638714788833</c:v>
                </c:pt>
                <c:pt idx="107">
                  <c:v>8490.4600143932148</c:v>
                </c:pt>
                <c:pt idx="108">
                  <c:v>8912.9308407305871</c:v>
                </c:pt>
                <c:pt idx="109">
                  <c:v>9156.4624849919037</c:v>
                </c:pt>
                <c:pt idx="110">
                  <c:v>9272.6871966890903</c:v>
                </c:pt>
                <c:pt idx="111">
                  <c:v>9308.2322520232065</c:v>
                </c:pt>
                <c:pt idx="112">
                  <c:v>9301.7397894945461</c:v>
                </c:pt>
                <c:pt idx="113">
                  <c:v>9282.3450044323818</c:v>
                </c:pt>
                <c:pt idx="114">
                  <c:v>9269.1192200428304</c:v>
                </c:pt>
                <c:pt idx="115">
                  <c:v>9270.9934359647395</c:v>
                </c:pt>
                <c:pt idx="116">
                  <c:v>9286.8040261359383</c:v>
                </c:pt>
                <c:pt idx="117">
                  <c:v>9305.283777524166</c:v>
                </c:pt>
                <c:pt idx="118">
                  <c:v>9305.0215908761638</c:v>
                </c:pt>
                <c:pt idx="119">
                  <c:v>9254.6121629885583</c:v>
                </c:pt>
                <c:pt idx="120">
                  <c:v>9113.3898404119464</c:v>
                </c:pt>
                <c:pt idx="121">
                  <c:v>8833.2462039370785</c:v>
                </c:pt>
                <c:pt idx="122">
                  <c:v>8362.0024220828036</c:v>
                </c:pt>
                <c:pt idx="123">
                  <c:v>7648.574364717977</c:v>
                </c:pt>
                <c:pt idx="124">
                  <c:v>6649.7052238405977</c:v>
                </c:pt>
                <c:pt idx="125">
                  <c:v>5337.4277137241315</c:v>
                </c:pt>
                <c:pt idx="126">
                  <c:v>3705.8691345771417</c:v>
                </c:pt>
                <c:pt idx="127">
                  <c:v>1775.8099209154207</c:v>
                </c:pt>
                <c:pt idx="128">
                  <c:v>-404.25492884395453</c:v>
                </c:pt>
                <c:pt idx="129">
                  <c:v>-2760.9704493244303</c:v>
                </c:pt>
                <c:pt idx="130">
                  <c:v>-5202.3013569577479</c:v>
                </c:pt>
                <c:pt idx="131">
                  <c:v>-7625.6754849623567</c:v>
                </c:pt>
                <c:pt idx="132">
                  <c:v>-9926.4792648428811</c:v>
                </c:pt>
                <c:pt idx="133">
                  <c:v>-12005.567689966198</c:v>
                </c:pt>
                <c:pt idx="134">
                  <c:v>-13775.029513641994</c:v>
                </c:pt>
                <c:pt idx="135">
                  <c:v>-15162.050814748367</c:v>
                </c:pt>
                <c:pt idx="136">
                  <c:v>-16111.15209787094</c:v>
                </c:pt>
                <c:pt idx="137">
                  <c:v>-16585.274643007178</c:v>
                </c:pt>
                <c:pt idx="138">
                  <c:v>-16566.19752706838</c:v>
                </c:pt>
                <c:pt idx="139">
                  <c:v>-16054.650052736859</c:v>
                </c:pt>
                <c:pt idx="140">
                  <c:v>-15070.308432974705</c:v>
                </c:pt>
                <c:pt idx="141">
                  <c:v>-13651.669073109637</c:v>
                </c:pt>
                <c:pt idx="142">
                  <c:v>-11855.594992770193</c:v>
                </c:pt>
                <c:pt idx="143">
                  <c:v>-9756.1589154399662</c:v>
                </c:pt>
                <c:pt idx="144">
                  <c:v>-7442.2967530767055</c:v>
                </c:pt>
                <c:pt idx="145">
                  <c:v>-5013.8034417776107</c:v>
                </c:pt>
                <c:pt idx="146">
                  <c:v>-2575.4210012052545</c:v>
                </c:pt>
              </c:numCache>
            </c:numRef>
          </c:val>
        </c:ser>
        <c:marker val="1"/>
        <c:axId val="120151424"/>
        <c:axId val="144810752"/>
      </c:lineChart>
      <c:catAx>
        <c:axId val="120151424"/>
        <c:scaling>
          <c:orientation val="minMax"/>
        </c:scaling>
        <c:axPos val="b"/>
        <c:numFmt formatCode="General" sourceLinked="1"/>
        <c:tickLblPos val="nextTo"/>
        <c:crossAx val="144810752"/>
        <c:crosses val="autoZero"/>
        <c:auto val="1"/>
        <c:lblAlgn val="ctr"/>
        <c:lblOffset val="100"/>
      </c:catAx>
      <c:valAx>
        <c:axId val="144810752"/>
        <c:scaling>
          <c:orientation val="minMax"/>
        </c:scaling>
        <c:axPos val="l"/>
        <c:majorGridlines/>
        <c:numFmt formatCode="General" sourceLinked="1"/>
        <c:tickLblPos val="nextTo"/>
        <c:crossAx val="120151424"/>
        <c:crosses val="autoZero"/>
        <c:crossBetween val="between"/>
      </c:valAx>
    </c:plotArea>
    <c:legend>
      <c:legendPos val="r"/>
      <c:layout/>
    </c:legend>
    <c:plotVisOnly val="1"/>
  </c:chart>
  <c:externalData r:id="rId1"/>
</c:chartSpace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docParts/>
</w:glossaryDocument>
</file>

<file path=word/glossary/fontTable.xml><?xml version="1.0" encoding="utf-8"?>
<w:fonts xmlns:r="http://schemas.openxmlformats.org/officeDocument/2006/relationships" xmlns:w="http://schemas.openxmlformats.org/wordprocessingml/2006/main"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Lucida Sans">
    <w:panose1 w:val="020B0602030504020204"/>
    <w:charset w:val="00"/>
    <w:family w:val="swiss"/>
    <w:pitch w:val="variable"/>
    <w:sig w:usb0="00000003" w:usb1="00000000" w:usb2="00000000" w:usb3="00000000" w:csb0="00000001" w:csb1="00000000"/>
  </w:font>
  <w:font w:name="Arial">
    <w:altName w:val="Arial"/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Cambria Math">
    <w:panose1 w:val="02040503050406030204"/>
    <w:charset w:val="00"/>
    <w:family w:val="roman"/>
    <w:pitch w:val="variable"/>
    <w:sig w:usb0="A00002EF" w:usb1="420020EB" w:usb2="00000000" w:usb3="00000000" w:csb0="0000009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glossary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view w:val="normal"/>
  <w:defaultTabStop w:val="720"/>
  <w:characterSpacingControl w:val="doNotCompress"/>
  <w:compat>
    <w:useFELayout/>
  </w:compat>
  <w:rsids>
    <w:rsidRoot w:val="00531A5B"/>
    <w:rsid w:val="00531A5B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531A5B"/>
    <w:rPr>
      <w:color w:val="808080"/>
    </w:rPr>
  </w:style>
</w:styles>
</file>

<file path=word/glossary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Apex">
      <a:majorFont>
        <a:latin typeface="Lucida Sans"/>
        <a:ea typeface=""/>
        <a:cs typeface=""/>
        <a:font script="Grek" typeface="Arial"/>
        <a:font script="Cyrl" typeface="Arial"/>
        <a:font script="Jpan" typeface="HG丸ｺﾞｼｯｸM-PRO"/>
        <a:font script="Hang" typeface="휴먼옛체"/>
        <a:font script="Hans" typeface="黑体"/>
        <a:font script="Hant" typeface="微軟正黑體"/>
        <a:font script="Arab" typeface="Tahoma"/>
        <a:font script="Hebr" typeface="Levenim MT"/>
        <a:font script="Thai" typeface="Frees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</a:majorFont>
      <a:minorFont>
        <a:latin typeface="Book Antiqua"/>
        <a:ea typeface=""/>
        <a:cs typeface=""/>
        <a:font script="Grek" typeface="Times New Roman"/>
        <a:font script="Cyrl" typeface="Times New Roman"/>
        <a:font script="Jpan" typeface="HG明朝B"/>
        <a:font script="Hang" typeface="돋움"/>
        <a:font script="Hans" typeface="宋体"/>
        <a:font script="Hant" typeface="新細明體"/>
        <a:font script="Arab" typeface="Times New Roman"/>
        <a:font script="Hebr" typeface="David"/>
        <a:font script="Thai" typeface="EucrosiaUPC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214E5A6-DE69-498E-A0A5-8429AA4D48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4</Pages>
  <Words>307</Words>
  <Characters>1754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2057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fad-cw</dc:creator>
  <cp:keywords/>
  <dc:description/>
  <cp:lastModifiedBy>fad-cw</cp:lastModifiedBy>
  <cp:revision>3</cp:revision>
  <dcterms:created xsi:type="dcterms:W3CDTF">2011-12-05T13:52:00Z</dcterms:created>
  <dcterms:modified xsi:type="dcterms:W3CDTF">2011-12-05T14:03:00Z</dcterms:modified>
</cp:coreProperties>
</file>