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2543B2" w14:textId="165793C1" w:rsidR="009E0EB5" w:rsidRDefault="009E0EB5" w:rsidP="009E0EB5">
      <w:pPr>
        <w:jc w:val="center"/>
        <w:rPr>
          <w:rFonts w:ascii="Times New Roman" w:hAnsi="Times New Roman" w:cs="Times New Roman"/>
          <w:sz w:val="28"/>
          <w:szCs w:val="28"/>
        </w:rPr>
      </w:pPr>
    </w:p>
    <w:p w14:paraId="38CC1AF8" w14:textId="77777777" w:rsidR="009E0EB5" w:rsidRDefault="009E0EB5" w:rsidP="009E0EB5">
      <w:pPr>
        <w:jc w:val="center"/>
        <w:rPr>
          <w:rFonts w:ascii="Times New Roman" w:hAnsi="Times New Roman" w:cs="Times New Roman"/>
          <w:sz w:val="28"/>
          <w:szCs w:val="28"/>
        </w:rPr>
      </w:pPr>
    </w:p>
    <w:p w14:paraId="02A2F316" w14:textId="3BCC215B" w:rsidR="009E0EB5" w:rsidRDefault="009E0EB5" w:rsidP="009E0EB5">
      <w:pPr>
        <w:jc w:val="center"/>
        <w:rPr>
          <w:rFonts w:ascii="Times New Roman" w:hAnsi="Times New Roman" w:cs="Times New Roman"/>
          <w:sz w:val="28"/>
          <w:szCs w:val="28"/>
        </w:rPr>
      </w:pPr>
      <w:r>
        <w:rPr>
          <w:rFonts w:ascii="Times New Roman" w:hAnsi="Times New Roman" w:cs="Times New Roman"/>
          <w:sz w:val="28"/>
          <w:szCs w:val="28"/>
        </w:rPr>
        <w:t xml:space="preserve">ASSIGNMENT </w:t>
      </w:r>
      <w:r>
        <w:rPr>
          <w:rFonts w:ascii="Times New Roman" w:hAnsi="Times New Roman" w:cs="Times New Roman"/>
          <w:sz w:val="28"/>
          <w:szCs w:val="28"/>
        </w:rPr>
        <w:t>2</w:t>
      </w:r>
      <w:r>
        <w:rPr>
          <w:rFonts w:ascii="Times New Roman" w:hAnsi="Times New Roman" w:cs="Times New Roman"/>
          <w:sz w:val="28"/>
          <w:szCs w:val="28"/>
        </w:rPr>
        <w:t xml:space="preserve"> FOR MANAGEMENT ACCOUNTING</w:t>
      </w:r>
    </w:p>
    <w:p w14:paraId="40544A5D" w14:textId="77777777" w:rsidR="009E0EB5" w:rsidRDefault="009E0EB5" w:rsidP="009E0EB5">
      <w:pPr>
        <w:jc w:val="center"/>
        <w:rPr>
          <w:rFonts w:ascii="Times New Roman" w:hAnsi="Times New Roman" w:cs="Times New Roman"/>
          <w:sz w:val="28"/>
          <w:szCs w:val="28"/>
        </w:rPr>
      </w:pPr>
      <w:r>
        <w:rPr>
          <w:rFonts w:ascii="Times New Roman" w:hAnsi="Times New Roman" w:cs="Times New Roman"/>
          <w:sz w:val="28"/>
          <w:szCs w:val="28"/>
        </w:rPr>
        <w:t>LECTURER DR REXON NTING</w:t>
      </w:r>
    </w:p>
    <w:p w14:paraId="7CB5B48A" w14:textId="297AACCF" w:rsidR="009E0EB5" w:rsidRDefault="009E0EB5" w:rsidP="009E0EB5">
      <w:pPr>
        <w:jc w:val="center"/>
        <w:rPr>
          <w:rFonts w:ascii="Times New Roman" w:hAnsi="Times New Roman" w:cs="Times New Roman"/>
          <w:sz w:val="28"/>
          <w:szCs w:val="28"/>
        </w:rPr>
      </w:pPr>
      <w:r>
        <w:rPr>
          <w:rFonts w:ascii="Times New Roman" w:hAnsi="Times New Roman" w:cs="Times New Roman"/>
          <w:sz w:val="28"/>
          <w:szCs w:val="28"/>
        </w:rPr>
        <w:t xml:space="preserve">UWTSD </w:t>
      </w:r>
      <w:r w:rsidR="00EC3AC0">
        <w:rPr>
          <w:rFonts w:ascii="Times New Roman" w:hAnsi="Times New Roman" w:cs="Times New Roman"/>
          <w:sz w:val="28"/>
          <w:szCs w:val="28"/>
        </w:rPr>
        <w:t>JUNE</w:t>
      </w:r>
      <w:r>
        <w:rPr>
          <w:rFonts w:ascii="Times New Roman" w:hAnsi="Times New Roman" w:cs="Times New Roman"/>
          <w:sz w:val="28"/>
          <w:szCs w:val="28"/>
        </w:rPr>
        <w:t xml:space="preserve"> 2020 </w:t>
      </w:r>
    </w:p>
    <w:p w14:paraId="6244490E" w14:textId="57DFA769" w:rsidR="00EC3AC0" w:rsidRDefault="00EC3AC0" w:rsidP="009E0EB5">
      <w:pPr>
        <w:jc w:val="center"/>
        <w:rPr>
          <w:rFonts w:ascii="Times New Roman" w:hAnsi="Times New Roman" w:cs="Times New Roman"/>
          <w:sz w:val="28"/>
          <w:szCs w:val="28"/>
        </w:rPr>
      </w:pPr>
      <w:r>
        <w:rPr>
          <w:rFonts w:ascii="Times New Roman" w:hAnsi="Times New Roman" w:cs="Times New Roman"/>
          <w:sz w:val="28"/>
          <w:szCs w:val="28"/>
        </w:rPr>
        <w:t>LEVEL 5 TERM 1</w:t>
      </w:r>
    </w:p>
    <w:p w14:paraId="61DC1269" w14:textId="77777777" w:rsidR="009E0EB5" w:rsidRDefault="009E0EB5" w:rsidP="009E0EB5">
      <w:pPr>
        <w:jc w:val="center"/>
        <w:rPr>
          <w:rFonts w:ascii="Times New Roman" w:hAnsi="Times New Roman" w:cs="Times New Roman"/>
          <w:sz w:val="28"/>
          <w:szCs w:val="28"/>
        </w:rPr>
      </w:pPr>
      <w:r>
        <w:rPr>
          <w:rFonts w:ascii="Times New Roman" w:hAnsi="Times New Roman" w:cs="Times New Roman"/>
          <w:sz w:val="28"/>
          <w:szCs w:val="28"/>
        </w:rPr>
        <w:t>BUSINESS MANAGEMENT</w:t>
      </w:r>
    </w:p>
    <w:p w14:paraId="52BB1EC9" w14:textId="77777777" w:rsidR="009E0EB5" w:rsidRDefault="009E0EB5" w:rsidP="009E0EB5">
      <w:pPr>
        <w:jc w:val="center"/>
        <w:rPr>
          <w:rFonts w:ascii="Times New Roman" w:hAnsi="Times New Roman" w:cs="Times New Roman"/>
          <w:sz w:val="28"/>
          <w:szCs w:val="28"/>
        </w:rPr>
      </w:pPr>
      <w:r>
        <w:rPr>
          <w:rFonts w:ascii="Times New Roman" w:hAnsi="Times New Roman" w:cs="Times New Roman"/>
          <w:sz w:val="28"/>
          <w:szCs w:val="28"/>
        </w:rPr>
        <w:t>IZABELA CRISTINA ANTONESCU - STUDENT NUMBER 1817787</w:t>
      </w:r>
    </w:p>
    <w:p w14:paraId="2344AC6F" w14:textId="09337D5B" w:rsidR="007265AE" w:rsidRDefault="007265AE"/>
    <w:p w14:paraId="175CB6B2" w14:textId="5AD98BB3" w:rsidR="009E0EB5" w:rsidRDefault="009E0EB5"/>
    <w:p w14:paraId="66D14557" w14:textId="055E095A" w:rsidR="009E0EB5" w:rsidRDefault="009E0EB5"/>
    <w:p w14:paraId="03998702" w14:textId="33DD0BE1" w:rsidR="009E0EB5" w:rsidRDefault="009E0EB5"/>
    <w:p w14:paraId="421D7A66" w14:textId="7FED75B7" w:rsidR="009E0EB5" w:rsidRDefault="009E0EB5"/>
    <w:p w14:paraId="53C9E571" w14:textId="0373F28D" w:rsidR="009E0EB5" w:rsidRDefault="009E0EB5"/>
    <w:p w14:paraId="122CBE2D" w14:textId="59888B9A" w:rsidR="009E0EB5" w:rsidRDefault="009E0EB5"/>
    <w:p w14:paraId="6660892E" w14:textId="207B9BAE" w:rsidR="009E0EB5" w:rsidRDefault="009E0EB5"/>
    <w:p w14:paraId="41102040" w14:textId="22B22060" w:rsidR="009E0EB5" w:rsidRDefault="009E0EB5"/>
    <w:p w14:paraId="2690D6A6" w14:textId="2D1E4B66" w:rsidR="009E0EB5" w:rsidRDefault="009E0EB5" w:rsidP="009E0EB5">
      <w:pPr>
        <w:jc w:val="center"/>
        <w:rPr>
          <w:rFonts w:ascii="Times New Roman" w:hAnsi="Times New Roman" w:cs="Times New Roman"/>
          <w:sz w:val="28"/>
          <w:szCs w:val="28"/>
        </w:rPr>
      </w:pPr>
      <w:r>
        <w:rPr>
          <w:rFonts w:ascii="Times New Roman" w:hAnsi="Times New Roman" w:cs="Times New Roman"/>
          <w:sz w:val="28"/>
          <w:szCs w:val="28"/>
        </w:rPr>
        <w:t>ASSESMENT NO. 2</w:t>
      </w:r>
    </w:p>
    <w:p w14:paraId="7E3F6603" w14:textId="613978C0" w:rsidR="009E0EB5" w:rsidRDefault="009E0EB5" w:rsidP="009E0EB5">
      <w:pPr>
        <w:jc w:val="center"/>
        <w:rPr>
          <w:rFonts w:ascii="Times New Roman" w:hAnsi="Times New Roman" w:cs="Times New Roman"/>
          <w:sz w:val="28"/>
          <w:szCs w:val="28"/>
        </w:rPr>
      </w:pPr>
    </w:p>
    <w:p w14:paraId="74DA3ABC" w14:textId="730C2818" w:rsidR="009E0EB5" w:rsidRDefault="009E0EB5" w:rsidP="009E0EB5">
      <w:pPr>
        <w:jc w:val="center"/>
        <w:rPr>
          <w:rFonts w:ascii="Times New Roman" w:hAnsi="Times New Roman" w:cs="Times New Roman"/>
          <w:sz w:val="28"/>
          <w:szCs w:val="28"/>
        </w:rPr>
      </w:pPr>
    </w:p>
    <w:p w14:paraId="346B0CD7" w14:textId="09D87225" w:rsidR="009E0EB5" w:rsidRDefault="009E0EB5" w:rsidP="009E0EB5">
      <w:pPr>
        <w:jc w:val="center"/>
        <w:rPr>
          <w:rFonts w:ascii="Times New Roman" w:hAnsi="Times New Roman" w:cs="Times New Roman"/>
          <w:sz w:val="28"/>
          <w:szCs w:val="28"/>
        </w:rPr>
      </w:pPr>
    </w:p>
    <w:p w14:paraId="4F9FA758" w14:textId="3AE3B3C2" w:rsidR="009E0EB5" w:rsidRDefault="009E0EB5" w:rsidP="009E0EB5">
      <w:pPr>
        <w:jc w:val="center"/>
        <w:rPr>
          <w:rFonts w:ascii="Times New Roman" w:hAnsi="Times New Roman" w:cs="Times New Roman"/>
          <w:sz w:val="28"/>
          <w:szCs w:val="28"/>
        </w:rPr>
      </w:pPr>
    </w:p>
    <w:p w14:paraId="4C73FCAE" w14:textId="18B18BEF" w:rsidR="009E0EB5" w:rsidRDefault="009E0EB5" w:rsidP="009E0EB5">
      <w:pPr>
        <w:jc w:val="center"/>
        <w:rPr>
          <w:rFonts w:ascii="Times New Roman" w:hAnsi="Times New Roman" w:cs="Times New Roman"/>
          <w:sz w:val="28"/>
          <w:szCs w:val="28"/>
        </w:rPr>
      </w:pPr>
    </w:p>
    <w:p w14:paraId="6E5218CD" w14:textId="5E8E6D87" w:rsidR="009E0EB5" w:rsidRDefault="009E0EB5" w:rsidP="009E0EB5">
      <w:pPr>
        <w:jc w:val="center"/>
        <w:rPr>
          <w:rFonts w:ascii="Times New Roman" w:hAnsi="Times New Roman" w:cs="Times New Roman"/>
          <w:sz w:val="28"/>
          <w:szCs w:val="28"/>
        </w:rPr>
      </w:pPr>
    </w:p>
    <w:p w14:paraId="190CB407" w14:textId="17633E2C" w:rsidR="009E0EB5" w:rsidRDefault="009E0EB5" w:rsidP="009E0EB5">
      <w:pPr>
        <w:jc w:val="center"/>
        <w:rPr>
          <w:rFonts w:ascii="Times New Roman" w:hAnsi="Times New Roman" w:cs="Times New Roman"/>
          <w:sz w:val="28"/>
          <w:szCs w:val="28"/>
        </w:rPr>
      </w:pPr>
    </w:p>
    <w:p w14:paraId="5554D85A" w14:textId="32FCE1A4" w:rsidR="009E0EB5" w:rsidRDefault="009E0EB5" w:rsidP="009E0EB5">
      <w:pPr>
        <w:jc w:val="center"/>
        <w:rPr>
          <w:rFonts w:ascii="Times New Roman" w:hAnsi="Times New Roman" w:cs="Times New Roman"/>
          <w:sz w:val="28"/>
          <w:szCs w:val="28"/>
        </w:rPr>
      </w:pPr>
    </w:p>
    <w:p w14:paraId="2A692E77" w14:textId="20285590" w:rsidR="009E0EB5" w:rsidRDefault="009E0EB5" w:rsidP="009E0EB5">
      <w:pPr>
        <w:jc w:val="center"/>
        <w:rPr>
          <w:rFonts w:ascii="Times New Roman" w:hAnsi="Times New Roman" w:cs="Times New Roman"/>
          <w:sz w:val="28"/>
          <w:szCs w:val="28"/>
        </w:rPr>
      </w:pPr>
    </w:p>
    <w:p w14:paraId="46672FFB" w14:textId="7FA892A3" w:rsidR="009E0EB5" w:rsidRDefault="009E0EB5" w:rsidP="009E0EB5">
      <w:pPr>
        <w:jc w:val="center"/>
        <w:rPr>
          <w:rFonts w:ascii="Times New Roman" w:hAnsi="Times New Roman" w:cs="Times New Roman"/>
          <w:sz w:val="28"/>
          <w:szCs w:val="28"/>
        </w:rPr>
      </w:pPr>
    </w:p>
    <w:p w14:paraId="1241FE8F" w14:textId="77777777" w:rsidR="004B18CE" w:rsidRDefault="004B18CE" w:rsidP="009E0EB5">
      <w:pPr>
        <w:jc w:val="center"/>
        <w:rPr>
          <w:rFonts w:ascii="Times New Roman" w:hAnsi="Times New Roman" w:cs="Times New Roman"/>
          <w:sz w:val="28"/>
          <w:szCs w:val="28"/>
        </w:rPr>
      </w:pPr>
    </w:p>
    <w:p w14:paraId="17D0D17F" w14:textId="77777777" w:rsidR="004B18CE" w:rsidRDefault="004B18CE" w:rsidP="009E0EB5">
      <w:pPr>
        <w:jc w:val="center"/>
        <w:rPr>
          <w:rFonts w:ascii="Times New Roman" w:hAnsi="Times New Roman" w:cs="Times New Roman"/>
          <w:sz w:val="28"/>
          <w:szCs w:val="28"/>
        </w:rPr>
      </w:pPr>
    </w:p>
    <w:p w14:paraId="79A849F1" w14:textId="77777777" w:rsidR="004B18CE" w:rsidRDefault="004B18CE" w:rsidP="009E0EB5">
      <w:pPr>
        <w:jc w:val="center"/>
        <w:rPr>
          <w:rFonts w:ascii="Times New Roman" w:hAnsi="Times New Roman" w:cs="Times New Roman"/>
          <w:sz w:val="28"/>
          <w:szCs w:val="28"/>
        </w:rPr>
      </w:pPr>
    </w:p>
    <w:p w14:paraId="068984E9" w14:textId="4101B5CD" w:rsidR="009E0EB5" w:rsidRDefault="009E0EB5" w:rsidP="009E0EB5">
      <w:pPr>
        <w:jc w:val="center"/>
        <w:rPr>
          <w:rFonts w:ascii="Times New Roman" w:hAnsi="Times New Roman" w:cs="Times New Roman"/>
          <w:sz w:val="28"/>
          <w:szCs w:val="28"/>
        </w:rPr>
      </w:pPr>
      <w:r>
        <w:rPr>
          <w:rFonts w:ascii="Times New Roman" w:hAnsi="Times New Roman" w:cs="Times New Roman"/>
          <w:sz w:val="28"/>
          <w:szCs w:val="28"/>
        </w:rPr>
        <w:t>TABLE OF CONTENTS</w:t>
      </w:r>
    </w:p>
    <w:p w14:paraId="06331C03" w14:textId="71C6411B" w:rsidR="009E0EB5" w:rsidRDefault="009E0EB5" w:rsidP="009E0EB5">
      <w:pPr>
        <w:jc w:val="center"/>
        <w:rPr>
          <w:rFonts w:ascii="Times New Roman" w:hAnsi="Times New Roman" w:cs="Times New Roman"/>
          <w:sz w:val="28"/>
          <w:szCs w:val="28"/>
        </w:rPr>
      </w:pPr>
    </w:p>
    <w:p w14:paraId="5DBC947B" w14:textId="26990D46" w:rsidR="009E0EB5" w:rsidRDefault="009E0EB5" w:rsidP="009E0EB5">
      <w:pPr>
        <w:jc w:val="center"/>
        <w:rPr>
          <w:rFonts w:ascii="Times New Roman" w:hAnsi="Times New Roman" w:cs="Times New Roman"/>
          <w:sz w:val="28"/>
          <w:szCs w:val="28"/>
        </w:rPr>
      </w:pPr>
    </w:p>
    <w:p w14:paraId="589F010F" w14:textId="39DE19DC" w:rsidR="009E0EB5" w:rsidRDefault="009E0EB5" w:rsidP="009E0EB5">
      <w:pPr>
        <w:jc w:val="both"/>
        <w:rPr>
          <w:rFonts w:ascii="Times New Roman" w:hAnsi="Times New Roman" w:cs="Times New Roman"/>
          <w:sz w:val="28"/>
          <w:szCs w:val="28"/>
        </w:rPr>
      </w:pPr>
    </w:p>
    <w:p w14:paraId="1892E1E5" w14:textId="6A9C14B1" w:rsidR="009E0EB5" w:rsidRDefault="009E0EB5" w:rsidP="009E0EB5">
      <w:pPr>
        <w:jc w:val="both"/>
        <w:rPr>
          <w:rFonts w:ascii="Times New Roman" w:hAnsi="Times New Roman" w:cs="Times New Roman"/>
          <w:sz w:val="28"/>
          <w:szCs w:val="28"/>
        </w:rPr>
      </w:pPr>
      <w:r>
        <w:rPr>
          <w:rFonts w:ascii="Times New Roman" w:hAnsi="Times New Roman" w:cs="Times New Roman"/>
          <w:sz w:val="28"/>
          <w:szCs w:val="28"/>
        </w:rPr>
        <w:t>PART A……………………………………………………………………………3</w:t>
      </w:r>
    </w:p>
    <w:p w14:paraId="00D2B142" w14:textId="3D79699E" w:rsidR="009E0EB5" w:rsidRDefault="009E0EB5" w:rsidP="009E0EB5">
      <w:pPr>
        <w:jc w:val="both"/>
        <w:rPr>
          <w:rFonts w:ascii="Times New Roman" w:hAnsi="Times New Roman" w:cs="Times New Roman"/>
          <w:sz w:val="28"/>
          <w:szCs w:val="28"/>
        </w:rPr>
      </w:pPr>
      <w:r>
        <w:rPr>
          <w:rFonts w:ascii="Times New Roman" w:hAnsi="Times New Roman" w:cs="Times New Roman"/>
          <w:sz w:val="28"/>
          <w:szCs w:val="28"/>
        </w:rPr>
        <w:t>PART B……………………………………………………………………………</w:t>
      </w:r>
      <w:r w:rsidR="00F34EC8">
        <w:rPr>
          <w:rFonts w:ascii="Times New Roman" w:hAnsi="Times New Roman" w:cs="Times New Roman"/>
          <w:sz w:val="28"/>
          <w:szCs w:val="28"/>
        </w:rPr>
        <w:t>7</w:t>
      </w:r>
    </w:p>
    <w:p w14:paraId="6A3002DA" w14:textId="20376E08" w:rsidR="00EC3AC0" w:rsidRDefault="00EC3AC0" w:rsidP="009E0EB5">
      <w:pPr>
        <w:jc w:val="both"/>
        <w:rPr>
          <w:rFonts w:ascii="Times New Roman" w:hAnsi="Times New Roman" w:cs="Times New Roman"/>
          <w:sz w:val="28"/>
          <w:szCs w:val="28"/>
        </w:rPr>
      </w:pPr>
      <w:r>
        <w:rPr>
          <w:rFonts w:ascii="Times New Roman" w:hAnsi="Times New Roman" w:cs="Times New Roman"/>
          <w:sz w:val="28"/>
          <w:szCs w:val="28"/>
        </w:rPr>
        <w:t>REFERENCES……………………………………………………………………11</w:t>
      </w:r>
    </w:p>
    <w:p w14:paraId="0B760CF0" w14:textId="4ADB17E5" w:rsidR="009E0EB5" w:rsidRDefault="009E0EB5" w:rsidP="009E0EB5">
      <w:pPr>
        <w:jc w:val="both"/>
        <w:rPr>
          <w:rFonts w:ascii="Times New Roman" w:hAnsi="Times New Roman" w:cs="Times New Roman"/>
          <w:sz w:val="28"/>
          <w:szCs w:val="28"/>
        </w:rPr>
      </w:pPr>
    </w:p>
    <w:p w14:paraId="52309BAF" w14:textId="2DD16D34" w:rsidR="009E0EB5" w:rsidRDefault="009E0EB5" w:rsidP="009E0EB5">
      <w:pPr>
        <w:jc w:val="both"/>
        <w:rPr>
          <w:rFonts w:ascii="Times New Roman" w:hAnsi="Times New Roman" w:cs="Times New Roman"/>
          <w:sz w:val="28"/>
          <w:szCs w:val="28"/>
        </w:rPr>
      </w:pPr>
    </w:p>
    <w:p w14:paraId="56573B8E" w14:textId="6B94A45B" w:rsidR="009E0EB5" w:rsidRDefault="009E0EB5" w:rsidP="009E0EB5">
      <w:pPr>
        <w:jc w:val="both"/>
        <w:rPr>
          <w:rFonts w:ascii="Times New Roman" w:hAnsi="Times New Roman" w:cs="Times New Roman"/>
          <w:sz w:val="28"/>
          <w:szCs w:val="28"/>
        </w:rPr>
      </w:pPr>
    </w:p>
    <w:p w14:paraId="407214DE" w14:textId="7397725F" w:rsidR="009E0EB5" w:rsidRDefault="009E0EB5" w:rsidP="009E0EB5">
      <w:pPr>
        <w:jc w:val="both"/>
        <w:rPr>
          <w:rFonts w:ascii="Times New Roman" w:hAnsi="Times New Roman" w:cs="Times New Roman"/>
          <w:sz w:val="28"/>
          <w:szCs w:val="28"/>
        </w:rPr>
      </w:pPr>
    </w:p>
    <w:p w14:paraId="140B8BAB" w14:textId="19F9DAFE" w:rsidR="009E0EB5" w:rsidRDefault="009E0EB5" w:rsidP="009E0EB5">
      <w:pPr>
        <w:jc w:val="both"/>
        <w:rPr>
          <w:rFonts w:ascii="Times New Roman" w:hAnsi="Times New Roman" w:cs="Times New Roman"/>
          <w:sz w:val="28"/>
          <w:szCs w:val="28"/>
        </w:rPr>
      </w:pPr>
    </w:p>
    <w:p w14:paraId="2152FAC6" w14:textId="076B2FC3" w:rsidR="009E0EB5" w:rsidRDefault="009E0EB5" w:rsidP="009E0EB5">
      <w:pPr>
        <w:jc w:val="both"/>
        <w:rPr>
          <w:rFonts w:ascii="Times New Roman" w:hAnsi="Times New Roman" w:cs="Times New Roman"/>
          <w:sz w:val="28"/>
          <w:szCs w:val="28"/>
        </w:rPr>
      </w:pPr>
    </w:p>
    <w:p w14:paraId="3613F74D" w14:textId="370305F0" w:rsidR="009E0EB5" w:rsidRDefault="009E0EB5" w:rsidP="009E0EB5">
      <w:pPr>
        <w:jc w:val="both"/>
        <w:rPr>
          <w:rFonts w:ascii="Times New Roman" w:hAnsi="Times New Roman" w:cs="Times New Roman"/>
          <w:sz w:val="28"/>
          <w:szCs w:val="28"/>
        </w:rPr>
      </w:pPr>
    </w:p>
    <w:p w14:paraId="0A078E2D" w14:textId="5EE5FA7C" w:rsidR="009E0EB5" w:rsidRDefault="009E0EB5" w:rsidP="009E0EB5">
      <w:pPr>
        <w:jc w:val="both"/>
        <w:rPr>
          <w:rFonts w:ascii="Times New Roman" w:hAnsi="Times New Roman" w:cs="Times New Roman"/>
          <w:sz w:val="28"/>
          <w:szCs w:val="28"/>
        </w:rPr>
      </w:pPr>
    </w:p>
    <w:p w14:paraId="37C75258" w14:textId="74AED800" w:rsidR="009E0EB5" w:rsidRDefault="009E0EB5" w:rsidP="009E0EB5">
      <w:pPr>
        <w:jc w:val="both"/>
        <w:rPr>
          <w:rFonts w:ascii="Times New Roman" w:hAnsi="Times New Roman" w:cs="Times New Roman"/>
          <w:sz w:val="28"/>
          <w:szCs w:val="28"/>
        </w:rPr>
      </w:pPr>
    </w:p>
    <w:p w14:paraId="72A176A0" w14:textId="3750D76E" w:rsidR="009E0EB5" w:rsidRDefault="009E0EB5" w:rsidP="009E0EB5">
      <w:pPr>
        <w:jc w:val="both"/>
        <w:rPr>
          <w:rFonts w:ascii="Times New Roman" w:hAnsi="Times New Roman" w:cs="Times New Roman"/>
          <w:sz w:val="28"/>
          <w:szCs w:val="28"/>
        </w:rPr>
      </w:pPr>
    </w:p>
    <w:p w14:paraId="336561D1" w14:textId="53665402" w:rsidR="009E0EB5" w:rsidRDefault="009E0EB5" w:rsidP="009E0EB5">
      <w:pPr>
        <w:jc w:val="both"/>
        <w:rPr>
          <w:rFonts w:ascii="Times New Roman" w:hAnsi="Times New Roman" w:cs="Times New Roman"/>
          <w:sz w:val="28"/>
          <w:szCs w:val="28"/>
        </w:rPr>
      </w:pPr>
    </w:p>
    <w:p w14:paraId="17B1BCB3" w14:textId="18A0EF0E" w:rsidR="009E0EB5" w:rsidRDefault="009E0EB5" w:rsidP="009E0EB5">
      <w:pPr>
        <w:jc w:val="both"/>
        <w:rPr>
          <w:rFonts w:ascii="Times New Roman" w:hAnsi="Times New Roman" w:cs="Times New Roman"/>
          <w:sz w:val="28"/>
          <w:szCs w:val="28"/>
        </w:rPr>
      </w:pPr>
    </w:p>
    <w:p w14:paraId="70FF9F42" w14:textId="198DA981" w:rsidR="009E0EB5" w:rsidRDefault="009E0EB5" w:rsidP="009E0EB5">
      <w:pPr>
        <w:jc w:val="both"/>
        <w:rPr>
          <w:rFonts w:ascii="Times New Roman" w:hAnsi="Times New Roman" w:cs="Times New Roman"/>
          <w:sz w:val="28"/>
          <w:szCs w:val="28"/>
        </w:rPr>
      </w:pPr>
    </w:p>
    <w:p w14:paraId="6AAC7D85" w14:textId="76585857" w:rsidR="009E0EB5" w:rsidRDefault="009E0EB5" w:rsidP="009E0EB5">
      <w:pPr>
        <w:jc w:val="both"/>
        <w:rPr>
          <w:rFonts w:ascii="Times New Roman" w:hAnsi="Times New Roman" w:cs="Times New Roman"/>
          <w:sz w:val="28"/>
          <w:szCs w:val="28"/>
        </w:rPr>
      </w:pPr>
    </w:p>
    <w:p w14:paraId="3641F991" w14:textId="1C10022D" w:rsidR="009E0EB5" w:rsidRDefault="009E0EB5" w:rsidP="009E0EB5">
      <w:pPr>
        <w:jc w:val="both"/>
        <w:rPr>
          <w:rFonts w:ascii="Times New Roman" w:hAnsi="Times New Roman" w:cs="Times New Roman"/>
          <w:sz w:val="28"/>
          <w:szCs w:val="28"/>
        </w:rPr>
      </w:pPr>
    </w:p>
    <w:p w14:paraId="2D302B4D" w14:textId="2BF9F03B" w:rsidR="009E0EB5" w:rsidRDefault="009E0EB5" w:rsidP="009E0EB5">
      <w:pPr>
        <w:jc w:val="both"/>
        <w:rPr>
          <w:rFonts w:ascii="Times New Roman" w:hAnsi="Times New Roman" w:cs="Times New Roman"/>
          <w:sz w:val="28"/>
          <w:szCs w:val="28"/>
        </w:rPr>
      </w:pPr>
    </w:p>
    <w:p w14:paraId="256C7090" w14:textId="4829A5E6" w:rsidR="009E0EB5" w:rsidRDefault="009E0EB5" w:rsidP="009E0EB5">
      <w:pPr>
        <w:spacing w:after="0" w:line="480" w:lineRule="auto"/>
        <w:rPr>
          <w:rFonts w:ascii="Times New Roman" w:hAnsi="Times New Roman" w:cs="Times New Roman"/>
          <w:sz w:val="24"/>
          <w:szCs w:val="24"/>
        </w:rPr>
      </w:pPr>
    </w:p>
    <w:p w14:paraId="4C26F970" w14:textId="34C563BA" w:rsidR="009E0EB5" w:rsidRDefault="009E0EB5" w:rsidP="009E0EB5">
      <w:pPr>
        <w:pStyle w:val="ListParagraph"/>
        <w:numPr>
          <w:ilvl w:val="0"/>
          <w:numId w:val="1"/>
        </w:numPr>
        <w:spacing w:after="0" w:line="480" w:lineRule="auto"/>
        <w:jc w:val="both"/>
        <w:rPr>
          <w:rFonts w:ascii="Times New Roman" w:hAnsi="Times New Roman" w:cs="Times New Roman"/>
          <w:sz w:val="28"/>
          <w:szCs w:val="28"/>
        </w:rPr>
      </w:pPr>
      <w:r w:rsidRPr="009E0EB5">
        <w:rPr>
          <w:rFonts w:ascii="Times New Roman" w:hAnsi="Times New Roman" w:cs="Times New Roman"/>
          <w:sz w:val="28"/>
          <w:szCs w:val="28"/>
        </w:rPr>
        <w:t>Part A</w:t>
      </w:r>
    </w:p>
    <w:p w14:paraId="138F9F2E" w14:textId="77777777" w:rsidR="009E0EB5" w:rsidRPr="009E0EB5" w:rsidRDefault="009E0EB5" w:rsidP="009E0EB5">
      <w:pPr>
        <w:spacing w:after="0" w:line="480" w:lineRule="auto"/>
        <w:jc w:val="both"/>
        <w:rPr>
          <w:rFonts w:ascii="Times New Roman" w:hAnsi="Times New Roman" w:cs="Times New Roman"/>
          <w:sz w:val="28"/>
          <w:szCs w:val="28"/>
        </w:rPr>
      </w:pPr>
    </w:p>
    <w:p w14:paraId="0E3C0F36" w14:textId="77777777" w:rsidR="009E0EB5" w:rsidRPr="009E0EB5" w:rsidRDefault="009E0EB5" w:rsidP="009E0EB5">
      <w:pPr>
        <w:spacing w:after="0" w:line="480" w:lineRule="auto"/>
        <w:rPr>
          <w:rFonts w:ascii="Times New Roman" w:hAnsi="Times New Roman" w:cs="Times New Roman"/>
          <w:b/>
          <w:bCs/>
          <w:iCs/>
          <w:sz w:val="24"/>
          <w:szCs w:val="24"/>
        </w:rPr>
      </w:pPr>
      <w:r w:rsidRPr="009E0EB5">
        <w:rPr>
          <w:rFonts w:ascii="Times New Roman" w:hAnsi="Times New Roman" w:cs="Times New Roman"/>
          <w:b/>
          <w:bCs/>
          <w:iCs/>
          <w:sz w:val="24"/>
          <w:szCs w:val="24"/>
        </w:rPr>
        <w:t>Sales Price Variance</w:t>
      </w:r>
    </w:p>
    <w:p w14:paraId="31205612" w14:textId="77777777" w:rsidR="009E0EB5" w:rsidRDefault="009E0EB5" w:rsidP="009E0EB5">
      <w:pPr>
        <w:spacing w:after="0" w:line="480" w:lineRule="auto"/>
        <w:rPr>
          <w:rFonts w:ascii="Times New Roman" w:hAnsi="Times New Roman" w:cs="Times New Roman"/>
          <w:sz w:val="24"/>
          <w:szCs w:val="24"/>
        </w:rPr>
      </w:pPr>
      <w:r>
        <w:rPr>
          <w:rFonts w:ascii="Times New Roman" w:hAnsi="Times New Roman" w:cs="Times New Roman"/>
          <w:sz w:val="24"/>
          <w:szCs w:val="24"/>
        </w:rPr>
        <w:t>The sales price variance = Actual quantity sold*(Actual price – standard price)</w:t>
      </w:r>
    </w:p>
    <w:tbl>
      <w:tblPr>
        <w:tblStyle w:val="TableGrid"/>
        <w:tblW w:w="9692" w:type="dxa"/>
        <w:tblInd w:w="0" w:type="dxa"/>
        <w:tblLook w:val="04A0" w:firstRow="1" w:lastRow="0" w:firstColumn="1" w:lastColumn="0" w:noHBand="0" w:noVBand="1"/>
      </w:tblPr>
      <w:tblGrid>
        <w:gridCol w:w="3229"/>
        <w:gridCol w:w="3232"/>
        <w:gridCol w:w="3231"/>
      </w:tblGrid>
      <w:tr w:rsidR="009E0EB5" w14:paraId="0CAFDE60" w14:textId="77777777" w:rsidTr="009E0EB5">
        <w:trPr>
          <w:trHeight w:val="424"/>
        </w:trPr>
        <w:tc>
          <w:tcPr>
            <w:tcW w:w="3229" w:type="dxa"/>
            <w:tcBorders>
              <w:top w:val="single" w:sz="4" w:space="0" w:color="auto"/>
              <w:left w:val="single" w:sz="4" w:space="0" w:color="auto"/>
              <w:bottom w:val="single" w:sz="4" w:space="0" w:color="auto"/>
              <w:right w:val="single" w:sz="4" w:space="0" w:color="auto"/>
            </w:tcBorders>
            <w:hideMark/>
          </w:tcPr>
          <w:p w14:paraId="4092C702"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 xml:space="preserve">Product </w:t>
            </w:r>
          </w:p>
        </w:tc>
        <w:tc>
          <w:tcPr>
            <w:tcW w:w="3231" w:type="dxa"/>
            <w:tcBorders>
              <w:top w:val="single" w:sz="4" w:space="0" w:color="auto"/>
              <w:left w:val="single" w:sz="4" w:space="0" w:color="auto"/>
              <w:bottom w:val="single" w:sz="4" w:space="0" w:color="auto"/>
              <w:right w:val="single" w:sz="4" w:space="0" w:color="auto"/>
            </w:tcBorders>
            <w:hideMark/>
          </w:tcPr>
          <w:p w14:paraId="59E962BB"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Sales Price Variance</w:t>
            </w:r>
          </w:p>
        </w:tc>
        <w:tc>
          <w:tcPr>
            <w:tcW w:w="3231" w:type="dxa"/>
            <w:tcBorders>
              <w:top w:val="single" w:sz="4" w:space="0" w:color="auto"/>
              <w:left w:val="single" w:sz="4" w:space="0" w:color="auto"/>
              <w:bottom w:val="single" w:sz="4" w:space="0" w:color="auto"/>
              <w:right w:val="single" w:sz="4" w:space="0" w:color="auto"/>
            </w:tcBorders>
            <w:hideMark/>
          </w:tcPr>
          <w:p w14:paraId="697D72F4"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Variance</w:t>
            </w:r>
          </w:p>
        </w:tc>
      </w:tr>
      <w:tr w:rsidR="009E0EB5" w14:paraId="7A2D50D2" w14:textId="77777777" w:rsidTr="009E0EB5">
        <w:trPr>
          <w:trHeight w:val="400"/>
        </w:trPr>
        <w:tc>
          <w:tcPr>
            <w:tcW w:w="3229" w:type="dxa"/>
            <w:tcBorders>
              <w:top w:val="single" w:sz="4" w:space="0" w:color="auto"/>
              <w:left w:val="single" w:sz="4" w:space="0" w:color="auto"/>
              <w:bottom w:val="single" w:sz="4" w:space="0" w:color="auto"/>
              <w:right w:val="single" w:sz="4" w:space="0" w:color="auto"/>
            </w:tcBorders>
            <w:hideMark/>
          </w:tcPr>
          <w:p w14:paraId="51F2B349"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X</w:t>
            </w:r>
          </w:p>
        </w:tc>
        <w:tc>
          <w:tcPr>
            <w:tcW w:w="3231" w:type="dxa"/>
            <w:tcBorders>
              <w:top w:val="single" w:sz="4" w:space="0" w:color="auto"/>
              <w:left w:val="single" w:sz="4" w:space="0" w:color="auto"/>
              <w:bottom w:val="single" w:sz="4" w:space="0" w:color="auto"/>
              <w:right w:val="single" w:sz="4" w:space="0" w:color="auto"/>
            </w:tcBorders>
            <w:hideMark/>
          </w:tcPr>
          <w:p w14:paraId="66D4CA03"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850(45-35)</w:t>
            </w:r>
          </w:p>
        </w:tc>
        <w:tc>
          <w:tcPr>
            <w:tcW w:w="3231" w:type="dxa"/>
            <w:tcBorders>
              <w:top w:val="single" w:sz="4" w:space="0" w:color="auto"/>
              <w:left w:val="single" w:sz="4" w:space="0" w:color="auto"/>
              <w:bottom w:val="single" w:sz="4" w:space="0" w:color="auto"/>
              <w:right w:val="single" w:sz="4" w:space="0" w:color="auto"/>
            </w:tcBorders>
            <w:hideMark/>
          </w:tcPr>
          <w:p w14:paraId="0C56D4C5"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 8500F</w:t>
            </w:r>
          </w:p>
        </w:tc>
      </w:tr>
      <w:tr w:rsidR="009E0EB5" w14:paraId="741D7EDF" w14:textId="77777777" w:rsidTr="009E0EB5">
        <w:trPr>
          <w:trHeight w:val="424"/>
        </w:trPr>
        <w:tc>
          <w:tcPr>
            <w:tcW w:w="3229" w:type="dxa"/>
            <w:tcBorders>
              <w:top w:val="single" w:sz="4" w:space="0" w:color="auto"/>
              <w:left w:val="single" w:sz="4" w:space="0" w:color="auto"/>
              <w:bottom w:val="single" w:sz="4" w:space="0" w:color="auto"/>
              <w:right w:val="single" w:sz="4" w:space="0" w:color="auto"/>
            </w:tcBorders>
            <w:hideMark/>
          </w:tcPr>
          <w:p w14:paraId="37827E87"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Y</w:t>
            </w:r>
          </w:p>
        </w:tc>
        <w:tc>
          <w:tcPr>
            <w:tcW w:w="3231" w:type="dxa"/>
            <w:tcBorders>
              <w:top w:val="single" w:sz="4" w:space="0" w:color="auto"/>
              <w:left w:val="single" w:sz="4" w:space="0" w:color="auto"/>
              <w:bottom w:val="single" w:sz="4" w:space="0" w:color="auto"/>
              <w:right w:val="single" w:sz="4" w:space="0" w:color="auto"/>
            </w:tcBorders>
            <w:hideMark/>
          </w:tcPr>
          <w:p w14:paraId="243CCCCC"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750(37-30)</w:t>
            </w:r>
          </w:p>
        </w:tc>
        <w:tc>
          <w:tcPr>
            <w:tcW w:w="3231" w:type="dxa"/>
            <w:tcBorders>
              <w:top w:val="single" w:sz="4" w:space="0" w:color="auto"/>
              <w:left w:val="single" w:sz="4" w:space="0" w:color="auto"/>
              <w:bottom w:val="single" w:sz="4" w:space="0" w:color="auto"/>
              <w:right w:val="single" w:sz="4" w:space="0" w:color="auto"/>
            </w:tcBorders>
            <w:hideMark/>
          </w:tcPr>
          <w:p w14:paraId="4B897A16"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 xml:space="preserve"> =5250F</w:t>
            </w:r>
          </w:p>
        </w:tc>
      </w:tr>
      <w:tr w:rsidR="009E0EB5" w14:paraId="16F36DD3" w14:textId="77777777" w:rsidTr="009E0EB5">
        <w:trPr>
          <w:trHeight w:val="400"/>
        </w:trPr>
        <w:tc>
          <w:tcPr>
            <w:tcW w:w="6461" w:type="dxa"/>
            <w:gridSpan w:val="2"/>
            <w:tcBorders>
              <w:top w:val="single" w:sz="4" w:space="0" w:color="auto"/>
              <w:left w:val="single" w:sz="4" w:space="0" w:color="auto"/>
              <w:bottom w:val="single" w:sz="4" w:space="0" w:color="auto"/>
              <w:right w:val="single" w:sz="4" w:space="0" w:color="auto"/>
            </w:tcBorders>
            <w:hideMark/>
          </w:tcPr>
          <w:p w14:paraId="2A992BE5"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 xml:space="preserve">                                                           Total Sales Price variance </w:t>
            </w:r>
          </w:p>
        </w:tc>
        <w:tc>
          <w:tcPr>
            <w:tcW w:w="3231" w:type="dxa"/>
            <w:tcBorders>
              <w:top w:val="single" w:sz="4" w:space="0" w:color="auto"/>
              <w:left w:val="single" w:sz="4" w:space="0" w:color="auto"/>
              <w:bottom w:val="single" w:sz="4" w:space="0" w:color="auto"/>
              <w:right w:val="single" w:sz="4" w:space="0" w:color="auto"/>
            </w:tcBorders>
            <w:hideMark/>
          </w:tcPr>
          <w:p w14:paraId="5135C5D5"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=13750F</w:t>
            </w:r>
          </w:p>
        </w:tc>
      </w:tr>
    </w:tbl>
    <w:p w14:paraId="13C8EB48" w14:textId="77777777" w:rsidR="009E0EB5" w:rsidRDefault="009E0EB5" w:rsidP="009E0EB5">
      <w:pPr>
        <w:spacing w:after="0" w:line="480" w:lineRule="auto"/>
        <w:rPr>
          <w:rFonts w:ascii="Times New Roman" w:hAnsi="Times New Roman" w:cs="Times New Roman"/>
          <w:sz w:val="24"/>
          <w:szCs w:val="24"/>
        </w:rPr>
      </w:pPr>
    </w:p>
    <w:p w14:paraId="1DF6E267" w14:textId="77777777" w:rsidR="009E0EB5" w:rsidRPr="009E0EB5" w:rsidRDefault="009E0EB5" w:rsidP="009E0EB5">
      <w:pPr>
        <w:spacing w:after="0" w:line="480" w:lineRule="auto"/>
        <w:rPr>
          <w:rFonts w:ascii="Times New Roman" w:hAnsi="Times New Roman" w:cs="Times New Roman"/>
          <w:b/>
          <w:bCs/>
          <w:iCs/>
          <w:sz w:val="24"/>
          <w:szCs w:val="24"/>
        </w:rPr>
      </w:pPr>
      <w:r w:rsidRPr="009E0EB5">
        <w:rPr>
          <w:rFonts w:ascii="Times New Roman" w:hAnsi="Times New Roman" w:cs="Times New Roman"/>
          <w:b/>
          <w:bCs/>
          <w:iCs/>
          <w:sz w:val="24"/>
          <w:szCs w:val="24"/>
        </w:rPr>
        <w:t>Volume Contribution Variance</w:t>
      </w:r>
    </w:p>
    <w:p w14:paraId="23585A91" w14:textId="77777777" w:rsidR="009E0EB5" w:rsidRDefault="009E0EB5" w:rsidP="009E0EB5">
      <w:pPr>
        <w:spacing w:after="0" w:line="480" w:lineRule="auto"/>
        <w:rPr>
          <w:rFonts w:ascii="Times New Roman" w:hAnsi="Times New Roman" w:cs="Times New Roman"/>
          <w:sz w:val="24"/>
          <w:szCs w:val="24"/>
        </w:rPr>
      </w:pPr>
      <w:r>
        <w:rPr>
          <w:rFonts w:ascii="Times New Roman" w:hAnsi="Times New Roman" w:cs="Times New Roman"/>
          <w:sz w:val="24"/>
          <w:szCs w:val="24"/>
        </w:rPr>
        <w:t>Volume Contribution Variance = (Actual sales – budgeted sales) *Budgeted price</w:t>
      </w:r>
    </w:p>
    <w:tbl>
      <w:tblPr>
        <w:tblStyle w:val="TableGrid"/>
        <w:tblW w:w="9512" w:type="dxa"/>
        <w:tblInd w:w="0" w:type="dxa"/>
        <w:tblLook w:val="04A0" w:firstRow="1" w:lastRow="0" w:firstColumn="1" w:lastColumn="0" w:noHBand="0" w:noVBand="1"/>
      </w:tblPr>
      <w:tblGrid>
        <w:gridCol w:w="3169"/>
        <w:gridCol w:w="3172"/>
        <w:gridCol w:w="3171"/>
      </w:tblGrid>
      <w:tr w:rsidR="009E0EB5" w14:paraId="43CB4EC7" w14:textId="77777777" w:rsidTr="009E0EB5">
        <w:trPr>
          <w:trHeight w:val="369"/>
        </w:trPr>
        <w:tc>
          <w:tcPr>
            <w:tcW w:w="3169" w:type="dxa"/>
            <w:tcBorders>
              <w:top w:val="single" w:sz="4" w:space="0" w:color="auto"/>
              <w:left w:val="single" w:sz="4" w:space="0" w:color="auto"/>
              <w:bottom w:val="single" w:sz="4" w:space="0" w:color="auto"/>
              <w:right w:val="single" w:sz="4" w:space="0" w:color="auto"/>
            </w:tcBorders>
            <w:hideMark/>
          </w:tcPr>
          <w:p w14:paraId="0F973BA7"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 xml:space="preserve">Product </w:t>
            </w:r>
          </w:p>
        </w:tc>
        <w:tc>
          <w:tcPr>
            <w:tcW w:w="3171" w:type="dxa"/>
            <w:tcBorders>
              <w:top w:val="single" w:sz="4" w:space="0" w:color="auto"/>
              <w:left w:val="single" w:sz="4" w:space="0" w:color="auto"/>
              <w:bottom w:val="single" w:sz="4" w:space="0" w:color="auto"/>
              <w:right w:val="single" w:sz="4" w:space="0" w:color="auto"/>
            </w:tcBorders>
            <w:hideMark/>
          </w:tcPr>
          <w:p w14:paraId="37D83A61"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Volume Contribution Variance</w:t>
            </w:r>
          </w:p>
        </w:tc>
        <w:tc>
          <w:tcPr>
            <w:tcW w:w="3171" w:type="dxa"/>
            <w:tcBorders>
              <w:top w:val="single" w:sz="4" w:space="0" w:color="auto"/>
              <w:left w:val="single" w:sz="4" w:space="0" w:color="auto"/>
              <w:bottom w:val="single" w:sz="4" w:space="0" w:color="auto"/>
              <w:right w:val="single" w:sz="4" w:space="0" w:color="auto"/>
            </w:tcBorders>
            <w:hideMark/>
          </w:tcPr>
          <w:p w14:paraId="7D44645D"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Variance</w:t>
            </w:r>
          </w:p>
        </w:tc>
      </w:tr>
      <w:tr w:rsidR="009E0EB5" w14:paraId="35871096" w14:textId="77777777" w:rsidTr="009E0EB5">
        <w:trPr>
          <w:trHeight w:val="348"/>
        </w:trPr>
        <w:tc>
          <w:tcPr>
            <w:tcW w:w="3169" w:type="dxa"/>
            <w:tcBorders>
              <w:top w:val="single" w:sz="4" w:space="0" w:color="auto"/>
              <w:left w:val="single" w:sz="4" w:space="0" w:color="auto"/>
              <w:bottom w:val="single" w:sz="4" w:space="0" w:color="auto"/>
              <w:right w:val="single" w:sz="4" w:space="0" w:color="auto"/>
            </w:tcBorders>
            <w:hideMark/>
          </w:tcPr>
          <w:p w14:paraId="699A0008"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X</w:t>
            </w:r>
          </w:p>
        </w:tc>
        <w:tc>
          <w:tcPr>
            <w:tcW w:w="3171" w:type="dxa"/>
            <w:tcBorders>
              <w:top w:val="single" w:sz="4" w:space="0" w:color="auto"/>
              <w:left w:val="single" w:sz="4" w:space="0" w:color="auto"/>
              <w:bottom w:val="single" w:sz="4" w:space="0" w:color="auto"/>
              <w:right w:val="single" w:sz="4" w:space="0" w:color="auto"/>
            </w:tcBorders>
            <w:hideMark/>
          </w:tcPr>
          <w:p w14:paraId="540027A5"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(850 – 595)*35</w:t>
            </w:r>
          </w:p>
        </w:tc>
        <w:tc>
          <w:tcPr>
            <w:tcW w:w="3171" w:type="dxa"/>
            <w:tcBorders>
              <w:top w:val="single" w:sz="4" w:space="0" w:color="auto"/>
              <w:left w:val="single" w:sz="4" w:space="0" w:color="auto"/>
              <w:bottom w:val="single" w:sz="4" w:space="0" w:color="auto"/>
              <w:right w:val="single" w:sz="4" w:space="0" w:color="auto"/>
            </w:tcBorders>
            <w:hideMark/>
          </w:tcPr>
          <w:p w14:paraId="24FDBEA2"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 8925F</w:t>
            </w:r>
          </w:p>
        </w:tc>
      </w:tr>
      <w:tr w:rsidR="009E0EB5" w14:paraId="5783EE59" w14:textId="77777777" w:rsidTr="009E0EB5">
        <w:trPr>
          <w:trHeight w:val="369"/>
        </w:trPr>
        <w:tc>
          <w:tcPr>
            <w:tcW w:w="3169" w:type="dxa"/>
            <w:tcBorders>
              <w:top w:val="single" w:sz="4" w:space="0" w:color="auto"/>
              <w:left w:val="single" w:sz="4" w:space="0" w:color="auto"/>
              <w:bottom w:val="single" w:sz="4" w:space="0" w:color="auto"/>
              <w:right w:val="single" w:sz="4" w:space="0" w:color="auto"/>
            </w:tcBorders>
            <w:hideMark/>
          </w:tcPr>
          <w:p w14:paraId="19942C20"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Y</w:t>
            </w:r>
          </w:p>
        </w:tc>
        <w:tc>
          <w:tcPr>
            <w:tcW w:w="3171" w:type="dxa"/>
            <w:tcBorders>
              <w:top w:val="single" w:sz="4" w:space="0" w:color="auto"/>
              <w:left w:val="single" w:sz="4" w:space="0" w:color="auto"/>
              <w:bottom w:val="single" w:sz="4" w:space="0" w:color="auto"/>
              <w:right w:val="single" w:sz="4" w:space="0" w:color="auto"/>
            </w:tcBorders>
            <w:hideMark/>
          </w:tcPr>
          <w:p w14:paraId="646D9519"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(750 – 595)*30</w:t>
            </w:r>
          </w:p>
        </w:tc>
        <w:tc>
          <w:tcPr>
            <w:tcW w:w="3171" w:type="dxa"/>
            <w:tcBorders>
              <w:top w:val="single" w:sz="4" w:space="0" w:color="auto"/>
              <w:left w:val="single" w:sz="4" w:space="0" w:color="auto"/>
              <w:bottom w:val="single" w:sz="4" w:space="0" w:color="auto"/>
              <w:right w:val="single" w:sz="4" w:space="0" w:color="auto"/>
            </w:tcBorders>
            <w:hideMark/>
          </w:tcPr>
          <w:p w14:paraId="5AFDD93D"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 xml:space="preserve">  = 4650F</w:t>
            </w:r>
          </w:p>
        </w:tc>
      </w:tr>
      <w:tr w:rsidR="009E0EB5" w14:paraId="2566B4C3" w14:textId="77777777" w:rsidTr="009E0EB5">
        <w:trPr>
          <w:trHeight w:val="773"/>
        </w:trPr>
        <w:tc>
          <w:tcPr>
            <w:tcW w:w="6341" w:type="dxa"/>
            <w:gridSpan w:val="2"/>
            <w:tcBorders>
              <w:top w:val="single" w:sz="4" w:space="0" w:color="auto"/>
              <w:left w:val="single" w:sz="4" w:space="0" w:color="auto"/>
              <w:bottom w:val="single" w:sz="4" w:space="0" w:color="auto"/>
              <w:right w:val="single" w:sz="4" w:space="0" w:color="auto"/>
            </w:tcBorders>
            <w:hideMark/>
          </w:tcPr>
          <w:p w14:paraId="7B5BA977"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 xml:space="preserve">                                                  Total Volume Contribution Variance</w:t>
            </w:r>
          </w:p>
        </w:tc>
        <w:tc>
          <w:tcPr>
            <w:tcW w:w="3171" w:type="dxa"/>
            <w:tcBorders>
              <w:top w:val="single" w:sz="4" w:space="0" w:color="auto"/>
              <w:left w:val="single" w:sz="4" w:space="0" w:color="auto"/>
              <w:bottom w:val="single" w:sz="4" w:space="0" w:color="auto"/>
              <w:right w:val="single" w:sz="4" w:space="0" w:color="auto"/>
            </w:tcBorders>
            <w:hideMark/>
          </w:tcPr>
          <w:p w14:paraId="068131F8" w14:textId="77777777" w:rsidR="009E0EB5" w:rsidRDefault="009E0EB5">
            <w:pPr>
              <w:spacing w:line="480" w:lineRule="auto"/>
              <w:rPr>
                <w:rFonts w:ascii="Times New Roman" w:hAnsi="Times New Roman" w:cs="Times New Roman"/>
                <w:sz w:val="24"/>
                <w:szCs w:val="24"/>
              </w:rPr>
            </w:pPr>
            <w:r>
              <w:rPr>
                <w:rFonts w:ascii="Times New Roman" w:hAnsi="Times New Roman" w:cs="Times New Roman"/>
                <w:sz w:val="24"/>
                <w:szCs w:val="24"/>
              </w:rPr>
              <w:t>=13575F</w:t>
            </w:r>
          </w:p>
        </w:tc>
      </w:tr>
    </w:tbl>
    <w:p w14:paraId="7031631F" w14:textId="77777777" w:rsidR="009E0EB5" w:rsidRDefault="009E0EB5" w:rsidP="009E0EB5">
      <w:pPr>
        <w:spacing w:after="0" w:line="480" w:lineRule="auto"/>
        <w:rPr>
          <w:rFonts w:ascii="Times New Roman" w:hAnsi="Times New Roman" w:cs="Times New Roman"/>
          <w:sz w:val="24"/>
          <w:szCs w:val="24"/>
        </w:rPr>
      </w:pPr>
    </w:p>
    <w:p w14:paraId="31B484A3" w14:textId="77777777" w:rsidR="009E0EB5" w:rsidRPr="009E0EB5" w:rsidRDefault="009E0EB5" w:rsidP="009E0EB5">
      <w:pPr>
        <w:spacing w:after="0" w:line="480" w:lineRule="auto"/>
        <w:rPr>
          <w:rFonts w:ascii="Times New Roman" w:hAnsi="Times New Roman" w:cs="Times New Roman"/>
          <w:b/>
          <w:bCs/>
          <w:iCs/>
          <w:sz w:val="24"/>
          <w:szCs w:val="24"/>
        </w:rPr>
      </w:pPr>
      <w:r w:rsidRPr="009E0EB5">
        <w:rPr>
          <w:rFonts w:ascii="Times New Roman" w:hAnsi="Times New Roman" w:cs="Times New Roman"/>
          <w:b/>
          <w:bCs/>
          <w:iCs/>
          <w:sz w:val="24"/>
          <w:szCs w:val="24"/>
        </w:rPr>
        <w:t>Material Price Planning</w:t>
      </w:r>
    </w:p>
    <w:p w14:paraId="75513C1A" w14:textId="77777777" w:rsidR="009E0EB5" w:rsidRDefault="009E0EB5" w:rsidP="009E0EB5">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Material Price Planning = (Actual unit cost – standard unit cost) *Actual quantity Purchased.  </w:t>
      </w:r>
    </w:p>
    <w:p w14:paraId="487B97F2" w14:textId="77777777" w:rsidR="009E0EB5" w:rsidRDefault="009E0EB5" w:rsidP="009E0EB5">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(3.70 – 2.50) *1600 = 1920F  </w:t>
      </w:r>
    </w:p>
    <w:p w14:paraId="48810B56" w14:textId="77777777" w:rsidR="009E0EB5" w:rsidRDefault="009E0EB5" w:rsidP="009E0EB5">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Material price operational planning </w:t>
      </w:r>
    </w:p>
    <w:p w14:paraId="199CB5B7" w14:textId="77777777" w:rsidR="009E0EB5" w:rsidRDefault="009E0EB5" w:rsidP="009E0EB5">
      <w:pPr>
        <w:spacing w:after="0" w:line="480" w:lineRule="auto"/>
        <w:rPr>
          <w:rFonts w:ascii="Times New Roman" w:hAnsi="Times New Roman" w:cs="Times New Roman"/>
          <w:sz w:val="24"/>
          <w:szCs w:val="24"/>
        </w:rPr>
      </w:pPr>
      <w:r>
        <w:rPr>
          <w:rFonts w:ascii="Times New Roman" w:hAnsi="Times New Roman" w:cs="Times New Roman"/>
          <w:sz w:val="24"/>
          <w:szCs w:val="24"/>
        </w:rPr>
        <w:t>(4.25 – 3.70)*1600 = 880F</w:t>
      </w:r>
    </w:p>
    <w:p w14:paraId="2BF3EE4C" w14:textId="00CE526F" w:rsidR="009E0EB5" w:rsidRPr="004B18CE" w:rsidRDefault="009E0EB5" w:rsidP="009E0EB5">
      <w:pPr>
        <w:spacing w:after="0" w:line="480" w:lineRule="auto"/>
        <w:jc w:val="center"/>
        <w:rPr>
          <w:rFonts w:ascii="Times New Roman" w:hAnsi="Times New Roman" w:cs="Times New Roman"/>
          <w:sz w:val="24"/>
          <w:szCs w:val="24"/>
        </w:rPr>
      </w:pPr>
      <w:r w:rsidRPr="004B18CE">
        <w:rPr>
          <w:rFonts w:ascii="Times New Roman" w:hAnsi="Times New Roman" w:cs="Times New Roman"/>
          <w:sz w:val="24"/>
          <w:szCs w:val="24"/>
        </w:rPr>
        <w:t>Analysis of Merits and Demerits of Using Variances in Assessing Manager’s Performance</w:t>
      </w:r>
    </w:p>
    <w:p w14:paraId="063D12B1" w14:textId="77777777" w:rsidR="004B18CE" w:rsidRPr="004B18CE" w:rsidRDefault="004B18CE" w:rsidP="009E0EB5">
      <w:pPr>
        <w:spacing w:after="0" w:line="480" w:lineRule="auto"/>
        <w:jc w:val="center"/>
        <w:rPr>
          <w:rFonts w:ascii="Times New Roman" w:hAnsi="Times New Roman" w:cs="Times New Roman"/>
          <w:b/>
          <w:bCs/>
          <w:sz w:val="24"/>
          <w:szCs w:val="24"/>
        </w:rPr>
      </w:pPr>
    </w:p>
    <w:p w14:paraId="480991A8" w14:textId="2C6CB3D0" w:rsidR="009E0EB5" w:rsidRDefault="009E0EB5" w:rsidP="004B18CE">
      <w:pPr>
        <w:spacing w:after="0" w:line="360" w:lineRule="auto"/>
        <w:ind w:firstLine="720"/>
        <w:jc w:val="both"/>
        <w:rPr>
          <w:rFonts w:ascii="Times New Roman" w:hAnsi="Times New Roman" w:cs="Times New Roman"/>
          <w:sz w:val="23"/>
          <w:szCs w:val="23"/>
          <w:shd w:val="clear" w:color="auto" w:fill="FFFFFF"/>
        </w:rPr>
      </w:pPr>
      <w:r w:rsidRPr="004B18CE">
        <w:rPr>
          <w:rFonts w:ascii="Times New Roman" w:hAnsi="Times New Roman" w:cs="Times New Roman"/>
          <w:sz w:val="23"/>
          <w:szCs w:val="23"/>
        </w:rPr>
        <w:t>Variance analysis is an important tool determining the budgetary control system of an organization. The organization managers will set the standards that help them in decision making by judging the performance of the organization (Brown, 2011). Variance analysis aims at reducing the cost of production and profit maximization through meeting predetermined goals. Minimizing the cost of production and costs control with a limited supply of resources is a major objective in any organization (</w:t>
      </w:r>
      <w:r w:rsidRPr="004B18CE">
        <w:rPr>
          <w:rFonts w:ascii="Times New Roman" w:hAnsi="Times New Roman" w:cs="Times New Roman"/>
          <w:sz w:val="23"/>
          <w:szCs w:val="23"/>
          <w:shd w:val="clear" w:color="auto" w:fill="FFFFFF"/>
        </w:rPr>
        <w:t>Berger, 2011).</w:t>
      </w:r>
    </w:p>
    <w:p w14:paraId="613AF03B" w14:textId="77777777" w:rsidR="004B18CE" w:rsidRPr="004B18CE" w:rsidRDefault="004B18CE" w:rsidP="004B18CE">
      <w:pPr>
        <w:spacing w:after="0" w:line="360" w:lineRule="auto"/>
        <w:ind w:firstLine="720"/>
        <w:jc w:val="both"/>
        <w:rPr>
          <w:rFonts w:ascii="Times New Roman" w:hAnsi="Times New Roman" w:cs="Times New Roman"/>
          <w:sz w:val="23"/>
          <w:szCs w:val="23"/>
        </w:rPr>
      </w:pPr>
    </w:p>
    <w:p w14:paraId="3225AEC7" w14:textId="2D1EE4B9" w:rsidR="009E0EB5" w:rsidRDefault="009E0EB5" w:rsidP="004B18CE">
      <w:pPr>
        <w:spacing w:after="0" w:line="360" w:lineRule="auto"/>
        <w:jc w:val="both"/>
        <w:rPr>
          <w:rFonts w:ascii="Times New Roman" w:hAnsi="Times New Roman" w:cs="Times New Roman"/>
          <w:sz w:val="23"/>
          <w:szCs w:val="23"/>
        </w:rPr>
      </w:pPr>
      <w:r w:rsidRPr="004B18CE">
        <w:rPr>
          <w:rFonts w:ascii="Times New Roman" w:hAnsi="Times New Roman" w:cs="Times New Roman"/>
          <w:sz w:val="23"/>
          <w:szCs w:val="23"/>
        </w:rPr>
        <w:t>Merits of Using Variances in Assessing Manager’s Performance</w:t>
      </w:r>
    </w:p>
    <w:p w14:paraId="15394628" w14:textId="77777777" w:rsidR="004B18CE" w:rsidRPr="004B18CE" w:rsidRDefault="004B18CE" w:rsidP="004B18CE">
      <w:pPr>
        <w:spacing w:after="0" w:line="360" w:lineRule="auto"/>
        <w:jc w:val="both"/>
        <w:rPr>
          <w:rFonts w:ascii="Times New Roman" w:hAnsi="Times New Roman" w:cs="Times New Roman"/>
          <w:sz w:val="23"/>
          <w:szCs w:val="23"/>
        </w:rPr>
      </w:pPr>
    </w:p>
    <w:p w14:paraId="6AAECC7A"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Helps in the Budgeting of an Organization</w:t>
      </w:r>
    </w:p>
    <w:p w14:paraId="4EE74966" w14:textId="0890CC27" w:rsidR="009E0EB5" w:rsidRPr="004B18CE" w:rsidRDefault="009E0EB5" w:rsidP="004B18CE">
      <w:pPr>
        <w:spacing w:after="0" w:line="360" w:lineRule="auto"/>
        <w:ind w:firstLine="720"/>
        <w:jc w:val="both"/>
        <w:rPr>
          <w:rFonts w:ascii="Times New Roman" w:hAnsi="Times New Roman" w:cs="Times New Roman"/>
          <w:sz w:val="23"/>
          <w:szCs w:val="23"/>
        </w:rPr>
      </w:pPr>
      <w:r w:rsidRPr="004B18CE">
        <w:rPr>
          <w:rFonts w:ascii="Times New Roman" w:hAnsi="Times New Roman" w:cs="Times New Roman"/>
          <w:sz w:val="23"/>
          <w:szCs w:val="23"/>
        </w:rPr>
        <w:t xml:space="preserve">Since the causes for deviations in the income and expenses from budgeted values can be identified, it can also be minimized; </w:t>
      </w:r>
      <w:r w:rsidR="004B18CE" w:rsidRPr="004B18CE">
        <w:rPr>
          <w:rFonts w:ascii="Times New Roman" w:hAnsi="Times New Roman" w:cs="Times New Roman"/>
          <w:sz w:val="23"/>
          <w:szCs w:val="23"/>
        </w:rPr>
        <w:t>therefore</w:t>
      </w:r>
      <w:r w:rsidRPr="004B18CE">
        <w:rPr>
          <w:rFonts w:ascii="Times New Roman" w:hAnsi="Times New Roman" w:cs="Times New Roman"/>
          <w:sz w:val="23"/>
          <w:szCs w:val="23"/>
        </w:rPr>
        <w:t xml:space="preserve">, proper budgeting reduces the cost of production, saves time, and reduces wastage from the resources. However, in most cases, managers may focus on a company's </w:t>
      </w:r>
      <w:r w:rsidR="004B18CE" w:rsidRPr="004B18CE">
        <w:rPr>
          <w:rFonts w:ascii="Times New Roman" w:hAnsi="Times New Roman" w:cs="Times New Roman"/>
          <w:sz w:val="23"/>
          <w:szCs w:val="23"/>
        </w:rPr>
        <w:t>short-term</w:t>
      </w:r>
      <w:r w:rsidRPr="004B18CE">
        <w:rPr>
          <w:rFonts w:ascii="Times New Roman" w:hAnsi="Times New Roman" w:cs="Times New Roman"/>
          <w:sz w:val="23"/>
          <w:szCs w:val="23"/>
        </w:rPr>
        <w:t xml:space="preserve"> goals to reach the threshold limits from variance analysis, thus neglecting long-term goals. Therefore, managers must ensure that best decisions are made in the interests of a company long term and </w:t>
      </w:r>
      <w:r w:rsidR="004B18CE" w:rsidRPr="004B18CE">
        <w:rPr>
          <w:rFonts w:ascii="Times New Roman" w:hAnsi="Times New Roman" w:cs="Times New Roman"/>
          <w:sz w:val="23"/>
          <w:szCs w:val="23"/>
        </w:rPr>
        <w:t>short-term</w:t>
      </w:r>
      <w:r w:rsidRPr="004B18CE">
        <w:rPr>
          <w:rFonts w:ascii="Times New Roman" w:hAnsi="Times New Roman" w:cs="Times New Roman"/>
          <w:sz w:val="23"/>
          <w:szCs w:val="23"/>
        </w:rPr>
        <w:t xml:space="preserve"> goals during budgeting. Focusing on short-term goals hurts the company as long-term performance measures ensure the organization's growth. </w:t>
      </w:r>
    </w:p>
    <w:p w14:paraId="19F7A92C"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Acts as a Control System</w:t>
      </w:r>
    </w:p>
    <w:p w14:paraId="4D21ABAA" w14:textId="77777777" w:rsidR="009E0EB5" w:rsidRPr="004B18CE" w:rsidRDefault="009E0EB5" w:rsidP="004B18CE">
      <w:pPr>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Variance analysis helps managers control the budget, costs to be incurred, the sale prices, and the time taken for a successful production. The standards set help them in decision-making by judging the organization's performance and avoiding deviations from the standards set.</w:t>
      </w:r>
    </w:p>
    <w:p w14:paraId="1FC378D1"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Assigns Responsibility to Managers of Various Departments</w:t>
      </w:r>
    </w:p>
    <w:p w14:paraId="28FEBE86" w14:textId="43F5F222" w:rsidR="009E0EB5" w:rsidRPr="004B18CE" w:rsidRDefault="009E0EB5" w:rsidP="004B18CE">
      <w:pPr>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 xml:space="preserve">Any department involved in the production process or provision of a service will have its standard set. The department manager should achieve the standards set after variance analysis (Henderson, 2012). For instance, if a raw material cost variance is </w:t>
      </w:r>
      <w:r w:rsidR="004B18CE" w:rsidRPr="004B18CE">
        <w:rPr>
          <w:rFonts w:ascii="Times New Roman" w:hAnsi="Times New Roman" w:cs="Times New Roman"/>
          <w:sz w:val="23"/>
          <w:szCs w:val="23"/>
        </w:rPr>
        <w:t>unfavorable</w:t>
      </w:r>
      <w:r w:rsidRPr="004B18CE">
        <w:rPr>
          <w:rFonts w:ascii="Times New Roman" w:hAnsi="Times New Roman" w:cs="Times New Roman"/>
          <w:sz w:val="23"/>
          <w:szCs w:val="23"/>
        </w:rPr>
        <w:t xml:space="preserve">, the managers are needed to step and ensure the efficiency of their departments. Managers become more focused, </w:t>
      </w:r>
      <w:r w:rsidR="004B18CE" w:rsidRPr="004B18CE">
        <w:rPr>
          <w:rFonts w:ascii="Times New Roman" w:hAnsi="Times New Roman" w:cs="Times New Roman"/>
          <w:sz w:val="23"/>
          <w:szCs w:val="23"/>
        </w:rPr>
        <w:t>so</w:t>
      </w:r>
      <w:r w:rsidRPr="004B18CE">
        <w:rPr>
          <w:rFonts w:ascii="Times New Roman" w:hAnsi="Times New Roman" w:cs="Times New Roman"/>
          <w:sz w:val="23"/>
          <w:szCs w:val="23"/>
        </w:rPr>
        <w:t xml:space="preserve"> more </w:t>
      </w:r>
      <w:r w:rsidR="004B18CE" w:rsidRPr="004B18CE">
        <w:rPr>
          <w:rFonts w:ascii="Times New Roman" w:hAnsi="Times New Roman" w:cs="Times New Roman"/>
          <w:sz w:val="23"/>
          <w:szCs w:val="23"/>
        </w:rPr>
        <w:t>results oriented</w:t>
      </w:r>
      <w:r w:rsidRPr="004B18CE">
        <w:rPr>
          <w:rFonts w:ascii="Times New Roman" w:hAnsi="Times New Roman" w:cs="Times New Roman"/>
          <w:sz w:val="23"/>
          <w:szCs w:val="23"/>
        </w:rPr>
        <w:t>.</w:t>
      </w:r>
    </w:p>
    <w:p w14:paraId="4FDFD0ED"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lastRenderedPageBreak/>
        <w:t>Performance Measurement</w:t>
      </w:r>
    </w:p>
    <w:p w14:paraId="585F016B" w14:textId="5DC56BCA" w:rsidR="009E0EB5" w:rsidRPr="004B18CE" w:rsidRDefault="009E0EB5" w:rsidP="004B18CE">
      <w:pPr>
        <w:tabs>
          <w:tab w:val="left" w:pos="450"/>
        </w:tabs>
        <w:spacing w:after="0" w:line="360" w:lineRule="auto"/>
        <w:ind w:firstLine="720"/>
        <w:jc w:val="both"/>
        <w:rPr>
          <w:rFonts w:ascii="Times New Roman" w:hAnsi="Times New Roman" w:cs="Times New Roman"/>
          <w:sz w:val="23"/>
          <w:szCs w:val="23"/>
        </w:rPr>
      </w:pPr>
      <w:r w:rsidRPr="004B18CE">
        <w:rPr>
          <w:rFonts w:ascii="Times New Roman" w:hAnsi="Times New Roman" w:cs="Times New Roman"/>
          <w:sz w:val="23"/>
          <w:szCs w:val="23"/>
        </w:rPr>
        <w:t xml:space="preserve">Adverse variance analysis may mean there might be a negative impact on the sales, or the budgeting is not good enough for a product. </w:t>
      </w:r>
      <w:r w:rsidR="004B18CE" w:rsidRPr="004B18CE">
        <w:rPr>
          <w:rFonts w:ascii="Times New Roman" w:hAnsi="Times New Roman" w:cs="Times New Roman"/>
          <w:sz w:val="23"/>
          <w:szCs w:val="23"/>
        </w:rPr>
        <w:t>Favorable</w:t>
      </w:r>
      <w:r w:rsidRPr="004B18CE">
        <w:rPr>
          <w:rFonts w:ascii="Times New Roman" w:hAnsi="Times New Roman" w:cs="Times New Roman"/>
          <w:sz w:val="23"/>
          <w:szCs w:val="23"/>
        </w:rPr>
        <w:t xml:space="preserve"> variance analysis means that the standards set are productive and may have a positive impact on sales. </w:t>
      </w:r>
      <w:r w:rsidR="00F34EC8">
        <w:rPr>
          <w:rFonts w:ascii="Times New Roman" w:hAnsi="Times New Roman" w:cs="Times New Roman"/>
          <w:sz w:val="23"/>
          <w:szCs w:val="23"/>
        </w:rPr>
        <w:t xml:space="preserve">(Walther,2020) </w:t>
      </w:r>
      <w:r w:rsidRPr="004B18CE">
        <w:rPr>
          <w:rFonts w:ascii="Times New Roman" w:hAnsi="Times New Roman" w:cs="Times New Roman"/>
          <w:sz w:val="23"/>
          <w:szCs w:val="23"/>
        </w:rPr>
        <w:t xml:space="preserve">Pinpoint responsibility for unsatisfactory performance so that corrective action may be taken. </w:t>
      </w:r>
    </w:p>
    <w:p w14:paraId="4FC6403C" w14:textId="77777777" w:rsidR="009E0EB5" w:rsidRPr="004B18CE" w:rsidRDefault="009E0EB5" w:rsidP="004B18CE">
      <w:pPr>
        <w:tabs>
          <w:tab w:val="left" w:pos="450"/>
        </w:tabs>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Employees are Motivated to Accomplish the Set Standards</w:t>
      </w:r>
    </w:p>
    <w:p w14:paraId="039B19E3" w14:textId="77777777" w:rsidR="009E0EB5" w:rsidRPr="004B18CE" w:rsidRDefault="009E0EB5" w:rsidP="004B18CE">
      <w:pPr>
        <w:tabs>
          <w:tab w:val="left" w:pos="450"/>
        </w:tabs>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Working towards a common goal in an organization boosts the employee’s morale since they also have targets and predetermined goal to achieve. They will work extra hard to enhance performance. Variance analysis is, therefore, a vital tool in achieving predetermined goals.</w:t>
      </w:r>
    </w:p>
    <w:p w14:paraId="703CD601" w14:textId="77777777" w:rsidR="009E0EB5" w:rsidRPr="004B18CE" w:rsidRDefault="009E0EB5" w:rsidP="004B18CE">
      <w:pPr>
        <w:tabs>
          <w:tab w:val="left" w:pos="450"/>
        </w:tabs>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Maintaining Good Health of an Organization</w:t>
      </w:r>
    </w:p>
    <w:p w14:paraId="68EADB92" w14:textId="629D06E1" w:rsidR="009E0EB5" w:rsidRPr="004B18CE" w:rsidRDefault="009E0EB5" w:rsidP="004B18CE">
      <w:pPr>
        <w:tabs>
          <w:tab w:val="left" w:pos="450"/>
        </w:tabs>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 xml:space="preserve">Through variance analysis, everyone has predetermined goals to achieve, responsibility is assigned, and taking corrective action to ensure </w:t>
      </w:r>
      <w:r w:rsidR="00D6281A" w:rsidRPr="004B18CE">
        <w:rPr>
          <w:rFonts w:ascii="Times New Roman" w:hAnsi="Times New Roman" w:cs="Times New Roman"/>
          <w:sz w:val="23"/>
          <w:szCs w:val="23"/>
        </w:rPr>
        <w:t>favorable</w:t>
      </w:r>
      <w:r w:rsidRPr="004B18CE">
        <w:rPr>
          <w:rFonts w:ascii="Times New Roman" w:hAnsi="Times New Roman" w:cs="Times New Roman"/>
          <w:sz w:val="23"/>
          <w:szCs w:val="23"/>
        </w:rPr>
        <w:t xml:space="preserve"> variance analysis is achieved in terms of cost of production, sales, and raw materials. Variance analysis ensures that the organization has control of the budget and any costs to ensure profit maximization (</w:t>
      </w:r>
      <w:r w:rsidRPr="004B18CE">
        <w:rPr>
          <w:rFonts w:ascii="Times New Roman" w:hAnsi="Times New Roman" w:cs="Times New Roman"/>
          <w:sz w:val="23"/>
          <w:szCs w:val="23"/>
          <w:shd w:val="clear" w:color="auto" w:fill="FFFFFF"/>
        </w:rPr>
        <w:t>Spafford, 2003</w:t>
      </w:r>
      <w:r w:rsidRPr="004B18CE">
        <w:rPr>
          <w:rFonts w:ascii="Times New Roman" w:hAnsi="Times New Roman" w:cs="Times New Roman"/>
          <w:sz w:val="23"/>
          <w:szCs w:val="23"/>
        </w:rPr>
        <w:t>).</w:t>
      </w:r>
    </w:p>
    <w:p w14:paraId="14F66FF2" w14:textId="77777777" w:rsidR="009E0EB5" w:rsidRPr="004B18CE" w:rsidRDefault="009E0EB5" w:rsidP="004B18CE">
      <w:pPr>
        <w:tabs>
          <w:tab w:val="left" w:pos="450"/>
        </w:tabs>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Communication within the Organization is enhanced</w:t>
      </w:r>
    </w:p>
    <w:p w14:paraId="4D314CB6" w14:textId="77777777" w:rsidR="009E0EB5" w:rsidRPr="004B18CE" w:rsidRDefault="009E0EB5" w:rsidP="004B18CE">
      <w:pPr>
        <w:tabs>
          <w:tab w:val="left" w:pos="450"/>
        </w:tabs>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Top managers, staff members, and supervisors regularly communicate when giving advice or taking corrective measures out of variance analysis. This ensures optimal performance and a good rapport between the employees. Staff members may also be involved when conducting variance analysis, thus boosting communication, and the staff will have no negative opinion on the analysis.</w:t>
      </w:r>
    </w:p>
    <w:p w14:paraId="7758CBFD" w14:textId="77777777" w:rsidR="009E0EB5" w:rsidRPr="004B18CE" w:rsidRDefault="009E0EB5" w:rsidP="004B18CE">
      <w:pPr>
        <w:tabs>
          <w:tab w:val="left" w:pos="450"/>
        </w:tabs>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Management by Exception</w:t>
      </w:r>
    </w:p>
    <w:p w14:paraId="24969C01" w14:textId="77777777" w:rsidR="009E0EB5" w:rsidRPr="004B18CE" w:rsidRDefault="009E0EB5" w:rsidP="004B18CE">
      <w:pPr>
        <w:tabs>
          <w:tab w:val="left" w:pos="450"/>
        </w:tabs>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This is when a manager concentrates more on departments that do not perform as expected and gives less attention to the departments performing as expected. Variance analysis helps detect such departments, and corrective measures can be taken, thus enhancing an organization's performance.</w:t>
      </w:r>
    </w:p>
    <w:p w14:paraId="40EB85D7" w14:textId="77777777" w:rsidR="009E0EB5" w:rsidRPr="004B18CE" w:rsidRDefault="009E0EB5" w:rsidP="004B18CE">
      <w:pPr>
        <w:spacing w:after="0" w:line="360" w:lineRule="auto"/>
        <w:jc w:val="both"/>
        <w:rPr>
          <w:rFonts w:ascii="Times New Roman" w:hAnsi="Times New Roman" w:cs="Times New Roman"/>
          <w:sz w:val="23"/>
          <w:szCs w:val="23"/>
        </w:rPr>
      </w:pPr>
      <w:r w:rsidRPr="004B18CE">
        <w:rPr>
          <w:rFonts w:ascii="Times New Roman" w:hAnsi="Times New Roman" w:cs="Times New Roman"/>
          <w:sz w:val="23"/>
          <w:szCs w:val="23"/>
        </w:rPr>
        <w:t>Demerits of Using Variances in Assessing a Manager's Performance</w:t>
      </w:r>
    </w:p>
    <w:p w14:paraId="267A5AC7"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Difficult to Apply in a Service Organization</w:t>
      </w:r>
    </w:p>
    <w:p w14:paraId="3EF95DAF" w14:textId="77777777" w:rsidR="009E0EB5" w:rsidRPr="004B18CE" w:rsidRDefault="009E0EB5" w:rsidP="004B18CE">
      <w:pPr>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A higher percentage of service organization's costs are overhead expenses rather than production expenses. Useful and vital information is not provided by variance analysis for the organization's overhead expenses like wages salaries and utility costs. However, an approach like creating a management information system can provide a basis for variance analysis necessary for the overhead controls. This requires time and financial investment for the implementation.</w:t>
      </w:r>
    </w:p>
    <w:p w14:paraId="7F8BD0CC"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Uncertainty in Assigning Responsibilities</w:t>
      </w:r>
    </w:p>
    <w:p w14:paraId="31D6143A" w14:textId="3C39A0AF" w:rsidR="009E0EB5" w:rsidRPr="004B18CE" w:rsidRDefault="009E0EB5" w:rsidP="004B18CE">
      <w:pPr>
        <w:autoSpaceDE w:val="0"/>
        <w:autoSpaceDN w:val="0"/>
        <w:adjustRightInd w:val="0"/>
        <w:spacing w:after="0" w:line="360" w:lineRule="auto"/>
        <w:ind w:firstLine="720"/>
        <w:jc w:val="both"/>
        <w:rPr>
          <w:rFonts w:ascii="Times New Roman" w:hAnsi="Times New Roman" w:cs="Times New Roman"/>
          <w:sz w:val="23"/>
          <w:szCs w:val="23"/>
        </w:rPr>
      </w:pPr>
      <w:r w:rsidRPr="004B18CE">
        <w:rPr>
          <w:rFonts w:ascii="Times New Roman" w:hAnsi="Times New Roman" w:cs="Times New Roman"/>
          <w:sz w:val="23"/>
          <w:szCs w:val="23"/>
        </w:rPr>
        <w:t xml:space="preserve">Unrealistic standards and operational causes can cause deviations from the set standards. For example, using low-skilled </w:t>
      </w:r>
      <w:r w:rsidR="00D6281A" w:rsidRPr="004B18CE">
        <w:rPr>
          <w:rFonts w:ascii="Times New Roman" w:hAnsi="Times New Roman" w:cs="Times New Roman"/>
          <w:sz w:val="23"/>
          <w:szCs w:val="23"/>
        </w:rPr>
        <w:t>labor</w:t>
      </w:r>
      <w:r w:rsidRPr="004B18CE">
        <w:rPr>
          <w:rFonts w:ascii="Times New Roman" w:hAnsi="Times New Roman" w:cs="Times New Roman"/>
          <w:sz w:val="23"/>
          <w:szCs w:val="23"/>
        </w:rPr>
        <w:t xml:space="preserve"> causes an increase in material usage, thus an operational variance to </w:t>
      </w:r>
      <w:r w:rsidRPr="004B18CE">
        <w:rPr>
          <w:rFonts w:ascii="Times New Roman" w:hAnsi="Times New Roman" w:cs="Times New Roman"/>
          <w:sz w:val="23"/>
          <w:szCs w:val="23"/>
        </w:rPr>
        <w:lastRenderedPageBreak/>
        <w:t>the department or individual. Neves (2010) states that direct material variance can be caused by factors that an employee is not in a position to control, therefore, the uncertainty to the responsibility assigned to employees or even managers.</w:t>
      </w:r>
    </w:p>
    <w:p w14:paraId="7CD2C11F" w14:textId="77777777" w:rsidR="009E0EB5" w:rsidRPr="004B18CE" w:rsidRDefault="009E0EB5" w:rsidP="004B18CE">
      <w:pPr>
        <w:autoSpaceDE w:val="0"/>
        <w:autoSpaceDN w:val="0"/>
        <w:adjustRightInd w:val="0"/>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Reporting Delay Affects the Production Time of the Organization</w:t>
      </w:r>
    </w:p>
    <w:p w14:paraId="3C47AA1D" w14:textId="77777777" w:rsidR="009E0EB5" w:rsidRPr="004B18CE" w:rsidRDefault="009E0EB5" w:rsidP="004B18CE">
      <w:pPr>
        <w:autoSpaceDE w:val="0"/>
        <w:autoSpaceDN w:val="0"/>
        <w:adjustRightInd w:val="0"/>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Variance analysis is an excellent tool in the budgetary control system; however, delay the reporting period since a considerable amount of time is taken to provide the analysis information. This affects the production process by increasing the production time process, which may make the organization to be outpaced by the competitors. This also affects variance analysis relevancy on decision making.</w:t>
      </w:r>
    </w:p>
    <w:p w14:paraId="2455EB16"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Behavioural Issues on Employees</w:t>
      </w:r>
    </w:p>
    <w:p w14:paraId="0F286896" w14:textId="09D6318B" w:rsidR="009E0EB5" w:rsidRDefault="009E0EB5" w:rsidP="004B18CE">
      <w:pPr>
        <w:spacing w:after="0" w:line="360" w:lineRule="auto"/>
        <w:ind w:firstLine="720"/>
        <w:jc w:val="both"/>
        <w:rPr>
          <w:rFonts w:ascii="Times New Roman" w:hAnsi="Times New Roman" w:cs="Times New Roman"/>
          <w:sz w:val="23"/>
          <w:szCs w:val="23"/>
        </w:rPr>
      </w:pPr>
      <w:r w:rsidRPr="004B18CE">
        <w:rPr>
          <w:rFonts w:ascii="Times New Roman" w:hAnsi="Times New Roman" w:cs="Times New Roman"/>
          <w:sz w:val="23"/>
          <w:szCs w:val="23"/>
        </w:rPr>
        <w:t>Variance analysis may cause sub-optimal behaviour among employees due to a negative perception of variance analysis. This can be solved by involving employees during the setting of the standards and variance analysis. Staff members may develop short-termism due to quantified set standards and results, affecting their performance and attitude towards work.</w:t>
      </w:r>
    </w:p>
    <w:p w14:paraId="79375E69" w14:textId="77777777" w:rsidR="00D6281A" w:rsidRPr="004B18CE" w:rsidRDefault="00D6281A" w:rsidP="004B18CE">
      <w:pPr>
        <w:spacing w:after="0" w:line="360" w:lineRule="auto"/>
        <w:ind w:firstLine="720"/>
        <w:jc w:val="both"/>
        <w:rPr>
          <w:rFonts w:ascii="Times New Roman" w:hAnsi="Times New Roman" w:cs="Times New Roman"/>
          <w:sz w:val="23"/>
          <w:szCs w:val="23"/>
        </w:rPr>
      </w:pPr>
    </w:p>
    <w:p w14:paraId="1C4101CF" w14:textId="5C2DD5D5" w:rsidR="009E0EB5" w:rsidRDefault="009E0EB5" w:rsidP="004B18CE">
      <w:pPr>
        <w:spacing w:after="0" w:line="360" w:lineRule="auto"/>
        <w:jc w:val="both"/>
        <w:rPr>
          <w:rFonts w:ascii="Times New Roman" w:hAnsi="Times New Roman" w:cs="Times New Roman"/>
          <w:sz w:val="23"/>
          <w:szCs w:val="23"/>
        </w:rPr>
      </w:pPr>
      <w:r w:rsidRPr="004B18CE">
        <w:rPr>
          <w:rFonts w:ascii="Times New Roman" w:hAnsi="Times New Roman" w:cs="Times New Roman"/>
          <w:sz w:val="23"/>
          <w:szCs w:val="23"/>
        </w:rPr>
        <w:t>Neglecting Other Tools of Measuring Performance Creating of Insensitivity on the Managers</w:t>
      </w:r>
    </w:p>
    <w:p w14:paraId="65713799" w14:textId="77777777" w:rsidR="00D6281A" w:rsidRPr="004B18CE" w:rsidRDefault="00D6281A" w:rsidP="004B18CE">
      <w:pPr>
        <w:spacing w:after="0" w:line="360" w:lineRule="auto"/>
        <w:jc w:val="both"/>
        <w:rPr>
          <w:rFonts w:ascii="Times New Roman" w:hAnsi="Times New Roman" w:cs="Times New Roman"/>
          <w:sz w:val="23"/>
          <w:szCs w:val="23"/>
        </w:rPr>
      </w:pPr>
    </w:p>
    <w:p w14:paraId="04EF2856" w14:textId="77777777" w:rsidR="009E0EB5" w:rsidRPr="004B18CE" w:rsidRDefault="009E0EB5" w:rsidP="004B18CE">
      <w:pPr>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Managers may overemphasize variance analysis and not incorporate other ways of measuring an organization's performance based on market demands.</w:t>
      </w:r>
      <w:r w:rsidRPr="004B18CE">
        <w:rPr>
          <w:rFonts w:ascii="Times New Roman" w:hAnsi="Times New Roman" w:cs="Times New Roman"/>
          <w:sz w:val="23"/>
          <w:szCs w:val="23"/>
          <w:shd w:val="clear" w:color="auto" w:fill="FFFFFF"/>
        </w:rPr>
        <w:t xml:space="preserve"> Performance tools like records of productivity, 360-degree feedback, and appraisals on employees and performance reviews may be neglected. These tools provide other vital information on managing the organization. Managers can measure performance using multiple outcome methods and not only standard cost variances.</w:t>
      </w:r>
    </w:p>
    <w:p w14:paraId="65EB1F51"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Discourages Employee Innovations</w:t>
      </w:r>
    </w:p>
    <w:p w14:paraId="081D497C" w14:textId="77777777" w:rsidR="009E0EB5" w:rsidRPr="004B18CE" w:rsidRDefault="009E0EB5" w:rsidP="004B18CE">
      <w:pPr>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Employees may fail to bring new ideas and innovations to enhance performance on the set standards to avoid goal deviations as speculated. Employees tend only to use the advised or corrected measures.</w:t>
      </w:r>
    </w:p>
    <w:p w14:paraId="6698D277"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Overemphasis of Variance Analysis Meetings within an Organization</w:t>
      </w:r>
    </w:p>
    <w:p w14:paraId="0FCF16D2" w14:textId="77777777" w:rsidR="009E0EB5" w:rsidRPr="004B18CE" w:rsidRDefault="009E0EB5" w:rsidP="004B18CE">
      <w:pPr>
        <w:spacing w:after="0" w:line="360" w:lineRule="auto"/>
        <w:ind w:firstLine="720"/>
        <w:jc w:val="both"/>
        <w:rPr>
          <w:rFonts w:ascii="Times New Roman" w:hAnsi="Times New Roman" w:cs="Times New Roman"/>
          <w:sz w:val="23"/>
          <w:szCs w:val="23"/>
        </w:rPr>
      </w:pPr>
      <w:r w:rsidRPr="004B18CE">
        <w:rPr>
          <w:rFonts w:ascii="Times New Roman" w:hAnsi="Times New Roman" w:cs="Times New Roman"/>
          <w:sz w:val="23"/>
          <w:szCs w:val="23"/>
        </w:rPr>
        <w:t>Managers may tend to forget other essential meeting objectives such as how to enhance customer satisfaction, on-time product delivery improving quality, assessing the organization's expectation, and</w:t>
      </w:r>
      <w:r w:rsidRPr="004B18CE">
        <w:rPr>
          <w:rFonts w:ascii="Times New Roman" w:hAnsi="Times New Roman" w:cs="Times New Roman"/>
          <w:sz w:val="23"/>
          <w:szCs w:val="23"/>
          <w:shd w:val="clear" w:color="auto" w:fill="FFFFFF"/>
        </w:rPr>
        <w:t xml:space="preserve"> employee-manager structured objectives (</w:t>
      </w:r>
      <w:r w:rsidRPr="004B18CE">
        <w:rPr>
          <w:rFonts w:ascii="Times New Roman" w:hAnsi="Times New Roman" w:cs="Times New Roman"/>
          <w:sz w:val="23"/>
          <w:szCs w:val="23"/>
        </w:rPr>
        <w:t>Putra, 2009).</w:t>
      </w:r>
    </w:p>
    <w:p w14:paraId="16AB25DF"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Inaccurate Decisions can be made out of Defective Used When Computing Variance Analysis</w:t>
      </w:r>
    </w:p>
    <w:p w14:paraId="3ED89C9A" w14:textId="34B68E8A" w:rsidR="009E0EB5" w:rsidRPr="004B18CE" w:rsidRDefault="009E0EB5" w:rsidP="004B18CE">
      <w:pPr>
        <w:spacing w:after="0" w:line="360" w:lineRule="auto"/>
        <w:ind w:firstLine="720"/>
        <w:jc w:val="both"/>
        <w:rPr>
          <w:rFonts w:ascii="Times New Roman" w:hAnsi="Times New Roman" w:cs="Times New Roman"/>
          <w:b/>
          <w:sz w:val="23"/>
          <w:szCs w:val="23"/>
        </w:rPr>
      </w:pPr>
      <w:r w:rsidRPr="004B18CE">
        <w:rPr>
          <w:rFonts w:ascii="Times New Roman" w:hAnsi="Times New Roman" w:cs="Times New Roman"/>
          <w:sz w:val="23"/>
          <w:szCs w:val="23"/>
        </w:rPr>
        <w:t xml:space="preserve">Variance analysis may use incomplete data, thus distorted </w:t>
      </w:r>
      <w:r w:rsidR="00D6281A" w:rsidRPr="004B18CE">
        <w:rPr>
          <w:rFonts w:ascii="Times New Roman" w:hAnsi="Times New Roman" w:cs="Times New Roman"/>
          <w:sz w:val="23"/>
          <w:szCs w:val="23"/>
        </w:rPr>
        <w:t>results,</w:t>
      </w:r>
      <w:r w:rsidRPr="004B18CE">
        <w:rPr>
          <w:rFonts w:ascii="Times New Roman" w:hAnsi="Times New Roman" w:cs="Times New Roman"/>
          <w:sz w:val="23"/>
          <w:szCs w:val="23"/>
        </w:rPr>
        <w:t xml:space="preserve"> and exaggerated results</w:t>
      </w:r>
      <w:r w:rsidR="00D6281A">
        <w:rPr>
          <w:rFonts w:ascii="Times New Roman" w:hAnsi="Times New Roman" w:cs="Times New Roman"/>
          <w:sz w:val="23"/>
          <w:szCs w:val="23"/>
        </w:rPr>
        <w:t>.</w:t>
      </w:r>
      <w:r w:rsidRPr="004B18CE">
        <w:rPr>
          <w:rFonts w:ascii="Times New Roman" w:hAnsi="Times New Roman" w:cs="Times New Roman"/>
          <w:sz w:val="23"/>
          <w:szCs w:val="23"/>
          <w:shd w:val="clear" w:color="auto" w:fill="FFFFFF"/>
        </w:rPr>
        <w:t xml:space="preserve"> </w:t>
      </w:r>
      <w:r w:rsidRPr="004B18CE">
        <w:rPr>
          <w:rFonts w:ascii="Times New Roman" w:hAnsi="Times New Roman" w:cs="Times New Roman"/>
          <w:sz w:val="23"/>
          <w:szCs w:val="23"/>
        </w:rPr>
        <w:t xml:space="preserve">Financial terms have been used to quantify output without tracking down the production process; thus, </w:t>
      </w:r>
      <w:r w:rsidRPr="004B18CE">
        <w:rPr>
          <w:rFonts w:ascii="Times New Roman" w:hAnsi="Times New Roman" w:cs="Times New Roman"/>
          <w:sz w:val="23"/>
          <w:szCs w:val="23"/>
        </w:rPr>
        <w:lastRenderedPageBreak/>
        <w:t>there is a need for new ways to help managers in planning and decision-making (Zairi, 2012). Organization fall can be experienced in case of such wrong results. Managers can also use historical data, which may be misleading and not appropriate in making real-time decisions.</w:t>
      </w:r>
    </w:p>
    <w:p w14:paraId="16FC8974" w14:textId="77777777" w:rsidR="009E0EB5" w:rsidRPr="004B18CE" w:rsidRDefault="009E0EB5" w:rsidP="004B18CE">
      <w:pPr>
        <w:spacing w:after="0" w:line="360" w:lineRule="auto"/>
        <w:jc w:val="both"/>
        <w:rPr>
          <w:rFonts w:ascii="Times New Roman" w:hAnsi="Times New Roman" w:cs="Times New Roman"/>
          <w:i/>
          <w:sz w:val="23"/>
          <w:szCs w:val="23"/>
        </w:rPr>
      </w:pPr>
      <w:r w:rsidRPr="004B18CE">
        <w:rPr>
          <w:rFonts w:ascii="Times New Roman" w:hAnsi="Times New Roman" w:cs="Times New Roman"/>
          <w:i/>
          <w:sz w:val="23"/>
          <w:szCs w:val="23"/>
        </w:rPr>
        <w:t>Manipulation of Variance Analysis Results by the Managers</w:t>
      </w:r>
    </w:p>
    <w:p w14:paraId="7131E1E2" w14:textId="08D3678D" w:rsidR="009E0EB5" w:rsidRDefault="009E0EB5" w:rsidP="004B18CE">
      <w:pPr>
        <w:spacing w:after="0" w:line="360" w:lineRule="auto"/>
        <w:ind w:firstLine="720"/>
        <w:jc w:val="both"/>
        <w:rPr>
          <w:rFonts w:ascii="Times New Roman" w:hAnsi="Times New Roman" w:cs="Times New Roman"/>
          <w:sz w:val="23"/>
          <w:szCs w:val="23"/>
        </w:rPr>
      </w:pPr>
      <w:r w:rsidRPr="004B18CE">
        <w:rPr>
          <w:rFonts w:ascii="Times New Roman" w:hAnsi="Times New Roman" w:cs="Times New Roman"/>
          <w:sz w:val="23"/>
          <w:szCs w:val="23"/>
        </w:rPr>
        <w:t>Managers can manipulate variance analysis reports to meet the expected performance, overestimate the labour rate, the quantity of material to be used, and material cost variances. This affects the resources needed for the production process, which increases the cost of production. Resources needed for variance analysis may be scarce, costly, and time-consuming to gather and carry out the analysis.</w:t>
      </w:r>
    </w:p>
    <w:p w14:paraId="31384E29" w14:textId="77777777" w:rsidR="00D6281A" w:rsidRPr="004B18CE" w:rsidRDefault="00D6281A" w:rsidP="004B18CE">
      <w:pPr>
        <w:spacing w:after="0" w:line="360" w:lineRule="auto"/>
        <w:ind w:firstLine="720"/>
        <w:jc w:val="both"/>
        <w:rPr>
          <w:rFonts w:ascii="Times New Roman" w:hAnsi="Times New Roman" w:cs="Times New Roman"/>
          <w:b/>
          <w:sz w:val="23"/>
          <w:szCs w:val="23"/>
        </w:rPr>
      </w:pPr>
    </w:p>
    <w:p w14:paraId="21B38487" w14:textId="3B9603AF" w:rsidR="009E0EB5" w:rsidRPr="00D6281A" w:rsidRDefault="009E0EB5" w:rsidP="00D6281A">
      <w:pPr>
        <w:pStyle w:val="ListParagraph"/>
        <w:numPr>
          <w:ilvl w:val="0"/>
          <w:numId w:val="1"/>
        </w:numPr>
        <w:spacing w:after="0" w:line="480" w:lineRule="auto"/>
        <w:jc w:val="both"/>
        <w:rPr>
          <w:rFonts w:ascii="Times New Roman" w:hAnsi="Times New Roman" w:cs="Times New Roman"/>
          <w:sz w:val="24"/>
          <w:szCs w:val="24"/>
        </w:rPr>
      </w:pPr>
      <w:r w:rsidRPr="00D6281A">
        <w:rPr>
          <w:rFonts w:ascii="Times New Roman" w:hAnsi="Times New Roman" w:cs="Times New Roman"/>
          <w:sz w:val="28"/>
          <w:szCs w:val="28"/>
        </w:rPr>
        <w:t>Part B</w:t>
      </w:r>
    </w:p>
    <w:p w14:paraId="7EEFF865" w14:textId="6DFD436E" w:rsidR="009E0EB5" w:rsidRDefault="009E0EB5" w:rsidP="00D6281A">
      <w:pPr>
        <w:spacing w:after="0" w:line="360" w:lineRule="auto"/>
        <w:jc w:val="both"/>
        <w:rPr>
          <w:rFonts w:ascii="Times New Roman" w:hAnsi="Times New Roman" w:cs="Times New Roman"/>
          <w:sz w:val="23"/>
          <w:szCs w:val="23"/>
        </w:rPr>
      </w:pPr>
      <w:r w:rsidRPr="00D6281A">
        <w:rPr>
          <w:rFonts w:ascii="Times New Roman" w:hAnsi="Times New Roman" w:cs="Times New Roman"/>
          <w:sz w:val="23"/>
          <w:szCs w:val="23"/>
        </w:rPr>
        <w:t>Report on Whether XLG should import famaQ from Brazil or make it in the UK</w:t>
      </w:r>
    </w:p>
    <w:p w14:paraId="2810C7ED" w14:textId="77777777" w:rsidR="00D6281A" w:rsidRPr="00D6281A" w:rsidRDefault="00D6281A" w:rsidP="00D6281A">
      <w:pPr>
        <w:spacing w:after="0" w:line="360" w:lineRule="auto"/>
        <w:jc w:val="both"/>
        <w:rPr>
          <w:rFonts w:ascii="Times New Roman" w:hAnsi="Times New Roman" w:cs="Times New Roman"/>
          <w:sz w:val="23"/>
          <w:szCs w:val="23"/>
        </w:rPr>
      </w:pPr>
    </w:p>
    <w:p w14:paraId="57193439" w14:textId="77777777" w:rsidR="009E0EB5" w:rsidRPr="00D6281A" w:rsidRDefault="009E0EB5" w:rsidP="00D6281A">
      <w:pPr>
        <w:spacing w:after="0" w:line="360" w:lineRule="auto"/>
        <w:jc w:val="both"/>
        <w:rPr>
          <w:rFonts w:ascii="Times New Roman" w:hAnsi="Times New Roman" w:cs="Times New Roman"/>
          <w:i/>
          <w:sz w:val="23"/>
          <w:szCs w:val="23"/>
        </w:rPr>
      </w:pPr>
      <w:r w:rsidRPr="00D6281A">
        <w:rPr>
          <w:rFonts w:ascii="Times New Roman" w:hAnsi="Times New Roman" w:cs="Times New Roman"/>
          <w:i/>
          <w:sz w:val="23"/>
          <w:szCs w:val="23"/>
        </w:rPr>
        <w:t>Abstract</w:t>
      </w:r>
    </w:p>
    <w:p w14:paraId="7CF56085" w14:textId="1B46CE2A" w:rsidR="009E0EB5"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t>This report helps produce facts to help in deciding whether XLG should continue importing famaQ from Brazil or make famaQ in the UK. Variance analysis such as budgeted material price, material price variance, labour efficiency variance, and lead time were all considered to determine the favourable conditions for profit and sales maximization. Demand and supply basic rules were also put into consideration as the market research indicated that there would be an increase of 45% in demand. The results revealed that making famaQ from the house in the UK is more favourable in terms of labour efficiency, production time, and the cost of producing XLG. When importing from the UK, the budgeted material cost is 1920F, while the budgeted material price when making famaQ in the UK is 800F. A formulated process and the set costs standards were compared with actual costs, thus showed the variances. Flexible budgeting and variance analysis can be used for cost control and evaluation of performance (</w:t>
      </w:r>
      <w:r w:rsidRPr="00D6281A">
        <w:rPr>
          <w:rFonts w:ascii="Times New Roman" w:hAnsi="Times New Roman" w:cs="Times New Roman"/>
          <w:sz w:val="23"/>
          <w:szCs w:val="23"/>
          <w:shd w:val="clear" w:color="auto" w:fill="FFFFFF"/>
        </w:rPr>
        <w:t>Williamson, 2016</w:t>
      </w:r>
      <w:r w:rsidRPr="00D6281A">
        <w:rPr>
          <w:rFonts w:ascii="Times New Roman" w:hAnsi="Times New Roman" w:cs="Times New Roman"/>
          <w:sz w:val="23"/>
          <w:szCs w:val="23"/>
        </w:rPr>
        <w:t>)</w:t>
      </w:r>
    </w:p>
    <w:p w14:paraId="065FDCFB" w14:textId="77777777" w:rsidR="00A72654" w:rsidRPr="00D6281A" w:rsidRDefault="00A72654" w:rsidP="00D6281A">
      <w:pPr>
        <w:spacing w:after="0" w:line="360" w:lineRule="auto"/>
        <w:ind w:firstLine="720"/>
        <w:jc w:val="both"/>
        <w:rPr>
          <w:rFonts w:ascii="Times New Roman" w:hAnsi="Times New Roman" w:cs="Times New Roman"/>
          <w:sz w:val="23"/>
          <w:szCs w:val="23"/>
        </w:rPr>
      </w:pPr>
    </w:p>
    <w:p w14:paraId="6C84CB25" w14:textId="77777777" w:rsidR="009E0EB5" w:rsidRPr="00D6281A" w:rsidRDefault="009E0EB5" w:rsidP="00D6281A">
      <w:pPr>
        <w:spacing w:after="0" w:line="360" w:lineRule="auto"/>
        <w:jc w:val="both"/>
        <w:rPr>
          <w:rFonts w:ascii="Times New Roman" w:hAnsi="Times New Roman" w:cs="Times New Roman"/>
          <w:i/>
          <w:sz w:val="23"/>
          <w:szCs w:val="23"/>
        </w:rPr>
      </w:pPr>
      <w:r w:rsidRPr="00D6281A">
        <w:rPr>
          <w:rFonts w:ascii="Times New Roman" w:hAnsi="Times New Roman" w:cs="Times New Roman"/>
          <w:i/>
          <w:sz w:val="23"/>
          <w:szCs w:val="23"/>
        </w:rPr>
        <w:t>Introduction</w:t>
      </w:r>
    </w:p>
    <w:p w14:paraId="3D723BF5" w14:textId="26AD33BF" w:rsidR="009E0EB5"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t xml:space="preserve">Given the competitive advantage, famaQ gives XLG, it is essential to critically analyze and discover the pros and cons of making famaQ in the UK or import it from Brazil. Various factors were considered to help determine the better option. We can consider the following factors: the effect of product x and y 45% increase in demand has an impact on the raw material famaQ regarding its supply and transport time from Brazil to the UK.  When making famaQ in the UK, labour efficiency will be </w:t>
      </w:r>
      <w:r w:rsidRPr="00D6281A">
        <w:rPr>
          <w:rFonts w:ascii="Times New Roman" w:hAnsi="Times New Roman" w:cs="Times New Roman"/>
          <w:sz w:val="23"/>
          <w:szCs w:val="23"/>
        </w:rPr>
        <w:lastRenderedPageBreak/>
        <w:t>15 working days less, the budgeted material price, and material price variance when importing from Brazil or when making famaQ from the UK. Comparative analysis was also used to bring the contrast between the two actions. Cost-benefit analysis to critically examine the feasible decision was also put into consideration. Analysis of the decision with a reduced lead time was also necessary as shorter lead time is a vital aspect in any organization's production process. Lead time has several benefits ranging from high production that will see XLG outpace the competitors to flexibility, thus keeping up with the high demand. For XLG to achieve a break-even point and have a profit, proper control of costs is needed to be in an acceptable limit (Dandago, 2013).</w:t>
      </w:r>
    </w:p>
    <w:p w14:paraId="5DA6E074" w14:textId="77777777" w:rsidR="00A72654" w:rsidRPr="00D6281A" w:rsidRDefault="00A72654" w:rsidP="00D6281A">
      <w:pPr>
        <w:spacing w:after="0" w:line="360" w:lineRule="auto"/>
        <w:ind w:firstLine="720"/>
        <w:jc w:val="both"/>
        <w:rPr>
          <w:rFonts w:ascii="Times New Roman" w:hAnsi="Times New Roman" w:cs="Times New Roman"/>
          <w:sz w:val="23"/>
          <w:szCs w:val="23"/>
        </w:rPr>
      </w:pPr>
    </w:p>
    <w:p w14:paraId="62730709" w14:textId="77777777" w:rsidR="009E0EB5" w:rsidRPr="00D6281A" w:rsidRDefault="009E0EB5" w:rsidP="00D6281A">
      <w:pPr>
        <w:spacing w:after="0" w:line="360" w:lineRule="auto"/>
        <w:jc w:val="both"/>
        <w:rPr>
          <w:rFonts w:ascii="Times New Roman" w:hAnsi="Times New Roman" w:cs="Times New Roman"/>
          <w:i/>
          <w:sz w:val="23"/>
          <w:szCs w:val="23"/>
        </w:rPr>
      </w:pPr>
      <w:r w:rsidRPr="00D6281A">
        <w:rPr>
          <w:rFonts w:ascii="Times New Roman" w:hAnsi="Times New Roman" w:cs="Times New Roman"/>
          <w:i/>
          <w:sz w:val="23"/>
          <w:szCs w:val="23"/>
        </w:rPr>
        <w:t>Discussion</w:t>
      </w:r>
    </w:p>
    <w:p w14:paraId="71E1C6B9" w14:textId="77777777" w:rsidR="009E0EB5" w:rsidRPr="00D6281A"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t>First and foremost, the budgeted material price variance when producing famaQ in the UK.</w:t>
      </w:r>
    </w:p>
    <w:p w14:paraId="7D919AF8" w14:textId="77777777" w:rsidR="009E0EB5" w:rsidRPr="00D6281A" w:rsidRDefault="009E0EB5" w:rsidP="00D6281A">
      <w:pPr>
        <w:spacing w:after="0" w:line="360" w:lineRule="auto"/>
        <w:jc w:val="both"/>
        <w:rPr>
          <w:rFonts w:ascii="Times New Roman" w:hAnsi="Times New Roman" w:cs="Times New Roman"/>
          <w:sz w:val="23"/>
          <w:szCs w:val="23"/>
        </w:rPr>
      </w:pPr>
      <w:r w:rsidRPr="00D6281A">
        <w:rPr>
          <w:rFonts w:ascii="Times New Roman" w:hAnsi="Times New Roman" w:cs="Times New Roman"/>
          <w:sz w:val="23"/>
          <w:szCs w:val="23"/>
        </w:rPr>
        <w:t>(Actual unit cost – standard unit cost) *actual quantity purchased.</w:t>
      </w:r>
    </w:p>
    <w:p w14:paraId="55F30E5C" w14:textId="77777777" w:rsidR="009E0EB5" w:rsidRPr="00D6281A" w:rsidRDefault="009E0EB5" w:rsidP="00D6281A">
      <w:pPr>
        <w:spacing w:after="0" w:line="360" w:lineRule="auto"/>
        <w:jc w:val="both"/>
        <w:rPr>
          <w:rFonts w:ascii="Times New Roman" w:hAnsi="Times New Roman" w:cs="Times New Roman"/>
          <w:sz w:val="23"/>
          <w:szCs w:val="23"/>
        </w:rPr>
      </w:pPr>
      <w:r w:rsidRPr="00D6281A">
        <w:rPr>
          <w:rFonts w:ascii="Times New Roman" w:hAnsi="Times New Roman" w:cs="Times New Roman"/>
          <w:sz w:val="23"/>
          <w:szCs w:val="23"/>
        </w:rPr>
        <w:t>(3.0 – 2.5) *1600 = 800F</w:t>
      </w:r>
    </w:p>
    <w:p w14:paraId="687AB969" w14:textId="77777777" w:rsidR="009E0EB5" w:rsidRPr="00D6281A" w:rsidRDefault="009E0EB5" w:rsidP="00D6281A">
      <w:pPr>
        <w:spacing w:after="0"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When importing from Brazil the budgeted material variance is </w:t>
      </w:r>
    </w:p>
    <w:p w14:paraId="4727D0C1" w14:textId="77777777" w:rsidR="009E0EB5" w:rsidRPr="00D6281A" w:rsidRDefault="009E0EB5" w:rsidP="00D6281A">
      <w:pPr>
        <w:spacing w:after="0" w:line="360" w:lineRule="auto"/>
        <w:jc w:val="both"/>
        <w:rPr>
          <w:rFonts w:ascii="Times New Roman" w:hAnsi="Times New Roman" w:cs="Times New Roman"/>
          <w:sz w:val="23"/>
          <w:szCs w:val="23"/>
        </w:rPr>
      </w:pPr>
      <w:r w:rsidRPr="00D6281A">
        <w:rPr>
          <w:rFonts w:ascii="Times New Roman" w:hAnsi="Times New Roman" w:cs="Times New Roman"/>
          <w:sz w:val="23"/>
          <w:szCs w:val="23"/>
        </w:rPr>
        <w:t>(3.70 – 2.5) *1600 = 1920F</w:t>
      </w:r>
    </w:p>
    <w:p w14:paraId="5D804D42" w14:textId="77777777" w:rsidR="009E0EB5" w:rsidRPr="00D6281A"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t>This indicates XLG will spend more when importing from Brazil as compared when making famaQ in the UK. Making famaQ in the UK is more favourable and with fewer deviations from any set standards. Transport costs are also incurred when importing famaQ from Brazil. Labour efficiency variance is also reduced when making famaQ in the UK as there is no direct labour during shipment of the ingredient. Delivery times are also reduced by 15 working days, which means; XLG will increase its sales in the second quarter of the year to keep up with the increase in demand in the cleaning agent market due to the ongoing pandemic and costs for labourers are also reduced.</w:t>
      </w:r>
    </w:p>
    <w:p w14:paraId="1E20D251" w14:textId="77777777" w:rsidR="009E0EB5" w:rsidRPr="00D6281A"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shd w:val="clear" w:color="auto" w:fill="FFFFFF"/>
        </w:rPr>
        <w:t>Demand and supply laws interact with each other to determine the equilibrium market prices and the goods customers will buy.</w:t>
      </w:r>
      <w:r w:rsidRPr="00D6281A">
        <w:rPr>
          <w:rFonts w:ascii="Times New Roman" w:hAnsi="Times New Roman" w:cs="Times New Roman"/>
          <w:sz w:val="23"/>
          <w:szCs w:val="23"/>
        </w:rPr>
        <w:t xml:space="preserve"> An increase in demand and the supply of famaQ increase within the specific time frame when famaQ is made in the UK. There is likely to be a favourable and equilibrium price to the customers; thus, more sales will be made, and the product will continue having more stability its market share. Regarding the fundamental laws of demand and supply, an increase in demand for products x and y when supply remains unchanged if XLG continues importing from Brazil will dictate an increase in price, which will discourage the customers from buying the or might turn to the competitor's product. Importing from Brazil does not give an upper advantage to produce more of the product XLG. There is a need to consider demand and supply processes important as other firm needs in a joint and coordinated manner (</w:t>
      </w:r>
      <w:r w:rsidRPr="00D6281A">
        <w:rPr>
          <w:rFonts w:ascii="Times New Roman" w:hAnsi="Times New Roman" w:cs="Times New Roman"/>
          <w:sz w:val="23"/>
          <w:szCs w:val="23"/>
          <w:shd w:val="clear" w:color="auto" w:fill="FFFFFF"/>
        </w:rPr>
        <w:t>Hilletofth, 2011).</w:t>
      </w:r>
    </w:p>
    <w:p w14:paraId="6C313222" w14:textId="77777777" w:rsidR="009E0EB5" w:rsidRPr="00D6281A"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lastRenderedPageBreak/>
        <w:t>It was also essential to get the difference between the actual cost of materials and the standard cost quantity purchased. This was calculated using the direct material price variance. This helped decide which action would be more cost-effective for the procurement of fame and getting the costs involved in the supply of raw materials.</w:t>
      </w:r>
    </w:p>
    <w:p w14:paraId="365D31D9" w14:textId="77777777" w:rsidR="009E0EB5" w:rsidRPr="00D6281A" w:rsidRDefault="009E0EB5" w:rsidP="00D6281A">
      <w:pPr>
        <w:spacing w:after="0"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Material price variance = Actual quantity * Actual price – Actual Quantity * Standard Price </w:t>
      </w:r>
    </w:p>
    <w:p w14:paraId="304E1019" w14:textId="77777777" w:rsidR="009E0EB5" w:rsidRPr="00D6281A" w:rsidRDefault="009E0EB5" w:rsidP="00D6281A">
      <w:pPr>
        <w:spacing w:after="0" w:line="360" w:lineRule="auto"/>
        <w:jc w:val="both"/>
        <w:rPr>
          <w:rFonts w:ascii="Times New Roman" w:hAnsi="Times New Roman" w:cs="Times New Roman"/>
          <w:sz w:val="23"/>
          <w:szCs w:val="23"/>
        </w:rPr>
      </w:pPr>
      <w:r w:rsidRPr="00D6281A">
        <w:rPr>
          <w:rFonts w:ascii="Times New Roman" w:hAnsi="Times New Roman" w:cs="Times New Roman"/>
          <w:sz w:val="23"/>
          <w:szCs w:val="23"/>
        </w:rPr>
        <w:t>When making famaQ in the UK, the direct material price variance will be</w:t>
      </w:r>
    </w:p>
    <w:tbl>
      <w:tblPr>
        <w:tblStyle w:val="TableGrid"/>
        <w:tblW w:w="9392" w:type="dxa"/>
        <w:tblInd w:w="0" w:type="dxa"/>
        <w:tblLook w:val="04A0" w:firstRow="1" w:lastRow="0" w:firstColumn="1" w:lastColumn="0" w:noHBand="0" w:noVBand="1"/>
      </w:tblPr>
      <w:tblGrid>
        <w:gridCol w:w="3130"/>
        <w:gridCol w:w="3131"/>
        <w:gridCol w:w="3131"/>
      </w:tblGrid>
      <w:tr w:rsidR="009E0EB5" w:rsidRPr="00D6281A" w14:paraId="68029254" w14:textId="77777777" w:rsidTr="009E0EB5">
        <w:trPr>
          <w:trHeight w:val="408"/>
        </w:trPr>
        <w:tc>
          <w:tcPr>
            <w:tcW w:w="3130" w:type="dxa"/>
            <w:tcBorders>
              <w:top w:val="single" w:sz="4" w:space="0" w:color="auto"/>
              <w:left w:val="single" w:sz="4" w:space="0" w:color="auto"/>
              <w:bottom w:val="single" w:sz="4" w:space="0" w:color="auto"/>
              <w:right w:val="single" w:sz="4" w:space="0" w:color="auto"/>
            </w:tcBorders>
            <w:hideMark/>
          </w:tcPr>
          <w:p w14:paraId="3DCC66C0"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Product </w:t>
            </w:r>
          </w:p>
        </w:tc>
        <w:tc>
          <w:tcPr>
            <w:tcW w:w="3131" w:type="dxa"/>
            <w:tcBorders>
              <w:top w:val="single" w:sz="4" w:space="0" w:color="auto"/>
              <w:left w:val="single" w:sz="4" w:space="0" w:color="auto"/>
              <w:bottom w:val="single" w:sz="4" w:space="0" w:color="auto"/>
              <w:right w:val="single" w:sz="4" w:space="0" w:color="auto"/>
            </w:tcBorders>
            <w:hideMark/>
          </w:tcPr>
          <w:p w14:paraId="658E9B28"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 Material Price Variance</w:t>
            </w:r>
          </w:p>
        </w:tc>
        <w:tc>
          <w:tcPr>
            <w:tcW w:w="3131" w:type="dxa"/>
            <w:tcBorders>
              <w:top w:val="single" w:sz="4" w:space="0" w:color="auto"/>
              <w:left w:val="single" w:sz="4" w:space="0" w:color="auto"/>
              <w:bottom w:val="single" w:sz="4" w:space="0" w:color="auto"/>
              <w:right w:val="single" w:sz="4" w:space="0" w:color="auto"/>
            </w:tcBorders>
            <w:hideMark/>
          </w:tcPr>
          <w:p w14:paraId="2AE32B58"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Variance</w:t>
            </w:r>
          </w:p>
        </w:tc>
      </w:tr>
      <w:tr w:rsidR="009E0EB5" w:rsidRPr="00D6281A" w14:paraId="414F05FF" w14:textId="77777777" w:rsidTr="009E0EB5">
        <w:trPr>
          <w:trHeight w:val="385"/>
        </w:trPr>
        <w:tc>
          <w:tcPr>
            <w:tcW w:w="3130" w:type="dxa"/>
            <w:tcBorders>
              <w:top w:val="single" w:sz="4" w:space="0" w:color="auto"/>
              <w:left w:val="single" w:sz="4" w:space="0" w:color="auto"/>
              <w:bottom w:val="single" w:sz="4" w:space="0" w:color="auto"/>
              <w:right w:val="single" w:sz="4" w:space="0" w:color="auto"/>
            </w:tcBorders>
            <w:hideMark/>
          </w:tcPr>
          <w:p w14:paraId="45B485AB"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X</w:t>
            </w:r>
          </w:p>
        </w:tc>
        <w:tc>
          <w:tcPr>
            <w:tcW w:w="3131" w:type="dxa"/>
            <w:tcBorders>
              <w:top w:val="single" w:sz="4" w:space="0" w:color="auto"/>
              <w:left w:val="single" w:sz="4" w:space="0" w:color="auto"/>
              <w:bottom w:val="single" w:sz="4" w:space="0" w:color="auto"/>
              <w:right w:val="single" w:sz="4" w:space="0" w:color="auto"/>
            </w:tcBorders>
            <w:hideMark/>
          </w:tcPr>
          <w:p w14:paraId="3978D334"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(850*3.0 – 850*2.5)</w:t>
            </w:r>
          </w:p>
        </w:tc>
        <w:tc>
          <w:tcPr>
            <w:tcW w:w="3131" w:type="dxa"/>
            <w:tcBorders>
              <w:top w:val="single" w:sz="4" w:space="0" w:color="auto"/>
              <w:left w:val="single" w:sz="4" w:space="0" w:color="auto"/>
              <w:bottom w:val="single" w:sz="4" w:space="0" w:color="auto"/>
              <w:right w:val="single" w:sz="4" w:space="0" w:color="auto"/>
            </w:tcBorders>
            <w:hideMark/>
          </w:tcPr>
          <w:p w14:paraId="6B4B42D0"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425F</w:t>
            </w:r>
          </w:p>
        </w:tc>
      </w:tr>
      <w:tr w:rsidR="009E0EB5" w:rsidRPr="00D6281A" w14:paraId="4D8B9B76" w14:textId="77777777" w:rsidTr="009E0EB5">
        <w:trPr>
          <w:trHeight w:val="408"/>
        </w:trPr>
        <w:tc>
          <w:tcPr>
            <w:tcW w:w="3130" w:type="dxa"/>
            <w:tcBorders>
              <w:top w:val="single" w:sz="4" w:space="0" w:color="auto"/>
              <w:left w:val="single" w:sz="4" w:space="0" w:color="auto"/>
              <w:bottom w:val="single" w:sz="4" w:space="0" w:color="auto"/>
              <w:right w:val="single" w:sz="4" w:space="0" w:color="auto"/>
            </w:tcBorders>
            <w:hideMark/>
          </w:tcPr>
          <w:p w14:paraId="0FA5D8CA"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Y</w:t>
            </w:r>
          </w:p>
        </w:tc>
        <w:tc>
          <w:tcPr>
            <w:tcW w:w="3131" w:type="dxa"/>
            <w:tcBorders>
              <w:top w:val="single" w:sz="4" w:space="0" w:color="auto"/>
              <w:left w:val="single" w:sz="4" w:space="0" w:color="auto"/>
              <w:bottom w:val="single" w:sz="4" w:space="0" w:color="auto"/>
              <w:right w:val="single" w:sz="4" w:space="0" w:color="auto"/>
            </w:tcBorders>
            <w:hideMark/>
          </w:tcPr>
          <w:p w14:paraId="687A65FE"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(750 * 3.0 – 750*2.5)</w:t>
            </w:r>
          </w:p>
        </w:tc>
        <w:tc>
          <w:tcPr>
            <w:tcW w:w="3131" w:type="dxa"/>
            <w:tcBorders>
              <w:top w:val="single" w:sz="4" w:space="0" w:color="auto"/>
              <w:left w:val="single" w:sz="4" w:space="0" w:color="auto"/>
              <w:bottom w:val="single" w:sz="4" w:space="0" w:color="auto"/>
              <w:right w:val="single" w:sz="4" w:space="0" w:color="auto"/>
            </w:tcBorders>
            <w:hideMark/>
          </w:tcPr>
          <w:p w14:paraId="3AA7AC59"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 = 375F</w:t>
            </w:r>
          </w:p>
        </w:tc>
      </w:tr>
      <w:tr w:rsidR="009E0EB5" w:rsidRPr="00D6281A" w14:paraId="11341B65" w14:textId="77777777" w:rsidTr="009E0EB5">
        <w:trPr>
          <w:trHeight w:val="385"/>
        </w:trPr>
        <w:tc>
          <w:tcPr>
            <w:tcW w:w="6261" w:type="dxa"/>
            <w:gridSpan w:val="2"/>
            <w:tcBorders>
              <w:top w:val="single" w:sz="4" w:space="0" w:color="auto"/>
              <w:left w:val="single" w:sz="4" w:space="0" w:color="auto"/>
              <w:bottom w:val="single" w:sz="4" w:space="0" w:color="auto"/>
              <w:right w:val="single" w:sz="4" w:space="0" w:color="auto"/>
            </w:tcBorders>
            <w:hideMark/>
          </w:tcPr>
          <w:p w14:paraId="7FD7E27E"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                                                    Total Material Price Variance</w:t>
            </w:r>
          </w:p>
        </w:tc>
        <w:tc>
          <w:tcPr>
            <w:tcW w:w="3131" w:type="dxa"/>
            <w:tcBorders>
              <w:top w:val="single" w:sz="4" w:space="0" w:color="auto"/>
              <w:left w:val="single" w:sz="4" w:space="0" w:color="auto"/>
              <w:bottom w:val="single" w:sz="4" w:space="0" w:color="auto"/>
              <w:right w:val="single" w:sz="4" w:space="0" w:color="auto"/>
            </w:tcBorders>
            <w:hideMark/>
          </w:tcPr>
          <w:p w14:paraId="1818F9CE"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800F</w:t>
            </w:r>
          </w:p>
        </w:tc>
      </w:tr>
    </w:tbl>
    <w:p w14:paraId="170BB714" w14:textId="77777777" w:rsidR="009E0EB5" w:rsidRPr="00D6281A" w:rsidRDefault="009E0EB5" w:rsidP="00D6281A">
      <w:pPr>
        <w:spacing w:after="0" w:line="360" w:lineRule="auto"/>
        <w:jc w:val="both"/>
        <w:rPr>
          <w:rFonts w:ascii="Times New Roman" w:hAnsi="Times New Roman" w:cs="Times New Roman"/>
          <w:sz w:val="23"/>
          <w:szCs w:val="23"/>
        </w:rPr>
      </w:pPr>
    </w:p>
    <w:p w14:paraId="377B3563" w14:textId="77777777" w:rsidR="009E0EB5" w:rsidRPr="00D6281A" w:rsidRDefault="009E0EB5" w:rsidP="00D6281A">
      <w:pPr>
        <w:spacing w:after="0" w:line="360" w:lineRule="auto"/>
        <w:jc w:val="both"/>
        <w:rPr>
          <w:rFonts w:ascii="Times New Roman" w:hAnsi="Times New Roman" w:cs="Times New Roman"/>
          <w:sz w:val="23"/>
          <w:szCs w:val="23"/>
        </w:rPr>
      </w:pPr>
      <w:r w:rsidRPr="00D6281A">
        <w:rPr>
          <w:rFonts w:ascii="Times New Roman" w:hAnsi="Times New Roman" w:cs="Times New Roman"/>
          <w:sz w:val="23"/>
          <w:szCs w:val="23"/>
        </w:rPr>
        <w:t>When importing famaQ from Brazil the direct material price variance will be</w:t>
      </w:r>
    </w:p>
    <w:tbl>
      <w:tblPr>
        <w:tblStyle w:val="TableGrid"/>
        <w:tblW w:w="9392" w:type="dxa"/>
        <w:tblInd w:w="0" w:type="dxa"/>
        <w:tblLook w:val="04A0" w:firstRow="1" w:lastRow="0" w:firstColumn="1" w:lastColumn="0" w:noHBand="0" w:noVBand="1"/>
      </w:tblPr>
      <w:tblGrid>
        <w:gridCol w:w="3130"/>
        <w:gridCol w:w="3131"/>
        <w:gridCol w:w="3131"/>
      </w:tblGrid>
      <w:tr w:rsidR="009E0EB5" w:rsidRPr="00D6281A" w14:paraId="0621E875" w14:textId="77777777" w:rsidTr="009E0EB5">
        <w:trPr>
          <w:trHeight w:val="408"/>
        </w:trPr>
        <w:tc>
          <w:tcPr>
            <w:tcW w:w="3130" w:type="dxa"/>
            <w:tcBorders>
              <w:top w:val="single" w:sz="4" w:space="0" w:color="auto"/>
              <w:left w:val="single" w:sz="4" w:space="0" w:color="auto"/>
              <w:bottom w:val="single" w:sz="4" w:space="0" w:color="auto"/>
              <w:right w:val="single" w:sz="4" w:space="0" w:color="auto"/>
            </w:tcBorders>
            <w:hideMark/>
          </w:tcPr>
          <w:p w14:paraId="0CBBD682"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Product </w:t>
            </w:r>
          </w:p>
        </w:tc>
        <w:tc>
          <w:tcPr>
            <w:tcW w:w="3131" w:type="dxa"/>
            <w:tcBorders>
              <w:top w:val="single" w:sz="4" w:space="0" w:color="auto"/>
              <w:left w:val="single" w:sz="4" w:space="0" w:color="auto"/>
              <w:bottom w:val="single" w:sz="4" w:space="0" w:color="auto"/>
              <w:right w:val="single" w:sz="4" w:space="0" w:color="auto"/>
            </w:tcBorders>
            <w:hideMark/>
          </w:tcPr>
          <w:p w14:paraId="1D20EDE7"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 Material Price Variance</w:t>
            </w:r>
          </w:p>
        </w:tc>
        <w:tc>
          <w:tcPr>
            <w:tcW w:w="3131" w:type="dxa"/>
            <w:tcBorders>
              <w:top w:val="single" w:sz="4" w:space="0" w:color="auto"/>
              <w:left w:val="single" w:sz="4" w:space="0" w:color="auto"/>
              <w:bottom w:val="single" w:sz="4" w:space="0" w:color="auto"/>
              <w:right w:val="single" w:sz="4" w:space="0" w:color="auto"/>
            </w:tcBorders>
            <w:hideMark/>
          </w:tcPr>
          <w:p w14:paraId="135384FF"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Variance</w:t>
            </w:r>
          </w:p>
        </w:tc>
      </w:tr>
      <w:tr w:rsidR="009E0EB5" w:rsidRPr="00D6281A" w14:paraId="5F2C684B" w14:textId="77777777" w:rsidTr="009E0EB5">
        <w:trPr>
          <w:trHeight w:val="385"/>
        </w:trPr>
        <w:tc>
          <w:tcPr>
            <w:tcW w:w="3130" w:type="dxa"/>
            <w:tcBorders>
              <w:top w:val="single" w:sz="4" w:space="0" w:color="auto"/>
              <w:left w:val="single" w:sz="4" w:space="0" w:color="auto"/>
              <w:bottom w:val="single" w:sz="4" w:space="0" w:color="auto"/>
              <w:right w:val="single" w:sz="4" w:space="0" w:color="auto"/>
            </w:tcBorders>
            <w:hideMark/>
          </w:tcPr>
          <w:p w14:paraId="5DDF7E5C"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X</w:t>
            </w:r>
          </w:p>
        </w:tc>
        <w:tc>
          <w:tcPr>
            <w:tcW w:w="3131" w:type="dxa"/>
            <w:tcBorders>
              <w:top w:val="single" w:sz="4" w:space="0" w:color="auto"/>
              <w:left w:val="single" w:sz="4" w:space="0" w:color="auto"/>
              <w:bottom w:val="single" w:sz="4" w:space="0" w:color="auto"/>
              <w:right w:val="single" w:sz="4" w:space="0" w:color="auto"/>
            </w:tcBorders>
            <w:hideMark/>
          </w:tcPr>
          <w:p w14:paraId="61FF6F8E"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(850*3.7 – 850*2.5)</w:t>
            </w:r>
          </w:p>
        </w:tc>
        <w:tc>
          <w:tcPr>
            <w:tcW w:w="3131" w:type="dxa"/>
            <w:tcBorders>
              <w:top w:val="single" w:sz="4" w:space="0" w:color="auto"/>
              <w:left w:val="single" w:sz="4" w:space="0" w:color="auto"/>
              <w:bottom w:val="single" w:sz="4" w:space="0" w:color="auto"/>
              <w:right w:val="single" w:sz="4" w:space="0" w:color="auto"/>
            </w:tcBorders>
            <w:hideMark/>
          </w:tcPr>
          <w:p w14:paraId="1F677627"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1020F</w:t>
            </w:r>
          </w:p>
        </w:tc>
      </w:tr>
      <w:tr w:rsidR="009E0EB5" w:rsidRPr="00D6281A" w14:paraId="39E8CCC3" w14:textId="77777777" w:rsidTr="009E0EB5">
        <w:trPr>
          <w:trHeight w:val="408"/>
        </w:trPr>
        <w:tc>
          <w:tcPr>
            <w:tcW w:w="3130" w:type="dxa"/>
            <w:tcBorders>
              <w:top w:val="single" w:sz="4" w:space="0" w:color="auto"/>
              <w:left w:val="single" w:sz="4" w:space="0" w:color="auto"/>
              <w:bottom w:val="single" w:sz="4" w:space="0" w:color="auto"/>
              <w:right w:val="single" w:sz="4" w:space="0" w:color="auto"/>
            </w:tcBorders>
            <w:hideMark/>
          </w:tcPr>
          <w:p w14:paraId="45A9F2F1"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Y</w:t>
            </w:r>
          </w:p>
        </w:tc>
        <w:tc>
          <w:tcPr>
            <w:tcW w:w="3131" w:type="dxa"/>
            <w:tcBorders>
              <w:top w:val="single" w:sz="4" w:space="0" w:color="auto"/>
              <w:left w:val="single" w:sz="4" w:space="0" w:color="auto"/>
              <w:bottom w:val="single" w:sz="4" w:space="0" w:color="auto"/>
              <w:right w:val="single" w:sz="4" w:space="0" w:color="auto"/>
            </w:tcBorders>
            <w:hideMark/>
          </w:tcPr>
          <w:p w14:paraId="23D9DE65"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(750 * 3.7 – 750*2.5)</w:t>
            </w:r>
          </w:p>
        </w:tc>
        <w:tc>
          <w:tcPr>
            <w:tcW w:w="3131" w:type="dxa"/>
            <w:tcBorders>
              <w:top w:val="single" w:sz="4" w:space="0" w:color="auto"/>
              <w:left w:val="single" w:sz="4" w:space="0" w:color="auto"/>
              <w:bottom w:val="single" w:sz="4" w:space="0" w:color="auto"/>
              <w:right w:val="single" w:sz="4" w:space="0" w:color="auto"/>
            </w:tcBorders>
            <w:hideMark/>
          </w:tcPr>
          <w:p w14:paraId="7835902B"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 = 650F</w:t>
            </w:r>
          </w:p>
        </w:tc>
      </w:tr>
      <w:tr w:rsidR="009E0EB5" w:rsidRPr="00D6281A" w14:paraId="43DB0437" w14:textId="77777777" w:rsidTr="009E0EB5">
        <w:trPr>
          <w:trHeight w:val="385"/>
        </w:trPr>
        <w:tc>
          <w:tcPr>
            <w:tcW w:w="6261" w:type="dxa"/>
            <w:gridSpan w:val="2"/>
            <w:tcBorders>
              <w:top w:val="single" w:sz="4" w:space="0" w:color="auto"/>
              <w:left w:val="single" w:sz="4" w:space="0" w:color="auto"/>
              <w:bottom w:val="single" w:sz="4" w:space="0" w:color="auto"/>
              <w:right w:val="single" w:sz="4" w:space="0" w:color="auto"/>
            </w:tcBorders>
            <w:hideMark/>
          </w:tcPr>
          <w:p w14:paraId="33043A85"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xml:space="preserve">                                                    Total Material Price Variance</w:t>
            </w:r>
          </w:p>
        </w:tc>
        <w:tc>
          <w:tcPr>
            <w:tcW w:w="3131" w:type="dxa"/>
            <w:tcBorders>
              <w:top w:val="single" w:sz="4" w:space="0" w:color="auto"/>
              <w:left w:val="single" w:sz="4" w:space="0" w:color="auto"/>
              <w:bottom w:val="single" w:sz="4" w:space="0" w:color="auto"/>
              <w:right w:val="single" w:sz="4" w:space="0" w:color="auto"/>
            </w:tcBorders>
            <w:hideMark/>
          </w:tcPr>
          <w:p w14:paraId="4445C673" w14:textId="77777777" w:rsidR="009E0EB5" w:rsidRPr="00D6281A" w:rsidRDefault="009E0EB5" w:rsidP="00D6281A">
            <w:pPr>
              <w:spacing w:line="360" w:lineRule="auto"/>
              <w:jc w:val="both"/>
              <w:rPr>
                <w:rFonts w:ascii="Times New Roman" w:hAnsi="Times New Roman" w:cs="Times New Roman"/>
                <w:sz w:val="23"/>
                <w:szCs w:val="23"/>
              </w:rPr>
            </w:pPr>
            <w:r w:rsidRPr="00D6281A">
              <w:rPr>
                <w:rFonts w:ascii="Times New Roman" w:hAnsi="Times New Roman" w:cs="Times New Roman"/>
                <w:sz w:val="23"/>
                <w:szCs w:val="23"/>
              </w:rPr>
              <w:t>= 1670F</w:t>
            </w:r>
          </w:p>
        </w:tc>
      </w:tr>
    </w:tbl>
    <w:p w14:paraId="443D9509" w14:textId="77777777" w:rsidR="009E0EB5" w:rsidRPr="00D6281A" w:rsidRDefault="009E0EB5" w:rsidP="00D6281A">
      <w:pPr>
        <w:spacing w:after="0" w:line="360" w:lineRule="auto"/>
        <w:jc w:val="both"/>
        <w:rPr>
          <w:rFonts w:ascii="Times New Roman" w:hAnsi="Times New Roman" w:cs="Times New Roman"/>
          <w:sz w:val="23"/>
          <w:szCs w:val="23"/>
        </w:rPr>
      </w:pPr>
    </w:p>
    <w:p w14:paraId="098B590F" w14:textId="77777777" w:rsidR="009E0EB5" w:rsidRPr="00D6281A"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t>This shows that making famaQ in the UK is cost-friendly than when importing from Brazil with almost double the prices with 52% higher. To establish a total monopoly in the market, XLG will be required to have total control of the famaQ supply to enhance production making XLG more efficient, innovative, and successful.</w:t>
      </w:r>
    </w:p>
    <w:p w14:paraId="41E43F4F" w14:textId="77777777" w:rsidR="009E0EB5" w:rsidRPr="00D6281A"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t>Making famaQ in the UK has a shorter lead time – the time required for a production process: Delivery is reduced by 15 working days. A reduced lead time will lead to; replenishment of the stock quickly, thus avoiding stock-outs due to the 45% increase in demand, no lost customers, and sales. The competitors of XLG will be outpaced due to increased output and flexibility to keep up with increasing demand and a steady increase in revenue as well as enhancing the morale to employees and customer satisfaction, due to the faster delivery of the product.</w:t>
      </w:r>
    </w:p>
    <w:p w14:paraId="10FE16B5" w14:textId="77777777" w:rsidR="00F34EC8"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t xml:space="preserve">Comparative analysis can also be used to judge the best action. XLG sold a total of 1600 units produced, therefore if famaQ was imported from Brazil, the cost will be 1600*3.7 = 5920 since one unit of product x and y require one unit of famaQ. If famaQ were to be made in the UK, the cost would be 1600*3.0 = 4800. Importing famaQ from Brazil has an additional cost of 19%. This will harm the profit and revenue generated. </w:t>
      </w:r>
    </w:p>
    <w:p w14:paraId="6C5D8FA4" w14:textId="7FDE5F61" w:rsidR="009E0EB5"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lastRenderedPageBreak/>
        <w:t>For example, selling product x at 45 its revenue will be 850 * 45 = 38250 while product y will generate 750 * 37 = 27750.the profit when importing famaQ from Brazil is 27750 - (850*3.7) + (750 *3.7) = 21830 but when famaQ is made in UK the profit is 27750 - (850*3.0) + (750 *3.0) = 22950.</w:t>
      </w:r>
    </w:p>
    <w:p w14:paraId="51C52AC5" w14:textId="77777777" w:rsidR="00A72654" w:rsidRPr="00D6281A" w:rsidRDefault="00A72654" w:rsidP="00D6281A">
      <w:pPr>
        <w:spacing w:after="0" w:line="360" w:lineRule="auto"/>
        <w:ind w:firstLine="720"/>
        <w:jc w:val="both"/>
        <w:rPr>
          <w:rFonts w:ascii="Times New Roman" w:hAnsi="Times New Roman" w:cs="Times New Roman"/>
          <w:sz w:val="23"/>
          <w:szCs w:val="23"/>
        </w:rPr>
      </w:pPr>
    </w:p>
    <w:p w14:paraId="5C5C6D87" w14:textId="77777777" w:rsidR="009E0EB5" w:rsidRPr="00D6281A" w:rsidRDefault="009E0EB5" w:rsidP="00D6281A">
      <w:pPr>
        <w:spacing w:after="0" w:line="360" w:lineRule="auto"/>
        <w:jc w:val="both"/>
        <w:rPr>
          <w:rFonts w:ascii="Times New Roman" w:hAnsi="Times New Roman" w:cs="Times New Roman"/>
          <w:i/>
          <w:sz w:val="23"/>
          <w:szCs w:val="23"/>
        </w:rPr>
      </w:pPr>
      <w:r w:rsidRPr="00D6281A">
        <w:rPr>
          <w:rFonts w:ascii="Times New Roman" w:hAnsi="Times New Roman" w:cs="Times New Roman"/>
          <w:i/>
          <w:sz w:val="23"/>
          <w:szCs w:val="23"/>
        </w:rPr>
        <w:t>Recommendation</w:t>
      </w:r>
    </w:p>
    <w:p w14:paraId="60E2C40F" w14:textId="1AF00974" w:rsidR="009E0EB5" w:rsidRPr="00D6281A" w:rsidRDefault="009E0EB5" w:rsidP="00D6281A">
      <w:pPr>
        <w:spacing w:after="0" w:line="360" w:lineRule="auto"/>
        <w:ind w:firstLine="720"/>
        <w:jc w:val="both"/>
        <w:rPr>
          <w:rFonts w:ascii="Times New Roman" w:hAnsi="Times New Roman" w:cs="Times New Roman"/>
          <w:sz w:val="23"/>
          <w:szCs w:val="23"/>
        </w:rPr>
      </w:pPr>
      <w:r w:rsidRPr="00D6281A">
        <w:rPr>
          <w:rFonts w:ascii="Times New Roman" w:hAnsi="Times New Roman" w:cs="Times New Roman"/>
          <w:sz w:val="23"/>
          <w:szCs w:val="23"/>
        </w:rPr>
        <w:t>The cost-benefit analysis can also be used to determine the best decision on making famaQ from in the UK or importing it from Brazil. Cost-benefit analysis shows that it is more feasible to make famaQ in the UK rather than importing from the UK. Morally correct decisions can be obtained from a cost-benefit analysis by examining losses and gains using money as a measuring rod (</w:t>
      </w:r>
      <w:r w:rsidRPr="00D6281A">
        <w:rPr>
          <w:rFonts w:ascii="Times New Roman" w:hAnsi="Times New Roman" w:cs="Times New Roman"/>
          <w:sz w:val="23"/>
          <w:szCs w:val="23"/>
          <w:shd w:val="clear" w:color="auto" w:fill="FFFFFF"/>
        </w:rPr>
        <w:t>Johansson and Kriström, 2018).</w:t>
      </w:r>
      <w:r w:rsidRPr="00D6281A">
        <w:rPr>
          <w:rFonts w:ascii="Times New Roman" w:hAnsi="Times New Roman" w:cs="Times New Roman"/>
          <w:sz w:val="23"/>
          <w:szCs w:val="23"/>
        </w:rPr>
        <w:t xml:space="preserve"> It is 19% cheaper to make famaQ in the UK rather than importing from Brazil. Labour costs and lead-time are reduced. Demand and supply laws dictate that more famaQ is to be produced in higher quantities for customer satisfaction and control of the market and its prices. All this is in favour of producing famaQ in the UK. This analysis has shown that the best decision is making famaQ in the UK has several benefits for the growth of XLG</w:t>
      </w:r>
      <w:r w:rsidR="00EC3AC0">
        <w:rPr>
          <w:rFonts w:ascii="Times New Roman" w:hAnsi="Times New Roman" w:cs="Times New Roman"/>
          <w:sz w:val="23"/>
          <w:szCs w:val="23"/>
        </w:rPr>
        <w:t>.</w:t>
      </w:r>
      <w:r w:rsidRPr="00D6281A">
        <w:rPr>
          <w:rFonts w:ascii="Times New Roman" w:hAnsi="Times New Roman" w:cs="Times New Roman"/>
          <w:sz w:val="23"/>
          <w:szCs w:val="23"/>
        </w:rPr>
        <w:br w:type="page"/>
      </w:r>
    </w:p>
    <w:p w14:paraId="7688627D" w14:textId="6D99EB61" w:rsidR="009E0EB5" w:rsidRDefault="009E0EB5" w:rsidP="00A72654">
      <w:pPr>
        <w:spacing w:after="0" w:line="480" w:lineRule="auto"/>
        <w:jc w:val="both"/>
        <w:rPr>
          <w:rFonts w:ascii="Times New Roman" w:hAnsi="Times New Roman" w:cs="Times New Roman"/>
          <w:sz w:val="28"/>
          <w:szCs w:val="28"/>
        </w:rPr>
      </w:pPr>
      <w:r w:rsidRPr="00EC3AC0">
        <w:rPr>
          <w:rFonts w:ascii="Times New Roman" w:hAnsi="Times New Roman" w:cs="Times New Roman"/>
          <w:sz w:val="28"/>
          <w:szCs w:val="28"/>
        </w:rPr>
        <w:lastRenderedPageBreak/>
        <w:t>References</w:t>
      </w:r>
    </w:p>
    <w:p w14:paraId="44E7E5F8" w14:textId="77777777" w:rsidR="00EC3AC0" w:rsidRDefault="00EC3AC0" w:rsidP="00A72654">
      <w:pPr>
        <w:spacing w:after="0" w:line="480" w:lineRule="auto"/>
        <w:jc w:val="both"/>
        <w:rPr>
          <w:rFonts w:ascii="Times New Roman" w:hAnsi="Times New Roman" w:cs="Times New Roman"/>
          <w:sz w:val="28"/>
          <w:szCs w:val="28"/>
        </w:rPr>
      </w:pPr>
    </w:p>
    <w:p w14:paraId="609E1F98" w14:textId="0F6E2D25" w:rsidR="00A72654" w:rsidRPr="00EC3AC0" w:rsidRDefault="00EC3AC0" w:rsidP="00A72654">
      <w:pPr>
        <w:spacing w:after="0" w:line="480" w:lineRule="auto"/>
        <w:jc w:val="both"/>
        <w:rPr>
          <w:rFonts w:ascii="Times New Roman" w:hAnsi="Times New Roman" w:cs="Times New Roman"/>
          <w:sz w:val="23"/>
          <w:szCs w:val="23"/>
        </w:rPr>
      </w:pPr>
      <w:r>
        <w:rPr>
          <w:rFonts w:ascii="Times New Roman" w:hAnsi="Times New Roman" w:cs="Times New Roman"/>
          <w:sz w:val="23"/>
          <w:szCs w:val="23"/>
        </w:rPr>
        <w:t>Books:</w:t>
      </w:r>
    </w:p>
    <w:p w14:paraId="69375CF4" w14:textId="773B79E3" w:rsidR="009E0EB5" w:rsidRPr="00A72654" w:rsidRDefault="009E0EB5" w:rsidP="00A72654">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shd w:val="clear" w:color="auto" w:fill="FFFFFF"/>
        </w:rPr>
        <w:t xml:space="preserve">Agbo, S., </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2013</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 xml:space="preserve">. Application of variance analysis for performance evaluation: a cost/benefit approach. </w:t>
      </w:r>
      <w:r w:rsidRPr="00A72654">
        <w:rPr>
          <w:rFonts w:ascii="Times New Roman" w:hAnsi="Times New Roman" w:cs="Times New Roman"/>
          <w:i/>
          <w:sz w:val="23"/>
          <w:szCs w:val="23"/>
          <w:shd w:val="clear" w:color="auto" w:fill="FFFFFF"/>
        </w:rPr>
        <w:t>Research Journal of Finance and Accounting</w:t>
      </w:r>
      <w:r w:rsidR="00EC3AC0">
        <w:rPr>
          <w:rFonts w:ascii="Times New Roman" w:hAnsi="Times New Roman" w:cs="Times New Roman"/>
          <w:sz w:val="23"/>
          <w:szCs w:val="23"/>
          <w:shd w:val="clear" w:color="auto" w:fill="FFFFFF"/>
        </w:rPr>
        <w:t>.</w:t>
      </w:r>
    </w:p>
    <w:p w14:paraId="0BF5ED1D" w14:textId="433302EF" w:rsidR="009E0EB5" w:rsidRPr="00A72654" w:rsidRDefault="009E0EB5" w:rsidP="00A72654">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shd w:val="clear" w:color="auto" w:fill="FFFFFF"/>
        </w:rPr>
        <w:t xml:space="preserve">Berger, A., </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2011</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 </w:t>
      </w:r>
      <w:r w:rsidRPr="00A72654">
        <w:rPr>
          <w:rFonts w:ascii="Times New Roman" w:hAnsi="Times New Roman" w:cs="Times New Roman"/>
          <w:i/>
          <w:iCs/>
          <w:sz w:val="23"/>
          <w:szCs w:val="23"/>
          <w:shd w:val="clear" w:color="auto" w:fill="FFFFFF"/>
        </w:rPr>
        <w:t>Standard costing, variance analysis and decision-making</w:t>
      </w:r>
      <w:r w:rsidRPr="00A72654">
        <w:rPr>
          <w:rFonts w:ascii="Times New Roman" w:hAnsi="Times New Roman" w:cs="Times New Roman"/>
          <w:sz w:val="23"/>
          <w:szCs w:val="23"/>
          <w:shd w:val="clear" w:color="auto" w:fill="FFFFFF"/>
        </w:rPr>
        <w:t>. GRIN Verlag.</w:t>
      </w:r>
    </w:p>
    <w:p w14:paraId="7496174C" w14:textId="1EB63E02" w:rsidR="009E0EB5" w:rsidRPr="00A72654" w:rsidRDefault="009E0EB5" w:rsidP="00A72654">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rPr>
        <w:t xml:space="preserve">Brown, G., </w:t>
      </w:r>
      <w:r w:rsidR="00EC3AC0">
        <w:rPr>
          <w:rFonts w:ascii="Times New Roman" w:hAnsi="Times New Roman" w:cs="Times New Roman"/>
          <w:sz w:val="23"/>
          <w:szCs w:val="23"/>
        </w:rPr>
        <w:t>(</w:t>
      </w:r>
      <w:r w:rsidRPr="00A72654">
        <w:rPr>
          <w:rFonts w:ascii="Times New Roman" w:hAnsi="Times New Roman" w:cs="Times New Roman"/>
          <w:sz w:val="23"/>
          <w:szCs w:val="23"/>
        </w:rPr>
        <w:t>2011</w:t>
      </w:r>
      <w:r w:rsidR="00EC3AC0">
        <w:rPr>
          <w:rFonts w:ascii="Times New Roman" w:hAnsi="Times New Roman" w:cs="Times New Roman"/>
          <w:sz w:val="23"/>
          <w:szCs w:val="23"/>
        </w:rPr>
        <w:t>)</w:t>
      </w:r>
      <w:r w:rsidRPr="00A72654">
        <w:rPr>
          <w:rFonts w:ascii="Times New Roman" w:hAnsi="Times New Roman" w:cs="Times New Roman"/>
          <w:sz w:val="23"/>
          <w:szCs w:val="23"/>
        </w:rPr>
        <w:t>. Introduction to costs accounting: methods and techniques.</w:t>
      </w:r>
      <w:r w:rsidRPr="00A72654">
        <w:rPr>
          <w:rFonts w:ascii="Times New Roman" w:hAnsi="Times New Roman" w:cs="Times New Roman"/>
          <w:sz w:val="23"/>
          <w:szCs w:val="23"/>
          <w:shd w:val="clear" w:color="auto" w:fill="FFFFFF"/>
        </w:rPr>
        <w:t xml:space="preserve"> </w:t>
      </w:r>
      <w:r w:rsidRPr="00A72654">
        <w:rPr>
          <w:rFonts w:ascii="Times New Roman" w:hAnsi="Times New Roman" w:cs="Times New Roman"/>
          <w:i/>
          <w:iCs/>
          <w:sz w:val="23"/>
          <w:szCs w:val="23"/>
          <w:shd w:val="clear" w:color="auto" w:fill="FFFFFF"/>
        </w:rPr>
        <w:t>Journal of Finance and Investment Analysis</w:t>
      </w:r>
      <w:r w:rsidRPr="00A72654">
        <w:rPr>
          <w:rFonts w:ascii="Times New Roman" w:hAnsi="Times New Roman" w:cs="Times New Roman"/>
          <w:sz w:val="23"/>
          <w:szCs w:val="23"/>
          <w:shd w:val="clear" w:color="auto" w:fill="FFFFFF"/>
        </w:rPr>
        <w:t>, p. 61-67.</w:t>
      </w:r>
    </w:p>
    <w:p w14:paraId="3D08AD6E" w14:textId="7322C5A1" w:rsidR="009E0EB5" w:rsidRPr="00A72654" w:rsidRDefault="009E0EB5" w:rsidP="00A72654">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shd w:val="clear" w:color="auto" w:fill="FFFFFF"/>
        </w:rPr>
        <w:t xml:space="preserve">Dandago, K.I. and Adah, A., </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2013</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 xml:space="preserve">. The relevance of variance analysis in managerial cost. </w:t>
      </w:r>
      <w:r w:rsidRPr="00A72654">
        <w:rPr>
          <w:rFonts w:ascii="Times New Roman" w:hAnsi="Times New Roman" w:cs="Times New Roman"/>
          <w:i/>
          <w:sz w:val="23"/>
          <w:szCs w:val="23"/>
          <w:shd w:val="clear" w:color="auto" w:fill="FFFFFF"/>
        </w:rPr>
        <w:t>Journal of Finance and Investment Analysis.</w:t>
      </w:r>
    </w:p>
    <w:p w14:paraId="10F22151" w14:textId="526BCFA1" w:rsidR="009E0EB5" w:rsidRPr="00A72654" w:rsidRDefault="009E0EB5" w:rsidP="00A72654">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rPr>
        <w:t xml:space="preserve">Henderson, K. J., </w:t>
      </w:r>
      <w:r w:rsidR="00EC3AC0">
        <w:rPr>
          <w:rFonts w:ascii="Times New Roman" w:hAnsi="Times New Roman" w:cs="Times New Roman"/>
          <w:sz w:val="23"/>
          <w:szCs w:val="23"/>
        </w:rPr>
        <w:t>(</w:t>
      </w:r>
      <w:r w:rsidRPr="00A72654">
        <w:rPr>
          <w:rFonts w:ascii="Times New Roman" w:hAnsi="Times New Roman" w:cs="Times New Roman"/>
          <w:sz w:val="23"/>
          <w:szCs w:val="23"/>
        </w:rPr>
        <w:t>2012</w:t>
      </w:r>
      <w:r w:rsidR="00EC3AC0">
        <w:rPr>
          <w:rFonts w:ascii="Times New Roman" w:hAnsi="Times New Roman" w:cs="Times New Roman"/>
          <w:sz w:val="23"/>
          <w:szCs w:val="23"/>
        </w:rPr>
        <w:t>)</w:t>
      </w:r>
      <w:r w:rsidRPr="00A72654">
        <w:rPr>
          <w:rFonts w:ascii="Times New Roman" w:hAnsi="Times New Roman" w:cs="Times New Roman"/>
          <w:sz w:val="23"/>
          <w:szCs w:val="23"/>
        </w:rPr>
        <w:t xml:space="preserve">. What are the different types of performance appraisal? </w:t>
      </w:r>
    </w:p>
    <w:p w14:paraId="33F4D76D" w14:textId="32763433" w:rsidR="009E0EB5" w:rsidRPr="00A72654" w:rsidRDefault="009E0EB5" w:rsidP="00A72654">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shd w:val="clear" w:color="auto" w:fill="FFFFFF"/>
        </w:rPr>
        <w:t xml:space="preserve">Hilletofth, P., </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2011</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 Demand‐supply chain management: industrial survival recipe for new decade. </w:t>
      </w:r>
      <w:r w:rsidRPr="00A72654">
        <w:rPr>
          <w:rFonts w:ascii="Times New Roman" w:hAnsi="Times New Roman" w:cs="Times New Roman"/>
          <w:i/>
          <w:iCs/>
          <w:sz w:val="23"/>
          <w:szCs w:val="23"/>
          <w:shd w:val="clear" w:color="auto" w:fill="FFFFFF"/>
        </w:rPr>
        <w:t>Industrial Management &amp; Data Systems</w:t>
      </w:r>
      <w:r w:rsidRPr="00A72654">
        <w:rPr>
          <w:rFonts w:ascii="Times New Roman" w:hAnsi="Times New Roman" w:cs="Times New Roman"/>
          <w:sz w:val="23"/>
          <w:szCs w:val="23"/>
          <w:shd w:val="clear" w:color="auto" w:fill="FFFFFF"/>
        </w:rPr>
        <w:t>.</w:t>
      </w:r>
    </w:p>
    <w:p w14:paraId="52F93083" w14:textId="2A2EB070" w:rsidR="009E0EB5" w:rsidRPr="00A72654" w:rsidRDefault="009E0EB5" w:rsidP="00A72654">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shd w:val="clear" w:color="auto" w:fill="FFFFFF"/>
        </w:rPr>
        <w:t xml:space="preserve">Johansson, P.O. and Kriström, B., </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2018</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 </w:t>
      </w:r>
      <w:r w:rsidRPr="00A72654">
        <w:rPr>
          <w:rFonts w:ascii="Times New Roman" w:hAnsi="Times New Roman" w:cs="Times New Roman"/>
          <w:i/>
          <w:iCs/>
          <w:sz w:val="23"/>
          <w:szCs w:val="23"/>
          <w:shd w:val="clear" w:color="auto" w:fill="FFFFFF"/>
        </w:rPr>
        <w:t>Cost-benefit analysis</w:t>
      </w:r>
      <w:r w:rsidRPr="00A72654">
        <w:rPr>
          <w:rFonts w:ascii="Times New Roman" w:hAnsi="Times New Roman" w:cs="Times New Roman"/>
          <w:sz w:val="23"/>
          <w:szCs w:val="23"/>
          <w:shd w:val="clear" w:color="auto" w:fill="FFFFFF"/>
        </w:rPr>
        <w:t>. Cambridge University Press</w:t>
      </w:r>
    </w:p>
    <w:p w14:paraId="5C5EC9A1" w14:textId="2D268AE6" w:rsidR="009E0EB5" w:rsidRPr="00A72654" w:rsidRDefault="009E0EB5" w:rsidP="00A72654">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shd w:val="clear" w:color="auto" w:fill="FFFFFF"/>
        </w:rPr>
        <w:t xml:space="preserve">Williamson, D., </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2016</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 </w:t>
      </w:r>
      <w:r w:rsidRPr="00A72654">
        <w:rPr>
          <w:rFonts w:ascii="Times New Roman" w:hAnsi="Times New Roman" w:cs="Times New Roman"/>
          <w:i/>
          <w:iCs/>
          <w:sz w:val="23"/>
          <w:szCs w:val="23"/>
          <w:shd w:val="clear" w:color="auto" w:fill="FFFFFF"/>
        </w:rPr>
        <w:t>Budgeting and budgetary control</w:t>
      </w:r>
      <w:r w:rsidRPr="00A72654">
        <w:rPr>
          <w:rFonts w:ascii="Times New Roman" w:hAnsi="Times New Roman" w:cs="Times New Roman"/>
          <w:sz w:val="23"/>
          <w:szCs w:val="23"/>
          <w:shd w:val="clear" w:color="auto" w:fill="FFFFFF"/>
        </w:rPr>
        <w:t>. Lulu Press, Inc.</w:t>
      </w:r>
    </w:p>
    <w:p w14:paraId="6EB9B110" w14:textId="5CA23071" w:rsidR="009E0EB5" w:rsidRDefault="009E0EB5" w:rsidP="00A72654">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shd w:val="clear" w:color="auto" w:fill="FFFFFF"/>
        </w:rPr>
        <w:t xml:space="preserve">Zairi, M., </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2012</w:t>
      </w:r>
      <w:r w:rsidR="00EC3AC0">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 </w:t>
      </w:r>
      <w:r w:rsidRPr="00A72654">
        <w:rPr>
          <w:rFonts w:ascii="Times New Roman" w:hAnsi="Times New Roman" w:cs="Times New Roman"/>
          <w:i/>
          <w:iCs/>
          <w:sz w:val="23"/>
          <w:szCs w:val="23"/>
          <w:shd w:val="clear" w:color="auto" w:fill="FFFFFF"/>
        </w:rPr>
        <w:t>Measuring performance for business results</w:t>
      </w:r>
      <w:r w:rsidRPr="00A72654">
        <w:rPr>
          <w:rFonts w:ascii="Times New Roman" w:hAnsi="Times New Roman" w:cs="Times New Roman"/>
          <w:sz w:val="23"/>
          <w:szCs w:val="23"/>
          <w:shd w:val="clear" w:color="auto" w:fill="FFFFFF"/>
        </w:rPr>
        <w:t>. Springer Science &amp; Business Media.</w:t>
      </w:r>
    </w:p>
    <w:p w14:paraId="1EA17EE3" w14:textId="348D970B" w:rsidR="00EC3AC0" w:rsidRDefault="00EC3AC0" w:rsidP="00A72654">
      <w:pPr>
        <w:spacing w:after="0" w:line="360" w:lineRule="auto"/>
        <w:ind w:left="720" w:hanging="720"/>
        <w:jc w:val="both"/>
        <w:rPr>
          <w:rFonts w:ascii="Times New Roman" w:hAnsi="Times New Roman" w:cs="Times New Roman"/>
          <w:sz w:val="23"/>
          <w:szCs w:val="23"/>
          <w:shd w:val="clear" w:color="auto" w:fill="FFFFFF"/>
        </w:rPr>
      </w:pPr>
    </w:p>
    <w:p w14:paraId="36E84CE6" w14:textId="1D6E5651" w:rsidR="00EC3AC0" w:rsidRDefault="00EC3AC0" w:rsidP="00A72654">
      <w:pPr>
        <w:spacing w:after="0" w:line="360" w:lineRule="auto"/>
        <w:ind w:left="720" w:hanging="720"/>
        <w:jc w:val="both"/>
        <w:rPr>
          <w:rFonts w:ascii="Times New Roman" w:hAnsi="Times New Roman" w:cs="Times New Roman"/>
          <w:sz w:val="23"/>
          <w:szCs w:val="23"/>
          <w:shd w:val="clear" w:color="auto" w:fill="FFFFFF"/>
        </w:rPr>
      </w:pPr>
      <w:r>
        <w:rPr>
          <w:rFonts w:ascii="Times New Roman" w:hAnsi="Times New Roman" w:cs="Times New Roman"/>
          <w:sz w:val="23"/>
          <w:szCs w:val="23"/>
          <w:shd w:val="clear" w:color="auto" w:fill="FFFFFF"/>
        </w:rPr>
        <w:t xml:space="preserve">Online: </w:t>
      </w:r>
    </w:p>
    <w:p w14:paraId="2CF21DBF" w14:textId="5F6BE454" w:rsidR="00EC3AC0" w:rsidRDefault="00EC3AC0" w:rsidP="00A72654">
      <w:pPr>
        <w:spacing w:after="0" w:line="360" w:lineRule="auto"/>
        <w:ind w:left="720" w:hanging="720"/>
        <w:jc w:val="both"/>
        <w:rPr>
          <w:rFonts w:ascii="Times New Roman" w:hAnsi="Times New Roman" w:cs="Times New Roman"/>
          <w:sz w:val="23"/>
          <w:szCs w:val="23"/>
          <w:shd w:val="clear" w:color="auto" w:fill="FFFFFF"/>
        </w:rPr>
      </w:pPr>
    </w:p>
    <w:p w14:paraId="6ACE1409" w14:textId="77777777" w:rsidR="00EC3AC0" w:rsidRPr="00A72654" w:rsidRDefault="00EC3AC0" w:rsidP="00EC3AC0">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rPr>
        <w:t xml:space="preserve">Putra T., </w:t>
      </w:r>
      <w:r>
        <w:rPr>
          <w:rFonts w:ascii="Times New Roman" w:hAnsi="Times New Roman" w:cs="Times New Roman"/>
          <w:sz w:val="23"/>
          <w:szCs w:val="23"/>
        </w:rPr>
        <w:t>(</w:t>
      </w:r>
      <w:r w:rsidRPr="00A72654">
        <w:rPr>
          <w:rFonts w:ascii="Times New Roman" w:hAnsi="Times New Roman" w:cs="Times New Roman"/>
          <w:sz w:val="23"/>
          <w:szCs w:val="23"/>
        </w:rPr>
        <w:t>2009</w:t>
      </w:r>
      <w:r>
        <w:rPr>
          <w:rFonts w:ascii="Times New Roman" w:hAnsi="Times New Roman" w:cs="Times New Roman"/>
          <w:sz w:val="23"/>
          <w:szCs w:val="23"/>
        </w:rPr>
        <w:t>)</w:t>
      </w:r>
      <w:r w:rsidRPr="00A72654">
        <w:rPr>
          <w:rFonts w:ascii="Times New Roman" w:hAnsi="Times New Roman" w:cs="Times New Roman"/>
          <w:sz w:val="23"/>
          <w:szCs w:val="23"/>
        </w:rPr>
        <w:t xml:space="preserve">. </w:t>
      </w:r>
      <w:r w:rsidRPr="00EC3AC0">
        <w:rPr>
          <w:rFonts w:ascii="Times New Roman" w:hAnsi="Times New Roman" w:cs="Times New Roman"/>
          <w:i/>
          <w:iCs/>
          <w:sz w:val="23"/>
          <w:szCs w:val="23"/>
        </w:rPr>
        <w:t>The use of standard cost and variance analysis</w:t>
      </w:r>
      <w:r w:rsidRPr="00A72654">
        <w:rPr>
          <w:rFonts w:ascii="Times New Roman" w:hAnsi="Times New Roman" w:cs="Times New Roman"/>
          <w:sz w:val="23"/>
          <w:szCs w:val="23"/>
          <w:shd w:val="clear" w:color="auto" w:fill="FFFFFF"/>
        </w:rPr>
        <w:t xml:space="preserve">. Available at: </w:t>
      </w:r>
      <w:hyperlink r:id="rId7" w:history="1">
        <w:r w:rsidRPr="00A72654">
          <w:rPr>
            <w:rStyle w:val="Hyperlink"/>
            <w:rFonts w:ascii="Times New Roman" w:hAnsi="Times New Roman" w:cs="Times New Roman"/>
            <w:sz w:val="23"/>
            <w:szCs w:val="23"/>
            <w:shd w:val="clear" w:color="auto" w:fill="FFFFFF"/>
          </w:rPr>
          <w:t>http://accounting-financial-tax.com/2008/09/the-use-of-standard-cost-and-variance-analysis/</w:t>
        </w:r>
      </w:hyperlink>
      <w:r w:rsidRPr="00A72654">
        <w:rPr>
          <w:rFonts w:ascii="Times New Roman" w:hAnsi="Times New Roman" w:cs="Times New Roman"/>
          <w:sz w:val="23"/>
          <w:szCs w:val="23"/>
          <w:shd w:val="clear" w:color="auto" w:fill="FFFFFF"/>
        </w:rPr>
        <w:t xml:space="preserve"> </w:t>
      </w:r>
      <w:r>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 xml:space="preserve">Accessed </w:t>
      </w:r>
      <w:r>
        <w:rPr>
          <w:rFonts w:ascii="Times New Roman" w:hAnsi="Times New Roman" w:cs="Times New Roman"/>
          <w:sz w:val="23"/>
          <w:szCs w:val="23"/>
          <w:shd w:val="clear" w:color="auto" w:fill="FFFFFF"/>
        </w:rPr>
        <w:t>07/08/</w:t>
      </w:r>
      <w:r w:rsidRPr="00A72654">
        <w:rPr>
          <w:rFonts w:ascii="Times New Roman" w:hAnsi="Times New Roman" w:cs="Times New Roman"/>
          <w:sz w:val="23"/>
          <w:szCs w:val="23"/>
          <w:shd w:val="clear" w:color="auto" w:fill="FFFFFF"/>
        </w:rPr>
        <w:t>2020</w:t>
      </w:r>
      <w:r>
        <w:rPr>
          <w:rFonts w:ascii="Times New Roman" w:hAnsi="Times New Roman" w:cs="Times New Roman"/>
          <w:sz w:val="23"/>
          <w:szCs w:val="23"/>
          <w:shd w:val="clear" w:color="auto" w:fill="FFFFFF"/>
        </w:rPr>
        <w:t>)</w:t>
      </w:r>
    </w:p>
    <w:p w14:paraId="7EE395D3" w14:textId="79C50BB5" w:rsidR="00EC3AC0" w:rsidRDefault="00EC3AC0" w:rsidP="00EC3AC0">
      <w:pPr>
        <w:spacing w:after="0" w:line="360" w:lineRule="auto"/>
        <w:ind w:left="720" w:hanging="720"/>
        <w:jc w:val="both"/>
        <w:rPr>
          <w:rFonts w:ascii="Times New Roman" w:hAnsi="Times New Roman" w:cs="Times New Roman"/>
          <w:sz w:val="23"/>
          <w:szCs w:val="23"/>
          <w:shd w:val="clear" w:color="auto" w:fill="FFFFFF"/>
        </w:rPr>
      </w:pPr>
      <w:r w:rsidRPr="00A72654">
        <w:rPr>
          <w:rFonts w:ascii="Times New Roman" w:hAnsi="Times New Roman" w:cs="Times New Roman"/>
          <w:sz w:val="23"/>
          <w:szCs w:val="23"/>
          <w:shd w:val="clear" w:color="auto" w:fill="FFFFFF"/>
        </w:rPr>
        <w:t>Spafford, G., 2003</w:t>
      </w:r>
      <w:r w:rsidRPr="00A72654">
        <w:rPr>
          <w:rFonts w:ascii="Times New Roman" w:hAnsi="Times New Roman" w:cs="Times New Roman"/>
          <w:i/>
          <w:sz w:val="23"/>
          <w:szCs w:val="23"/>
          <w:shd w:val="clear" w:color="auto" w:fill="FFFFFF"/>
        </w:rPr>
        <w:t>. The power of variance analysis.</w:t>
      </w:r>
      <w:r>
        <w:rPr>
          <w:rFonts w:ascii="Times New Roman" w:hAnsi="Times New Roman" w:cs="Times New Roman"/>
          <w:sz w:val="23"/>
          <w:szCs w:val="23"/>
          <w:shd w:val="clear" w:color="auto" w:fill="FFFFFF"/>
        </w:rPr>
        <w:t xml:space="preserve"> </w:t>
      </w:r>
      <w:r w:rsidRPr="00A72654">
        <w:rPr>
          <w:rFonts w:ascii="Times New Roman" w:hAnsi="Times New Roman" w:cs="Times New Roman"/>
          <w:sz w:val="23"/>
          <w:szCs w:val="23"/>
          <w:shd w:val="clear" w:color="auto" w:fill="FFFFFF"/>
        </w:rPr>
        <w:t xml:space="preserve">Available at: </w:t>
      </w:r>
      <w:hyperlink r:id="rId8" w:history="1">
        <w:r w:rsidRPr="00A72654">
          <w:rPr>
            <w:rStyle w:val="Hyperlink"/>
            <w:rFonts w:ascii="Times New Roman" w:hAnsi="Times New Roman" w:cs="Times New Roman"/>
            <w:sz w:val="23"/>
            <w:szCs w:val="23"/>
            <w:shd w:val="clear" w:color="auto" w:fill="FFFFFF"/>
          </w:rPr>
          <w:t>https://www.projectmanagement.com/articles/177431/The-Power-of-Variance-Analysis</w:t>
        </w:r>
      </w:hyperlink>
      <w:r w:rsidRPr="00A72654">
        <w:rPr>
          <w:rFonts w:ascii="Times New Roman" w:hAnsi="Times New Roman" w:cs="Times New Roman"/>
          <w:sz w:val="23"/>
          <w:szCs w:val="23"/>
          <w:shd w:val="clear" w:color="auto" w:fill="FFFFFF"/>
        </w:rPr>
        <w:t xml:space="preserve"> </w:t>
      </w:r>
      <w:r>
        <w:rPr>
          <w:rFonts w:ascii="Times New Roman" w:hAnsi="Times New Roman" w:cs="Times New Roman"/>
          <w:sz w:val="23"/>
          <w:szCs w:val="23"/>
          <w:shd w:val="clear" w:color="auto" w:fill="FFFFFF"/>
        </w:rPr>
        <w:t>(</w:t>
      </w:r>
      <w:r w:rsidRPr="00A72654">
        <w:rPr>
          <w:rFonts w:ascii="Times New Roman" w:hAnsi="Times New Roman" w:cs="Times New Roman"/>
          <w:sz w:val="23"/>
          <w:szCs w:val="23"/>
          <w:shd w:val="clear" w:color="auto" w:fill="FFFFFF"/>
        </w:rPr>
        <w:t xml:space="preserve">Accessed </w:t>
      </w:r>
      <w:r>
        <w:rPr>
          <w:rFonts w:ascii="Times New Roman" w:hAnsi="Times New Roman" w:cs="Times New Roman"/>
          <w:sz w:val="23"/>
          <w:szCs w:val="23"/>
          <w:shd w:val="clear" w:color="auto" w:fill="FFFFFF"/>
        </w:rPr>
        <w:t>07/08/2020)</w:t>
      </w:r>
    </w:p>
    <w:p w14:paraId="175F0B1A" w14:textId="014DEC2F" w:rsidR="00F34EC8" w:rsidRPr="00F34EC8" w:rsidRDefault="00F34EC8" w:rsidP="00EC3AC0">
      <w:pPr>
        <w:spacing w:after="0" w:line="360" w:lineRule="auto"/>
        <w:ind w:left="720" w:hanging="720"/>
        <w:jc w:val="both"/>
        <w:rPr>
          <w:rFonts w:ascii="Times New Roman" w:hAnsi="Times New Roman" w:cs="Times New Roman"/>
          <w:sz w:val="23"/>
          <w:szCs w:val="23"/>
          <w:shd w:val="clear" w:color="auto" w:fill="FFFFFF"/>
        </w:rPr>
      </w:pPr>
      <w:r>
        <w:rPr>
          <w:rFonts w:ascii="Times New Roman" w:hAnsi="Times New Roman" w:cs="Times New Roman"/>
          <w:sz w:val="23"/>
          <w:szCs w:val="23"/>
          <w:shd w:val="clear" w:color="auto" w:fill="FFFFFF"/>
        </w:rPr>
        <w:t xml:space="preserve">Walther L. (2020) </w:t>
      </w:r>
      <w:r>
        <w:rPr>
          <w:rFonts w:ascii="Times New Roman" w:hAnsi="Times New Roman" w:cs="Times New Roman"/>
          <w:i/>
          <w:iCs/>
          <w:sz w:val="23"/>
          <w:szCs w:val="23"/>
          <w:shd w:val="clear" w:color="auto" w:fill="FFFFFF"/>
        </w:rPr>
        <w:t xml:space="preserve">Variance analysis. </w:t>
      </w:r>
      <w:r>
        <w:rPr>
          <w:rFonts w:ascii="Times New Roman" w:hAnsi="Times New Roman" w:cs="Times New Roman"/>
          <w:sz w:val="23"/>
          <w:szCs w:val="23"/>
          <w:shd w:val="clear" w:color="auto" w:fill="FFFFFF"/>
        </w:rPr>
        <w:t xml:space="preserve">Available at </w:t>
      </w:r>
      <w:r w:rsidRPr="00F34EC8">
        <w:rPr>
          <w:rFonts w:ascii="Times New Roman" w:hAnsi="Times New Roman" w:cs="Times New Roman"/>
          <w:sz w:val="23"/>
          <w:szCs w:val="23"/>
          <w:shd w:val="clear" w:color="auto" w:fill="FFFFFF"/>
        </w:rPr>
        <w:t xml:space="preserve">: </w:t>
      </w:r>
      <w:hyperlink r:id="rId9" w:history="1">
        <w:r w:rsidRPr="00F34EC8">
          <w:rPr>
            <w:rStyle w:val="Hyperlink"/>
            <w:rFonts w:ascii="Times New Roman" w:hAnsi="Times New Roman" w:cs="Times New Roman"/>
            <w:sz w:val="23"/>
            <w:szCs w:val="23"/>
          </w:rPr>
          <w:t>https://www.principlesofaccounting.com/chapter-22/variance-analysis/</w:t>
        </w:r>
      </w:hyperlink>
      <w:r w:rsidRPr="00F34EC8">
        <w:rPr>
          <w:rFonts w:ascii="Times New Roman" w:hAnsi="Times New Roman" w:cs="Times New Roman"/>
          <w:sz w:val="23"/>
          <w:szCs w:val="23"/>
        </w:rPr>
        <w:t xml:space="preserve"> (Accessed on 12/08/2020)</w:t>
      </w:r>
    </w:p>
    <w:p w14:paraId="49235058" w14:textId="77777777" w:rsidR="00EC3AC0" w:rsidRPr="00A72654" w:rsidRDefault="00EC3AC0" w:rsidP="00EC3AC0">
      <w:pPr>
        <w:spacing w:after="0" w:line="360" w:lineRule="auto"/>
        <w:jc w:val="both"/>
        <w:rPr>
          <w:rFonts w:ascii="Times New Roman" w:hAnsi="Times New Roman" w:cs="Times New Roman"/>
          <w:sz w:val="23"/>
          <w:szCs w:val="23"/>
          <w:shd w:val="clear" w:color="auto" w:fill="FFFFFF"/>
        </w:rPr>
      </w:pPr>
    </w:p>
    <w:p w14:paraId="6D77BEBD" w14:textId="77777777" w:rsidR="009E0EB5" w:rsidRPr="009E0EB5" w:rsidRDefault="009E0EB5" w:rsidP="00A72654">
      <w:pPr>
        <w:jc w:val="both"/>
        <w:rPr>
          <w:rFonts w:ascii="Times New Roman" w:hAnsi="Times New Roman" w:cs="Times New Roman"/>
          <w:sz w:val="28"/>
          <w:szCs w:val="28"/>
        </w:rPr>
      </w:pPr>
    </w:p>
    <w:p w14:paraId="6BC67269" w14:textId="77777777" w:rsidR="009E0EB5" w:rsidRDefault="009E0EB5" w:rsidP="00A72654">
      <w:pPr>
        <w:jc w:val="both"/>
      </w:pPr>
    </w:p>
    <w:sectPr w:rsidR="009E0EB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E316E3" w14:textId="77777777" w:rsidR="00501BBA" w:rsidRDefault="00501BBA" w:rsidP="00EC3AC0">
      <w:pPr>
        <w:spacing w:after="0" w:line="240" w:lineRule="auto"/>
      </w:pPr>
      <w:r>
        <w:separator/>
      </w:r>
    </w:p>
  </w:endnote>
  <w:endnote w:type="continuationSeparator" w:id="0">
    <w:p w14:paraId="518B4161" w14:textId="77777777" w:rsidR="00501BBA" w:rsidRDefault="00501BBA" w:rsidP="00EC3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3680059"/>
      <w:docPartObj>
        <w:docPartGallery w:val="Page Numbers (Bottom of Page)"/>
        <w:docPartUnique/>
      </w:docPartObj>
    </w:sdtPr>
    <w:sdtEndPr>
      <w:rPr>
        <w:noProof/>
      </w:rPr>
    </w:sdtEndPr>
    <w:sdtContent>
      <w:p w14:paraId="43ED51D5" w14:textId="1781EDFC" w:rsidR="00EC3AC0" w:rsidRDefault="00EC3A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129E6B" w14:textId="77777777" w:rsidR="00EC3AC0" w:rsidRDefault="00EC3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C0EFCF" w14:textId="77777777" w:rsidR="00501BBA" w:rsidRDefault="00501BBA" w:rsidP="00EC3AC0">
      <w:pPr>
        <w:spacing w:after="0" w:line="240" w:lineRule="auto"/>
      </w:pPr>
      <w:r>
        <w:separator/>
      </w:r>
    </w:p>
  </w:footnote>
  <w:footnote w:type="continuationSeparator" w:id="0">
    <w:p w14:paraId="01A1B1CC" w14:textId="77777777" w:rsidR="00501BBA" w:rsidRDefault="00501BBA" w:rsidP="00EC3A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596B55"/>
    <w:multiLevelType w:val="hybridMultilevel"/>
    <w:tmpl w:val="0862D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EB5"/>
    <w:rsid w:val="004B18CE"/>
    <w:rsid w:val="00501BBA"/>
    <w:rsid w:val="007265AE"/>
    <w:rsid w:val="009E0EB5"/>
    <w:rsid w:val="00A72654"/>
    <w:rsid w:val="00D6281A"/>
    <w:rsid w:val="00EC3AC0"/>
    <w:rsid w:val="00F34E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731C6"/>
  <w15:chartTrackingRefBased/>
  <w15:docId w15:val="{FB6B72EC-0062-468E-9DCD-871064F0F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EB5"/>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E0EB5"/>
    <w:rPr>
      <w:color w:val="0563C1" w:themeColor="hyperlink"/>
      <w:u w:val="single"/>
    </w:rPr>
  </w:style>
  <w:style w:type="table" w:styleId="TableGrid">
    <w:name w:val="Table Grid"/>
    <w:basedOn w:val="TableNormal"/>
    <w:uiPriority w:val="39"/>
    <w:rsid w:val="009E0EB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0EB5"/>
    <w:pPr>
      <w:ind w:left="720"/>
      <w:contextualSpacing/>
    </w:pPr>
  </w:style>
  <w:style w:type="paragraph" w:styleId="Header">
    <w:name w:val="header"/>
    <w:basedOn w:val="Normal"/>
    <w:link w:val="HeaderChar"/>
    <w:uiPriority w:val="99"/>
    <w:unhideWhenUsed/>
    <w:rsid w:val="00EC3A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AC0"/>
  </w:style>
  <w:style w:type="paragraph" w:styleId="Footer">
    <w:name w:val="footer"/>
    <w:basedOn w:val="Normal"/>
    <w:link w:val="FooterChar"/>
    <w:uiPriority w:val="99"/>
    <w:unhideWhenUsed/>
    <w:rsid w:val="00EC3A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A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0750165">
      <w:bodyDiv w:val="1"/>
      <w:marLeft w:val="0"/>
      <w:marRight w:val="0"/>
      <w:marTop w:val="0"/>
      <w:marBottom w:val="0"/>
      <w:divBdr>
        <w:top w:val="none" w:sz="0" w:space="0" w:color="auto"/>
        <w:left w:val="none" w:sz="0" w:space="0" w:color="auto"/>
        <w:bottom w:val="none" w:sz="0" w:space="0" w:color="auto"/>
        <w:right w:val="none" w:sz="0" w:space="0" w:color="auto"/>
      </w:divBdr>
    </w:div>
    <w:div w:id="691343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management.com/articles/177431/The-Power-of-Variance-Analysis" TargetMode="External"/><Relationship Id="rId3" Type="http://schemas.openxmlformats.org/officeDocument/2006/relationships/settings" Target="settings.xml"/><Relationship Id="rId7" Type="http://schemas.openxmlformats.org/officeDocument/2006/relationships/hyperlink" Target="http://accounting-financial-tax.com/2008/09/the-use-of-standard-cost-and-variance-analysi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rinciplesofaccounting.com/chapter-22/varianc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11</Pages>
  <Words>2791</Words>
  <Characters>15910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Antonescu</dc:creator>
  <cp:keywords/>
  <dc:description/>
  <cp:lastModifiedBy>Cristina Antonescu</cp:lastModifiedBy>
  <cp:revision>1</cp:revision>
  <dcterms:created xsi:type="dcterms:W3CDTF">2020-08-12T09:04:00Z</dcterms:created>
  <dcterms:modified xsi:type="dcterms:W3CDTF">2020-08-12T10:04:00Z</dcterms:modified>
</cp:coreProperties>
</file>