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58B0" w:rsidRDefault="00C558B0" w:rsidP="00C558B0">
      <w:pPr>
        <w:spacing w:line="360" w:lineRule="auto"/>
        <w:rPr>
          <w:rFonts w:ascii="Arial" w:hAnsi="Arial" w:cs="Arial"/>
          <w:szCs w:val="24"/>
        </w:rPr>
      </w:pPr>
      <w:r>
        <w:rPr>
          <w:noProof/>
          <w:lang w:eastAsia="en-GB"/>
        </w:rPr>
        <w:drawing>
          <wp:anchor distT="0" distB="0" distL="114300" distR="114300" simplePos="0" relativeHeight="251659264" behindDoc="0" locked="0" layoutInCell="1" allowOverlap="1">
            <wp:simplePos x="0" y="0"/>
            <wp:positionH relativeFrom="column">
              <wp:posOffset>-226060</wp:posOffset>
            </wp:positionH>
            <wp:positionV relativeFrom="paragraph">
              <wp:posOffset>-433705</wp:posOffset>
            </wp:positionV>
            <wp:extent cx="1810385" cy="723900"/>
            <wp:effectExtent l="1905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10385" cy="723900"/>
                    </a:xfrm>
                    <a:prstGeom prst="rect">
                      <a:avLst/>
                    </a:prstGeom>
                    <a:noFill/>
                  </pic:spPr>
                </pic:pic>
              </a:graphicData>
            </a:graphic>
          </wp:anchor>
        </w:drawing>
      </w:r>
    </w:p>
    <w:p w:rsidR="00C558B0" w:rsidRDefault="00C558B0" w:rsidP="00C558B0">
      <w:pPr>
        <w:spacing w:line="360" w:lineRule="auto"/>
        <w:rPr>
          <w:rFonts w:ascii="Arial" w:hAnsi="Arial" w:cs="Arial"/>
          <w:szCs w:val="24"/>
        </w:rPr>
      </w:pPr>
    </w:p>
    <w:p w:rsidR="00C558B0" w:rsidRDefault="00C558B0" w:rsidP="00C558B0">
      <w:pPr>
        <w:tabs>
          <w:tab w:val="left" w:pos="6540"/>
        </w:tabs>
        <w:spacing w:line="360" w:lineRule="auto"/>
        <w:rPr>
          <w:rFonts w:ascii="Arial" w:hAnsi="Arial" w:cs="Arial"/>
          <w:sz w:val="28"/>
          <w:szCs w:val="28"/>
        </w:rPr>
      </w:pPr>
    </w:p>
    <w:p w:rsidR="00C558B0" w:rsidRPr="001035C9" w:rsidRDefault="00C558B0" w:rsidP="002773F7">
      <w:pPr>
        <w:tabs>
          <w:tab w:val="left" w:pos="6540"/>
        </w:tabs>
        <w:spacing w:line="360" w:lineRule="auto"/>
        <w:jc w:val="center"/>
        <w:rPr>
          <w:rFonts w:cs="Times New Roman"/>
          <w:sz w:val="28"/>
          <w:szCs w:val="28"/>
          <w:lang w:val="nl-NL"/>
        </w:rPr>
      </w:pPr>
      <w:r w:rsidRPr="001035C9">
        <w:rPr>
          <w:rFonts w:cs="Times New Roman"/>
          <w:b/>
          <w:bCs/>
          <w:sz w:val="28"/>
          <w:szCs w:val="28"/>
          <w:lang w:val="nl-NL"/>
        </w:rPr>
        <w:t>Student name</w:t>
      </w:r>
      <w:r w:rsidRPr="001035C9">
        <w:rPr>
          <w:rFonts w:cs="Times New Roman"/>
          <w:sz w:val="28"/>
          <w:szCs w:val="28"/>
          <w:lang w:val="nl-NL"/>
        </w:rPr>
        <w:t>:</w:t>
      </w:r>
      <w:r w:rsidR="001035C9" w:rsidRPr="001035C9">
        <w:rPr>
          <w:rFonts w:cs="Times New Roman"/>
          <w:sz w:val="28"/>
          <w:szCs w:val="28"/>
          <w:lang w:val="nl-NL"/>
        </w:rPr>
        <w:t xml:space="preserve"> Romana Begum Chowdury</w:t>
      </w:r>
    </w:p>
    <w:p w:rsidR="00C558B0" w:rsidRPr="001035C9" w:rsidRDefault="00C558B0" w:rsidP="002773F7">
      <w:pPr>
        <w:tabs>
          <w:tab w:val="left" w:pos="6540"/>
        </w:tabs>
        <w:spacing w:line="360" w:lineRule="auto"/>
        <w:jc w:val="center"/>
        <w:rPr>
          <w:rFonts w:cs="Times New Roman"/>
          <w:sz w:val="28"/>
          <w:szCs w:val="28"/>
          <w:lang w:val="nl-NL"/>
        </w:rPr>
      </w:pPr>
      <w:r w:rsidRPr="001035C9">
        <w:rPr>
          <w:rFonts w:cs="Times New Roman"/>
          <w:b/>
          <w:bCs/>
          <w:sz w:val="28"/>
          <w:szCs w:val="28"/>
          <w:lang w:val="nl-NL"/>
        </w:rPr>
        <w:t>Student ID</w:t>
      </w:r>
      <w:r w:rsidRPr="001035C9">
        <w:rPr>
          <w:rFonts w:cs="Times New Roman"/>
          <w:sz w:val="28"/>
          <w:szCs w:val="28"/>
          <w:lang w:val="nl-NL"/>
        </w:rPr>
        <w:t>:</w:t>
      </w:r>
      <w:r w:rsidR="001035C9" w:rsidRPr="001035C9">
        <w:rPr>
          <w:rFonts w:cs="Times New Roman"/>
          <w:sz w:val="28"/>
          <w:szCs w:val="28"/>
          <w:lang w:val="nl-NL"/>
        </w:rPr>
        <w:t xml:space="preserve"> 2229137</w:t>
      </w:r>
    </w:p>
    <w:p w:rsidR="00C558B0" w:rsidRPr="001035C9" w:rsidRDefault="00C558B0" w:rsidP="002773F7">
      <w:pPr>
        <w:tabs>
          <w:tab w:val="left" w:pos="6540"/>
        </w:tabs>
        <w:spacing w:line="360" w:lineRule="auto"/>
        <w:jc w:val="center"/>
        <w:rPr>
          <w:rFonts w:cs="Times New Roman"/>
          <w:sz w:val="28"/>
          <w:szCs w:val="28"/>
          <w:lang w:val="nl-NL"/>
        </w:rPr>
      </w:pPr>
      <w:r w:rsidRPr="001035C9">
        <w:rPr>
          <w:rFonts w:cs="Times New Roman"/>
          <w:b/>
          <w:bCs/>
          <w:sz w:val="28"/>
          <w:szCs w:val="28"/>
          <w:lang w:val="nl-NL"/>
        </w:rPr>
        <w:t>Module name</w:t>
      </w:r>
      <w:r w:rsidRPr="001035C9">
        <w:rPr>
          <w:rFonts w:cs="Times New Roman"/>
          <w:sz w:val="28"/>
          <w:szCs w:val="28"/>
          <w:lang w:val="nl-NL"/>
        </w:rPr>
        <w:t xml:space="preserve">: </w:t>
      </w:r>
      <w:r w:rsidR="00A22569" w:rsidRPr="001035C9">
        <w:rPr>
          <w:rFonts w:cs="Times New Roman"/>
          <w:sz w:val="28"/>
          <w:szCs w:val="28"/>
          <w:lang w:val="nl-NL"/>
        </w:rPr>
        <w:t>Principles of Health and Social Care Practice</w:t>
      </w:r>
    </w:p>
    <w:p w:rsidR="00C558B0" w:rsidRPr="001035C9" w:rsidRDefault="00C558B0" w:rsidP="002773F7">
      <w:pPr>
        <w:tabs>
          <w:tab w:val="left" w:pos="6540"/>
        </w:tabs>
        <w:spacing w:line="360" w:lineRule="auto"/>
        <w:jc w:val="center"/>
        <w:rPr>
          <w:rFonts w:cs="Times New Roman"/>
          <w:sz w:val="28"/>
          <w:szCs w:val="28"/>
        </w:rPr>
      </w:pPr>
      <w:r w:rsidRPr="001035C9">
        <w:rPr>
          <w:rFonts w:cs="Times New Roman"/>
          <w:b/>
          <w:bCs/>
          <w:sz w:val="28"/>
          <w:szCs w:val="28"/>
        </w:rPr>
        <w:t>Module code</w:t>
      </w:r>
      <w:r w:rsidRPr="001035C9">
        <w:rPr>
          <w:rFonts w:cs="Times New Roman"/>
          <w:sz w:val="28"/>
          <w:szCs w:val="28"/>
        </w:rPr>
        <w:t>:</w:t>
      </w:r>
      <w:r w:rsidR="00A22569" w:rsidRPr="001035C9">
        <w:rPr>
          <w:rFonts w:cs="Times New Roman"/>
        </w:rPr>
        <w:t xml:space="preserve"> </w:t>
      </w:r>
      <w:r w:rsidR="00A22569" w:rsidRPr="001035C9">
        <w:rPr>
          <w:rFonts w:cs="Times New Roman"/>
          <w:sz w:val="28"/>
          <w:szCs w:val="28"/>
        </w:rPr>
        <w:t>BMHP5016</w:t>
      </w:r>
    </w:p>
    <w:p w:rsidR="00C558B0" w:rsidRDefault="00C558B0" w:rsidP="002773F7">
      <w:pPr>
        <w:tabs>
          <w:tab w:val="left" w:pos="6540"/>
        </w:tabs>
        <w:spacing w:line="360" w:lineRule="auto"/>
        <w:jc w:val="center"/>
        <w:rPr>
          <w:rFonts w:cs="Times New Roman"/>
          <w:sz w:val="28"/>
          <w:szCs w:val="28"/>
        </w:rPr>
      </w:pPr>
      <w:r w:rsidRPr="001035C9">
        <w:rPr>
          <w:rFonts w:cs="Times New Roman"/>
          <w:b/>
          <w:bCs/>
          <w:sz w:val="28"/>
          <w:szCs w:val="28"/>
        </w:rPr>
        <w:t>Lecturer name</w:t>
      </w:r>
      <w:r w:rsidRPr="001035C9">
        <w:rPr>
          <w:rFonts w:cs="Times New Roman"/>
          <w:sz w:val="28"/>
          <w:szCs w:val="28"/>
        </w:rPr>
        <w:t>:</w:t>
      </w:r>
      <w:r w:rsidR="001035C9" w:rsidRPr="001035C9">
        <w:rPr>
          <w:rFonts w:cs="Times New Roman"/>
          <w:sz w:val="28"/>
          <w:szCs w:val="28"/>
        </w:rPr>
        <w:t xml:space="preserve"> Mark Kane</w:t>
      </w:r>
    </w:p>
    <w:p w:rsidR="001035C9" w:rsidRPr="001035C9" w:rsidRDefault="002773F7" w:rsidP="002773F7">
      <w:pPr>
        <w:tabs>
          <w:tab w:val="left" w:pos="6540"/>
        </w:tabs>
        <w:spacing w:line="360" w:lineRule="auto"/>
        <w:jc w:val="center"/>
        <w:rPr>
          <w:rFonts w:cs="Times New Roman"/>
          <w:b/>
          <w:sz w:val="28"/>
          <w:szCs w:val="28"/>
        </w:rPr>
      </w:pPr>
      <w:r w:rsidRPr="001035C9">
        <w:rPr>
          <w:rFonts w:cs="Times New Roman"/>
          <w:b/>
          <w:sz w:val="28"/>
          <w:szCs w:val="28"/>
        </w:rPr>
        <w:t>Group:</w:t>
      </w:r>
      <w:r w:rsidR="001035C9" w:rsidRPr="001035C9">
        <w:rPr>
          <w:rFonts w:cs="Times New Roman"/>
          <w:b/>
          <w:sz w:val="28"/>
          <w:szCs w:val="28"/>
        </w:rPr>
        <w:t xml:space="preserve"> 2</w:t>
      </w:r>
    </w:p>
    <w:p w:rsidR="00C558B0" w:rsidRDefault="00C558B0" w:rsidP="00C558B0">
      <w:pPr>
        <w:tabs>
          <w:tab w:val="left" w:pos="6540"/>
        </w:tabs>
        <w:spacing w:line="360" w:lineRule="auto"/>
        <w:rPr>
          <w:rFonts w:ascii="Arial" w:hAnsi="Arial" w:cs="Arial"/>
          <w:sz w:val="28"/>
          <w:szCs w:val="28"/>
        </w:rPr>
      </w:pPr>
    </w:p>
    <w:p w:rsidR="006D2F2D" w:rsidRDefault="006D2F2D">
      <w:pPr>
        <w:spacing w:line="259" w:lineRule="auto"/>
      </w:pPr>
      <w:r>
        <w:br w:type="page"/>
      </w:r>
    </w:p>
    <w:p w:rsidR="00317E3D" w:rsidRPr="00A22569" w:rsidRDefault="006D2F2D" w:rsidP="00A22569">
      <w:pPr>
        <w:spacing w:line="360" w:lineRule="auto"/>
        <w:jc w:val="both"/>
        <w:rPr>
          <w:rFonts w:ascii="Arial" w:hAnsi="Arial" w:cs="Arial"/>
          <w:b/>
          <w:bCs/>
          <w:color w:val="000000" w:themeColor="text1"/>
        </w:rPr>
      </w:pPr>
      <w:r w:rsidRPr="00A22569">
        <w:rPr>
          <w:rFonts w:ascii="Arial" w:hAnsi="Arial" w:cs="Arial"/>
          <w:b/>
          <w:bCs/>
          <w:color w:val="000000" w:themeColor="text1"/>
        </w:rPr>
        <w:lastRenderedPageBreak/>
        <w:t>Introduction</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Person-centred care is a core value of health and social care that focuses on the value of respecting the values, preferences and autonomy of individuals during the decision-making process. It makes service users the participants of the care, not its recipients hence enhancing dignity, independence and holistic wellbeing. The social model of disability is one of the primary theoretical frameworks that support person-centred care, as it does not agree with the conventional concept of disability because it places the emphasis not on a person, but on the social aspects that limit the engagement.</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Social model of disability is also relevant especially in the health and social care as it facilitates inclusion, equality and empowerment of the disabled. Instead of considering disability as a medical issue to be remedied, it brings to the fore the role of the environment, structural and attitudinal barriers in creating disadvantage. This view is very consistent with the modern policy systems that promote rights-based and inclusive care systems.</w:t>
      </w:r>
    </w:p>
    <w:p w:rsidR="00A14675"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This essay will critically analyze the emergence of the social model of disability, its formation, major principles and criticism. It shall also discuss the answers to these criticisms and its applicability to health and social care policy and practice.</w:t>
      </w:r>
    </w:p>
    <w:p w:rsidR="00A22569" w:rsidRDefault="00A22569" w:rsidP="00A22569">
      <w:pPr>
        <w:spacing w:line="360" w:lineRule="auto"/>
        <w:jc w:val="both"/>
        <w:rPr>
          <w:rFonts w:ascii="Arial" w:hAnsi="Arial" w:cs="Arial"/>
          <w:color w:val="000000" w:themeColor="text1"/>
          <w:sz w:val="22"/>
        </w:rPr>
      </w:pPr>
    </w:p>
    <w:p w:rsidR="00A22569" w:rsidRDefault="00A22569" w:rsidP="00A22569">
      <w:pPr>
        <w:spacing w:line="360" w:lineRule="auto"/>
        <w:jc w:val="both"/>
        <w:rPr>
          <w:rFonts w:ascii="Arial" w:hAnsi="Arial" w:cs="Arial"/>
          <w:b/>
          <w:bCs/>
          <w:color w:val="000000" w:themeColor="text1"/>
        </w:rPr>
      </w:pPr>
      <w:r w:rsidRPr="00A22569">
        <w:rPr>
          <w:rFonts w:ascii="Arial" w:hAnsi="Arial" w:cs="Arial"/>
          <w:b/>
          <w:bCs/>
          <w:color w:val="000000" w:themeColor="text1"/>
        </w:rPr>
        <w:t xml:space="preserve">Development of the Social Model of Disability </w:t>
      </w:r>
    </w:p>
    <w:p w:rsidR="00A22569" w:rsidRPr="00A22569" w:rsidRDefault="00A22569" w:rsidP="00A22569">
      <w:pPr>
        <w:spacing w:line="360" w:lineRule="auto"/>
        <w:jc w:val="both"/>
        <w:rPr>
          <w:rFonts w:ascii="Arial" w:hAnsi="Arial" w:cs="Arial"/>
          <w:i/>
          <w:iCs/>
          <w:color w:val="000000" w:themeColor="text1"/>
          <w:sz w:val="22"/>
        </w:rPr>
      </w:pPr>
      <w:r w:rsidRPr="00A22569">
        <w:rPr>
          <w:rFonts w:ascii="Arial" w:hAnsi="Arial" w:cs="Arial"/>
          <w:i/>
          <w:iCs/>
          <w:color w:val="000000" w:themeColor="text1"/>
          <w:sz w:val="22"/>
        </w:rPr>
        <w:t>Emergence of the Social Model</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The social model of disability has developed in the late twentieth century as a reaction to the shortcomings of the mainstream medical model of disability. The medical model views disability as a personal issue that is brought about by physical or mental disability, that needs treatment, rehabilitation, or curing. Conversely, the social model, which had a close linkage to the work of Oliver (1990), redefined disability as a social phenomenon. Oliver claimed that people are not disabled due to their impairments, but rather because society is barricaded by the barriers created by the society, the attitudes, and the exclusionary practices.</w:t>
      </w:r>
    </w:p>
    <w:p w:rsid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This change of attitude was closely associated with disability rights movements that aimed at the oppression and enhancement of equality. The social model was a strong tool to use in advocacy and policy reform by separating between the physical or mental condition (impairment) and the social disadvantage (disability) (Oliver, 1990). It was a tremendous shift in the conceptualization of disability, where the deficit-based approach was replaced by the rights-based approach to disability.</w:t>
      </w:r>
    </w:p>
    <w:p w:rsidR="00A22569" w:rsidRDefault="00A22569" w:rsidP="00A22569">
      <w:pPr>
        <w:spacing w:line="360" w:lineRule="auto"/>
        <w:jc w:val="both"/>
        <w:rPr>
          <w:rFonts w:ascii="Arial" w:hAnsi="Arial" w:cs="Arial"/>
          <w:color w:val="000000" w:themeColor="text1"/>
          <w:sz w:val="22"/>
        </w:rPr>
      </w:pPr>
    </w:p>
    <w:p w:rsidR="00A22569" w:rsidRPr="00A22569" w:rsidRDefault="00A22569" w:rsidP="00A22569">
      <w:pPr>
        <w:spacing w:line="360" w:lineRule="auto"/>
        <w:jc w:val="both"/>
        <w:rPr>
          <w:rFonts w:ascii="Arial" w:hAnsi="Arial" w:cs="Arial"/>
          <w:i/>
          <w:iCs/>
          <w:color w:val="000000" w:themeColor="text1"/>
          <w:sz w:val="22"/>
        </w:rPr>
      </w:pPr>
      <w:r w:rsidRPr="00A22569">
        <w:rPr>
          <w:rFonts w:ascii="Arial" w:hAnsi="Arial" w:cs="Arial"/>
          <w:i/>
          <w:iCs/>
          <w:color w:val="000000" w:themeColor="text1"/>
          <w:sz w:val="22"/>
        </w:rPr>
        <w:t>Key Principles and Development</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The main ideology of the social model is that the society creates disability not personal constraints. It highlights the need to eliminate the barriers, be it physical, institutional or attitudinal to allow full participation in society. This encompasses solving problems like inaccessible buildings, absence of inclusive policies and negative stereotypes.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Disability scholars have also extended this view by attempting to understand how the relationship between impairment and social structures is multi-faceted. Thomas (2014) emphasizes the notion of disabling barriers, which states that disabled people are disadvantaged systematically by social, economic, and cultural factors. In the same vein, Goodley (2024) contributes to the discussion by placing disability in the context of larger problems of power, identity, and social justice, with the necessity to adopt inclusive and transformative solutions.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The developments have enhanced the theoretical base of the social model and have consolidated its applicability in advancing person-centred care since it focuses on lived experiences and voices of the disabled.</w:t>
      </w:r>
    </w:p>
    <w:p w:rsidR="00A22569" w:rsidRPr="00A22569" w:rsidRDefault="00A22569" w:rsidP="00A22569">
      <w:pPr>
        <w:spacing w:line="360" w:lineRule="auto"/>
        <w:jc w:val="both"/>
        <w:rPr>
          <w:rFonts w:ascii="Arial" w:hAnsi="Arial" w:cs="Arial"/>
          <w:i/>
          <w:iCs/>
          <w:color w:val="000000" w:themeColor="text1"/>
          <w:sz w:val="22"/>
        </w:rPr>
      </w:pPr>
      <w:r w:rsidRPr="00A22569">
        <w:rPr>
          <w:rFonts w:ascii="Arial" w:hAnsi="Arial" w:cs="Arial"/>
          <w:i/>
          <w:iCs/>
          <w:color w:val="000000" w:themeColor="text1"/>
          <w:sz w:val="22"/>
        </w:rPr>
        <w:t>Critiques of the Social Model</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Even though the social model has had so much to offer, there have been several criticisms about the social model. A significant critique is that it is likely to ignore the lived experience of impairment, such as pain, sickness, and physical disability. Shakespeare (2013) claims that the model does not give due consideration to the personal and embodied experience of disability because it almost entirely concentrates on social barriers.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Moreover, the social model also has been criticized to simplify disability since it gives a strict difference between impairment and disability. This dichotomous method fails to reflect the richness and heterogeneity of personal lives. Consequently, some may claim that the model might not be comprehensive enough to meet the needs of people who need to receive medical assistance and social inclusion.</w:t>
      </w:r>
    </w:p>
    <w:p w:rsidR="00A22569" w:rsidRPr="00A22569" w:rsidRDefault="00A22569" w:rsidP="00A22569">
      <w:pPr>
        <w:spacing w:line="360" w:lineRule="auto"/>
        <w:jc w:val="both"/>
        <w:rPr>
          <w:rFonts w:ascii="Arial" w:hAnsi="Arial" w:cs="Arial"/>
          <w:i/>
          <w:iCs/>
          <w:color w:val="000000" w:themeColor="text1"/>
          <w:sz w:val="22"/>
        </w:rPr>
      </w:pPr>
      <w:r w:rsidRPr="00A22569">
        <w:rPr>
          <w:rFonts w:ascii="Arial" w:hAnsi="Arial" w:cs="Arial"/>
          <w:i/>
          <w:iCs/>
          <w:color w:val="000000" w:themeColor="text1"/>
          <w:sz w:val="22"/>
        </w:rPr>
        <w:t>Responses to Criticism</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More integrated and subtle methods of disability have been created in response to these criticisms. These strategies seek to merge the merits of the social model and the acknowledgment of the impairment role. As an example, the biopsychosocial model includes biological, psychological and social aspects, which provides a more detailed explanation of disability.</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lastRenderedPageBreak/>
        <w:t>Shakespeare et al. (2017) promote the idea of shifting away of fixed theoretical divisions by admitting that both social barriers and individual conditions define the experience of disability. This view can be used to have a more balanced approach that will promote both medical intervention where needed and elimination of societal barriers.</w:t>
      </w:r>
    </w:p>
    <w:p w:rsidR="00A14675"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These have made the social model more applicable to the modern health and social care, making it relevant whilst mitigating its previous shortcomings.</w:t>
      </w:r>
    </w:p>
    <w:p w:rsidR="00A22569" w:rsidRPr="00A22569" w:rsidRDefault="00A22569" w:rsidP="00A22569">
      <w:pPr>
        <w:spacing w:line="360" w:lineRule="auto"/>
        <w:jc w:val="both"/>
        <w:rPr>
          <w:rFonts w:ascii="Arial" w:hAnsi="Arial" w:cs="Arial"/>
          <w:color w:val="000000" w:themeColor="text1"/>
        </w:rPr>
      </w:pPr>
    </w:p>
    <w:p w:rsidR="00A22569" w:rsidRDefault="00A22569" w:rsidP="00A22569">
      <w:pPr>
        <w:spacing w:line="360" w:lineRule="auto"/>
        <w:jc w:val="both"/>
        <w:rPr>
          <w:rFonts w:ascii="Arial" w:hAnsi="Arial" w:cs="Arial"/>
          <w:b/>
          <w:bCs/>
          <w:color w:val="000000" w:themeColor="text1"/>
        </w:rPr>
      </w:pPr>
      <w:r w:rsidRPr="00A22569">
        <w:rPr>
          <w:rFonts w:ascii="Arial" w:hAnsi="Arial" w:cs="Arial"/>
          <w:b/>
          <w:bCs/>
          <w:color w:val="000000" w:themeColor="text1"/>
        </w:rPr>
        <w:t xml:space="preserve">Application in Health and Social Care Policy and Practice </w:t>
      </w:r>
    </w:p>
    <w:p w:rsidR="00A22569" w:rsidRPr="00A22569" w:rsidRDefault="00A22569" w:rsidP="00A22569">
      <w:pPr>
        <w:spacing w:line="360" w:lineRule="auto"/>
        <w:jc w:val="both"/>
        <w:rPr>
          <w:rFonts w:ascii="Arial" w:hAnsi="Arial" w:cs="Arial"/>
          <w:i/>
          <w:iCs/>
          <w:color w:val="000000" w:themeColor="text1"/>
          <w:sz w:val="22"/>
        </w:rPr>
      </w:pPr>
      <w:r w:rsidRPr="00A22569">
        <w:rPr>
          <w:rFonts w:ascii="Arial" w:hAnsi="Arial" w:cs="Arial"/>
          <w:i/>
          <w:iCs/>
          <w:color w:val="000000" w:themeColor="text1"/>
          <w:sz w:val="22"/>
        </w:rPr>
        <w:t>Application in Policy</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The tenets of the social model of disability are increasingly being manifested in modern health and social care policies especially in the UK environment. The major acts like the Care Act 2014 and the Equality Act 2010 show the definite inclination towards the realization of rights, independence, and inclusion of people with disabilities. The Care Act 2014 is much more interested in the promotion of individual wellbeing, personal choice, and control over care, which is more like the social model of removing barriers to participation (Richards and Williamson, 2015). It promotes the use of strengths-based approach by the local authorities to empower individuals to live on their own and contribute meaningfully to the society.</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In the same way, the Equality Act 2010 supports the significance of the removal of discrimination and the provision of equal opportunities to disabled individuals. It obliges organisations to undertake reasonable adjustments to make it accessible and inclusive and, in the process, overcome structural barriers contributing to disadvantage. These policy structures indicate the central ideology of the social model that disability is a product of societal inadequacies and not individual disabilities.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Moreover, current changes in the policy of health and social care keep facilitating the idea of inclusion and integrated care. As Glasby (2026) emphasizes, the contemporary systems pay more attention to the coordination of services and empowerment of people, which contributes to the overall goal of the person-centred and rights-based care. Nevertheless, these policies show high conformity to the social model, but their success is highly determined by their practical application.</w:t>
      </w:r>
    </w:p>
    <w:p w:rsidR="00A22569" w:rsidRPr="00A22569" w:rsidRDefault="00A22569" w:rsidP="00A22569">
      <w:pPr>
        <w:spacing w:line="360" w:lineRule="auto"/>
        <w:jc w:val="both"/>
        <w:rPr>
          <w:rFonts w:ascii="Arial" w:hAnsi="Arial" w:cs="Arial"/>
          <w:i/>
          <w:iCs/>
          <w:color w:val="000000" w:themeColor="text1"/>
          <w:sz w:val="22"/>
        </w:rPr>
      </w:pPr>
      <w:r w:rsidRPr="00A22569">
        <w:rPr>
          <w:rFonts w:ascii="Arial" w:hAnsi="Arial" w:cs="Arial"/>
          <w:i/>
          <w:iCs/>
          <w:color w:val="000000" w:themeColor="text1"/>
          <w:sz w:val="22"/>
        </w:rPr>
        <w:t>Application in Practice</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 xml:space="preserve">Practically, the social model of disability is the basis of such important approaches as person-centred care, which emphasizes preferences, needs, and values of people. This will help in ensuring that service users participate in decision making regarding their care, which </w:t>
      </w:r>
      <w:r w:rsidRPr="00A22569">
        <w:rPr>
          <w:rFonts w:ascii="Arial" w:hAnsi="Arial" w:cs="Arial"/>
          <w:color w:val="000000" w:themeColor="text1"/>
          <w:sz w:val="22"/>
        </w:rPr>
        <w:lastRenderedPageBreak/>
        <w:t>is the focus of the social model in terms of autonomy and empowerment. Practitioners can be more responsive and meaningful by recognising individuals as experts in their own lives.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Co-production is another application that is important in that service users collaborate with professionals to design and provide services. According to Needham and Carr (2009), co-production is necessary in the transformation of adult social care as it re-distributes power and allows individuals to have a real say in services they have. This strategy is quite like the social model because it appreciates lived experience and enhances equality in the process of making decisions.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Social model informed practice is also based on participation and empowerment. The disabled are advised to participate in the planning, appraisal, and provision of services, which makes them feel to be in control and a part of it. This change of being a receiver of care into an active participant is a major step towards the encouragement of person-centred care.</w:t>
      </w:r>
    </w:p>
    <w:p w:rsidR="00A22569" w:rsidRPr="00A22569" w:rsidRDefault="00A22569" w:rsidP="00A22569">
      <w:pPr>
        <w:spacing w:line="360" w:lineRule="auto"/>
        <w:jc w:val="both"/>
        <w:rPr>
          <w:rFonts w:ascii="Arial" w:hAnsi="Arial" w:cs="Arial"/>
          <w:i/>
          <w:iCs/>
          <w:color w:val="000000" w:themeColor="text1"/>
          <w:sz w:val="22"/>
        </w:rPr>
      </w:pPr>
      <w:r w:rsidRPr="00A22569">
        <w:rPr>
          <w:rFonts w:ascii="Arial" w:hAnsi="Arial" w:cs="Arial"/>
          <w:i/>
          <w:iCs/>
          <w:color w:val="000000" w:themeColor="text1"/>
          <w:sz w:val="22"/>
        </w:rPr>
        <w:t>Challenges and Problems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Although the social model has great theoretical and policy backing, its application is still faced with a lot of difficulties. A gap between policy and practice is one of the major problems. Although inclusion and independence are encouraged by legislation, they are not always achieved in the day-to-day care context (Beresford, 2016).</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This gap is represented in the case of Mr B, a 35-year-old male with physical disability. Despite the existence of policies that ensure accessibility and inclusion, including the Equality Act 2010, Mr B still encounters impediments that include accessibility of transport and support in healthcare settings. These obstacles underscore the way structural inequalities are still entrenched in systems and therefore the social model cannot be realised fully on the ground.</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The institutional barriers are also important. The inability of the services to be flexible to the needs of individuals can be limited by organisational structures, stiff procedures, and inflexibility. Also, professional attitudes can also bring the principles of the social model down. Other practitioners still use a medicalised approach, where they mainly emphasize on impairment as opposed to appreciating the wider social context of disability (Shakespeare, 2006).</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 xml:space="preserve">Lastly, the constraint of resources is a significant limitation. The challenges of limited funding, shortage of staff and rising demand of services may impede the provision of personalised and inclusive care. Glasby (2026) observes that even though the idea of </w:t>
      </w:r>
      <w:r w:rsidRPr="00A22569">
        <w:rPr>
          <w:rFonts w:ascii="Arial" w:hAnsi="Arial" w:cs="Arial"/>
          <w:color w:val="000000" w:themeColor="text1"/>
          <w:sz w:val="22"/>
        </w:rPr>
        <w:lastRenderedPageBreak/>
        <w:t>integrated care systems is intended to enhance coordination and efficiency, financial constraints tend to restrain the use of the systems.</w:t>
      </w:r>
    </w:p>
    <w:p w:rsidR="006D2F2D"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In sum, although the social model has had considerable impact on policy and practice, it is still faced with a challenge of full implementation due to systemic, cultural and economic factors.</w:t>
      </w:r>
    </w:p>
    <w:p w:rsidR="00A22569" w:rsidRPr="00A22569" w:rsidRDefault="00A22569" w:rsidP="00A22569">
      <w:pPr>
        <w:spacing w:line="360" w:lineRule="auto"/>
        <w:jc w:val="both"/>
        <w:rPr>
          <w:rFonts w:ascii="Arial" w:hAnsi="Arial" w:cs="Arial"/>
          <w:color w:val="000000" w:themeColor="text1"/>
        </w:rPr>
      </w:pPr>
    </w:p>
    <w:p w:rsidR="006D2F2D" w:rsidRPr="00A22569" w:rsidRDefault="006D2F2D" w:rsidP="00A22569">
      <w:pPr>
        <w:spacing w:line="360" w:lineRule="auto"/>
        <w:jc w:val="both"/>
        <w:rPr>
          <w:rFonts w:ascii="Arial" w:hAnsi="Arial" w:cs="Arial"/>
          <w:b/>
          <w:bCs/>
          <w:color w:val="000000" w:themeColor="text1"/>
        </w:rPr>
      </w:pPr>
      <w:r w:rsidRPr="00A22569">
        <w:rPr>
          <w:rFonts w:ascii="Arial" w:hAnsi="Arial" w:cs="Arial"/>
          <w:b/>
          <w:bCs/>
          <w:color w:val="000000" w:themeColor="text1"/>
        </w:rPr>
        <w:t>Recommendations for</w:t>
      </w:r>
      <w:r w:rsidR="003E4ED4" w:rsidRPr="00A22569">
        <w:rPr>
          <w:rFonts w:ascii="Arial" w:hAnsi="Arial" w:cs="Arial"/>
          <w:b/>
          <w:bCs/>
          <w:color w:val="000000" w:themeColor="text1"/>
        </w:rPr>
        <w:t xml:space="preserve"> policy</w:t>
      </w:r>
      <w:r w:rsidRPr="00A22569">
        <w:rPr>
          <w:rFonts w:ascii="Arial" w:hAnsi="Arial" w:cs="Arial"/>
          <w:b/>
          <w:bCs/>
          <w:color w:val="000000" w:themeColor="text1"/>
        </w:rPr>
        <w:t xml:space="preserve"> and practice</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To maximize the efficacy of the social model of disability in the context of health and social care, there are some main recommendations to be drawn to bridge the gap between the policy and practice.</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To begin with, co-production and service-user participation in service and service delivery designs must be enhanced. The concept of co-production entails the involvement of disabled people in decision-making activities, as opposed to the passive consumers of care. According to Beresford (2016), participatory methods are critical in the formulation of responsive and inclusive policies, given that they consider the lived experiences of service users. This may result in improved individualised and effective care outcomes, which are in line with the tenets of the social model.</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Secondly, it is important to enhance accessibility and inclusive design. This does not just cover physical access to buildings and transport, but also digital access and forms of communication. The Equality Act 2010 and other policies demand reasonable adjustments but there is need to implement these policies consistently to make sure that the services are inclusive. Elimination of environmental and structural obstacles is a direct expression of the social model in terms of facilitating involvement.</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Professional training on disability awareness is another key recommendation that should be improved. A lot of the issues in practice are based on poor knowledge or inertia of medicalised views by the professionals. The training programmes should be based on promotion of the social model, the challenge of stereotypes, and promotion of person-centred approaches. As Glasby (2026) points out, the solution to providing integrated and effective care is to create a skilled and knowledgeable workforce.</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 xml:space="preserve">Additionally, the integration between health and social care services should be improved. Service fragmentation can lead to fragmented care and unaddressed needs. The integrated systems have the potential to enhance communication, coordination, and continuity of care, which eventually benefit the service users. Collaborative working across industries, Glasby </w:t>
      </w:r>
      <w:r w:rsidRPr="00A22569">
        <w:rPr>
          <w:rFonts w:ascii="Arial" w:hAnsi="Arial" w:cs="Arial"/>
          <w:color w:val="000000" w:themeColor="text1"/>
          <w:sz w:val="22"/>
        </w:rPr>
        <w:lastRenderedPageBreak/>
        <w:t>(2026) believes, is crucial in the process of meeting complex needs and providing a holistic support.</w:t>
      </w:r>
    </w:p>
    <w:p w:rsidR="00A14675"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Lastly, there is a need to have stricter policy enforcement and accountability systems. Although legislation is a good framework, it does not have much effect without proper monitoring and enforcement. Frequent assessment, explicit criteria, and responsibility frameworks can make organisations follow the principles of inclusiveness and respect the rights of disabled people (Beresford, 2016).</w:t>
      </w:r>
    </w:p>
    <w:p w:rsidR="00A22569" w:rsidRPr="00A22569" w:rsidRDefault="00A22569" w:rsidP="00A22569">
      <w:pPr>
        <w:spacing w:line="360" w:lineRule="auto"/>
        <w:jc w:val="both"/>
        <w:rPr>
          <w:rFonts w:ascii="Arial" w:hAnsi="Arial" w:cs="Arial"/>
          <w:color w:val="000000" w:themeColor="text1"/>
          <w:sz w:val="22"/>
        </w:rPr>
      </w:pPr>
    </w:p>
    <w:p w:rsidR="006524ED" w:rsidRPr="00A22569" w:rsidRDefault="006D2F2D" w:rsidP="00A22569">
      <w:pPr>
        <w:spacing w:line="360" w:lineRule="auto"/>
        <w:jc w:val="both"/>
        <w:rPr>
          <w:rFonts w:ascii="Arial" w:hAnsi="Arial" w:cs="Arial"/>
          <w:b/>
          <w:bCs/>
          <w:color w:val="000000" w:themeColor="text1"/>
        </w:rPr>
      </w:pPr>
      <w:r w:rsidRPr="00A22569">
        <w:rPr>
          <w:rFonts w:ascii="Arial" w:hAnsi="Arial" w:cs="Arial"/>
          <w:b/>
          <w:bCs/>
          <w:color w:val="000000" w:themeColor="text1"/>
        </w:rPr>
        <w:t>Conclusion</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Conclusively, the social model of disability is an effective model of looking at and treating the predicaments of the disabled individuals in the health and social care. It puts the person-centred care principles of autonomy, inclusion, and empowerment into perspective, as it puts the emphasis on the barriers in the society instead of individual impairment. The essay has shown how the social model has come to light as a critique of the medical model, that has been shaped by disability studies and has come to be the subject of significant criticisms and later improvements.</w:t>
      </w:r>
    </w:p>
    <w:p w:rsidR="00A22569" w:rsidRP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Although the model has had a huge impact on policy frameworks including the Care Act 2014 and the Equality Act 2010, the model has not been uniform in its application. Its effectiveness is still curtailed by the challenges of institutional barriers, attitudes of professionals and scarcity of resources. Thus, reinforcing co-production, increasing accessibility, training the professionals, and better integration of the services are the key aspects of the further development of its application.</w:t>
      </w:r>
    </w:p>
    <w:p w:rsidR="00A22569" w:rsidRDefault="00A22569" w:rsidP="00A22569">
      <w:pPr>
        <w:spacing w:line="360" w:lineRule="auto"/>
        <w:jc w:val="both"/>
        <w:rPr>
          <w:rFonts w:ascii="Arial" w:hAnsi="Arial" w:cs="Arial"/>
          <w:color w:val="000000" w:themeColor="text1"/>
          <w:sz w:val="22"/>
        </w:rPr>
      </w:pPr>
      <w:r w:rsidRPr="00A22569">
        <w:rPr>
          <w:rFonts w:ascii="Arial" w:hAnsi="Arial" w:cs="Arial"/>
          <w:color w:val="000000" w:themeColor="text1"/>
          <w:sz w:val="22"/>
        </w:rPr>
        <w:t>Finally, to attain person-centred care, it is necessary to maintain the principles of the social model and make the additional effort to translate the policy into the meaningful practice.</w:t>
      </w:r>
    </w:p>
    <w:p w:rsidR="00A22569" w:rsidRDefault="00A22569" w:rsidP="00A22569">
      <w:pPr>
        <w:spacing w:line="360" w:lineRule="auto"/>
        <w:jc w:val="both"/>
        <w:rPr>
          <w:rFonts w:ascii="Arial" w:hAnsi="Arial" w:cs="Arial"/>
          <w:color w:val="000000" w:themeColor="text1"/>
          <w:sz w:val="22"/>
        </w:rPr>
      </w:pPr>
    </w:p>
    <w:p w:rsidR="006D2F2D" w:rsidRPr="003E4ED4" w:rsidRDefault="006D2F2D" w:rsidP="00A22569">
      <w:pPr>
        <w:spacing w:line="360" w:lineRule="auto"/>
        <w:rPr>
          <w:rFonts w:ascii="Arial" w:hAnsi="Arial" w:cs="Arial"/>
          <w:b/>
          <w:bCs/>
        </w:rPr>
      </w:pPr>
      <w:r w:rsidRPr="003E4ED4">
        <w:rPr>
          <w:rFonts w:ascii="Arial" w:hAnsi="Arial" w:cs="Arial"/>
          <w:b/>
          <w:bCs/>
        </w:rPr>
        <w:t>Reference</w:t>
      </w:r>
      <w:r w:rsidR="003E4ED4">
        <w:rPr>
          <w:rFonts w:ascii="Arial" w:hAnsi="Arial" w:cs="Arial"/>
          <w:b/>
          <w:bCs/>
        </w:rPr>
        <w:t>s</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Beresford, P. (2016). </w:t>
      </w:r>
      <w:r w:rsidRPr="00A22569">
        <w:rPr>
          <w:rFonts w:ascii="Arial" w:hAnsi="Arial" w:cs="Arial"/>
          <w:i/>
          <w:iCs/>
          <w:color w:val="000000" w:themeColor="text1"/>
          <w:sz w:val="22"/>
          <w:szCs w:val="20"/>
        </w:rPr>
        <w:t>All our welfare: Towards participatory social policy</w:t>
      </w:r>
      <w:r w:rsidRPr="00A22569">
        <w:rPr>
          <w:rFonts w:ascii="Arial" w:hAnsi="Arial" w:cs="Arial"/>
          <w:color w:val="000000" w:themeColor="text1"/>
          <w:sz w:val="22"/>
          <w:szCs w:val="20"/>
        </w:rPr>
        <w:t>. Policy press.</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Glasby, J. (2026). Understanding health and social care. In </w:t>
      </w:r>
      <w:r w:rsidRPr="00A22569">
        <w:rPr>
          <w:rFonts w:ascii="Arial" w:hAnsi="Arial" w:cs="Arial"/>
          <w:i/>
          <w:iCs/>
          <w:color w:val="000000" w:themeColor="text1"/>
          <w:sz w:val="22"/>
          <w:szCs w:val="20"/>
        </w:rPr>
        <w:t>Understanding Health and Social Care</w:t>
      </w:r>
      <w:r w:rsidRPr="00A22569">
        <w:rPr>
          <w:rFonts w:ascii="Arial" w:hAnsi="Arial" w:cs="Arial"/>
          <w:color w:val="000000" w:themeColor="text1"/>
          <w:sz w:val="22"/>
          <w:szCs w:val="20"/>
        </w:rPr>
        <w:t>. Policy Press.</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Goodley, D. (2024). Disability studies: An interdisciplinary introduction.</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lastRenderedPageBreak/>
        <w:t>Levitt, J. M. (2017). Developing a model of disability that focuses on the actions of disabled people. </w:t>
      </w:r>
      <w:r w:rsidRPr="00A22569">
        <w:rPr>
          <w:rFonts w:ascii="Arial" w:hAnsi="Arial" w:cs="Arial"/>
          <w:i/>
          <w:iCs/>
          <w:color w:val="000000" w:themeColor="text1"/>
          <w:sz w:val="22"/>
          <w:szCs w:val="20"/>
        </w:rPr>
        <w:t>Disability &amp; Society</w:t>
      </w:r>
      <w:r w:rsidRPr="00A22569">
        <w:rPr>
          <w:rFonts w:ascii="Arial" w:hAnsi="Arial" w:cs="Arial"/>
          <w:color w:val="000000" w:themeColor="text1"/>
          <w:sz w:val="22"/>
          <w:szCs w:val="20"/>
        </w:rPr>
        <w:t>, </w:t>
      </w:r>
      <w:r w:rsidRPr="00A22569">
        <w:rPr>
          <w:rFonts w:ascii="Arial" w:hAnsi="Arial" w:cs="Arial"/>
          <w:i/>
          <w:iCs/>
          <w:color w:val="000000" w:themeColor="text1"/>
          <w:sz w:val="22"/>
          <w:szCs w:val="20"/>
        </w:rPr>
        <w:t>32</w:t>
      </w:r>
      <w:r w:rsidRPr="00A22569">
        <w:rPr>
          <w:rFonts w:ascii="Arial" w:hAnsi="Arial" w:cs="Arial"/>
          <w:color w:val="000000" w:themeColor="text1"/>
          <w:sz w:val="22"/>
          <w:szCs w:val="20"/>
        </w:rPr>
        <w:t>(5), 735-747.</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Mollon, P. (2009). The NICE guidelines are misleading, unscientific, and potentially impede good psychological care and help. </w:t>
      </w:r>
      <w:r w:rsidRPr="00A22569">
        <w:rPr>
          <w:rFonts w:ascii="Arial" w:hAnsi="Arial" w:cs="Arial"/>
          <w:i/>
          <w:iCs/>
          <w:color w:val="000000" w:themeColor="text1"/>
          <w:sz w:val="22"/>
          <w:szCs w:val="20"/>
        </w:rPr>
        <w:t>Psychodynamic Practice</w:t>
      </w:r>
      <w:r w:rsidRPr="00A22569">
        <w:rPr>
          <w:rFonts w:ascii="Arial" w:hAnsi="Arial" w:cs="Arial"/>
          <w:color w:val="000000" w:themeColor="text1"/>
          <w:sz w:val="22"/>
          <w:szCs w:val="20"/>
        </w:rPr>
        <w:t>, </w:t>
      </w:r>
      <w:r w:rsidRPr="00A22569">
        <w:rPr>
          <w:rFonts w:ascii="Arial" w:hAnsi="Arial" w:cs="Arial"/>
          <w:i/>
          <w:iCs/>
          <w:color w:val="000000" w:themeColor="text1"/>
          <w:sz w:val="22"/>
          <w:szCs w:val="20"/>
        </w:rPr>
        <w:t>15</w:t>
      </w:r>
      <w:r w:rsidRPr="00A22569">
        <w:rPr>
          <w:rFonts w:ascii="Arial" w:hAnsi="Arial" w:cs="Arial"/>
          <w:color w:val="000000" w:themeColor="text1"/>
          <w:sz w:val="22"/>
          <w:szCs w:val="20"/>
        </w:rPr>
        <w:t>(1), 9-24.</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Needham, C., &amp; Carr, S. (2009). </w:t>
      </w:r>
      <w:r w:rsidRPr="00A22569">
        <w:rPr>
          <w:rFonts w:ascii="Arial" w:hAnsi="Arial" w:cs="Arial"/>
          <w:i/>
          <w:iCs/>
          <w:color w:val="000000" w:themeColor="text1"/>
          <w:sz w:val="22"/>
          <w:szCs w:val="20"/>
        </w:rPr>
        <w:t>Co-production: an emerging evidence base for adult social care transformation</w:t>
      </w:r>
      <w:r w:rsidRPr="00A22569">
        <w:rPr>
          <w:rFonts w:ascii="Arial" w:hAnsi="Arial" w:cs="Arial"/>
          <w:color w:val="000000" w:themeColor="text1"/>
          <w:sz w:val="22"/>
          <w:szCs w:val="20"/>
        </w:rPr>
        <w:t> (pp. 1-24). London: Social Care Institute for Excellence.</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Oliver, M. (1990). The politics of disablement—New social movements. In </w:t>
      </w:r>
      <w:r w:rsidRPr="00A22569">
        <w:rPr>
          <w:rFonts w:ascii="Arial" w:hAnsi="Arial" w:cs="Arial"/>
          <w:i/>
          <w:iCs/>
          <w:color w:val="000000" w:themeColor="text1"/>
          <w:sz w:val="22"/>
          <w:szCs w:val="20"/>
        </w:rPr>
        <w:t>The politics of disablement</w:t>
      </w:r>
      <w:r w:rsidRPr="00A22569">
        <w:rPr>
          <w:rFonts w:ascii="Arial" w:hAnsi="Arial" w:cs="Arial"/>
          <w:color w:val="000000" w:themeColor="text1"/>
          <w:sz w:val="22"/>
          <w:szCs w:val="20"/>
        </w:rPr>
        <w:t> (pp. 112-131). London: Macmillan Education UK.</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Oliver, M., &amp; Barnes, C. (2012). </w:t>
      </w:r>
      <w:r w:rsidRPr="00A22569">
        <w:rPr>
          <w:rFonts w:ascii="Arial" w:hAnsi="Arial" w:cs="Arial"/>
          <w:i/>
          <w:iCs/>
          <w:color w:val="000000" w:themeColor="text1"/>
          <w:sz w:val="22"/>
          <w:szCs w:val="20"/>
        </w:rPr>
        <w:t>The new politics of disablement</w:t>
      </w:r>
      <w:r w:rsidRPr="00A22569">
        <w:rPr>
          <w:rFonts w:ascii="Arial" w:hAnsi="Arial" w:cs="Arial"/>
          <w:color w:val="000000" w:themeColor="text1"/>
          <w:sz w:val="22"/>
          <w:szCs w:val="20"/>
        </w:rPr>
        <w:t>. Bloomsbury Publishing.</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Richards, B., &amp; Williamson, L. (2015). Supporting Innovation in the UK: Care Act 2014: Developments in Social Care Legislation in England and the Medical Innovation Bill. </w:t>
      </w:r>
      <w:r w:rsidRPr="00A22569">
        <w:rPr>
          <w:rFonts w:ascii="Arial" w:hAnsi="Arial" w:cs="Arial"/>
          <w:i/>
          <w:iCs/>
          <w:color w:val="000000" w:themeColor="text1"/>
          <w:sz w:val="22"/>
          <w:szCs w:val="20"/>
        </w:rPr>
        <w:t>Journal of Bioethical Inquiry</w:t>
      </w:r>
      <w:r w:rsidRPr="00A22569">
        <w:rPr>
          <w:rFonts w:ascii="Arial" w:hAnsi="Arial" w:cs="Arial"/>
          <w:color w:val="000000" w:themeColor="text1"/>
          <w:sz w:val="22"/>
          <w:szCs w:val="20"/>
        </w:rPr>
        <w:t>, </w:t>
      </w:r>
      <w:r w:rsidRPr="00A22569">
        <w:rPr>
          <w:rFonts w:ascii="Arial" w:hAnsi="Arial" w:cs="Arial"/>
          <w:i/>
          <w:iCs/>
          <w:color w:val="000000" w:themeColor="text1"/>
          <w:sz w:val="22"/>
          <w:szCs w:val="20"/>
        </w:rPr>
        <w:t>12</w:t>
      </w:r>
      <w:r w:rsidRPr="00A22569">
        <w:rPr>
          <w:rFonts w:ascii="Arial" w:hAnsi="Arial" w:cs="Arial"/>
          <w:color w:val="000000" w:themeColor="text1"/>
          <w:sz w:val="22"/>
          <w:szCs w:val="20"/>
        </w:rPr>
        <w:t>(2), 183-187.</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Shakespeare, T. (2006). The social model of disability. In </w:t>
      </w:r>
      <w:r w:rsidRPr="00A22569">
        <w:rPr>
          <w:rFonts w:ascii="Arial" w:hAnsi="Arial" w:cs="Arial"/>
          <w:i/>
          <w:iCs/>
          <w:color w:val="000000" w:themeColor="text1"/>
          <w:sz w:val="22"/>
          <w:szCs w:val="20"/>
        </w:rPr>
        <w:t>The disability studies reader</w:t>
      </w:r>
      <w:r w:rsidRPr="00A22569">
        <w:rPr>
          <w:rFonts w:ascii="Arial" w:hAnsi="Arial" w:cs="Arial"/>
          <w:color w:val="000000" w:themeColor="text1"/>
          <w:sz w:val="22"/>
          <w:szCs w:val="20"/>
        </w:rPr>
        <w:t> (pp. 16-24). Routledge.</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Shakespeare, T. (2013). </w:t>
      </w:r>
      <w:r w:rsidRPr="00A22569">
        <w:rPr>
          <w:rFonts w:ascii="Arial" w:hAnsi="Arial" w:cs="Arial"/>
          <w:i/>
          <w:iCs/>
          <w:color w:val="000000" w:themeColor="text1"/>
          <w:sz w:val="22"/>
          <w:szCs w:val="20"/>
        </w:rPr>
        <w:t>Disability rights and wrongs revisited</w:t>
      </w:r>
      <w:r w:rsidRPr="00A22569">
        <w:rPr>
          <w:rFonts w:ascii="Arial" w:hAnsi="Arial" w:cs="Arial"/>
          <w:color w:val="000000" w:themeColor="text1"/>
          <w:sz w:val="22"/>
          <w:szCs w:val="20"/>
        </w:rPr>
        <w:t>. Routledge.</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 xml:space="preserve">Shakespeare, T., Watson, N., &amp; </w:t>
      </w:r>
      <w:proofErr w:type="spellStart"/>
      <w:r w:rsidRPr="00A22569">
        <w:rPr>
          <w:rFonts w:ascii="Arial" w:hAnsi="Arial" w:cs="Arial"/>
          <w:color w:val="000000" w:themeColor="text1"/>
          <w:sz w:val="22"/>
          <w:szCs w:val="20"/>
        </w:rPr>
        <w:t>Alghaib</w:t>
      </w:r>
      <w:proofErr w:type="spellEnd"/>
      <w:r w:rsidRPr="00A22569">
        <w:rPr>
          <w:rFonts w:ascii="Arial" w:hAnsi="Arial" w:cs="Arial"/>
          <w:color w:val="000000" w:themeColor="text1"/>
          <w:sz w:val="22"/>
          <w:szCs w:val="20"/>
        </w:rPr>
        <w:t>, O. A. (2017). Blaming the victim, all over again: Waddell and Aylward’s biopsychosocial (BPS) model of disability. </w:t>
      </w:r>
      <w:r w:rsidRPr="00A22569">
        <w:rPr>
          <w:rFonts w:ascii="Arial" w:hAnsi="Arial" w:cs="Arial"/>
          <w:i/>
          <w:iCs/>
          <w:color w:val="000000" w:themeColor="text1"/>
          <w:sz w:val="22"/>
          <w:szCs w:val="20"/>
        </w:rPr>
        <w:t>Critical Social Policy</w:t>
      </w:r>
      <w:r w:rsidRPr="00A22569">
        <w:rPr>
          <w:rFonts w:ascii="Arial" w:hAnsi="Arial" w:cs="Arial"/>
          <w:color w:val="000000" w:themeColor="text1"/>
          <w:sz w:val="22"/>
          <w:szCs w:val="20"/>
        </w:rPr>
        <w:t>, </w:t>
      </w:r>
      <w:r w:rsidRPr="00A22569">
        <w:rPr>
          <w:rFonts w:ascii="Arial" w:hAnsi="Arial" w:cs="Arial"/>
          <w:i/>
          <w:iCs/>
          <w:color w:val="000000" w:themeColor="text1"/>
          <w:sz w:val="22"/>
          <w:szCs w:val="20"/>
        </w:rPr>
        <w:t>37</w:t>
      </w:r>
      <w:r w:rsidRPr="00A22569">
        <w:rPr>
          <w:rFonts w:ascii="Arial" w:hAnsi="Arial" w:cs="Arial"/>
          <w:color w:val="000000" w:themeColor="text1"/>
          <w:sz w:val="22"/>
          <w:szCs w:val="20"/>
        </w:rPr>
        <w:t>(1), 22-41.</w:t>
      </w:r>
    </w:p>
    <w:p w:rsidR="00A22569" w:rsidRPr="00A22569" w:rsidRDefault="00A22569" w:rsidP="00A22569">
      <w:pPr>
        <w:spacing w:line="360" w:lineRule="auto"/>
        <w:ind w:left="720" w:hanging="720"/>
        <w:rPr>
          <w:rFonts w:ascii="Arial" w:hAnsi="Arial" w:cs="Arial"/>
          <w:color w:val="000000" w:themeColor="text1"/>
          <w:sz w:val="22"/>
          <w:szCs w:val="20"/>
        </w:rPr>
      </w:pPr>
      <w:r w:rsidRPr="00A22569">
        <w:rPr>
          <w:rFonts w:ascii="Arial" w:hAnsi="Arial" w:cs="Arial"/>
          <w:color w:val="000000" w:themeColor="text1"/>
          <w:sz w:val="22"/>
          <w:szCs w:val="20"/>
        </w:rPr>
        <w:t>Thomas, C. (2014). Disability and impairment. </w:t>
      </w:r>
      <w:r w:rsidRPr="00A22569">
        <w:rPr>
          <w:rFonts w:ascii="Arial" w:hAnsi="Arial" w:cs="Arial"/>
          <w:i/>
          <w:iCs/>
          <w:color w:val="000000" w:themeColor="text1"/>
          <w:sz w:val="22"/>
          <w:szCs w:val="20"/>
        </w:rPr>
        <w:t>Disabling barriers-enabling environments</w:t>
      </w:r>
      <w:r w:rsidRPr="00A22569">
        <w:rPr>
          <w:rFonts w:ascii="Arial" w:hAnsi="Arial" w:cs="Arial"/>
          <w:color w:val="000000" w:themeColor="text1"/>
          <w:sz w:val="22"/>
          <w:szCs w:val="20"/>
        </w:rPr>
        <w:t>, 9-16.</w:t>
      </w:r>
    </w:p>
    <w:p w:rsidR="00A22569" w:rsidRPr="00A22569" w:rsidRDefault="00A22569" w:rsidP="00A22569">
      <w:pPr>
        <w:spacing w:line="360" w:lineRule="auto"/>
        <w:ind w:left="720" w:hanging="720"/>
        <w:rPr>
          <w:rFonts w:ascii="Arial" w:hAnsi="Arial" w:cs="Arial"/>
          <w:color w:val="000000" w:themeColor="text1"/>
          <w:sz w:val="22"/>
          <w:szCs w:val="20"/>
        </w:rPr>
      </w:pPr>
      <w:proofErr w:type="spellStart"/>
      <w:r w:rsidRPr="00A22569">
        <w:rPr>
          <w:rFonts w:ascii="Arial" w:hAnsi="Arial" w:cs="Arial"/>
          <w:color w:val="000000" w:themeColor="text1"/>
          <w:sz w:val="22"/>
          <w:szCs w:val="20"/>
        </w:rPr>
        <w:t>Vehmas</w:t>
      </w:r>
      <w:proofErr w:type="spellEnd"/>
      <w:r w:rsidRPr="00A22569">
        <w:rPr>
          <w:rFonts w:ascii="Arial" w:hAnsi="Arial" w:cs="Arial"/>
          <w:color w:val="000000" w:themeColor="text1"/>
          <w:sz w:val="22"/>
          <w:szCs w:val="20"/>
        </w:rPr>
        <w:t>, S. (2019). Routledge handbook of disability studies.</w:t>
      </w:r>
    </w:p>
    <w:p w:rsidR="006D2F2D" w:rsidRPr="00A22569" w:rsidRDefault="006D2F2D" w:rsidP="00A22569">
      <w:pPr>
        <w:spacing w:line="360" w:lineRule="auto"/>
        <w:rPr>
          <w:rFonts w:ascii="Arial" w:hAnsi="Arial" w:cs="Arial"/>
          <w:color w:val="000000" w:themeColor="text1"/>
        </w:rPr>
      </w:pPr>
    </w:p>
    <w:sectPr w:rsidR="006D2F2D" w:rsidRPr="00A22569" w:rsidSect="000A4BB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3D8B" w:rsidRDefault="00263D8B" w:rsidP="00032A5B">
      <w:pPr>
        <w:spacing w:after="0" w:line="240" w:lineRule="auto"/>
      </w:pPr>
      <w:r>
        <w:separator/>
      </w:r>
    </w:p>
  </w:endnote>
  <w:endnote w:type="continuationSeparator" w:id="0">
    <w:p w:rsidR="00263D8B" w:rsidRDefault="00263D8B" w:rsidP="00032A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2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3D8B" w:rsidRDefault="00263D8B" w:rsidP="00032A5B">
      <w:pPr>
        <w:spacing w:after="0" w:line="240" w:lineRule="auto"/>
      </w:pPr>
      <w:r>
        <w:separator/>
      </w:r>
    </w:p>
  </w:footnote>
  <w:footnote w:type="continuationSeparator" w:id="0">
    <w:p w:rsidR="00263D8B" w:rsidRDefault="00263D8B" w:rsidP="00032A5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rsids>
    <w:rsidRoot w:val="00C558B0"/>
    <w:rsid w:val="00032A5B"/>
    <w:rsid w:val="000A4BB1"/>
    <w:rsid w:val="001035C9"/>
    <w:rsid w:val="001333C2"/>
    <w:rsid w:val="00263D8B"/>
    <w:rsid w:val="002773F7"/>
    <w:rsid w:val="00317E3D"/>
    <w:rsid w:val="003E4ED4"/>
    <w:rsid w:val="0058218C"/>
    <w:rsid w:val="006524ED"/>
    <w:rsid w:val="006D2F2D"/>
    <w:rsid w:val="006E1FF9"/>
    <w:rsid w:val="00785886"/>
    <w:rsid w:val="007F3A6A"/>
    <w:rsid w:val="009A6E99"/>
    <w:rsid w:val="00A14675"/>
    <w:rsid w:val="00A22569"/>
    <w:rsid w:val="00AB381E"/>
    <w:rsid w:val="00BC79FE"/>
    <w:rsid w:val="00C558B0"/>
    <w:rsid w:val="00D545BA"/>
    <w:rsid w:val="00D97D5B"/>
    <w:rsid w:val="00E81204"/>
    <w:rsid w:val="00ED51F7"/>
    <w:rsid w:val="00EF55C1"/>
    <w:rsid w:val="00F81510"/>
    <w:rsid w:val="00FA1054"/>
    <w:rsid w:val="00FA62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2440</Words>
  <Characters>13910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Marin</cp:lastModifiedBy>
  <cp:revision>7</cp:revision>
  <dcterms:created xsi:type="dcterms:W3CDTF">2024-02-19T18:40:00Z</dcterms:created>
  <dcterms:modified xsi:type="dcterms:W3CDTF">2026-04-21T11:44:00Z</dcterms:modified>
</cp:coreProperties>
</file>